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77EDDC">
      <w:pPr>
        <w:jc w:val="center"/>
        <w:rPr>
          <w:rFonts w:hint="default" w:ascii="宋体" w:hAnsi="宋体" w:eastAsia="宋体"/>
          <w:b/>
          <w:bCs/>
          <w:sz w:val="44"/>
          <w:szCs w:val="44"/>
          <w:lang w:val="en-US" w:eastAsia="zh-CN"/>
        </w:rPr>
      </w:pPr>
      <w:r>
        <w:rPr>
          <w:rFonts w:hint="eastAsia" w:ascii="宋体" w:hAnsi="宋体" w:eastAsia="宋体"/>
          <w:b/>
          <w:bCs/>
          <w:sz w:val="44"/>
          <w:szCs w:val="44"/>
        </w:rPr>
        <w:t>《</w:t>
      </w:r>
      <w:r>
        <w:rPr>
          <w:rFonts w:hint="eastAsia" w:ascii="黑体" w:hAnsi="黑体" w:eastAsia="黑体" w:cs="黑体"/>
          <w:color w:val="000000"/>
          <w:kern w:val="0"/>
          <w:sz w:val="40"/>
          <w:szCs w:val="40"/>
          <w:lang w:val="en-US" w:eastAsia="zh-CN"/>
        </w:rPr>
        <w:t>无人机飞播灌草</w:t>
      </w:r>
      <w:r>
        <w:rPr>
          <w:rFonts w:hint="eastAsia" w:ascii="黑体" w:hAnsi="黑体" w:eastAsia="黑体" w:cs="黑体"/>
          <w:color w:val="000000"/>
          <w:kern w:val="0"/>
          <w:sz w:val="40"/>
          <w:szCs w:val="40"/>
        </w:rPr>
        <w:t>技术规程</w:t>
      </w:r>
      <w:r>
        <w:rPr>
          <w:rFonts w:hint="eastAsia" w:ascii="宋体" w:hAnsi="宋体" w:eastAsia="宋体"/>
          <w:b/>
          <w:bCs/>
          <w:sz w:val="44"/>
          <w:szCs w:val="44"/>
        </w:rPr>
        <w:t>》</w:t>
      </w:r>
      <w:r>
        <w:rPr>
          <w:rFonts w:hint="eastAsia" w:ascii="宋体" w:hAnsi="宋体" w:eastAsia="宋体"/>
          <w:b/>
          <w:bCs/>
          <w:sz w:val="44"/>
          <w:szCs w:val="44"/>
          <w:lang w:val="en-US" w:eastAsia="zh-CN"/>
        </w:rPr>
        <w:t>团体标准</w:t>
      </w:r>
      <w:bookmarkStart w:id="3" w:name="_GoBack"/>
      <w:bookmarkEnd w:id="3"/>
    </w:p>
    <w:p w14:paraId="5A25E8D2">
      <w:pPr>
        <w:jc w:val="center"/>
        <w:rPr>
          <w:rFonts w:ascii="宋体" w:hAnsi="宋体" w:eastAsia="宋体"/>
          <w:b/>
          <w:bCs/>
          <w:color w:val="FF0000"/>
          <w:sz w:val="32"/>
          <w:szCs w:val="32"/>
        </w:rPr>
      </w:pPr>
      <w:r>
        <w:rPr>
          <w:rFonts w:ascii="宋体" w:hAnsi="宋体" w:eastAsia="宋体"/>
          <w:b/>
          <w:bCs/>
          <w:sz w:val="44"/>
          <w:szCs w:val="44"/>
        </w:rPr>
        <w:t>编制说明</w:t>
      </w:r>
    </w:p>
    <w:p w14:paraId="3EA7B7B9">
      <w:pPr>
        <w:pStyle w:val="9"/>
        <w:numPr>
          <w:ilvl w:val="0"/>
          <w:numId w:val="3"/>
        </w:numPr>
        <w:ind w:firstLineChars="0"/>
        <w:rPr>
          <w:rFonts w:ascii="仿宋" w:hAnsi="仿宋" w:eastAsia="仿宋"/>
          <w:sz w:val="32"/>
          <w:szCs w:val="32"/>
        </w:rPr>
      </w:pPr>
      <w:r>
        <w:rPr>
          <w:rFonts w:ascii="黑体" w:hAnsi="黑体" w:eastAsia="黑体"/>
          <w:sz w:val="32"/>
          <w:szCs w:val="32"/>
        </w:rPr>
        <w:t>工作简况</w:t>
      </w:r>
    </w:p>
    <w:p w14:paraId="12A7BF76">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（一）任务来源/立项情况</w:t>
      </w:r>
    </w:p>
    <w:p w14:paraId="59434B18">
      <w:pPr>
        <w:ind w:firstLine="640" w:firstLineChars="200"/>
        <w:rPr>
          <w:rFonts w:hint="default" w:ascii="仿宋" w:hAnsi="仿宋" w:eastAsia="仿宋"/>
          <w:sz w:val="32"/>
          <w:szCs w:val="32"/>
          <w:lang w:val="en-US" w:eastAsia="zh-CN"/>
        </w:rPr>
      </w:pPr>
      <w:r>
        <w:rPr>
          <w:rFonts w:hint="eastAsia" w:ascii="仿宋" w:hAnsi="仿宋" w:eastAsia="仿宋"/>
          <w:sz w:val="32"/>
          <w:szCs w:val="32"/>
          <w:lang w:val="en-US" w:eastAsia="zh-CN"/>
        </w:rPr>
        <w:t>“三北”工程攻坚战三大标志性战役是国家生态治理的关键工程，当前，在黄河“几字弯”攻坚战、科尔沁和浑善达克两大沙地歼灭战、河西走廊—塔克拉玛干沙漠边缘阻击战三大标志性战役中，农用无人机在地形起伏较大的地段播种灌、草种子发挥了重要作用。近年蒙草生态环境（集团）股份有限公司在“三北”防沙治沙工程中，应用无人机飞播灌草治理大面积沙地和沙化草原，取得了较好的效果。无人机飞播在各地承担“三北”工程中应用越来越广泛，为了规范无人机飞播灌草施工技术流程和作业技术参数，蒙草集团向内蒙古标准化协会提出编制了《无人机播种灌草技术规程》团体标准，内蒙古标准化协会组织专家，详细审查了该标准立项申请书和标准编制提纲，经充分研究讨论，批准《无人机播种灌草技术规程》作为团体标准立项。</w:t>
      </w:r>
    </w:p>
    <w:p w14:paraId="4DB4F64F">
      <w:pPr>
        <w:numPr>
          <w:ilvl w:val="0"/>
          <w:numId w:val="4"/>
        </w:num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提出单位：</w:t>
      </w:r>
    </w:p>
    <w:p w14:paraId="31EA924C">
      <w:pPr>
        <w:numPr>
          <w:ilvl w:val="0"/>
          <w:numId w:val="0"/>
        </w:num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蒙草生态环境（集团）股份有限公司</w:t>
      </w:r>
    </w:p>
    <w:p w14:paraId="177C5307">
      <w:pPr>
        <w:numPr>
          <w:ilvl w:val="0"/>
          <w:numId w:val="4"/>
        </w:numPr>
        <w:ind w:left="0" w:leftChars="0"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归口单位：</w:t>
      </w:r>
    </w:p>
    <w:p w14:paraId="4271DC8F">
      <w:pPr>
        <w:numPr>
          <w:ilvl w:val="0"/>
          <w:numId w:val="0"/>
        </w:numPr>
        <w:ind w:leftChars="200" w:firstLine="320" w:firstLineChars="100"/>
        <w:rPr>
          <w:rFonts w:hint="eastAsia" w:ascii="仿宋" w:hAnsi="仿宋" w:eastAsia="仿宋"/>
          <w:sz w:val="32"/>
          <w:szCs w:val="32"/>
          <w:lang w:val="en-US" w:eastAsia="zh-CN"/>
        </w:rPr>
      </w:pPr>
      <w:r>
        <w:rPr>
          <w:rFonts w:hint="eastAsia" w:ascii="仿宋" w:hAnsi="仿宋" w:eastAsia="仿宋"/>
          <w:sz w:val="32"/>
          <w:szCs w:val="32"/>
          <w:lang w:val="en-US" w:eastAsia="zh-CN"/>
        </w:rPr>
        <w:t>内蒙古标准化协会</w:t>
      </w:r>
    </w:p>
    <w:p w14:paraId="1101F487">
      <w:pPr>
        <w:numPr>
          <w:ilvl w:val="0"/>
          <w:numId w:val="4"/>
        </w:numPr>
        <w:ind w:left="0" w:leftChars="0"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起草单位：</w:t>
      </w:r>
    </w:p>
    <w:p w14:paraId="383CD486">
      <w:pPr>
        <w:numPr>
          <w:ilvl w:val="0"/>
          <w:numId w:val="0"/>
        </w:num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蒙草生态环境（集团）股份有限公司、</w:t>
      </w:r>
    </w:p>
    <w:p w14:paraId="0E417AFB">
      <w:pPr>
        <w:numPr>
          <w:ilvl w:val="0"/>
          <w:numId w:val="0"/>
        </w:numPr>
        <w:ind w:firstLine="640" w:firstLineChars="200"/>
        <w:rPr>
          <w:rFonts w:hint="eastAsia" w:ascii="仿宋" w:hAnsi="仿宋" w:eastAsia="仿宋"/>
          <w:sz w:val="32"/>
          <w:szCs w:val="32"/>
          <w:lang w:val="en-US" w:eastAsia="en-US"/>
        </w:rPr>
      </w:pPr>
      <w:r>
        <w:rPr>
          <w:rFonts w:hint="eastAsia" w:ascii="仿宋" w:hAnsi="仿宋" w:eastAsia="仿宋"/>
          <w:sz w:val="32"/>
          <w:szCs w:val="32"/>
          <w:lang w:val="en-US" w:eastAsia="zh-CN"/>
        </w:rPr>
        <w:t>内蒙古蒙草贺斯格乌拉草牧业科技服务有限公司、</w:t>
      </w:r>
    </w:p>
    <w:p w14:paraId="63EE6020">
      <w:pPr>
        <w:numPr>
          <w:ilvl w:val="0"/>
          <w:numId w:val="0"/>
        </w:num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en-US"/>
        </w:rPr>
        <w:t>通辽市蒙草沙地治理与林草牧业发展研究院有限公司</w:t>
      </w:r>
      <w:r>
        <w:rPr>
          <w:rFonts w:hint="eastAsia" w:ascii="仿宋" w:hAnsi="仿宋" w:eastAsia="仿宋"/>
          <w:sz w:val="32"/>
          <w:szCs w:val="32"/>
          <w:lang w:val="en-US" w:eastAsia="zh-CN"/>
        </w:rPr>
        <w:t>。</w:t>
      </w:r>
    </w:p>
    <w:p w14:paraId="75147F5A">
      <w:pPr>
        <w:numPr>
          <w:ilvl w:val="0"/>
          <w:numId w:val="4"/>
        </w:numPr>
        <w:ind w:left="0" w:leftChars="0"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起草人：</w:t>
      </w:r>
    </w:p>
    <w:p w14:paraId="427C5892">
      <w:pPr>
        <w:pStyle w:val="2"/>
        <w:ind w:firstLine="640" w:firstLineChars="200"/>
        <w:rPr>
          <w:rFonts w:hint="eastAsia"/>
          <w:lang w:val="en-US" w:eastAsia="zh-CN"/>
        </w:rPr>
      </w:pPr>
      <w:r>
        <w:rPr>
          <w:rFonts w:hint="eastAsia" w:ascii="仿宋" w:hAnsi="仿宋" w:eastAsia="仿宋"/>
          <w:sz w:val="32"/>
          <w:szCs w:val="32"/>
          <w:lang w:val="en-US" w:eastAsia="zh-CN"/>
        </w:rPr>
        <w:t>起草单位抽调起草单位科技人员成立了起草小组，小组成员共26人，为从事生态修复的研发人员和应用无人机飞播有经验的人员，其中有博士1人，硕士10人，高级技术职称7人，中级技术职称9人。</w:t>
      </w:r>
    </w:p>
    <w:p w14:paraId="3E3346EE">
      <w:pPr>
        <w:spacing w:line="276" w:lineRule="auto"/>
        <w:jc w:val="center"/>
        <w:rPr>
          <w:rFonts w:ascii="黑体" w:hAnsi="黑体" w:eastAsia="黑体"/>
          <w:bCs/>
          <w:sz w:val="28"/>
          <w:szCs w:val="28"/>
        </w:rPr>
      </w:pPr>
      <w:r>
        <w:rPr>
          <w:rFonts w:hint="eastAsia" w:ascii="黑体" w:hAnsi="黑体" w:eastAsia="黑体"/>
          <w:bCs/>
          <w:sz w:val="24"/>
        </w:rPr>
        <w:t>表1 起草小组成员一览表</w:t>
      </w:r>
    </w:p>
    <w:tbl>
      <w:tblPr>
        <w:tblStyle w:val="6"/>
        <w:tblW w:w="87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1573"/>
        <w:gridCol w:w="2366"/>
        <w:gridCol w:w="3643"/>
      </w:tblGrid>
      <w:tr w14:paraId="75B07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141" w:type="dxa"/>
            <w:vAlign w:val="center"/>
          </w:tcPr>
          <w:p w14:paraId="69B04FCE">
            <w:pPr>
              <w:keepNext w:val="0"/>
              <w:keepLines w:val="0"/>
              <w:pageBreakBefore w:val="0"/>
              <w:wordWrap/>
              <w:overflowPunct/>
              <w:topLinePunct w:val="0"/>
              <w:bidi w:val="0"/>
              <w:spacing w:line="360" w:lineRule="exact"/>
              <w:jc w:val="center"/>
              <w:rPr>
                <w:rFonts w:ascii="宋体" w:hAnsi="宋体"/>
                <w:b/>
                <w:sz w:val="22"/>
                <w:szCs w:val="22"/>
              </w:rPr>
            </w:pPr>
            <w:r>
              <w:rPr>
                <w:rFonts w:hint="eastAsia" w:ascii="宋体" w:hAnsi="宋体"/>
                <w:b/>
                <w:sz w:val="22"/>
                <w:szCs w:val="22"/>
              </w:rPr>
              <w:t>姓名</w:t>
            </w:r>
          </w:p>
        </w:tc>
        <w:tc>
          <w:tcPr>
            <w:tcW w:w="1573" w:type="dxa"/>
            <w:vAlign w:val="center"/>
          </w:tcPr>
          <w:p w14:paraId="4D2261CA">
            <w:pPr>
              <w:keepNext w:val="0"/>
              <w:keepLines w:val="0"/>
              <w:pageBreakBefore w:val="0"/>
              <w:wordWrap/>
              <w:overflowPunct/>
              <w:topLinePunct w:val="0"/>
              <w:bidi w:val="0"/>
              <w:spacing w:line="360" w:lineRule="exact"/>
              <w:jc w:val="center"/>
              <w:rPr>
                <w:rFonts w:ascii="宋体" w:hAnsi="宋体"/>
                <w:b/>
                <w:sz w:val="22"/>
                <w:szCs w:val="22"/>
              </w:rPr>
            </w:pPr>
            <w:r>
              <w:rPr>
                <w:rFonts w:hint="eastAsia" w:ascii="宋体" w:hAnsi="宋体"/>
                <w:b/>
                <w:sz w:val="22"/>
                <w:szCs w:val="22"/>
              </w:rPr>
              <w:t>职称</w:t>
            </w:r>
          </w:p>
        </w:tc>
        <w:tc>
          <w:tcPr>
            <w:tcW w:w="2366" w:type="dxa"/>
            <w:vAlign w:val="center"/>
          </w:tcPr>
          <w:p w14:paraId="0107E3B2">
            <w:pPr>
              <w:keepNext w:val="0"/>
              <w:keepLines w:val="0"/>
              <w:pageBreakBefore w:val="0"/>
              <w:wordWrap/>
              <w:overflowPunct/>
              <w:topLinePunct w:val="0"/>
              <w:bidi w:val="0"/>
              <w:spacing w:line="360" w:lineRule="exact"/>
              <w:jc w:val="center"/>
              <w:rPr>
                <w:rFonts w:ascii="宋体" w:hAnsi="宋体"/>
                <w:b/>
                <w:sz w:val="22"/>
                <w:szCs w:val="22"/>
              </w:rPr>
            </w:pPr>
            <w:r>
              <w:rPr>
                <w:rFonts w:hint="eastAsia" w:ascii="宋体" w:hAnsi="宋体"/>
                <w:b/>
                <w:sz w:val="22"/>
                <w:szCs w:val="22"/>
              </w:rPr>
              <w:t>专业</w:t>
            </w:r>
          </w:p>
        </w:tc>
        <w:tc>
          <w:tcPr>
            <w:tcW w:w="3643" w:type="dxa"/>
            <w:vAlign w:val="center"/>
          </w:tcPr>
          <w:p w14:paraId="203F8A8E">
            <w:pPr>
              <w:keepNext w:val="0"/>
              <w:keepLines w:val="0"/>
              <w:pageBreakBefore w:val="0"/>
              <w:wordWrap/>
              <w:overflowPunct/>
              <w:topLinePunct w:val="0"/>
              <w:bidi w:val="0"/>
              <w:spacing w:line="360" w:lineRule="exact"/>
              <w:ind w:left="93"/>
              <w:jc w:val="center"/>
              <w:rPr>
                <w:rFonts w:ascii="宋体" w:hAnsi="宋体"/>
                <w:b/>
                <w:sz w:val="22"/>
                <w:szCs w:val="22"/>
              </w:rPr>
            </w:pPr>
            <w:r>
              <w:rPr>
                <w:rFonts w:hint="eastAsia" w:ascii="宋体" w:hAnsi="宋体"/>
                <w:b/>
                <w:sz w:val="22"/>
                <w:szCs w:val="22"/>
              </w:rPr>
              <w:t>单位</w:t>
            </w:r>
          </w:p>
        </w:tc>
      </w:tr>
      <w:tr w14:paraId="7332C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41" w:type="dxa"/>
            <w:shd w:val="clear" w:color="auto" w:fill="auto"/>
            <w:vAlign w:val="center"/>
          </w:tcPr>
          <w:p w14:paraId="38620646">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cs="宋体" w:eastAsiaTheme="minorEastAsia"/>
                <w:kern w:val="2"/>
                <w:sz w:val="22"/>
                <w:szCs w:val="21"/>
                <w:lang w:val="en-US" w:eastAsia="en-US" w:bidi="ar-SA"/>
                <w14:ligatures w14:val="standardContextual"/>
              </w:rPr>
            </w:pPr>
            <w:r>
              <w:rPr>
                <w:rFonts w:hint="eastAsia" w:ascii="宋体" w:hAnsi="宋体" w:cs="宋体"/>
                <w:szCs w:val="21"/>
              </w:rPr>
              <w:t>王召明</w:t>
            </w:r>
          </w:p>
        </w:tc>
        <w:tc>
          <w:tcPr>
            <w:tcW w:w="1573" w:type="dxa"/>
            <w:shd w:val="clear" w:color="auto" w:fill="auto"/>
            <w:vAlign w:val="center"/>
          </w:tcPr>
          <w:p w14:paraId="2E98049C">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cs="宋体" w:eastAsiaTheme="minorEastAsia"/>
                <w:kern w:val="2"/>
                <w:sz w:val="22"/>
                <w:szCs w:val="21"/>
                <w:lang w:val="en-US" w:eastAsia="en-US" w:bidi="ar-SA"/>
                <w14:ligatures w14:val="standardContextual"/>
              </w:rPr>
            </w:pPr>
            <w:r>
              <w:rPr>
                <w:rFonts w:hint="eastAsia" w:ascii="宋体" w:hAnsi="宋体" w:cs="宋体"/>
                <w:szCs w:val="21"/>
              </w:rPr>
              <w:t>正高级工程师</w:t>
            </w:r>
          </w:p>
        </w:tc>
        <w:tc>
          <w:tcPr>
            <w:tcW w:w="2366" w:type="dxa"/>
            <w:shd w:val="clear" w:color="auto" w:fill="auto"/>
            <w:vAlign w:val="center"/>
          </w:tcPr>
          <w:p w14:paraId="5C9A7275">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cs="宋体" w:eastAsiaTheme="minorEastAsia"/>
                <w:kern w:val="2"/>
                <w:sz w:val="22"/>
                <w:szCs w:val="21"/>
                <w:lang w:val="en-US" w:eastAsia="en-US" w:bidi="ar-SA"/>
                <w14:ligatures w14:val="standardContextual"/>
              </w:rPr>
            </w:pPr>
            <w:r>
              <w:rPr>
                <w:rFonts w:hint="eastAsia" w:ascii="宋体" w:hAnsi="宋体" w:cs="宋体"/>
                <w:szCs w:val="21"/>
              </w:rPr>
              <w:t>林业机械制造与设计</w:t>
            </w:r>
          </w:p>
        </w:tc>
        <w:tc>
          <w:tcPr>
            <w:tcW w:w="3643" w:type="dxa"/>
            <w:shd w:val="clear" w:color="auto" w:fill="auto"/>
            <w:vAlign w:val="center"/>
          </w:tcPr>
          <w:p w14:paraId="5D923F50">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cs="宋体" w:eastAsiaTheme="minorEastAsia"/>
                <w:kern w:val="2"/>
                <w:sz w:val="22"/>
                <w:szCs w:val="21"/>
                <w:lang w:val="en-US" w:eastAsia="en-US" w:bidi="ar-SA"/>
                <w14:ligatures w14:val="standardContextual"/>
              </w:rPr>
            </w:pPr>
            <w:r>
              <w:rPr>
                <w:rFonts w:hint="eastAsia" w:ascii="宋体" w:hAnsi="宋体" w:cs="宋体"/>
                <w:szCs w:val="21"/>
              </w:rPr>
              <w:t>蒙草生态环境（集团）股份有限公司</w:t>
            </w:r>
          </w:p>
        </w:tc>
      </w:tr>
      <w:tr w14:paraId="03D56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1" w:type="dxa"/>
            <w:shd w:val="clear" w:color="auto" w:fill="auto"/>
            <w:vAlign w:val="center"/>
          </w:tcPr>
          <w:p w14:paraId="22311B69">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cs="宋体" w:eastAsiaTheme="minorEastAsia"/>
                <w:kern w:val="2"/>
                <w:sz w:val="22"/>
                <w:szCs w:val="21"/>
                <w:lang w:val="en-US" w:eastAsia="en-US" w:bidi="ar-SA"/>
                <w14:ligatures w14:val="standardContextual"/>
              </w:rPr>
            </w:pPr>
            <w:r>
              <w:rPr>
                <w:rFonts w:hint="eastAsia" w:ascii="宋体" w:hAnsi="宋体" w:cs="宋体"/>
                <w:szCs w:val="21"/>
              </w:rPr>
              <w:t>邢旗</w:t>
            </w:r>
          </w:p>
        </w:tc>
        <w:tc>
          <w:tcPr>
            <w:tcW w:w="1573" w:type="dxa"/>
            <w:shd w:val="clear" w:color="auto" w:fill="auto"/>
            <w:vAlign w:val="center"/>
          </w:tcPr>
          <w:p w14:paraId="2F452E04">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cs="宋体" w:eastAsiaTheme="minorEastAsia"/>
                <w:kern w:val="2"/>
                <w:sz w:val="22"/>
                <w:szCs w:val="21"/>
                <w:lang w:val="en-US" w:eastAsia="en-US" w:bidi="ar-SA"/>
                <w14:ligatures w14:val="standardContextual"/>
              </w:rPr>
            </w:pPr>
            <w:r>
              <w:rPr>
                <w:rFonts w:hint="eastAsia" w:ascii="宋体" w:hAnsi="宋体" w:cs="宋体"/>
                <w:szCs w:val="21"/>
              </w:rPr>
              <w:t>研究员</w:t>
            </w:r>
          </w:p>
        </w:tc>
        <w:tc>
          <w:tcPr>
            <w:tcW w:w="2366" w:type="dxa"/>
            <w:shd w:val="clear" w:color="auto" w:fill="auto"/>
            <w:vAlign w:val="center"/>
          </w:tcPr>
          <w:p w14:paraId="4942F9BA">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cs="宋体" w:eastAsiaTheme="minorEastAsia"/>
                <w:kern w:val="2"/>
                <w:sz w:val="22"/>
                <w:szCs w:val="21"/>
                <w:lang w:val="en-US" w:eastAsia="en-US" w:bidi="ar-SA"/>
                <w14:ligatures w14:val="standardContextual"/>
              </w:rPr>
            </w:pPr>
            <w:r>
              <w:rPr>
                <w:rFonts w:hint="eastAsia" w:ascii="宋体" w:hAnsi="宋体" w:cs="宋体"/>
                <w:szCs w:val="21"/>
              </w:rPr>
              <w:t>草业科学</w:t>
            </w:r>
          </w:p>
        </w:tc>
        <w:tc>
          <w:tcPr>
            <w:tcW w:w="3643" w:type="dxa"/>
            <w:shd w:val="clear" w:color="auto" w:fill="auto"/>
            <w:vAlign w:val="center"/>
          </w:tcPr>
          <w:p w14:paraId="1A6B2697">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cs="宋体" w:eastAsiaTheme="minorEastAsia"/>
                <w:kern w:val="2"/>
                <w:sz w:val="22"/>
                <w:szCs w:val="21"/>
                <w:lang w:val="en-US" w:eastAsia="en-US" w:bidi="ar-SA"/>
                <w14:ligatures w14:val="standardContextual"/>
              </w:rPr>
            </w:pPr>
            <w:r>
              <w:rPr>
                <w:rFonts w:hint="eastAsia" w:ascii="宋体" w:hAnsi="宋体" w:cs="宋体"/>
                <w:szCs w:val="21"/>
              </w:rPr>
              <w:t>蒙草生态环境（集团）股份有限公司</w:t>
            </w:r>
          </w:p>
        </w:tc>
      </w:tr>
      <w:tr w14:paraId="18908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141" w:type="dxa"/>
            <w:shd w:val="clear" w:color="auto" w:fill="auto"/>
            <w:vAlign w:val="center"/>
          </w:tcPr>
          <w:p w14:paraId="5EA70D65">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Arial" w:cs="宋体"/>
                <w:snapToGrid w:val="0"/>
                <w:color w:val="000000"/>
                <w:kern w:val="0"/>
                <w:sz w:val="21"/>
                <w:szCs w:val="21"/>
                <w:lang w:val="en-US" w:eastAsia="en-US" w:bidi="ar-SA"/>
                <w14:ligatures w14:val="standardContextual"/>
              </w:rPr>
            </w:pPr>
            <w:r>
              <w:rPr>
                <w:rFonts w:hint="eastAsia" w:ascii="宋体" w:hAnsi="宋体"/>
                <w:szCs w:val="21"/>
              </w:rPr>
              <w:t>陈翔</w:t>
            </w:r>
          </w:p>
        </w:tc>
        <w:tc>
          <w:tcPr>
            <w:tcW w:w="1573" w:type="dxa"/>
            <w:shd w:val="clear" w:color="auto" w:fill="auto"/>
            <w:vAlign w:val="center"/>
          </w:tcPr>
          <w:p w14:paraId="31F8BD07">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Arial" w:cs="Arial"/>
                <w:snapToGrid w:val="0"/>
                <w:color w:val="000000"/>
                <w:kern w:val="0"/>
                <w:sz w:val="21"/>
                <w:szCs w:val="21"/>
                <w:lang w:val="en-US" w:eastAsia="en-US" w:bidi="ar-SA"/>
                <w14:ligatures w14:val="standardContextual"/>
              </w:rPr>
            </w:pPr>
            <w:r>
              <w:rPr>
                <w:rFonts w:hint="eastAsia" w:ascii="宋体" w:hAnsi="宋体"/>
                <w:szCs w:val="21"/>
              </w:rPr>
              <w:t>高级工程师</w:t>
            </w:r>
          </w:p>
        </w:tc>
        <w:tc>
          <w:tcPr>
            <w:tcW w:w="2366" w:type="dxa"/>
            <w:shd w:val="clear" w:color="auto" w:fill="auto"/>
            <w:vAlign w:val="center"/>
          </w:tcPr>
          <w:p w14:paraId="45B1A9C5">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Arial" w:cs="Arial"/>
                <w:snapToGrid w:val="0"/>
                <w:color w:val="000000"/>
                <w:kern w:val="0"/>
                <w:sz w:val="21"/>
                <w:szCs w:val="21"/>
                <w:lang w:val="en-US" w:eastAsia="en-US" w:bidi="ar-SA"/>
                <w14:ligatures w14:val="standardContextual"/>
              </w:rPr>
            </w:pPr>
            <w:r>
              <w:rPr>
                <w:rFonts w:hint="eastAsia" w:ascii="宋体" w:hAnsi="宋体"/>
                <w:szCs w:val="21"/>
              </w:rPr>
              <w:t>生态学</w:t>
            </w:r>
          </w:p>
        </w:tc>
        <w:tc>
          <w:tcPr>
            <w:tcW w:w="3643" w:type="dxa"/>
            <w:shd w:val="clear" w:color="auto" w:fill="auto"/>
            <w:vAlign w:val="center"/>
          </w:tcPr>
          <w:p w14:paraId="722CD8AB">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Arial" w:cs="Arial"/>
                <w:snapToGrid w:val="0"/>
                <w:color w:val="000000"/>
                <w:kern w:val="0"/>
                <w:sz w:val="21"/>
                <w:szCs w:val="21"/>
                <w:lang w:val="en-US" w:eastAsia="en-US" w:bidi="ar-SA"/>
                <w14:ligatures w14:val="standardContextual"/>
              </w:rPr>
            </w:pPr>
            <w:r>
              <w:rPr>
                <w:rFonts w:hint="eastAsia" w:ascii="宋体" w:hAnsi="宋体"/>
                <w:szCs w:val="21"/>
              </w:rPr>
              <w:t>蒙草生态环境（集团）股份有限公司</w:t>
            </w:r>
          </w:p>
        </w:tc>
      </w:tr>
      <w:tr w14:paraId="470F8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141" w:type="dxa"/>
            <w:shd w:val="clear" w:color="auto" w:fill="auto"/>
            <w:vAlign w:val="center"/>
          </w:tcPr>
          <w:p w14:paraId="0FF3FB98">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Arial" w:cs="宋体"/>
                <w:snapToGrid w:val="0"/>
                <w:color w:val="000000"/>
                <w:kern w:val="0"/>
                <w:sz w:val="21"/>
                <w:szCs w:val="21"/>
                <w:lang w:val="en-US" w:eastAsia="zh-CN" w:bidi="ar-SA"/>
                <w14:ligatures w14:val="standardContextual"/>
              </w:rPr>
            </w:pPr>
            <w:r>
              <w:rPr>
                <w:rFonts w:hint="eastAsia" w:ascii="宋体" w:hAnsi="宋体" w:cs="宋体"/>
                <w:szCs w:val="21"/>
              </w:rPr>
              <w:t>张健</w:t>
            </w:r>
          </w:p>
        </w:tc>
        <w:tc>
          <w:tcPr>
            <w:tcW w:w="1573" w:type="dxa"/>
            <w:shd w:val="clear" w:color="auto" w:fill="auto"/>
            <w:vAlign w:val="center"/>
          </w:tcPr>
          <w:p w14:paraId="028DB1B2">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Arial" w:cs="Arial"/>
                <w:snapToGrid w:val="0"/>
                <w:color w:val="000000"/>
                <w:kern w:val="0"/>
                <w:sz w:val="21"/>
                <w:szCs w:val="21"/>
                <w:lang w:val="en-US" w:eastAsia="en-US" w:bidi="ar-SA"/>
                <w14:ligatures w14:val="standardContextual"/>
              </w:rPr>
            </w:pPr>
            <w:r>
              <w:rPr>
                <w:rFonts w:hint="eastAsia" w:ascii="宋体" w:hAnsi="宋体"/>
                <w:szCs w:val="21"/>
              </w:rPr>
              <w:t>高级工程师</w:t>
            </w:r>
          </w:p>
        </w:tc>
        <w:tc>
          <w:tcPr>
            <w:tcW w:w="2366" w:type="dxa"/>
            <w:shd w:val="clear" w:color="auto" w:fill="auto"/>
            <w:vAlign w:val="center"/>
          </w:tcPr>
          <w:p w14:paraId="4AEE3E72">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Arial" w:cs="Arial"/>
                <w:snapToGrid w:val="0"/>
                <w:color w:val="000000"/>
                <w:kern w:val="0"/>
                <w:sz w:val="21"/>
                <w:szCs w:val="21"/>
                <w:lang w:val="en-US" w:eastAsia="zh-CN" w:bidi="ar-SA"/>
                <w14:ligatures w14:val="standardContextual"/>
              </w:rPr>
            </w:pPr>
            <w:r>
              <w:rPr>
                <w:rFonts w:hint="eastAsia" w:ascii="宋体" w:hAnsi="宋体"/>
                <w:szCs w:val="21"/>
              </w:rPr>
              <w:t>生态学</w:t>
            </w:r>
          </w:p>
        </w:tc>
        <w:tc>
          <w:tcPr>
            <w:tcW w:w="3643" w:type="dxa"/>
            <w:shd w:val="clear" w:color="auto" w:fill="auto"/>
            <w:vAlign w:val="center"/>
          </w:tcPr>
          <w:p w14:paraId="283B77CA">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Arial" w:cs="Arial"/>
                <w:snapToGrid w:val="0"/>
                <w:color w:val="000000"/>
                <w:kern w:val="0"/>
                <w:sz w:val="21"/>
                <w:szCs w:val="21"/>
                <w:lang w:val="en-US" w:eastAsia="zh-CN" w:bidi="ar-SA"/>
                <w14:ligatures w14:val="standardContextual"/>
              </w:rPr>
            </w:pPr>
            <w:r>
              <w:rPr>
                <w:rFonts w:hint="eastAsia" w:ascii="宋体" w:hAnsi="宋体"/>
                <w:szCs w:val="21"/>
              </w:rPr>
              <w:t>蒙草生态环境（集团）股份有限公司</w:t>
            </w:r>
          </w:p>
        </w:tc>
      </w:tr>
      <w:tr w14:paraId="557CE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141" w:type="dxa"/>
            <w:shd w:val="clear" w:color="auto" w:fill="auto"/>
            <w:vAlign w:val="center"/>
          </w:tcPr>
          <w:p w14:paraId="159D4895">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宋体" w:cs="宋体"/>
                <w:snapToGrid w:val="0"/>
                <w:color w:val="000000"/>
                <w:kern w:val="0"/>
                <w:sz w:val="21"/>
                <w:szCs w:val="21"/>
                <w:lang w:val="en-US" w:eastAsia="zh-CN" w:bidi="ar-SA"/>
                <w14:ligatures w14:val="standardContextual"/>
              </w:rPr>
            </w:pPr>
            <w:r>
              <w:rPr>
                <w:rFonts w:hint="eastAsia" w:ascii="宋体" w:hAnsi="宋体" w:eastAsia="宋体" w:cs="宋体"/>
                <w:snapToGrid w:val="0"/>
                <w:color w:val="000000"/>
                <w:kern w:val="0"/>
                <w:sz w:val="21"/>
                <w:szCs w:val="21"/>
                <w:lang w:val="en-US" w:eastAsia="zh-CN" w:bidi="ar-SA"/>
              </w:rPr>
              <w:t>超乐萌</w:t>
            </w:r>
          </w:p>
        </w:tc>
        <w:tc>
          <w:tcPr>
            <w:tcW w:w="1573" w:type="dxa"/>
            <w:shd w:val="clear" w:color="auto" w:fill="auto"/>
            <w:vAlign w:val="center"/>
          </w:tcPr>
          <w:p w14:paraId="09BF38D0">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Arial" w:cs="Arial"/>
                <w:snapToGrid w:val="0"/>
                <w:color w:val="000000"/>
                <w:kern w:val="0"/>
                <w:sz w:val="21"/>
                <w:szCs w:val="21"/>
                <w:lang w:val="en-US" w:eastAsia="en-US" w:bidi="ar-SA"/>
                <w14:ligatures w14:val="standardContextual"/>
              </w:rPr>
            </w:pPr>
            <w:r>
              <w:rPr>
                <w:rFonts w:hint="eastAsia" w:ascii="宋体" w:hAnsi="宋体"/>
                <w:szCs w:val="21"/>
              </w:rPr>
              <w:t>高级工程师</w:t>
            </w:r>
          </w:p>
        </w:tc>
        <w:tc>
          <w:tcPr>
            <w:tcW w:w="2366" w:type="dxa"/>
            <w:shd w:val="clear" w:color="auto" w:fill="auto"/>
            <w:vAlign w:val="center"/>
          </w:tcPr>
          <w:p w14:paraId="13E900AF">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宋体" w:cs="Arial"/>
                <w:snapToGrid w:val="0"/>
                <w:color w:val="000000"/>
                <w:kern w:val="0"/>
                <w:sz w:val="21"/>
                <w:szCs w:val="21"/>
                <w:lang w:val="en-US" w:eastAsia="zh-CN" w:bidi="ar-SA"/>
                <w14:ligatures w14:val="standardContextual"/>
              </w:rPr>
            </w:pPr>
            <w:r>
              <w:rPr>
                <w:rFonts w:hint="eastAsia" w:ascii="宋体" w:hAnsi="宋体" w:eastAsia="宋体" w:cs="Arial"/>
                <w:snapToGrid w:val="0"/>
                <w:color w:val="000000"/>
                <w:kern w:val="0"/>
                <w:sz w:val="21"/>
                <w:szCs w:val="21"/>
                <w:lang w:val="en-US" w:eastAsia="zh-CN" w:bidi="ar-SA"/>
              </w:rPr>
              <w:t>林业</w:t>
            </w:r>
          </w:p>
        </w:tc>
        <w:tc>
          <w:tcPr>
            <w:tcW w:w="3643" w:type="dxa"/>
            <w:shd w:val="clear" w:color="auto" w:fill="auto"/>
            <w:vAlign w:val="center"/>
          </w:tcPr>
          <w:p w14:paraId="6A3B24BA">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default" w:ascii="宋体" w:hAnsi="宋体" w:eastAsia="宋体" w:cs="Arial"/>
                <w:snapToGrid w:val="0"/>
                <w:color w:val="000000"/>
                <w:kern w:val="0"/>
                <w:sz w:val="21"/>
                <w:szCs w:val="21"/>
                <w:lang w:val="en-US" w:eastAsia="zh-CN" w:bidi="ar-SA"/>
                <w14:ligatures w14:val="standardContextual"/>
              </w:rPr>
            </w:pPr>
            <w:r>
              <w:rPr>
                <w:rFonts w:hint="eastAsia" w:ascii="宋体" w:hAnsi="宋体" w:eastAsia="宋体" w:cs="Arial"/>
                <w:snapToGrid w:val="0"/>
                <w:color w:val="000000"/>
                <w:kern w:val="0"/>
                <w:sz w:val="21"/>
                <w:szCs w:val="21"/>
                <w:lang w:val="en-US" w:eastAsia="zh-CN" w:bidi="ar-SA"/>
              </w:rPr>
              <w:t>内蒙古自治区林业和草原监测规划院</w:t>
            </w:r>
          </w:p>
        </w:tc>
      </w:tr>
      <w:tr w14:paraId="1CA98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141" w:type="dxa"/>
            <w:shd w:val="clear" w:color="auto" w:fill="auto"/>
            <w:vAlign w:val="center"/>
          </w:tcPr>
          <w:p w14:paraId="045F02D8">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宋体" w:cs="宋体"/>
                <w:snapToGrid w:val="0"/>
                <w:color w:val="000000"/>
                <w:kern w:val="0"/>
                <w:sz w:val="21"/>
                <w:szCs w:val="21"/>
                <w:lang w:val="en-US" w:eastAsia="zh-CN" w:bidi="ar-SA"/>
                <w14:ligatures w14:val="standardContextual"/>
              </w:rPr>
            </w:pPr>
            <w:r>
              <w:rPr>
                <w:rFonts w:hint="eastAsia" w:ascii="宋体" w:hAnsi="宋体" w:eastAsia="宋体" w:cs="宋体"/>
                <w:snapToGrid w:val="0"/>
                <w:color w:val="000000"/>
                <w:kern w:val="0"/>
                <w:sz w:val="21"/>
                <w:szCs w:val="21"/>
                <w:lang w:val="en-US" w:eastAsia="zh-CN" w:bidi="ar-SA"/>
              </w:rPr>
              <w:t>王磊</w:t>
            </w:r>
          </w:p>
        </w:tc>
        <w:tc>
          <w:tcPr>
            <w:tcW w:w="1573" w:type="dxa"/>
            <w:shd w:val="clear" w:color="auto" w:fill="auto"/>
            <w:vAlign w:val="center"/>
          </w:tcPr>
          <w:p w14:paraId="58E711AB">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ascii="宋体" w:hAnsi="宋体" w:eastAsia="Arial" w:cs="Arial"/>
                <w:snapToGrid w:val="0"/>
                <w:color w:val="000000"/>
                <w:kern w:val="0"/>
                <w:sz w:val="21"/>
                <w:szCs w:val="21"/>
                <w:lang w:val="en-US" w:eastAsia="en-US" w:bidi="ar-SA"/>
                <w14:ligatures w14:val="standardContextual"/>
              </w:rPr>
            </w:pPr>
            <w:r>
              <w:rPr>
                <w:rFonts w:hint="eastAsia" w:ascii="宋体" w:hAnsi="宋体" w:eastAsia="宋体"/>
                <w:szCs w:val="21"/>
                <w:lang w:val="en-US" w:eastAsia="zh-CN"/>
              </w:rPr>
              <w:t>中级工程师</w:t>
            </w:r>
          </w:p>
        </w:tc>
        <w:tc>
          <w:tcPr>
            <w:tcW w:w="2366" w:type="dxa"/>
            <w:shd w:val="clear" w:color="auto" w:fill="auto"/>
            <w:vAlign w:val="center"/>
          </w:tcPr>
          <w:p w14:paraId="20291C6E">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宋体" w:cs="Arial"/>
                <w:snapToGrid w:val="0"/>
                <w:color w:val="000000"/>
                <w:kern w:val="0"/>
                <w:sz w:val="21"/>
                <w:szCs w:val="21"/>
                <w:lang w:val="en-US" w:eastAsia="zh-CN" w:bidi="ar-SA"/>
                <w14:ligatures w14:val="standardContextual"/>
              </w:rPr>
            </w:pPr>
            <w:r>
              <w:rPr>
                <w:rFonts w:hint="eastAsia" w:ascii="宋体" w:hAnsi="宋体" w:eastAsia="宋体" w:cs="Arial"/>
                <w:snapToGrid w:val="0"/>
                <w:color w:val="000000"/>
                <w:kern w:val="0"/>
                <w:sz w:val="21"/>
                <w:szCs w:val="21"/>
                <w:lang w:val="en-US" w:eastAsia="zh-CN" w:bidi="ar-SA"/>
              </w:rPr>
              <w:t>农业机械</w:t>
            </w:r>
          </w:p>
        </w:tc>
        <w:tc>
          <w:tcPr>
            <w:tcW w:w="3643" w:type="dxa"/>
            <w:shd w:val="clear" w:color="auto" w:fill="auto"/>
            <w:vAlign w:val="center"/>
          </w:tcPr>
          <w:p w14:paraId="680418CA">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Arial" w:cs="宋体"/>
                <w:snapToGrid w:val="0"/>
                <w:color w:val="000000"/>
                <w:kern w:val="0"/>
                <w:sz w:val="21"/>
                <w:szCs w:val="21"/>
                <w:lang w:val="en-US" w:eastAsia="en-US" w:bidi="ar-SA"/>
                <w14:ligatures w14:val="standardContextual"/>
              </w:rPr>
            </w:pPr>
            <w:r>
              <w:rPr>
                <w:rFonts w:hint="eastAsia" w:ascii="宋体" w:hAnsi="宋体" w:cs="宋体"/>
                <w:szCs w:val="21"/>
              </w:rPr>
              <w:t>蒙草生态环境（集团）股份有限公司</w:t>
            </w:r>
          </w:p>
        </w:tc>
      </w:tr>
      <w:tr w14:paraId="4284E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141" w:type="dxa"/>
            <w:shd w:val="clear" w:color="auto" w:fill="auto"/>
            <w:vAlign w:val="center"/>
          </w:tcPr>
          <w:p w14:paraId="454CDB24">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宋体" w:cs="宋体"/>
                <w:kern w:val="2"/>
                <w:sz w:val="22"/>
                <w:szCs w:val="21"/>
                <w:lang w:val="en-US" w:eastAsia="zh-CN" w:bidi="ar-SA"/>
                <w14:ligatures w14:val="standardContextual"/>
              </w:rPr>
            </w:pPr>
            <w:r>
              <w:rPr>
                <w:rFonts w:hint="eastAsia" w:ascii="宋体" w:hAnsi="宋体" w:eastAsia="宋体" w:cs="宋体"/>
                <w:szCs w:val="21"/>
                <w:lang w:val="en-US" w:eastAsia="zh-CN"/>
              </w:rPr>
              <w:t>马雨浓</w:t>
            </w:r>
          </w:p>
        </w:tc>
        <w:tc>
          <w:tcPr>
            <w:tcW w:w="1573" w:type="dxa"/>
            <w:shd w:val="clear" w:color="auto" w:fill="auto"/>
            <w:vAlign w:val="center"/>
          </w:tcPr>
          <w:p w14:paraId="1AC13AC3">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Theme="minorEastAsia" w:cstheme="minorBidi"/>
                <w:kern w:val="2"/>
                <w:sz w:val="22"/>
                <w:szCs w:val="21"/>
                <w:lang w:val="en-US" w:eastAsia="zh-CN" w:bidi="ar-SA"/>
                <w14:ligatures w14:val="standardContextual"/>
              </w:rPr>
            </w:pPr>
            <w:r>
              <w:rPr>
                <w:rFonts w:hint="eastAsia" w:ascii="宋体" w:hAnsi="宋体" w:eastAsia="宋体"/>
                <w:szCs w:val="21"/>
                <w:lang w:val="en-US" w:eastAsia="zh-CN"/>
              </w:rPr>
              <w:t>中级工程师</w:t>
            </w:r>
          </w:p>
        </w:tc>
        <w:tc>
          <w:tcPr>
            <w:tcW w:w="2366" w:type="dxa"/>
            <w:shd w:val="clear" w:color="auto" w:fill="auto"/>
            <w:vAlign w:val="center"/>
          </w:tcPr>
          <w:p w14:paraId="62DA75BB">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宋体" w:cstheme="minorBidi"/>
                <w:kern w:val="2"/>
                <w:sz w:val="22"/>
                <w:szCs w:val="21"/>
                <w:lang w:val="en-US" w:eastAsia="zh-CN" w:bidi="ar-SA"/>
                <w14:ligatures w14:val="standardContextual"/>
              </w:rPr>
            </w:pPr>
            <w:r>
              <w:rPr>
                <w:rFonts w:hint="eastAsia" w:ascii="宋体" w:hAnsi="宋体" w:eastAsia="宋体"/>
                <w:szCs w:val="21"/>
                <w:lang w:val="en-US" w:eastAsia="zh-CN"/>
              </w:rPr>
              <w:t>林学</w:t>
            </w:r>
          </w:p>
        </w:tc>
        <w:tc>
          <w:tcPr>
            <w:tcW w:w="3643" w:type="dxa"/>
            <w:shd w:val="clear" w:color="auto" w:fill="auto"/>
            <w:vAlign w:val="center"/>
          </w:tcPr>
          <w:p w14:paraId="7CB988CC">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Arial" w:cs="Arial"/>
                <w:snapToGrid w:val="0"/>
                <w:color w:val="000000"/>
                <w:kern w:val="0"/>
                <w:sz w:val="21"/>
                <w:szCs w:val="21"/>
                <w:lang w:val="en-US" w:eastAsia="en-US" w:bidi="ar-SA"/>
                <w14:ligatures w14:val="standardContextual"/>
              </w:rPr>
            </w:pPr>
            <w:r>
              <w:rPr>
                <w:rFonts w:hint="eastAsia" w:ascii="宋体" w:hAnsi="宋体"/>
                <w:szCs w:val="21"/>
              </w:rPr>
              <w:t>蒙草生态环境（集团）股份有限公司</w:t>
            </w:r>
          </w:p>
        </w:tc>
      </w:tr>
      <w:tr w14:paraId="7B854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141" w:type="dxa"/>
            <w:shd w:val="clear" w:color="auto" w:fill="auto"/>
            <w:vAlign w:val="center"/>
          </w:tcPr>
          <w:p w14:paraId="26B8640A">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default" w:ascii="宋体" w:hAnsi="宋体" w:eastAsia="宋体" w:cs="宋体"/>
                <w:kern w:val="2"/>
                <w:sz w:val="22"/>
                <w:szCs w:val="21"/>
                <w:lang w:val="en-US" w:eastAsia="zh-CN" w:bidi="ar-SA"/>
                <w14:ligatures w14:val="standardContextual"/>
              </w:rPr>
            </w:pPr>
            <w:r>
              <w:rPr>
                <w:rFonts w:hint="eastAsia" w:ascii="宋体" w:hAnsi="宋体" w:eastAsia="宋体" w:cs="宋体"/>
                <w:szCs w:val="21"/>
                <w:lang w:val="en-US" w:eastAsia="zh-CN"/>
              </w:rPr>
              <w:t>吉雅图</w:t>
            </w:r>
          </w:p>
        </w:tc>
        <w:tc>
          <w:tcPr>
            <w:tcW w:w="1573" w:type="dxa"/>
            <w:shd w:val="clear" w:color="auto" w:fill="auto"/>
            <w:vAlign w:val="center"/>
          </w:tcPr>
          <w:p w14:paraId="50E696CC">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宋体" w:cstheme="minorBidi"/>
                <w:kern w:val="2"/>
                <w:sz w:val="22"/>
                <w:szCs w:val="21"/>
                <w:lang w:val="en-US" w:eastAsia="zh-CN" w:bidi="ar-SA"/>
                <w14:ligatures w14:val="standardContextual"/>
              </w:rPr>
            </w:pPr>
            <w:r>
              <w:rPr>
                <w:rFonts w:hint="eastAsia" w:ascii="宋体" w:hAnsi="宋体" w:eastAsia="宋体"/>
                <w:szCs w:val="21"/>
                <w:lang w:val="en-US" w:eastAsia="zh-CN"/>
              </w:rPr>
              <w:t>中级工程师</w:t>
            </w:r>
          </w:p>
        </w:tc>
        <w:tc>
          <w:tcPr>
            <w:tcW w:w="2366" w:type="dxa"/>
            <w:shd w:val="clear" w:color="auto" w:fill="auto"/>
            <w:vAlign w:val="center"/>
          </w:tcPr>
          <w:p w14:paraId="04BF7ED4">
            <w:pPr>
              <w:keepNext w:val="0"/>
              <w:keepLines w:val="0"/>
              <w:pageBreakBefore w:val="0"/>
              <w:widowControl/>
              <w:kinsoku w:val="0"/>
              <w:wordWrap/>
              <w:overflowPunct/>
              <w:topLinePunct w:val="0"/>
              <w:autoSpaceDE w:val="0"/>
              <w:autoSpaceDN w:val="0"/>
              <w:bidi w:val="0"/>
              <w:adjustRightInd w:val="0"/>
              <w:snapToGrid w:val="0"/>
              <w:spacing w:line="280" w:lineRule="exact"/>
              <w:ind w:firstLine="660" w:firstLineChars="300"/>
              <w:jc w:val="both"/>
              <w:textAlignment w:val="baseline"/>
              <w:rPr>
                <w:rFonts w:hint="default" w:ascii="宋体" w:hAnsi="宋体" w:eastAsia="宋体" w:cstheme="minorBidi"/>
                <w:kern w:val="2"/>
                <w:sz w:val="22"/>
                <w:szCs w:val="21"/>
                <w:lang w:val="en-US" w:eastAsia="zh-CN" w:bidi="ar-SA"/>
                <w14:ligatures w14:val="standardContextual"/>
              </w:rPr>
            </w:pPr>
            <w:r>
              <w:rPr>
                <w:rFonts w:hint="eastAsia" w:ascii="宋体" w:hAnsi="宋体" w:eastAsia="宋体"/>
                <w:szCs w:val="21"/>
                <w:lang w:val="en-US" w:eastAsia="zh-CN"/>
              </w:rPr>
              <w:t>经济管理</w:t>
            </w:r>
          </w:p>
        </w:tc>
        <w:tc>
          <w:tcPr>
            <w:tcW w:w="3643" w:type="dxa"/>
            <w:shd w:val="clear" w:color="auto" w:fill="auto"/>
            <w:vAlign w:val="center"/>
          </w:tcPr>
          <w:p w14:paraId="2F5DC15F">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Theme="minorEastAsia" w:cstheme="minorBidi"/>
                <w:kern w:val="2"/>
                <w:sz w:val="22"/>
                <w:szCs w:val="21"/>
                <w:lang w:val="en-US" w:eastAsia="en-US" w:bidi="ar-SA"/>
                <w14:ligatures w14:val="standardContextual"/>
              </w:rPr>
            </w:pPr>
            <w:r>
              <w:rPr>
                <w:rFonts w:hint="eastAsia" w:ascii="宋体" w:hAnsi="宋体"/>
                <w:szCs w:val="21"/>
              </w:rPr>
              <w:t>蒙草生态环境（集团）股份有限公司</w:t>
            </w:r>
          </w:p>
        </w:tc>
      </w:tr>
      <w:tr w14:paraId="37313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41" w:type="dxa"/>
            <w:shd w:val="clear" w:color="auto" w:fill="auto"/>
            <w:vAlign w:val="center"/>
          </w:tcPr>
          <w:p w14:paraId="190F6A2D">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default" w:ascii="宋体" w:hAnsi="宋体" w:eastAsia="宋体" w:cstheme="minorBidi"/>
                <w:kern w:val="2"/>
                <w:sz w:val="22"/>
                <w:szCs w:val="21"/>
                <w:lang w:val="en-US" w:eastAsia="zh-CN" w:bidi="ar-SA"/>
                <w14:ligatures w14:val="standardContextual"/>
              </w:rPr>
            </w:pPr>
            <w:r>
              <w:rPr>
                <w:rFonts w:hint="eastAsia" w:ascii="宋体" w:hAnsi="宋体" w:eastAsia="宋体"/>
                <w:szCs w:val="21"/>
                <w:lang w:val="en-US" w:eastAsia="zh-CN"/>
              </w:rPr>
              <w:t>李江</w:t>
            </w:r>
          </w:p>
        </w:tc>
        <w:tc>
          <w:tcPr>
            <w:tcW w:w="1573" w:type="dxa"/>
            <w:shd w:val="clear" w:color="auto" w:fill="auto"/>
            <w:vAlign w:val="center"/>
          </w:tcPr>
          <w:p w14:paraId="77E162B6">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default" w:ascii="宋体" w:hAnsi="宋体" w:eastAsiaTheme="minorEastAsia" w:cstheme="minorBidi"/>
                <w:kern w:val="2"/>
                <w:sz w:val="22"/>
                <w:szCs w:val="21"/>
                <w:lang w:val="en-US" w:eastAsia="zh-CN" w:bidi="ar-SA"/>
                <w14:ligatures w14:val="standardContextual"/>
              </w:rPr>
            </w:pPr>
            <w:r>
              <w:rPr>
                <w:rFonts w:hint="eastAsia" w:ascii="宋体" w:hAnsi="宋体" w:eastAsia="宋体"/>
                <w:szCs w:val="21"/>
                <w:lang w:val="en-US" w:eastAsia="zh-CN"/>
              </w:rPr>
              <w:t>中级工程师</w:t>
            </w:r>
          </w:p>
        </w:tc>
        <w:tc>
          <w:tcPr>
            <w:tcW w:w="2366" w:type="dxa"/>
            <w:shd w:val="clear" w:color="auto" w:fill="auto"/>
            <w:vAlign w:val="center"/>
          </w:tcPr>
          <w:p w14:paraId="680F12D1">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宋体" w:cstheme="minorBidi"/>
                <w:kern w:val="2"/>
                <w:sz w:val="22"/>
                <w:szCs w:val="21"/>
                <w:lang w:val="en-US" w:eastAsia="zh-CN" w:bidi="ar-SA"/>
                <w14:ligatures w14:val="standardContextual"/>
              </w:rPr>
            </w:pPr>
            <w:r>
              <w:rPr>
                <w:rFonts w:hint="eastAsia" w:ascii="宋体" w:hAnsi="宋体" w:eastAsia="宋体"/>
                <w:szCs w:val="21"/>
                <w:lang w:val="en-US" w:eastAsia="zh-CN"/>
              </w:rPr>
              <w:t>农学</w:t>
            </w:r>
          </w:p>
        </w:tc>
        <w:tc>
          <w:tcPr>
            <w:tcW w:w="3643" w:type="dxa"/>
            <w:shd w:val="clear" w:color="auto" w:fill="auto"/>
            <w:vAlign w:val="center"/>
          </w:tcPr>
          <w:p w14:paraId="7B40AAC4">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Arial" w:cs="Arial"/>
                <w:snapToGrid w:val="0"/>
                <w:color w:val="000000"/>
                <w:kern w:val="0"/>
                <w:sz w:val="21"/>
                <w:szCs w:val="21"/>
                <w:lang w:val="en-US" w:eastAsia="en-US" w:bidi="ar-SA"/>
                <w14:ligatures w14:val="standardContextual"/>
              </w:rPr>
            </w:pPr>
            <w:r>
              <w:rPr>
                <w:rFonts w:hint="eastAsia" w:ascii="宋体" w:hAnsi="宋体"/>
                <w:szCs w:val="21"/>
              </w:rPr>
              <w:t>蒙草生态环境（集团）股份有限公司</w:t>
            </w:r>
          </w:p>
        </w:tc>
      </w:tr>
      <w:tr w14:paraId="52F63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141" w:type="dxa"/>
            <w:shd w:val="clear" w:color="auto" w:fill="auto"/>
            <w:vAlign w:val="center"/>
          </w:tcPr>
          <w:p w14:paraId="53FD3B8B">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default" w:ascii="宋体" w:hAnsi="宋体" w:eastAsia="宋体" w:cs="宋体"/>
                <w:snapToGrid w:val="0"/>
                <w:color w:val="000000"/>
                <w:kern w:val="0"/>
                <w:sz w:val="21"/>
                <w:szCs w:val="21"/>
                <w:lang w:val="en-US" w:eastAsia="zh-CN" w:bidi="ar-SA"/>
                <w14:ligatures w14:val="standardContextual"/>
              </w:rPr>
            </w:pPr>
            <w:r>
              <w:rPr>
                <w:rFonts w:hint="eastAsia" w:ascii="宋体" w:hAnsi="宋体" w:cs="宋体"/>
                <w:szCs w:val="21"/>
              </w:rPr>
              <w:t>张</w:t>
            </w:r>
            <w:r>
              <w:rPr>
                <w:rFonts w:hint="eastAsia" w:ascii="宋体" w:hAnsi="宋体" w:eastAsia="宋体" w:cs="宋体"/>
                <w:szCs w:val="21"/>
                <w:lang w:val="en-US" w:eastAsia="zh-CN"/>
              </w:rPr>
              <w:t>全民</w:t>
            </w:r>
          </w:p>
        </w:tc>
        <w:tc>
          <w:tcPr>
            <w:tcW w:w="1573" w:type="dxa"/>
            <w:shd w:val="clear" w:color="auto" w:fill="auto"/>
            <w:vAlign w:val="center"/>
          </w:tcPr>
          <w:p w14:paraId="3533EF34">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default" w:ascii="宋体" w:hAnsi="宋体" w:eastAsia="Arial" w:cs="Arial"/>
                <w:snapToGrid w:val="0"/>
                <w:color w:val="000000"/>
                <w:kern w:val="0"/>
                <w:sz w:val="21"/>
                <w:szCs w:val="21"/>
                <w:lang w:val="en-US" w:eastAsia="zh-CN" w:bidi="ar-SA"/>
                <w14:ligatures w14:val="standardContextual"/>
              </w:rPr>
            </w:pPr>
            <w:r>
              <w:rPr>
                <w:rFonts w:hint="eastAsia" w:ascii="宋体" w:hAnsi="宋体"/>
                <w:szCs w:val="21"/>
              </w:rPr>
              <w:t>中级工程师</w:t>
            </w:r>
          </w:p>
        </w:tc>
        <w:tc>
          <w:tcPr>
            <w:tcW w:w="2366" w:type="dxa"/>
            <w:shd w:val="clear" w:color="auto" w:fill="auto"/>
            <w:vAlign w:val="center"/>
          </w:tcPr>
          <w:p w14:paraId="12BC1542">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Arial" w:cs="Arial"/>
                <w:snapToGrid w:val="0"/>
                <w:color w:val="000000"/>
                <w:kern w:val="0"/>
                <w:sz w:val="21"/>
                <w:szCs w:val="21"/>
                <w:lang w:val="en-US" w:eastAsia="en-US" w:bidi="ar-SA"/>
                <w14:ligatures w14:val="standardContextual"/>
              </w:rPr>
            </w:pPr>
            <w:r>
              <w:rPr>
                <w:rFonts w:hint="eastAsia" w:ascii="宋体" w:hAnsi="宋体"/>
                <w:szCs w:val="21"/>
              </w:rPr>
              <w:t>生态学</w:t>
            </w:r>
          </w:p>
        </w:tc>
        <w:tc>
          <w:tcPr>
            <w:tcW w:w="3643" w:type="dxa"/>
            <w:shd w:val="clear" w:color="auto" w:fill="auto"/>
            <w:vAlign w:val="center"/>
          </w:tcPr>
          <w:p w14:paraId="67EE5F8C">
            <w:pPr>
              <w:keepNext w:val="0"/>
              <w:keepLines w:val="0"/>
              <w:pageBreakBefore w:val="0"/>
              <w:widowControl/>
              <w:kinsoku w:val="0"/>
              <w:wordWrap/>
              <w:overflowPunct/>
              <w:topLinePunct w:val="0"/>
              <w:autoSpaceDE w:val="0"/>
              <w:autoSpaceDN w:val="0"/>
              <w:bidi w:val="0"/>
              <w:adjustRightInd w:val="0"/>
              <w:snapToGrid w:val="0"/>
              <w:spacing w:line="280" w:lineRule="exact"/>
              <w:jc w:val="left"/>
              <w:textAlignment w:val="baseline"/>
              <w:rPr>
                <w:rFonts w:hint="eastAsia" w:ascii="宋体" w:hAnsi="宋体" w:eastAsia="Arial" w:cs="Arial"/>
                <w:snapToGrid w:val="0"/>
                <w:color w:val="000000"/>
                <w:kern w:val="0"/>
                <w:sz w:val="21"/>
                <w:szCs w:val="21"/>
                <w:lang w:val="en-US" w:eastAsia="en-US" w:bidi="ar-SA"/>
                <w14:ligatures w14:val="standardContextual"/>
              </w:rPr>
            </w:pPr>
            <w:r>
              <w:rPr>
                <w:rFonts w:hint="eastAsia" w:ascii="宋体" w:hAnsi="宋体"/>
                <w:szCs w:val="21"/>
                <w:lang w:val="en-US" w:eastAsia="zh-CN"/>
              </w:rPr>
              <w:t>内蒙古蒙草贺斯格乌拉草牧业科技服务有限公司</w:t>
            </w:r>
          </w:p>
        </w:tc>
      </w:tr>
      <w:tr w14:paraId="567FE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141" w:type="dxa"/>
            <w:shd w:val="clear" w:color="auto" w:fill="auto"/>
            <w:vAlign w:val="center"/>
          </w:tcPr>
          <w:p w14:paraId="48757F67">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default" w:ascii="宋体" w:hAnsi="宋体" w:eastAsia="宋体" w:cs="Arial"/>
                <w:snapToGrid w:val="0"/>
                <w:color w:val="000000"/>
                <w:kern w:val="0"/>
                <w:sz w:val="21"/>
                <w:szCs w:val="21"/>
                <w:lang w:val="en-US" w:eastAsia="zh-CN" w:bidi="ar-SA"/>
                <w14:ligatures w14:val="standardContextual"/>
              </w:rPr>
            </w:pPr>
            <w:r>
              <w:rPr>
                <w:rFonts w:hint="eastAsia" w:ascii="宋体" w:hAnsi="宋体" w:eastAsia="宋体" w:cs="Arial"/>
                <w:snapToGrid w:val="0"/>
                <w:color w:val="000000"/>
                <w:kern w:val="0"/>
                <w:sz w:val="21"/>
                <w:szCs w:val="21"/>
                <w:lang w:val="en-US" w:eastAsia="zh-CN" w:bidi="ar-SA"/>
              </w:rPr>
              <w:t>谢海桃</w:t>
            </w:r>
          </w:p>
        </w:tc>
        <w:tc>
          <w:tcPr>
            <w:tcW w:w="1573" w:type="dxa"/>
            <w:shd w:val="clear" w:color="auto" w:fill="auto"/>
            <w:vAlign w:val="center"/>
          </w:tcPr>
          <w:p w14:paraId="6EF94308">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default" w:ascii="宋体" w:hAnsi="宋体" w:eastAsia="Arial" w:cs="Arial"/>
                <w:snapToGrid w:val="0"/>
                <w:color w:val="000000"/>
                <w:kern w:val="0"/>
                <w:sz w:val="21"/>
                <w:szCs w:val="21"/>
                <w:lang w:val="en-US" w:eastAsia="en-US" w:bidi="ar-SA"/>
                <w14:ligatures w14:val="standardContextual"/>
              </w:rPr>
            </w:pPr>
            <w:r>
              <w:rPr>
                <w:rFonts w:hint="eastAsia" w:ascii="宋体" w:hAnsi="宋体"/>
                <w:szCs w:val="21"/>
              </w:rPr>
              <w:t>助理工程师</w:t>
            </w:r>
          </w:p>
        </w:tc>
        <w:tc>
          <w:tcPr>
            <w:tcW w:w="2366" w:type="dxa"/>
            <w:shd w:val="clear" w:color="auto" w:fill="auto"/>
            <w:vAlign w:val="center"/>
          </w:tcPr>
          <w:p w14:paraId="3151CD4D">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Arial" w:cs="Arial"/>
                <w:snapToGrid w:val="0"/>
                <w:color w:val="000000"/>
                <w:kern w:val="0"/>
                <w:sz w:val="21"/>
                <w:szCs w:val="21"/>
                <w:lang w:val="en-US" w:eastAsia="zh-CN" w:bidi="ar-SA"/>
                <w14:ligatures w14:val="standardContextual"/>
              </w:rPr>
            </w:pPr>
            <w:r>
              <w:rPr>
                <w:rFonts w:hint="eastAsia" w:ascii="宋体" w:hAnsi="宋体"/>
                <w:szCs w:val="21"/>
              </w:rPr>
              <w:t>生态学</w:t>
            </w:r>
          </w:p>
        </w:tc>
        <w:tc>
          <w:tcPr>
            <w:tcW w:w="3643" w:type="dxa"/>
            <w:shd w:val="clear" w:color="auto" w:fill="auto"/>
            <w:vAlign w:val="center"/>
          </w:tcPr>
          <w:p w14:paraId="441B2DBA">
            <w:pPr>
              <w:keepNext w:val="0"/>
              <w:keepLines w:val="0"/>
              <w:pageBreakBefore w:val="0"/>
              <w:widowControl/>
              <w:kinsoku w:val="0"/>
              <w:wordWrap/>
              <w:overflowPunct/>
              <w:topLinePunct w:val="0"/>
              <w:autoSpaceDE w:val="0"/>
              <w:autoSpaceDN w:val="0"/>
              <w:bidi w:val="0"/>
              <w:adjustRightInd w:val="0"/>
              <w:snapToGrid w:val="0"/>
              <w:spacing w:line="280" w:lineRule="exact"/>
              <w:jc w:val="left"/>
              <w:textAlignment w:val="baseline"/>
              <w:rPr>
                <w:rFonts w:hint="eastAsia" w:ascii="宋体" w:hAnsi="宋体" w:eastAsia="Arial" w:cs="Arial"/>
                <w:snapToGrid w:val="0"/>
                <w:color w:val="000000"/>
                <w:kern w:val="0"/>
                <w:sz w:val="21"/>
                <w:szCs w:val="21"/>
                <w:lang w:val="en-US" w:eastAsia="en-US" w:bidi="ar-SA"/>
                <w14:ligatures w14:val="standardContextual"/>
              </w:rPr>
            </w:pPr>
            <w:r>
              <w:rPr>
                <w:rFonts w:hint="eastAsia" w:ascii="宋体" w:hAnsi="宋体"/>
                <w:szCs w:val="21"/>
              </w:rPr>
              <w:t>蒙草生态环境（集团）股份有限公司</w:t>
            </w:r>
          </w:p>
        </w:tc>
      </w:tr>
      <w:tr w14:paraId="144C9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41" w:type="dxa"/>
            <w:shd w:val="clear" w:color="auto" w:fill="auto"/>
            <w:vAlign w:val="center"/>
          </w:tcPr>
          <w:p w14:paraId="5BAC1AD0">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宋体" w:cs="Arial"/>
                <w:snapToGrid w:val="0"/>
                <w:color w:val="000000"/>
                <w:kern w:val="0"/>
                <w:sz w:val="21"/>
                <w:szCs w:val="21"/>
                <w:lang w:val="en-US" w:eastAsia="zh-CN" w:bidi="ar-SA"/>
                <w14:ligatures w14:val="standardContextual"/>
              </w:rPr>
            </w:pPr>
            <w:r>
              <w:rPr>
                <w:rFonts w:hint="eastAsia" w:ascii="宋体" w:hAnsi="宋体" w:eastAsia="宋体"/>
                <w:szCs w:val="21"/>
                <w:lang w:val="en-US" w:eastAsia="zh-CN"/>
              </w:rPr>
              <w:t>金净</w:t>
            </w:r>
          </w:p>
        </w:tc>
        <w:tc>
          <w:tcPr>
            <w:tcW w:w="1573" w:type="dxa"/>
            <w:shd w:val="clear" w:color="auto" w:fill="auto"/>
            <w:vAlign w:val="center"/>
          </w:tcPr>
          <w:p w14:paraId="0A312C17">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default" w:ascii="宋体" w:hAnsi="宋体" w:eastAsia="宋体" w:cs="Arial"/>
                <w:snapToGrid w:val="0"/>
                <w:color w:val="000000"/>
                <w:kern w:val="0"/>
                <w:sz w:val="21"/>
                <w:szCs w:val="21"/>
                <w:lang w:val="en-US" w:eastAsia="en-US" w:bidi="ar-SA"/>
                <w14:ligatures w14:val="standardContextual"/>
              </w:rPr>
            </w:pPr>
            <w:r>
              <w:rPr>
                <w:rFonts w:hint="eastAsia" w:ascii="宋体" w:hAnsi="宋体" w:eastAsia="宋体"/>
                <w:szCs w:val="21"/>
                <w:lang w:val="en-US" w:eastAsia="zh-CN"/>
              </w:rPr>
              <w:t>中级工程师</w:t>
            </w:r>
          </w:p>
        </w:tc>
        <w:tc>
          <w:tcPr>
            <w:tcW w:w="2366" w:type="dxa"/>
            <w:shd w:val="clear" w:color="auto" w:fill="auto"/>
            <w:vAlign w:val="center"/>
          </w:tcPr>
          <w:p w14:paraId="43EBEEA2">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Arial" w:cs="Arial"/>
                <w:snapToGrid w:val="0"/>
                <w:color w:val="000000"/>
                <w:kern w:val="0"/>
                <w:sz w:val="21"/>
                <w:szCs w:val="21"/>
                <w:lang w:val="en-US" w:eastAsia="zh-CN" w:bidi="ar-SA"/>
                <w14:ligatures w14:val="standardContextual"/>
              </w:rPr>
            </w:pPr>
            <w:r>
              <w:rPr>
                <w:rFonts w:hint="eastAsia" w:ascii="宋体" w:hAnsi="宋体" w:cs="宋体"/>
                <w:szCs w:val="21"/>
              </w:rPr>
              <w:t>草业科学</w:t>
            </w:r>
          </w:p>
        </w:tc>
        <w:tc>
          <w:tcPr>
            <w:tcW w:w="3643" w:type="dxa"/>
            <w:shd w:val="clear" w:color="auto" w:fill="auto"/>
            <w:vAlign w:val="center"/>
          </w:tcPr>
          <w:p w14:paraId="670C2EBA">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Arial" w:cs="Arial"/>
                <w:snapToGrid w:val="0"/>
                <w:color w:val="000000"/>
                <w:kern w:val="0"/>
                <w:sz w:val="21"/>
                <w:szCs w:val="21"/>
                <w:lang w:val="en-US" w:eastAsia="en-US" w:bidi="ar-SA"/>
                <w14:ligatures w14:val="standardContextual"/>
              </w:rPr>
            </w:pPr>
            <w:r>
              <w:rPr>
                <w:rFonts w:hint="eastAsia" w:ascii="宋体" w:hAnsi="宋体"/>
                <w:szCs w:val="21"/>
              </w:rPr>
              <w:t>蒙草生态环境（集团）股份有限公司</w:t>
            </w:r>
          </w:p>
        </w:tc>
      </w:tr>
      <w:tr w14:paraId="38490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141" w:type="dxa"/>
            <w:shd w:val="clear" w:color="auto" w:fill="auto"/>
            <w:vAlign w:val="center"/>
          </w:tcPr>
          <w:p w14:paraId="5D5236F9">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default" w:ascii="宋体" w:hAnsi="宋体" w:eastAsia="宋体" w:cs="Arial"/>
                <w:snapToGrid w:val="0"/>
                <w:color w:val="000000"/>
                <w:kern w:val="0"/>
                <w:sz w:val="21"/>
                <w:szCs w:val="21"/>
                <w:lang w:val="en-US" w:eastAsia="zh-CN" w:bidi="ar-SA"/>
                <w14:ligatures w14:val="standardContextual"/>
              </w:rPr>
            </w:pPr>
            <w:r>
              <w:rPr>
                <w:rFonts w:hint="eastAsia" w:ascii="宋体" w:hAnsi="宋体" w:eastAsia="宋体" w:cs="Arial"/>
                <w:snapToGrid w:val="0"/>
                <w:color w:val="000000"/>
                <w:kern w:val="0"/>
                <w:sz w:val="21"/>
                <w:szCs w:val="21"/>
                <w:lang w:val="en-US" w:eastAsia="zh-CN" w:bidi="ar-SA"/>
                <w14:ligatures w14:val="standardContextual"/>
              </w:rPr>
              <w:t>魏荣博</w:t>
            </w:r>
          </w:p>
        </w:tc>
        <w:tc>
          <w:tcPr>
            <w:tcW w:w="1573" w:type="dxa"/>
            <w:shd w:val="clear" w:color="auto" w:fill="auto"/>
            <w:vAlign w:val="center"/>
          </w:tcPr>
          <w:p w14:paraId="61FCF18C">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default" w:ascii="宋体" w:hAnsi="宋体" w:eastAsia="Arial" w:cs="Arial"/>
                <w:snapToGrid w:val="0"/>
                <w:color w:val="000000"/>
                <w:kern w:val="0"/>
                <w:sz w:val="21"/>
                <w:szCs w:val="21"/>
                <w:lang w:val="en-US" w:eastAsia="en-US" w:bidi="ar-SA"/>
                <w14:ligatures w14:val="standardContextual"/>
              </w:rPr>
            </w:pPr>
            <w:r>
              <w:rPr>
                <w:rFonts w:hint="eastAsia" w:ascii="宋体" w:hAnsi="宋体"/>
                <w:szCs w:val="21"/>
              </w:rPr>
              <w:t>助理工程师</w:t>
            </w:r>
          </w:p>
        </w:tc>
        <w:tc>
          <w:tcPr>
            <w:tcW w:w="2366" w:type="dxa"/>
            <w:shd w:val="clear" w:color="auto" w:fill="auto"/>
            <w:vAlign w:val="center"/>
          </w:tcPr>
          <w:p w14:paraId="2FDFAE67">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default" w:ascii="宋体" w:hAnsi="宋体" w:eastAsia="宋体" w:cs="Arial"/>
                <w:snapToGrid w:val="0"/>
                <w:color w:val="000000"/>
                <w:kern w:val="0"/>
                <w:sz w:val="21"/>
                <w:szCs w:val="21"/>
                <w:lang w:val="en-US" w:eastAsia="zh-CN" w:bidi="ar-SA"/>
                <w14:ligatures w14:val="standardContextual"/>
              </w:rPr>
            </w:pPr>
            <w:r>
              <w:rPr>
                <w:rFonts w:hint="eastAsia" w:ascii="宋体" w:hAnsi="宋体" w:eastAsia="宋体"/>
                <w:szCs w:val="21"/>
                <w:lang w:val="en-US" w:eastAsia="zh-CN"/>
              </w:rPr>
              <w:t>水土保持</w:t>
            </w:r>
          </w:p>
        </w:tc>
        <w:tc>
          <w:tcPr>
            <w:tcW w:w="3643" w:type="dxa"/>
            <w:shd w:val="clear" w:color="auto" w:fill="auto"/>
            <w:vAlign w:val="center"/>
          </w:tcPr>
          <w:p w14:paraId="724A2097">
            <w:pPr>
              <w:keepNext w:val="0"/>
              <w:keepLines w:val="0"/>
              <w:pageBreakBefore w:val="0"/>
              <w:widowControl/>
              <w:kinsoku w:val="0"/>
              <w:wordWrap/>
              <w:overflowPunct/>
              <w:topLinePunct w:val="0"/>
              <w:autoSpaceDE w:val="0"/>
              <w:autoSpaceDN w:val="0"/>
              <w:bidi w:val="0"/>
              <w:adjustRightInd w:val="0"/>
              <w:snapToGrid w:val="0"/>
              <w:spacing w:line="280" w:lineRule="exact"/>
              <w:jc w:val="left"/>
              <w:textAlignment w:val="baseline"/>
              <w:rPr>
                <w:rFonts w:hint="eastAsia" w:ascii="宋体" w:hAnsi="宋体" w:eastAsia="Arial" w:cs="Arial"/>
                <w:snapToGrid w:val="0"/>
                <w:color w:val="000000"/>
                <w:kern w:val="0"/>
                <w:sz w:val="21"/>
                <w:szCs w:val="21"/>
                <w:lang w:val="en-US" w:eastAsia="en-US" w:bidi="ar-SA"/>
                <w14:ligatures w14:val="standardContextual"/>
              </w:rPr>
            </w:pPr>
            <w:r>
              <w:rPr>
                <w:rFonts w:hint="eastAsia" w:ascii="宋体" w:hAnsi="宋体"/>
                <w:szCs w:val="21"/>
              </w:rPr>
              <w:t>蒙草生态环境（集团）股份有限公司</w:t>
            </w:r>
          </w:p>
        </w:tc>
      </w:tr>
      <w:tr w14:paraId="50DFA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141" w:type="dxa"/>
            <w:shd w:val="clear" w:color="auto" w:fill="auto"/>
            <w:vAlign w:val="center"/>
          </w:tcPr>
          <w:p w14:paraId="46136B84">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宋体" w:cs="Arial"/>
                <w:snapToGrid w:val="0"/>
                <w:color w:val="000000"/>
                <w:kern w:val="0"/>
                <w:sz w:val="21"/>
                <w:szCs w:val="21"/>
                <w:lang w:val="en-US" w:eastAsia="zh-CN" w:bidi="ar-SA"/>
                <w14:ligatures w14:val="standardContextual"/>
              </w:rPr>
            </w:pPr>
            <w:r>
              <w:rPr>
                <w:rFonts w:hint="eastAsia" w:ascii="宋体" w:hAnsi="宋体" w:eastAsia="宋体" w:cs="Arial"/>
                <w:snapToGrid w:val="0"/>
                <w:color w:val="000000"/>
                <w:kern w:val="0"/>
                <w:sz w:val="21"/>
                <w:szCs w:val="21"/>
                <w:lang w:val="en-US" w:eastAsia="zh-CN" w:bidi="ar-SA"/>
              </w:rPr>
              <w:t>赵冬莲</w:t>
            </w:r>
          </w:p>
        </w:tc>
        <w:tc>
          <w:tcPr>
            <w:tcW w:w="1573" w:type="dxa"/>
            <w:shd w:val="clear" w:color="auto" w:fill="auto"/>
            <w:vAlign w:val="center"/>
          </w:tcPr>
          <w:p w14:paraId="6B7FB233">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宋体" w:cs="Arial"/>
                <w:snapToGrid w:val="0"/>
                <w:color w:val="000000"/>
                <w:kern w:val="0"/>
                <w:sz w:val="21"/>
                <w:szCs w:val="21"/>
                <w:lang w:val="en-US" w:eastAsia="zh-CN" w:bidi="ar-SA"/>
                <w14:ligatures w14:val="standardContextual"/>
              </w:rPr>
            </w:pPr>
            <w:r>
              <w:rPr>
                <w:rFonts w:hint="eastAsia" w:ascii="宋体" w:hAnsi="宋体" w:eastAsia="宋体"/>
                <w:szCs w:val="21"/>
                <w:lang w:val="en-US" w:eastAsia="zh-CN"/>
              </w:rPr>
              <w:t>中级工程师</w:t>
            </w:r>
          </w:p>
        </w:tc>
        <w:tc>
          <w:tcPr>
            <w:tcW w:w="2366" w:type="dxa"/>
            <w:shd w:val="clear" w:color="auto" w:fill="auto"/>
            <w:vAlign w:val="center"/>
          </w:tcPr>
          <w:p w14:paraId="54213364">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宋体" w:cs="Arial"/>
                <w:snapToGrid w:val="0"/>
                <w:color w:val="000000"/>
                <w:kern w:val="0"/>
                <w:sz w:val="21"/>
                <w:szCs w:val="21"/>
                <w:lang w:val="en-US" w:eastAsia="zh-CN" w:bidi="ar-SA"/>
                <w14:ligatures w14:val="standardContextual"/>
              </w:rPr>
            </w:pPr>
            <w:r>
              <w:rPr>
                <w:rFonts w:hint="eastAsia" w:ascii="宋体" w:hAnsi="宋体" w:eastAsia="宋体" w:cs="Arial"/>
                <w:snapToGrid w:val="0"/>
                <w:color w:val="000000"/>
                <w:kern w:val="0"/>
                <w:sz w:val="21"/>
                <w:szCs w:val="21"/>
                <w:lang w:val="en-US" w:eastAsia="zh-CN" w:bidi="ar-SA"/>
              </w:rPr>
              <w:t>园林</w:t>
            </w:r>
          </w:p>
        </w:tc>
        <w:tc>
          <w:tcPr>
            <w:tcW w:w="3643" w:type="dxa"/>
            <w:shd w:val="clear" w:color="auto" w:fill="auto"/>
            <w:vAlign w:val="center"/>
          </w:tcPr>
          <w:tbl>
            <w:tblPr>
              <w:tblStyle w:val="6"/>
              <w:tblW w:w="87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3"/>
            </w:tblGrid>
            <w:tr w14:paraId="61B81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9" w:hRule="atLeast"/>
                <w:jc w:val="center"/>
              </w:trPr>
              <w:tc>
                <w:tcPr>
                  <w:tcW w:w="3643" w:type="dxa"/>
                  <w:shd w:val="clear" w:color="auto" w:fill="auto"/>
                  <w:vAlign w:val="center"/>
                </w:tcPr>
                <w:p w14:paraId="418D3619">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Arial" w:cs="Arial"/>
                      <w:snapToGrid w:val="0"/>
                      <w:color w:val="000000"/>
                      <w:kern w:val="0"/>
                      <w:sz w:val="21"/>
                      <w:szCs w:val="21"/>
                      <w:lang w:val="en-US" w:eastAsia="en-US" w:bidi="ar-SA"/>
                      <w14:ligatures w14:val="standardContextual"/>
                    </w:rPr>
                  </w:pPr>
                  <w:r>
                    <w:rPr>
                      <w:rFonts w:hint="eastAsia" w:ascii="宋体" w:hAnsi="宋体"/>
                      <w:szCs w:val="21"/>
                    </w:rPr>
                    <w:t>蒙草生态环境（集团）股份有限公司</w:t>
                  </w:r>
                </w:p>
              </w:tc>
            </w:tr>
          </w:tbl>
          <w:p w14:paraId="0D5DAFCE">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Arial" w:cs="Arial"/>
                <w:snapToGrid w:val="0"/>
                <w:color w:val="000000"/>
                <w:kern w:val="0"/>
                <w:sz w:val="21"/>
                <w:szCs w:val="21"/>
                <w:lang w:val="en-US" w:eastAsia="en-US" w:bidi="ar-SA"/>
                <w14:ligatures w14:val="standardContextual"/>
              </w:rPr>
            </w:pPr>
          </w:p>
        </w:tc>
      </w:tr>
      <w:tr w14:paraId="1FDFD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41" w:type="dxa"/>
            <w:shd w:val="clear" w:color="auto" w:fill="auto"/>
            <w:vAlign w:val="center"/>
          </w:tcPr>
          <w:p w14:paraId="53F3F0BC">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宋体" w:cs="Arial"/>
                <w:snapToGrid w:val="0"/>
                <w:color w:val="000000"/>
                <w:kern w:val="0"/>
                <w:sz w:val="21"/>
                <w:szCs w:val="21"/>
                <w:lang w:val="en-US" w:eastAsia="zh-CN" w:bidi="ar-SA"/>
                <w14:ligatures w14:val="standardContextual"/>
              </w:rPr>
            </w:pPr>
            <w:r>
              <w:rPr>
                <w:rFonts w:hint="eastAsia" w:ascii="宋体" w:hAnsi="宋体" w:eastAsia="宋体"/>
                <w:szCs w:val="21"/>
                <w:lang w:val="en-US" w:eastAsia="zh-CN"/>
              </w:rPr>
              <w:t>张瑞林</w:t>
            </w:r>
          </w:p>
        </w:tc>
        <w:tc>
          <w:tcPr>
            <w:tcW w:w="1573" w:type="dxa"/>
            <w:shd w:val="clear" w:color="auto" w:fill="auto"/>
            <w:vAlign w:val="center"/>
          </w:tcPr>
          <w:p w14:paraId="4AC49242">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Arial" w:cs="Arial"/>
                <w:snapToGrid w:val="0"/>
                <w:color w:val="000000"/>
                <w:kern w:val="0"/>
                <w:sz w:val="21"/>
                <w:szCs w:val="21"/>
                <w:lang w:val="en-US" w:eastAsia="zh-CN" w:bidi="ar-SA"/>
                <w14:ligatures w14:val="standardContextual"/>
              </w:rPr>
            </w:pPr>
            <w:r>
              <w:rPr>
                <w:rFonts w:hint="eastAsia" w:ascii="宋体" w:hAnsi="宋体"/>
                <w:szCs w:val="21"/>
              </w:rPr>
              <w:t>高级工程师</w:t>
            </w:r>
          </w:p>
        </w:tc>
        <w:tc>
          <w:tcPr>
            <w:tcW w:w="2366" w:type="dxa"/>
            <w:shd w:val="clear" w:color="auto" w:fill="auto"/>
            <w:vAlign w:val="center"/>
          </w:tcPr>
          <w:p w14:paraId="6021A7EA">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Arial" w:cs="Arial"/>
                <w:snapToGrid w:val="0"/>
                <w:color w:val="000000"/>
                <w:kern w:val="0"/>
                <w:sz w:val="21"/>
                <w:szCs w:val="21"/>
                <w:lang w:val="en-US" w:eastAsia="zh-CN" w:bidi="ar-SA"/>
                <w14:ligatures w14:val="standardContextual"/>
              </w:rPr>
            </w:pPr>
            <w:r>
              <w:rPr>
                <w:rFonts w:hint="eastAsia" w:ascii="宋体" w:hAnsi="宋体" w:cs="宋体"/>
                <w:szCs w:val="21"/>
              </w:rPr>
              <w:t>草业科学</w:t>
            </w:r>
          </w:p>
        </w:tc>
        <w:tc>
          <w:tcPr>
            <w:tcW w:w="3643" w:type="dxa"/>
            <w:shd w:val="clear" w:color="auto" w:fill="auto"/>
            <w:vAlign w:val="center"/>
          </w:tcPr>
          <w:p w14:paraId="6633DD4D">
            <w:pPr>
              <w:keepNext w:val="0"/>
              <w:keepLines w:val="0"/>
              <w:pageBreakBefore w:val="0"/>
              <w:widowControl/>
              <w:kinsoku w:val="0"/>
              <w:wordWrap/>
              <w:overflowPunct/>
              <w:topLinePunct w:val="0"/>
              <w:autoSpaceDE w:val="0"/>
              <w:autoSpaceDN w:val="0"/>
              <w:bidi w:val="0"/>
              <w:adjustRightInd w:val="0"/>
              <w:snapToGrid w:val="0"/>
              <w:spacing w:line="280" w:lineRule="exact"/>
              <w:jc w:val="left"/>
              <w:textAlignment w:val="baseline"/>
              <w:rPr>
                <w:rFonts w:hint="eastAsia" w:ascii="宋体" w:hAnsi="宋体" w:eastAsia="Arial" w:cs="Arial"/>
                <w:snapToGrid w:val="0"/>
                <w:color w:val="000000"/>
                <w:kern w:val="0"/>
                <w:sz w:val="21"/>
                <w:szCs w:val="21"/>
                <w:lang w:val="en-US" w:eastAsia="en-US" w:bidi="ar-SA"/>
                <w14:ligatures w14:val="standardContextual"/>
              </w:rPr>
            </w:pPr>
            <w:r>
              <w:rPr>
                <w:rFonts w:hint="eastAsia" w:ascii="宋体" w:hAnsi="宋体"/>
                <w:szCs w:val="21"/>
                <w:lang w:val="en-US" w:eastAsia="en-US"/>
              </w:rPr>
              <w:t>通辽市蒙草沙地治理与林草牧业发展研究院有限公司</w:t>
            </w:r>
            <w:r>
              <w:rPr>
                <w:rFonts w:hint="eastAsia" w:ascii="宋体" w:hAnsi="宋体"/>
                <w:szCs w:val="21"/>
                <w:lang w:val="en-US" w:eastAsia="zh-CN"/>
              </w:rPr>
              <w:t>。</w:t>
            </w:r>
          </w:p>
        </w:tc>
      </w:tr>
      <w:tr w14:paraId="35729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41" w:type="dxa"/>
            <w:shd w:val="clear" w:color="auto" w:fill="auto"/>
            <w:vAlign w:val="center"/>
          </w:tcPr>
          <w:p w14:paraId="08835EA7">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default" w:ascii="宋体" w:hAnsi="宋体" w:eastAsia="宋体" w:cs="Arial"/>
                <w:snapToGrid w:val="0"/>
                <w:color w:val="000000"/>
                <w:kern w:val="0"/>
                <w:sz w:val="21"/>
                <w:szCs w:val="21"/>
                <w:lang w:val="en-US" w:eastAsia="zh-CN" w:bidi="ar-SA"/>
                <w14:ligatures w14:val="standardContextual"/>
              </w:rPr>
            </w:pPr>
            <w:r>
              <w:rPr>
                <w:rFonts w:hint="eastAsia" w:ascii="宋体" w:hAnsi="宋体" w:eastAsia="宋体"/>
                <w:szCs w:val="21"/>
                <w:lang w:val="en-US" w:eastAsia="zh-CN"/>
              </w:rPr>
              <w:t>林华</w:t>
            </w:r>
          </w:p>
        </w:tc>
        <w:tc>
          <w:tcPr>
            <w:tcW w:w="1573" w:type="dxa"/>
            <w:shd w:val="clear" w:color="auto" w:fill="auto"/>
            <w:vAlign w:val="center"/>
          </w:tcPr>
          <w:p w14:paraId="3F4BA19F">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宋体" w:cs="Arial"/>
                <w:snapToGrid w:val="0"/>
                <w:color w:val="000000"/>
                <w:kern w:val="0"/>
                <w:sz w:val="21"/>
                <w:szCs w:val="21"/>
                <w:lang w:val="en-US" w:eastAsia="en-US" w:bidi="ar-SA"/>
                <w14:ligatures w14:val="standardContextual"/>
              </w:rPr>
            </w:pPr>
            <w:r>
              <w:rPr>
                <w:rFonts w:hint="eastAsia" w:ascii="宋体" w:hAnsi="宋体" w:eastAsia="宋体"/>
                <w:szCs w:val="21"/>
                <w:lang w:val="en-US" w:eastAsia="zh-CN"/>
              </w:rPr>
              <w:t>高级工程师</w:t>
            </w:r>
          </w:p>
        </w:tc>
        <w:tc>
          <w:tcPr>
            <w:tcW w:w="2366" w:type="dxa"/>
            <w:shd w:val="clear" w:color="auto" w:fill="auto"/>
            <w:vAlign w:val="center"/>
          </w:tcPr>
          <w:p w14:paraId="1E403F4B">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宋体" w:cs="Arial"/>
                <w:snapToGrid w:val="0"/>
                <w:color w:val="000000"/>
                <w:kern w:val="0"/>
                <w:sz w:val="21"/>
                <w:szCs w:val="21"/>
                <w:lang w:val="en-US" w:eastAsia="zh-CN" w:bidi="ar-SA"/>
                <w14:ligatures w14:val="standardContextual"/>
              </w:rPr>
            </w:pPr>
            <w:r>
              <w:rPr>
                <w:rFonts w:hint="eastAsia" w:ascii="宋体" w:hAnsi="宋体" w:eastAsia="宋体" w:cs="宋体"/>
                <w:szCs w:val="21"/>
                <w:lang w:val="en-US" w:eastAsia="zh-CN"/>
              </w:rPr>
              <w:t>园林设计</w:t>
            </w:r>
          </w:p>
        </w:tc>
        <w:tc>
          <w:tcPr>
            <w:tcW w:w="3643" w:type="dxa"/>
            <w:shd w:val="clear" w:color="auto" w:fill="auto"/>
            <w:vAlign w:val="center"/>
          </w:tcPr>
          <w:p w14:paraId="03BE7E50">
            <w:pPr>
              <w:keepNext w:val="0"/>
              <w:keepLines w:val="0"/>
              <w:pageBreakBefore w:val="0"/>
              <w:widowControl/>
              <w:kinsoku w:val="0"/>
              <w:wordWrap/>
              <w:overflowPunct/>
              <w:topLinePunct w:val="0"/>
              <w:autoSpaceDE w:val="0"/>
              <w:autoSpaceDN w:val="0"/>
              <w:bidi w:val="0"/>
              <w:adjustRightInd w:val="0"/>
              <w:snapToGrid w:val="0"/>
              <w:spacing w:line="280" w:lineRule="exact"/>
              <w:jc w:val="left"/>
              <w:textAlignment w:val="baseline"/>
              <w:rPr>
                <w:rFonts w:hint="eastAsia" w:ascii="宋体" w:hAnsi="宋体" w:eastAsia="Arial" w:cs="Arial"/>
                <w:snapToGrid w:val="0"/>
                <w:color w:val="000000"/>
                <w:kern w:val="0"/>
                <w:sz w:val="21"/>
                <w:szCs w:val="21"/>
                <w:lang w:val="en-US" w:eastAsia="en-US" w:bidi="ar-SA"/>
                <w14:ligatures w14:val="standardContextual"/>
              </w:rPr>
            </w:pPr>
            <w:r>
              <w:rPr>
                <w:rFonts w:hint="eastAsia" w:ascii="宋体" w:hAnsi="宋体"/>
                <w:szCs w:val="21"/>
                <w:lang w:val="en-US" w:eastAsia="en-US"/>
              </w:rPr>
              <w:t>通辽市蒙草沙地治理与林草牧业发展研究院有限公司</w:t>
            </w:r>
            <w:r>
              <w:rPr>
                <w:rFonts w:hint="eastAsia" w:ascii="宋体" w:hAnsi="宋体"/>
                <w:szCs w:val="21"/>
                <w:lang w:val="en-US" w:eastAsia="zh-CN"/>
              </w:rPr>
              <w:t>。</w:t>
            </w:r>
          </w:p>
        </w:tc>
      </w:tr>
      <w:tr w14:paraId="606A1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141" w:type="dxa"/>
            <w:shd w:val="clear" w:color="auto" w:fill="auto"/>
            <w:vAlign w:val="center"/>
          </w:tcPr>
          <w:p w14:paraId="01E230C7">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default" w:ascii="宋体" w:hAnsi="宋体" w:eastAsia="宋体" w:cs="Arial"/>
                <w:snapToGrid w:val="0"/>
                <w:color w:val="000000"/>
                <w:kern w:val="0"/>
                <w:sz w:val="21"/>
                <w:szCs w:val="21"/>
                <w:lang w:val="en-US" w:eastAsia="en-US" w:bidi="ar-SA"/>
                <w14:ligatures w14:val="standardContextual"/>
              </w:rPr>
            </w:pPr>
            <w:r>
              <w:rPr>
                <w:rFonts w:hint="eastAsia" w:ascii="宋体" w:hAnsi="宋体" w:eastAsia="宋体"/>
                <w:szCs w:val="21"/>
                <w:lang w:val="en-US" w:eastAsia="zh-CN"/>
              </w:rPr>
              <w:t>于东江</w:t>
            </w:r>
          </w:p>
        </w:tc>
        <w:tc>
          <w:tcPr>
            <w:tcW w:w="1573" w:type="dxa"/>
            <w:shd w:val="clear" w:color="auto" w:fill="auto"/>
            <w:vAlign w:val="center"/>
          </w:tcPr>
          <w:p w14:paraId="356EB55C">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Arial" w:cs="Arial"/>
                <w:snapToGrid w:val="0"/>
                <w:color w:val="000000"/>
                <w:kern w:val="0"/>
                <w:sz w:val="21"/>
                <w:szCs w:val="21"/>
                <w:lang w:val="en-US" w:eastAsia="en-US" w:bidi="ar-SA"/>
                <w14:ligatures w14:val="standardContextual"/>
              </w:rPr>
            </w:pPr>
            <w:r>
              <w:rPr>
                <w:rFonts w:hint="eastAsia" w:ascii="宋体" w:hAnsi="宋体" w:eastAsia="宋体"/>
                <w:szCs w:val="21"/>
                <w:lang w:val="en-US" w:eastAsia="zh-CN"/>
              </w:rPr>
              <w:t>中级工程师</w:t>
            </w:r>
          </w:p>
        </w:tc>
        <w:tc>
          <w:tcPr>
            <w:tcW w:w="2366" w:type="dxa"/>
            <w:shd w:val="clear" w:color="auto" w:fill="auto"/>
            <w:vAlign w:val="center"/>
          </w:tcPr>
          <w:p w14:paraId="0DE055FC">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Arial" w:cs="Arial"/>
                <w:snapToGrid w:val="0"/>
                <w:color w:val="000000"/>
                <w:kern w:val="0"/>
                <w:sz w:val="21"/>
                <w:szCs w:val="21"/>
                <w:lang w:val="en-US" w:eastAsia="en-US" w:bidi="ar-SA"/>
                <w14:ligatures w14:val="standardContextual"/>
              </w:rPr>
            </w:pPr>
            <w:r>
              <w:rPr>
                <w:rFonts w:hint="eastAsia" w:ascii="宋体" w:hAnsi="宋体" w:eastAsia="Arial" w:cs="Arial"/>
                <w:snapToGrid w:val="0"/>
                <w:color w:val="000000"/>
                <w:kern w:val="0"/>
                <w:sz w:val="21"/>
                <w:szCs w:val="21"/>
                <w:lang w:val="en-US" w:eastAsia="en-US" w:bidi="ar-SA"/>
              </w:rPr>
              <w:t>环境工程</w:t>
            </w:r>
          </w:p>
        </w:tc>
        <w:tc>
          <w:tcPr>
            <w:tcW w:w="3643" w:type="dxa"/>
            <w:shd w:val="clear" w:color="auto" w:fill="auto"/>
            <w:vAlign w:val="center"/>
          </w:tcPr>
          <w:p w14:paraId="633C1C7B">
            <w:pPr>
              <w:keepNext w:val="0"/>
              <w:keepLines w:val="0"/>
              <w:pageBreakBefore w:val="0"/>
              <w:widowControl/>
              <w:kinsoku w:val="0"/>
              <w:wordWrap/>
              <w:overflowPunct/>
              <w:topLinePunct w:val="0"/>
              <w:autoSpaceDE w:val="0"/>
              <w:autoSpaceDN w:val="0"/>
              <w:bidi w:val="0"/>
              <w:adjustRightInd w:val="0"/>
              <w:snapToGrid w:val="0"/>
              <w:spacing w:line="280" w:lineRule="exact"/>
              <w:jc w:val="left"/>
              <w:textAlignment w:val="baseline"/>
              <w:rPr>
                <w:rFonts w:hint="eastAsia" w:ascii="宋体" w:hAnsi="宋体" w:eastAsia="Arial" w:cs="Arial"/>
                <w:snapToGrid w:val="0"/>
                <w:color w:val="000000"/>
                <w:kern w:val="0"/>
                <w:sz w:val="21"/>
                <w:szCs w:val="21"/>
                <w:lang w:val="en-US" w:eastAsia="en-US" w:bidi="ar-SA"/>
                <w14:ligatures w14:val="standardContextual"/>
              </w:rPr>
            </w:pPr>
            <w:r>
              <w:rPr>
                <w:rFonts w:hint="eastAsia" w:ascii="宋体" w:hAnsi="宋体"/>
                <w:szCs w:val="21"/>
                <w:lang w:val="en-US" w:eastAsia="en-US"/>
              </w:rPr>
              <w:t>通辽市蒙草沙地治理与林草牧业发展研究院有限公司</w:t>
            </w:r>
          </w:p>
        </w:tc>
      </w:tr>
      <w:tr w14:paraId="2B578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1141" w:type="dxa"/>
            <w:shd w:val="clear" w:color="auto" w:fill="auto"/>
            <w:vAlign w:val="center"/>
          </w:tcPr>
          <w:p w14:paraId="074D352B">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宋体" w:cs="宋体"/>
                <w:snapToGrid w:val="0"/>
                <w:color w:val="000000"/>
                <w:kern w:val="0"/>
                <w:sz w:val="21"/>
                <w:szCs w:val="21"/>
                <w:lang w:val="en-US" w:eastAsia="zh-CN" w:bidi="ar-SA"/>
                <w14:ligatures w14:val="standardContextual"/>
              </w:rPr>
            </w:pPr>
            <w:r>
              <w:rPr>
                <w:rFonts w:hint="eastAsia" w:ascii="宋体" w:hAnsi="宋体" w:eastAsia="宋体" w:cs="宋体"/>
                <w:snapToGrid w:val="0"/>
                <w:color w:val="000000"/>
                <w:kern w:val="0"/>
                <w:sz w:val="21"/>
                <w:szCs w:val="21"/>
                <w:lang w:val="en-US" w:eastAsia="zh-CN" w:bidi="ar-SA"/>
              </w:rPr>
              <w:t>王晓凯</w:t>
            </w:r>
          </w:p>
        </w:tc>
        <w:tc>
          <w:tcPr>
            <w:tcW w:w="1573" w:type="dxa"/>
            <w:shd w:val="clear" w:color="auto" w:fill="auto"/>
            <w:vAlign w:val="center"/>
          </w:tcPr>
          <w:p w14:paraId="54059606">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Arial" w:cs="Arial"/>
                <w:snapToGrid w:val="0"/>
                <w:color w:val="000000"/>
                <w:kern w:val="0"/>
                <w:sz w:val="21"/>
                <w:szCs w:val="21"/>
                <w:lang w:val="en-US" w:eastAsia="en-US" w:bidi="ar-SA"/>
                <w14:ligatures w14:val="standardContextual"/>
              </w:rPr>
            </w:pPr>
            <w:r>
              <w:rPr>
                <w:rFonts w:hint="eastAsia" w:ascii="宋体" w:hAnsi="宋体" w:eastAsia="宋体"/>
                <w:szCs w:val="21"/>
                <w:lang w:val="en-US" w:eastAsia="zh-CN"/>
              </w:rPr>
              <w:t>中级工程师</w:t>
            </w:r>
          </w:p>
        </w:tc>
        <w:tc>
          <w:tcPr>
            <w:tcW w:w="2366" w:type="dxa"/>
            <w:shd w:val="clear" w:color="auto" w:fill="auto"/>
            <w:vAlign w:val="center"/>
          </w:tcPr>
          <w:p w14:paraId="62544E43">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宋体" w:cs="Arial"/>
                <w:snapToGrid w:val="0"/>
                <w:color w:val="000000"/>
                <w:kern w:val="0"/>
                <w:sz w:val="21"/>
                <w:szCs w:val="21"/>
                <w:lang w:val="en-US" w:eastAsia="en-US" w:bidi="ar-SA"/>
                <w14:ligatures w14:val="standardContextual"/>
              </w:rPr>
            </w:pPr>
            <w:r>
              <w:rPr>
                <w:rFonts w:hint="eastAsia" w:ascii="宋体" w:hAnsi="宋体" w:eastAsia="宋体" w:cs="Arial"/>
                <w:snapToGrid w:val="0"/>
                <w:color w:val="000000"/>
                <w:kern w:val="0"/>
                <w:sz w:val="21"/>
                <w:szCs w:val="21"/>
                <w:lang w:val="en-US" w:eastAsia="zh-CN" w:bidi="ar-SA"/>
              </w:rPr>
              <w:t>林学</w:t>
            </w:r>
          </w:p>
        </w:tc>
        <w:tc>
          <w:tcPr>
            <w:tcW w:w="3643" w:type="dxa"/>
            <w:shd w:val="clear" w:color="auto" w:fill="auto"/>
            <w:vAlign w:val="center"/>
          </w:tcPr>
          <w:p w14:paraId="6234CECE">
            <w:pPr>
              <w:keepNext w:val="0"/>
              <w:keepLines w:val="0"/>
              <w:pageBreakBefore w:val="0"/>
              <w:widowControl/>
              <w:kinsoku w:val="0"/>
              <w:wordWrap/>
              <w:overflowPunct/>
              <w:topLinePunct w:val="0"/>
              <w:autoSpaceDE w:val="0"/>
              <w:autoSpaceDN w:val="0"/>
              <w:bidi w:val="0"/>
              <w:adjustRightInd w:val="0"/>
              <w:snapToGrid w:val="0"/>
              <w:spacing w:line="280" w:lineRule="exact"/>
              <w:jc w:val="left"/>
              <w:textAlignment w:val="baseline"/>
              <w:rPr>
                <w:rFonts w:hint="eastAsia" w:ascii="宋体" w:hAnsi="宋体" w:eastAsia="Arial" w:cs="Arial"/>
                <w:snapToGrid w:val="0"/>
                <w:color w:val="000000"/>
                <w:kern w:val="0"/>
                <w:sz w:val="21"/>
                <w:szCs w:val="21"/>
                <w:lang w:val="en-US" w:eastAsia="en-US" w:bidi="ar-SA"/>
                <w14:ligatures w14:val="standardContextual"/>
              </w:rPr>
            </w:pPr>
            <w:r>
              <w:rPr>
                <w:rFonts w:hint="eastAsia" w:ascii="宋体" w:hAnsi="宋体"/>
                <w:szCs w:val="21"/>
                <w:lang w:val="en-US" w:eastAsia="en-US"/>
              </w:rPr>
              <w:t>通辽市蒙草沙地治理与林草牧业发展研究院有限公司</w:t>
            </w:r>
          </w:p>
        </w:tc>
      </w:tr>
      <w:tr w14:paraId="4AE2B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41" w:type="dxa"/>
            <w:shd w:val="clear" w:color="auto" w:fill="auto"/>
            <w:vAlign w:val="center"/>
          </w:tcPr>
          <w:p w14:paraId="2CD65DB5">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宋体" w:cs="宋体"/>
                <w:snapToGrid w:val="0"/>
                <w:color w:val="000000"/>
                <w:kern w:val="0"/>
                <w:sz w:val="21"/>
                <w:szCs w:val="21"/>
                <w:lang w:val="en-US" w:eastAsia="zh-CN" w:bidi="ar-SA"/>
                <w14:ligatures w14:val="standardContextual"/>
              </w:rPr>
            </w:pPr>
            <w:r>
              <w:rPr>
                <w:rFonts w:hint="eastAsia" w:ascii="宋体" w:hAnsi="宋体" w:eastAsia="宋体" w:cs="宋体"/>
                <w:snapToGrid w:val="0"/>
                <w:color w:val="000000"/>
                <w:kern w:val="0"/>
                <w:sz w:val="21"/>
                <w:szCs w:val="21"/>
                <w:lang w:val="en-US" w:eastAsia="zh-CN" w:bidi="ar-SA"/>
              </w:rPr>
              <w:t>刁显鹤</w:t>
            </w:r>
          </w:p>
        </w:tc>
        <w:tc>
          <w:tcPr>
            <w:tcW w:w="1573" w:type="dxa"/>
            <w:shd w:val="clear" w:color="auto" w:fill="auto"/>
            <w:vAlign w:val="center"/>
          </w:tcPr>
          <w:p w14:paraId="73FA1618">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Arial" w:cs="Arial"/>
                <w:snapToGrid w:val="0"/>
                <w:color w:val="000000"/>
                <w:kern w:val="0"/>
                <w:sz w:val="21"/>
                <w:szCs w:val="21"/>
                <w:lang w:val="en-US" w:eastAsia="en-US" w:bidi="ar-SA"/>
                <w14:ligatures w14:val="standardContextual"/>
              </w:rPr>
            </w:pPr>
            <w:r>
              <w:rPr>
                <w:rFonts w:hint="eastAsia" w:ascii="宋体" w:hAnsi="宋体" w:eastAsia="宋体"/>
                <w:szCs w:val="21"/>
                <w:lang w:val="en-US" w:eastAsia="zh-CN"/>
              </w:rPr>
              <w:t>中级工程师</w:t>
            </w:r>
          </w:p>
        </w:tc>
        <w:tc>
          <w:tcPr>
            <w:tcW w:w="2366" w:type="dxa"/>
            <w:shd w:val="clear" w:color="auto" w:fill="auto"/>
            <w:vAlign w:val="center"/>
          </w:tcPr>
          <w:p w14:paraId="3BA898E0">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宋体" w:cs="Arial"/>
                <w:snapToGrid w:val="0"/>
                <w:color w:val="000000"/>
                <w:kern w:val="0"/>
                <w:sz w:val="21"/>
                <w:szCs w:val="21"/>
                <w:lang w:val="en-US" w:eastAsia="en-US" w:bidi="ar-SA"/>
                <w14:ligatures w14:val="standardContextual"/>
              </w:rPr>
            </w:pPr>
            <w:r>
              <w:rPr>
                <w:rFonts w:hint="eastAsia" w:ascii="宋体" w:hAnsi="宋体" w:eastAsia="宋体" w:cs="Arial"/>
                <w:snapToGrid w:val="0"/>
                <w:color w:val="000000"/>
                <w:kern w:val="0"/>
                <w:sz w:val="21"/>
                <w:szCs w:val="21"/>
                <w:lang w:val="en-US" w:eastAsia="zh-CN" w:bidi="ar-SA"/>
              </w:rPr>
              <w:t>环境工程</w:t>
            </w:r>
          </w:p>
        </w:tc>
        <w:tc>
          <w:tcPr>
            <w:tcW w:w="3643" w:type="dxa"/>
            <w:shd w:val="clear" w:color="auto" w:fill="auto"/>
            <w:vAlign w:val="center"/>
          </w:tcPr>
          <w:p w14:paraId="719DC055">
            <w:pPr>
              <w:keepNext w:val="0"/>
              <w:keepLines w:val="0"/>
              <w:pageBreakBefore w:val="0"/>
              <w:widowControl/>
              <w:kinsoku w:val="0"/>
              <w:wordWrap/>
              <w:overflowPunct/>
              <w:topLinePunct w:val="0"/>
              <w:autoSpaceDE w:val="0"/>
              <w:autoSpaceDN w:val="0"/>
              <w:bidi w:val="0"/>
              <w:adjustRightInd w:val="0"/>
              <w:snapToGrid w:val="0"/>
              <w:spacing w:line="280" w:lineRule="exact"/>
              <w:jc w:val="left"/>
              <w:textAlignment w:val="baseline"/>
              <w:rPr>
                <w:rFonts w:hint="eastAsia" w:ascii="宋体" w:hAnsi="宋体" w:eastAsia="Arial" w:cs="Arial"/>
                <w:snapToGrid w:val="0"/>
                <w:color w:val="000000"/>
                <w:kern w:val="0"/>
                <w:sz w:val="21"/>
                <w:szCs w:val="21"/>
                <w:lang w:val="en-US" w:eastAsia="en-US" w:bidi="ar-SA"/>
                <w14:ligatures w14:val="standardContextual"/>
              </w:rPr>
            </w:pPr>
            <w:r>
              <w:rPr>
                <w:rFonts w:hint="eastAsia" w:ascii="宋体" w:hAnsi="宋体"/>
                <w:szCs w:val="21"/>
                <w:lang w:val="en-US" w:eastAsia="en-US"/>
              </w:rPr>
              <w:t>通辽市蒙草沙地治理与林草牧业发展研究院有限公司</w:t>
            </w:r>
          </w:p>
        </w:tc>
      </w:tr>
      <w:tr w14:paraId="282C3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1" w:type="dxa"/>
            <w:shd w:val="clear" w:color="auto" w:fill="auto"/>
            <w:vAlign w:val="center"/>
          </w:tcPr>
          <w:p w14:paraId="74BED4D4">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Arial" w:cs="Arial"/>
                <w:snapToGrid w:val="0"/>
                <w:color w:val="000000"/>
                <w:kern w:val="0"/>
                <w:sz w:val="21"/>
                <w:szCs w:val="21"/>
                <w:lang w:val="en-US" w:eastAsia="zh-CN" w:bidi="ar-SA"/>
                <w14:ligatures w14:val="standardContextual"/>
              </w:rPr>
            </w:pPr>
            <w:r>
              <w:rPr>
                <w:rFonts w:hint="eastAsia" w:ascii="宋体" w:hAnsi="宋体"/>
                <w:szCs w:val="21"/>
              </w:rPr>
              <w:t>崔海鹏</w:t>
            </w:r>
          </w:p>
        </w:tc>
        <w:tc>
          <w:tcPr>
            <w:tcW w:w="1573" w:type="dxa"/>
            <w:shd w:val="clear" w:color="auto" w:fill="auto"/>
            <w:vAlign w:val="center"/>
          </w:tcPr>
          <w:p w14:paraId="4F8DC50E">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Arial" w:cs="Arial"/>
                <w:snapToGrid w:val="0"/>
                <w:color w:val="000000"/>
                <w:kern w:val="0"/>
                <w:sz w:val="21"/>
                <w:szCs w:val="21"/>
                <w:lang w:val="en-US" w:eastAsia="en-US" w:bidi="ar-SA"/>
                <w14:ligatures w14:val="standardContextual"/>
              </w:rPr>
            </w:pPr>
            <w:r>
              <w:rPr>
                <w:rFonts w:hint="eastAsia" w:ascii="宋体" w:hAnsi="宋体"/>
                <w:szCs w:val="21"/>
              </w:rPr>
              <w:t>高级工程师</w:t>
            </w:r>
          </w:p>
        </w:tc>
        <w:tc>
          <w:tcPr>
            <w:tcW w:w="2366" w:type="dxa"/>
            <w:shd w:val="clear" w:color="auto" w:fill="auto"/>
            <w:vAlign w:val="center"/>
          </w:tcPr>
          <w:p w14:paraId="690968C7">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Arial" w:cs="Arial"/>
                <w:snapToGrid w:val="0"/>
                <w:color w:val="000000"/>
                <w:kern w:val="0"/>
                <w:sz w:val="21"/>
                <w:szCs w:val="21"/>
                <w:lang w:val="en-US" w:eastAsia="en-US" w:bidi="ar-SA"/>
                <w14:ligatures w14:val="standardContextual"/>
              </w:rPr>
            </w:pPr>
            <w:r>
              <w:rPr>
                <w:rFonts w:hint="eastAsia" w:ascii="宋体" w:hAnsi="宋体"/>
                <w:szCs w:val="21"/>
              </w:rPr>
              <w:t>草业科学</w:t>
            </w:r>
          </w:p>
        </w:tc>
        <w:tc>
          <w:tcPr>
            <w:tcW w:w="3643" w:type="dxa"/>
            <w:shd w:val="clear" w:color="auto" w:fill="auto"/>
            <w:vAlign w:val="center"/>
          </w:tcPr>
          <w:p w14:paraId="3E1830AC">
            <w:pPr>
              <w:keepNext w:val="0"/>
              <w:keepLines w:val="0"/>
              <w:pageBreakBefore w:val="0"/>
              <w:widowControl/>
              <w:kinsoku w:val="0"/>
              <w:wordWrap/>
              <w:overflowPunct/>
              <w:topLinePunct w:val="0"/>
              <w:autoSpaceDE w:val="0"/>
              <w:autoSpaceDN w:val="0"/>
              <w:bidi w:val="0"/>
              <w:adjustRightInd w:val="0"/>
              <w:snapToGrid w:val="0"/>
              <w:spacing w:line="280" w:lineRule="exact"/>
              <w:jc w:val="left"/>
              <w:textAlignment w:val="baseline"/>
              <w:rPr>
                <w:rFonts w:hint="eastAsia" w:ascii="宋体" w:hAnsi="宋体" w:eastAsia="Arial" w:cs="Arial"/>
                <w:snapToGrid w:val="0"/>
                <w:color w:val="000000"/>
                <w:kern w:val="0"/>
                <w:sz w:val="21"/>
                <w:szCs w:val="21"/>
                <w:lang w:val="en-US" w:eastAsia="en-US" w:bidi="ar-SA"/>
                <w14:ligatures w14:val="standardContextual"/>
              </w:rPr>
            </w:pPr>
            <w:r>
              <w:rPr>
                <w:rFonts w:hint="eastAsia" w:ascii="宋体" w:hAnsi="宋体"/>
                <w:szCs w:val="21"/>
                <w:lang w:val="en-US" w:eastAsia="zh-CN"/>
              </w:rPr>
              <w:t>内蒙古蒙草贺斯格乌拉草牧业科技服务有限公司</w:t>
            </w:r>
          </w:p>
        </w:tc>
      </w:tr>
      <w:tr w14:paraId="2EF54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141" w:type="dxa"/>
            <w:shd w:val="clear" w:color="auto" w:fill="auto"/>
            <w:vAlign w:val="center"/>
          </w:tcPr>
          <w:p w14:paraId="620AF6BE">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Arial" w:cs="Arial"/>
                <w:snapToGrid w:val="0"/>
                <w:color w:val="000000"/>
                <w:kern w:val="0"/>
                <w:sz w:val="21"/>
                <w:szCs w:val="21"/>
                <w:lang w:val="en-US" w:eastAsia="zh-CN" w:bidi="ar-SA"/>
                <w14:ligatures w14:val="standardContextual"/>
              </w:rPr>
            </w:pPr>
            <w:r>
              <w:rPr>
                <w:rFonts w:hint="eastAsia" w:ascii="宋体" w:hAnsi="宋体"/>
                <w:szCs w:val="21"/>
              </w:rPr>
              <w:t>胡努斯吐</w:t>
            </w:r>
          </w:p>
        </w:tc>
        <w:tc>
          <w:tcPr>
            <w:tcW w:w="1573" w:type="dxa"/>
            <w:shd w:val="clear" w:color="auto" w:fill="auto"/>
            <w:vAlign w:val="center"/>
          </w:tcPr>
          <w:p w14:paraId="4A2973BF">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default" w:ascii="宋体" w:hAnsi="宋体" w:eastAsia="Arial" w:cs="Arial"/>
                <w:snapToGrid w:val="0"/>
                <w:color w:val="000000"/>
                <w:kern w:val="0"/>
                <w:sz w:val="21"/>
                <w:szCs w:val="21"/>
                <w:lang w:val="en-US" w:eastAsia="zh-CN" w:bidi="ar-SA"/>
                <w14:ligatures w14:val="standardContextual"/>
              </w:rPr>
            </w:pPr>
            <w:r>
              <w:rPr>
                <w:rFonts w:hint="eastAsia" w:ascii="宋体" w:hAnsi="宋体"/>
                <w:szCs w:val="21"/>
              </w:rPr>
              <w:t>助理工程师</w:t>
            </w:r>
          </w:p>
        </w:tc>
        <w:tc>
          <w:tcPr>
            <w:tcW w:w="2366" w:type="dxa"/>
            <w:shd w:val="clear" w:color="auto" w:fill="auto"/>
            <w:vAlign w:val="center"/>
          </w:tcPr>
          <w:p w14:paraId="6986F4F1">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Arial" w:cs="Arial"/>
                <w:snapToGrid w:val="0"/>
                <w:color w:val="000000"/>
                <w:kern w:val="0"/>
                <w:sz w:val="21"/>
                <w:szCs w:val="21"/>
                <w:lang w:val="en-US" w:eastAsia="zh-CN" w:bidi="ar-SA"/>
                <w14:ligatures w14:val="standardContextual"/>
              </w:rPr>
            </w:pPr>
            <w:r>
              <w:rPr>
                <w:rFonts w:hint="eastAsia" w:ascii="宋体" w:hAnsi="宋体"/>
                <w:szCs w:val="21"/>
              </w:rPr>
              <w:t>草业科学</w:t>
            </w:r>
          </w:p>
        </w:tc>
        <w:tc>
          <w:tcPr>
            <w:tcW w:w="3643" w:type="dxa"/>
            <w:shd w:val="clear" w:color="auto" w:fill="auto"/>
            <w:vAlign w:val="center"/>
          </w:tcPr>
          <w:p w14:paraId="55F21D04">
            <w:pPr>
              <w:keepNext w:val="0"/>
              <w:keepLines w:val="0"/>
              <w:pageBreakBefore w:val="0"/>
              <w:widowControl/>
              <w:kinsoku w:val="0"/>
              <w:wordWrap/>
              <w:overflowPunct/>
              <w:topLinePunct w:val="0"/>
              <w:autoSpaceDE w:val="0"/>
              <w:autoSpaceDN w:val="0"/>
              <w:bidi w:val="0"/>
              <w:adjustRightInd w:val="0"/>
              <w:snapToGrid w:val="0"/>
              <w:spacing w:line="280" w:lineRule="exact"/>
              <w:jc w:val="left"/>
              <w:textAlignment w:val="baseline"/>
              <w:rPr>
                <w:rFonts w:hint="eastAsia" w:ascii="宋体" w:hAnsi="宋体" w:eastAsia="Arial" w:cs="Arial"/>
                <w:snapToGrid w:val="0"/>
                <w:color w:val="000000"/>
                <w:kern w:val="0"/>
                <w:sz w:val="21"/>
                <w:szCs w:val="21"/>
                <w:lang w:val="en-US" w:eastAsia="en-US" w:bidi="ar-SA"/>
                <w14:ligatures w14:val="standardContextual"/>
              </w:rPr>
            </w:pPr>
            <w:r>
              <w:rPr>
                <w:rFonts w:hint="eastAsia" w:ascii="宋体" w:hAnsi="宋体"/>
                <w:szCs w:val="21"/>
                <w:lang w:val="en-US" w:eastAsia="zh-CN"/>
              </w:rPr>
              <w:t>内蒙古蒙草贺斯格乌拉草牧业科技服务有限公司</w:t>
            </w:r>
          </w:p>
        </w:tc>
      </w:tr>
      <w:tr w14:paraId="2AA54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41" w:type="dxa"/>
            <w:shd w:val="clear" w:color="auto" w:fill="auto"/>
            <w:vAlign w:val="center"/>
          </w:tcPr>
          <w:p w14:paraId="0AEDF470">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宋体" w:cs="Arial"/>
                <w:snapToGrid w:val="0"/>
                <w:color w:val="000000"/>
                <w:kern w:val="0"/>
                <w:sz w:val="21"/>
                <w:szCs w:val="21"/>
                <w:lang w:val="en-US" w:eastAsia="zh-CN" w:bidi="ar-SA"/>
                <w14:ligatures w14:val="standardContextual"/>
              </w:rPr>
            </w:pPr>
            <w:r>
              <w:rPr>
                <w:rFonts w:hint="eastAsia" w:ascii="宋体" w:hAnsi="宋体" w:eastAsia="宋体" w:cs="Arial"/>
                <w:snapToGrid w:val="0"/>
                <w:color w:val="000000"/>
                <w:kern w:val="0"/>
                <w:sz w:val="21"/>
                <w:szCs w:val="21"/>
                <w:lang w:val="en-US" w:eastAsia="zh-CN" w:bidi="ar-SA"/>
              </w:rPr>
              <w:t>张海宁</w:t>
            </w:r>
          </w:p>
        </w:tc>
        <w:tc>
          <w:tcPr>
            <w:tcW w:w="1573" w:type="dxa"/>
            <w:shd w:val="clear" w:color="auto" w:fill="auto"/>
            <w:vAlign w:val="center"/>
          </w:tcPr>
          <w:p w14:paraId="18467AD6">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Arial" w:cs="Arial"/>
                <w:snapToGrid w:val="0"/>
                <w:color w:val="000000"/>
                <w:kern w:val="0"/>
                <w:sz w:val="21"/>
                <w:szCs w:val="21"/>
                <w:lang w:val="en-US" w:eastAsia="zh-CN" w:bidi="ar-SA"/>
                <w14:ligatures w14:val="standardContextual"/>
              </w:rPr>
            </w:pPr>
            <w:r>
              <w:rPr>
                <w:rFonts w:hint="eastAsia" w:ascii="宋体" w:hAnsi="宋体"/>
                <w:szCs w:val="21"/>
              </w:rPr>
              <w:t>助理工程师</w:t>
            </w:r>
          </w:p>
        </w:tc>
        <w:tc>
          <w:tcPr>
            <w:tcW w:w="2366" w:type="dxa"/>
            <w:shd w:val="clear" w:color="auto" w:fill="auto"/>
            <w:vAlign w:val="center"/>
          </w:tcPr>
          <w:p w14:paraId="7CE4987D">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default" w:ascii="宋体" w:hAnsi="宋体" w:eastAsia="Arial" w:cs="Arial"/>
                <w:snapToGrid w:val="0"/>
                <w:color w:val="000000"/>
                <w:kern w:val="0"/>
                <w:sz w:val="21"/>
                <w:szCs w:val="21"/>
                <w:lang w:val="en-US" w:eastAsia="zh-CN" w:bidi="ar-SA"/>
                <w14:ligatures w14:val="standardContextual"/>
              </w:rPr>
            </w:pPr>
            <w:r>
              <w:rPr>
                <w:rFonts w:hint="eastAsia" w:ascii="宋体" w:hAnsi="宋体" w:eastAsia="宋体"/>
                <w:szCs w:val="21"/>
                <w:lang w:val="en-US" w:eastAsia="zh-CN"/>
              </w:rPr>
              <w:t>农</w:t>
            </w:r>
            <w:r>
              <w:rPr>
                <w:rFonts w:hint="eastAsia" w:ascii="宋体" w:hAnsi="宋体"/>
                <w:szCs w:val="21"/>
              </w:rPr>
              <w:t>学</w:t>
            </w:r>
          </w:p>
        </w:tc>
        <w:tc>
          <w:tcPr>
            <w:tcW w:w="3643" w:type="dxa"/>
            <w:shd w:val="clear" w:color="auto" w:fill="auto"/>
            <w:vAlign w:val="center"/>
          </w:tcPr>
          <w:p w14:paraId="0DA8A846">
            <w:pPr>
              <w:keepNext w:val="0"/>
              <w:keepLines w:val="0"/>
              <w:pageBreakBefore w:val="0"/>
              <w:widowControl/>
              <w:kinsoku w:val="0"/>
              <w:wordWrap/>
              <w:overflowPunct/>
              <w:topLinePunct w:val="0"/>
              <w:autoSpaceDE w:val="0"/>
              <w:autoSpaceDN w:val="0"/>
              <w:bidi w:val="0"/>
              <w:adjustRightInd w:val="0"/>
              <w:snapToGrid w:val="0"/>
              <w:spacing w:line="280" w:lineRule="exact"/>
              <w:jc w:val="left"/>
              <w:textAlignment w:val="baseline"/>
              <w:rPr>
                <w:rFonts w:hint="default" w:ascii="宋体" w:hAnsi="宋体" w:eastAsia="Arial" w:cs="Arial"/>
                <w:snapToGrid w:val="0"/>
                <w:color w:val="000000"/>
                <w:kern w:val="0"/>
                <w:sz w:val="21"/>
                <w:szCs w:val="21"/>
                <w:lang w:val="en-US" w:eastAsia="zh-CN" w:bidi="ar-SA"/>
                <w14:ligatures w14:val="standardContextual"/>
              </w:rPr>
            </w:pPr>
            <w:r>
              <w:rPr>
                <w:rFonts w:hint="eastAsia" w:ascii="宋体" w:hAnsi="宋体"/>
                <w:szCs w:val="21"/>
                <w:lang w:val="en-US" w:eastAsia="zh-CN"/>
              </w:rPr>
              <w:t>内蒙古蒙草贺斯格乌拉草牧业科技服务有限公司</w:t>
            </w:r>
          </w:p>
        </w:tc>
      </w:tr>
      <w:tr w14:paraId="2BE84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141" w:type="dxa"/>
            <w:shd w:val="clear" w:color="auto" w:fill="auto"/>
            <w:vAlign w:val="center"/>
          </w:tcPr>
          <w:p w14:paraId="0516DB24">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Arial" w:cs="Arial"/>
                <w:snapToGrid w:val="0"/>
                <w:color w:val="000000"/>
                <w:kern w:val="0"/>
                <w:sz w:val="21"/>
                <w:szCs w:val="21"/>
                <w:lang w:val="en-US" w:eastAsia="zh-CN" w:bidi="ar-SA"/>
                <w14:ligatures w14:val="standardContextual"/>
              </w:rPr>
            </w:pPr>
            <w:r>
              <w:rPr>
                <w:rFonts w:hint="eastAsia" w:ascii="宋体" w:hAnsi="宋体"/>
                <w:szCs w:val="21"/>
              </w:rPr>
              <w:t>王雅茹</w:t>
            </w:r>
          </w:p>
        </w:tc>
        <w:tc>
          <w:tcPr>
            <w:tcW w:w="1573" w:type="dxa"/>
            <w:shd w:val="clear" w:color="auto" w:fill="auto"/>
            <w:vAlign w:val="center"/>
          </w:tcPr>
          <w:p w14:paraId="20DD7AC1">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Arial" w:cs="Arial"/>
                <w:snapToGrid w:val="0"/>
                <w:color w:val="000000"/>
                <w:kern w:val="0"/>
                <w:sz w:val="21"/>
                <w:szCs w:val="21"/>
                <w:lang w:val="en-US" w:eastAsia="zh-CN" w:bidi="ar-SA"/>
                <w14:ligatures w14:val="standardContextual"/>
              </w:rPr>
            </w:pPr>
            <w:r>
              <w:rPr>
                <w:rFonts w:hint="eastAsia" w:ascii="宋体" w:hAnsi="宋体" w:eastAsia="宋体"/>
                <w:szCs w:val="21"/>
                <w:lang w:val="en-US" w:eastAsia="zh-CN"/>
              </w:rPr>
              <w:t>中级</w:t>
            </w:r>
            <w:r>
              <w:rPr>
                <w:rFonts w:hint="eastAsia" w:ascii="宋体" w:hAnsi="宋体"/>
                <w:szCs w:val="21"/>
              </w:rPr>
              <w:t>工程师</w:t>
            </w:r>
          </w:p>
        </w:tc>
        <w:tc>
          <w:tcPr>
            <w:tcW w:w="2366" w:type="dxa"/>
            <w:shd w:val="clear" w:color="auto" w:fill="auto"/>
            <w:vAlign w:val="center"/>
          </w:tcPr>
          <w:p w14:paraId="688908B4">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Arial" w:cs="Arial"/>
                <w:snapToGrid w:val="0"/>
                <w:color w:val="000000"/>
                <w:kern w:val="0"/>
                <w:sz w:val="21"/>
                <w:szCs w:val="21"/>
                <w:lang w:val="en-US" w:eastAsia="zh-CN" w:bidi="ar-SA"/>
                <w14:ligatures w14:val="standardContextual"/>
              </w:rPr>
            </w:pPr>
            <w:r>
              <w:rPr>
                <w:rFonts w:hint="eastAsia" w:ascii="宋体" w:hAnsi="宋体"/>
                <w:szCs w:val="21"/>
              </w:rPr>
              <w:t>农学</w:t>
            </w:r>
          </w:p>
        </w:tc>
        <w:tc>
          <w:tcPr>
            <w:tcW w:w="3643" w:type="dxa"/>
            <w:shd w:val="clear" w:color="auto" w:fill="auto"/>
            <w:vAlign w:val="center"/>
          </w:tcPr>
          <w:p w14:paraId="6CFA6EDD">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Arial" w:cs="Arial"/>
                <w:snapToGrid w:val="0"/>
                <w:color w:val="000000"/>
                <w:kern w:val="0"/>
                <w:sz w:val="21"/>
                <w:szCs w:val="21"/>
                <w:lang w:val="en-US" w:eastAsia="zh-CN" w:bidi="ar-SA"/>
                <w14:ligatures w14:val="standardContextual"/>
              </w:rPr>
            </w:pPr>
            <w:r>
              <w:rPr>
                <w:rFonts w:hint="eastAsia" w:ascii="宋体" w:hAnsi="宋体"/>
                <w:szCs w:val="21"/>
              </w:rPr>
              <w:t>蒙草生态环境（集团）股份有限公司</w:t>
            </w:r>
          </w:p>
        </w:tc>
      </w:tr>
      <w:tr w14:paraId="06756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141" w:type="dxa"/>
            <w:shd w:val="clear" w:color="auto" w:fill="auto"/>
            <w:vAlign w:val="center"/>
          </w:tcPr>
          <w:p w14:paraId="356D0F00">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Arial" w:cs="Arial"/>
                <w:snapToGrid w:val="0"/>
                <w:color w:val="000000"/>
                <w:kern w:val="0"/>
                <w:sz w:val="21"/>
                <w:szCs w:val="21"/>
                <w:lang w:val="en-US" w:eastAsia="zh-CN" w:bidi="ar-SA"/>
                <w14:ligatures w14:val="standardContextual"/>
              </w:rPr>
            </w:pPr>
            <w:r>
              <w:rPr>
                <w:rFonts w:hint="eastAsia" w:ascii="宋体" w:hAnsi="宋体"/>
                <w:szCs w:val="21"/>
              </w:rPr>
              <w:t>冯彩霞</w:t>
            </w:r>
          </w:p>
        </w:tc>
        <w:tc>
          <w:tcPr>
            <w:tcW w:w="1573" w:type="dxa"/>
            <w:shd w:val="clear" w:color="auto" w:fill="auto"/>
            <w:vAlign w:val="center"/>
          </w:tcPr>
          <w:p w14:paraId="2112B1C8">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Arial" w:cs="Arial"/>
                <w:snapToGrid w:val="0"/>
                <w:color w:val="000000"/>
                <w:kern w:val="0"/>
                <w:sz w:val="21"/>
                <w:szCs w:val="21"/>
                <w:lang w:val="en-US" w:eastAsia="zh-CN" w:bidi="ar-SA"/>
                <w14:ligatures w14:val="standardContextual"/>
              </w:rPr>
            </w:pPr>
            <w:r>
              <w:rPr>
                <w:rFonts w:hint="eastAsia" w:ascii="宋体" w:hAnsi="宋体" w:eastAsia="宋体"/>
                <w:szCs w:val="21"/>
                <w:lang w:val="en-US" w:eastAsia="zh-CN"/>
              </w:rPr>
              <w:t>中级</w:t>
            </w:r>
            <w:r>
              <w:rPr>
                <w:rFonts w:hint="eastAsia" w:ascii="宋体" w:hAnsi="宋体"/>
                <w:szCs w:val="21"/>
              </w:rPr>
              <w:t>工程师</w:t>
            </w:r>
          </w:p>
        </w:tc>
        <w:tc>
          <w:tcPr>
            <w:tcW w:w="2366" w:type="dxa"/>
            <w:shd w:val="clear" w:color="auto" w:fill="auto"/>
            <w:vAlign w:val="center"/>
          </w:tcPr>
          <w:p w14:paraId="009D1F48">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Arial" w:cs="Arial"/>
                <w:snapToGrid w:val="0"/>
                <w:color w:val="000000"/>
                <w:kern w:val="0"/>
                <w:sz w:val="21"/>
                <w:szCs w:val="21"/>
                <w:lang w:val="en-US" w:eastAsia="zh-CN" w:bidi="ar-SA"/>
                <w14:ligatures w14:val="standardContextual"/>
              </w:rPr>
            </w:pPr>
            <w:r>
              <w:rPr>
                <w:rFonts w:hint="eastAsia" w:ascii="宋体" w:hAnsi="宋体"/>
                <w:szCs w:val="21"/>
              </w:rPr>
              <w:t>生态学</w:t>
            </w:r>
          </w:p>
        </w:tc>
        <w:tc>
          <w:tcPr>
            <w:tcW w:w="3643" w:type="dxa"/>
            <w:shd w:val="clear" w:color="auto" w:fill="auto"/>
            <w:vAlign w:val="center"/>
          </w:tcPr>
          <w:p w14:paraId="58D05981">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Arial" w:cs="Arial"/>
                <w:snapToGrid w:val="0"/>
                <w:color w:val="000000"/>
                <w:kern w:val="0"/>
                <w:sz w:val="21"/>
                <w:szCs w:val="21"/>
                <w:lang w:val="en-US" w:eastAsia="zh-CN" w:bidi="ar-SA"/>
                <w14:ligatures w14:val="standardContextual"/>
              </w:rPr>
            </w:pPr>
            <w:r>
              <w:rPr>
                <w:rFonts w:hint="eastAsia" w:ascii="宋体" w:hAnsi="宋体"/>
                <w:szCs w:val="21"/>
              </w:rPr>
              <w:t>蒙草生态环境（集团）股份有限公司</w:t>
            </w:r>
          </w:p>
        </w:tc>
      </w:tr>
      <w:tr w14:paraId="66399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141" w:type="dxa"/>
            <w:shd w:val="clear" w:color="auto" w:fill="auto"/>
            <w:vAlign w:val="center"/>
          </w:tcPr>
          <w:p w14:paraId="6C8C7EC1">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default" w:ascii="宋体" w:hAnsi="宋体" w:eastAsia="宋体" w:cs="Arial"/>
                <w:snapToGrid w:val="0"/>
                <w:color w:val="000000"/>
                <w:kern w:val="0"/>
                <w:sz w:val="21"/>
                <w:szCs w:val="21"/>
                <w:lang w:val="en-US" w:eastAsia="zh-CN" w:bidi="ar-SA"/>
                <w14:ligatures w14:val="standardContextual"/>
              </w:rPr>
            </w:pPr>
            <w:r>
              <w:rPr>
                <w:rFonts w:hint="eastAsia" w:ascii="宋体" w:hAnsi="宋体" w:eastAsia="宋体"/>
                <w:szCs w:val="21"/>
                <w:lang w:val="en-US" w:eastAsia="zh-CN"/>
              </w:rPr>
              <w:t>荆莹</w:t>
            </w:r>
          </w:p>
        </w:tc>
        <w:tc>
          <w:tcPr>
            <w:tcW w:w="1573" w:type="dxa"/>
            <w:shd w:val="clear" w:color="auto" w:fill="auto"/>
            <w:vAlign w:val="center"/>
          </w:tcPr>
          <w:p w14:paraId="3277652B">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宋体" w:cs="Arial"/>
                <w:snapToGrid w:val="0"/>
                <w:color w:val="000000"/>
                <w:kern w:val="0"/>
                <w:sz w:val="21"/>
                <w:szCs w:val="21"/>
                <w:lang w:val="en-US" w:eastAsia="zh-CN" w:bidi="ar-SA"/>
                <w14:ligatures w14:val="standardContextual"/>
              </w:rPr>
            </w:pPr>
            <w:r>
              <w:rPr>
                <w:rFonts w:hint="eastAsia" w:ascii="宋体" w:hAnsi="宋体" w:eastAsia="宋体"/>
                <w:szCs w:val="21"/>
                <w:lang w:val="en-US" w:eastAsia="zh-CN"/>
              </w:rPr>
              <w:t>中级工程师</w:t>
            </w:r>
          </w:p>
        </w:tc>
        <w:tc>
          <w:tcPr>
            <w:tcW w:w="2366" w:type="dxa"/>
            <w:shd w:val="clear" w:color="auto" w:fill="auto"/>
            <w:vAlign w:val="center"/>
          </w:tcPr>
          <w:p w14:paraId="7520B5AF">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default" w:ascii="宋体" w:hAnsi="宋体" w:eastAsia="宋体" w:cs="Arial"/>
                <w:snapToGrid w:val="0"/>
                <w:color w:val="000000"/>
                <w:kern w:val="0"/>
                <w:sz w:val="21"/>
                <w:szCs w:val="21"/>
                <w:lang w:val="en-US" w:eastAsia="zh-CN" w:bidi="ar-SA"/>
                <w14:ligatures w14:val="standardContextual"/>
              </w:rPr>
            </w:pPr>
            <w:r>
              <w:rPr>
                <w:rFonts w:hint="eastAsia" w:ascii="宋体" w:hAnsi="宋体" w:eastAsia="宋体" w:cs="Arial"/>
                <w:snapToGrid w:val="0"/>
                <w:color w:val="000000"/>
                <w:kern w:val="0"/>
                <w:sz w:val="21"/>
                <w:szCs w:val="21"/>
                <w:lang w:val="en-US" w:eastAsia="zh-CN" w:bidi="ar-SA"/>
              </w:rPr>
              <w:t>环境工程</w:t>
            </w:r>
          </w:p>
        </w:tc>
        <w:tc>
          <w:tcPr>
            <w:tcW w:w="3643" w:type="dxa"/>
            <w:shd w:val="clear" w:color="auto" w:fill="auto"/>
            <w:vAlign w:val="center"/>
          </w:tcPr>
          <w:p w14:paraId="0CC4D8E7">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Arial" w:cs="Arial"/>
                <w:snapToGrid w:val="0"/>
                <w:color w:val="000000"/>
                <w:kern w:val="0"/>
                <w:sz w:val="21"/>
                <w:szCs w:val="21"/>
                <w:lang w:val="en-US" w:eastAsia="zh-CN" w:bidi="ar-SA"/>
                <w14:ligatures w14:val="standardContextual"/>
              </w:rPr>
            </w:pPr>
            <w:r>
              <w:rPr>
                <w:rFonts w:hint="eastAsia" w:ascii="宋体" w:hAnsi="宋体"/>
                <w:szCs w:val="21"/>
              </w:rPr>
              <w:t>蒙草生态环境（集团）股份有限公司</w:t>
            </w:r>
          </w:p>
        </w:tc>
      </w:tr>
      <w:tr w14:paraId="7AF4D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141" w:type="dxa"/>
            <w:shd w:val="clear" w:color="auto" w:fill="auto"/>
            <w:vAlign w:val="center"/>
          </w:tcPr>
          <w:p w14:paraId="1D620F4A">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宋体" w:cstheme="minorBidi"/>
                <w:kern w:val="2"/>
                <w:sz w:val="22"/>
                <w:szCs w:val="21"/>
                <w:lang w:val="en-US" w:eastAsia="zh-CN" w:bidi="ar-SA"/>
                <w14:ligatures w14:val="standardContextual"/>
              </w:rPr>
            </w:pPr>
            <w:r>
              <w:rPr>
                <w:rFonts w:hint="eastAsia" w:ascii="宋体" w:hAnsi="宋体" w:eastAsia="宋体"/>
                <w:szCs w:val="21"/>
                <w:lang w:val="en-US" w:eastAsia="zh-CN"/>
              </w:rPr>
              <w:t>周颖</w:t>
            </w:r>
          </w:p>
        </w:tc>
        <w:tc>
          <w:tcPr>
            <w:tcW w:w="1573" w:type="dxa"/>
            <w:shd w:val="clear" w:color="auto" w:fill="auto"/>
            <w:vAlign w:val="center"/>
          </w:tcPr>
          <w:p w14:paraId="7B424DEA">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宋体" w:cstheme="minorBidi"/>
                <w:kern w:val="2"/>
                <w:sz w:val="22"/>
                <w:szCs w:val="21"/>
                <w:lang w:val="en-US" w:eastAsia="zh-CN" w:bidi="ar-SA"/>
                <w14:ligatures w14:val="standardContextual"/>
              </w:rPr>
            </w:pPr>
            <w:r>
              <w:rPr>
                <w:rFonts w:hint="eastAsia" w:ascii="宋体" w:hAnsi="宋体" w:eastAsia="宋体"/>
                <w:szCs w:val="21"/>
                <w:lang w:val="en-US" w:eastAsia="zh-CN"/>
              </w:rPr>
              <w:t>中级工程师</w:t>
            </w:r>
          </w:p>
        </w:tc>
        <w:tc>
          <w:tcPr>
            <w:tcW w:w="2366" w:type="dxa"/>
            <w:shd w:val="clear" w:color="auto" w:fill="auto"/>
            <w:vAlign w:val="center"/>
          </w:tcPr>
          <w:p w14:paraId="75066E8D">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宋体" w:cs="Arial"/>
                <w:snapToGrid w:val="0"/>
                <w:color w:val="000000"/>
                <w:kern w:val="0"/>
                <w:sz w:val="21"/>
                <w:szCs w:val="21"/>
                <w:lang w:val="en-US" w:eastAsia="zh-CN" w:bidi="ar-SA"/>
                <w14:ligatures w14:val="standardContextual"/>
              </w:rPr>
            </w:pPr>
            <w:r>
              <w:rPr>
                <w:rFonts w:hint="eastAsia" w:ascii="宋体" w:hAnsi="宋体" w:eastAsia="宋体" w:cs="Arial"/>
                <w:snapToGrid w:val="0"/>
                <w:color w:val="000000"/>
                <w:kern w:val="0"/>
                <w:sz w:val="21"/>
                <w:szCs w:val="21"/>
                <w:lang w:val="en-US" w:eastAsia="zh-CN" w:bidi="ar-SA"/>
              </w:rPr>
              <w:t>生态学</w:t>
            </w:r>
          </w:p>
        </w:tc>
        <w:tc>
          <w:tcPr>
            <w:tcW w:w="3643" w:type="dxa"/>
            <w:shd w:val="clear" w:color="auto" w:fill="auto"/>
            <w:vAlign w:val="center"/>
          </w:tcPr>
          <w:tbl>
            <w:tblPr>
              <w:tblStyle w:val="6"/>
              <w:tblW w:w="87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3"/>
            </w:tblGrid>
            <w:tr w14:paraId="041B8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5" w:hRule="atLeast"/>
                <w:jc w:val="center"/>
              </w:trPr>
              <w:tc>
                <w:tcPr>
                  <w:tcW w:w="3643" w:type="dxa"/>
                  <w:shd w:val="clear" w:color="auto" w:fill="auto"/>
                  <w:vAlign w:val="center"/>
                </w:tcPr>
                <w:p w14:paraId="38422F33">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Arial" w:cs="Arial"/>
                      <w:snapToGrid w:val="0"/>
                      <w:color w:val="000000"/>
                      <w:kern w:val="0"/>
                      <w:sz w:val="21"/>
                      <w:szCs w:val="21"/>
                      <w:lang w:val="en-US" w:eastAsia="zh-CN" w:bidi="ar-SA"/>
                      <w14:ligatures w14:val="standardContextual"/>
                    </w:rPr>
                  </w:pPr>
                  <w:r>
                    <w:rPr>
                      <w:rFonts w:hint="eastAsia" w:ascii="宋体" w:hAnsi="宋体"/>
                      <w:szCs w:val="21"/>
                    </w:rPr>
                    <w:t>蒙草生态环境（集团）股份有限公司</w:t>
                  </w:r>
                </w:p>
              </w:tc>
            </w:tr>
          </w:tbl>
          <w:p w14:paraId="143FDF77">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Theme="minorEastAsia" w:cstheme="minorBidi"/>
                <w:kern w:val="2"/>
                <w:sz w:val="22"/>
                <w:szCs w:val="21"/>
                <w:lang w:val="en-US" w:eastAsia="zh-CN" w:bidi="ar-SA"/>
                <w14:ligatures w14:val="standardContextual"/>
              </w:rPr>
            </w:pPr>
          </w:p>
        </w:tc>
      </w:tr>
    </w:tbl>
    <w:p w14:paraId="66DFF22D">
      <w:pPr>
        <w:pStyle w:val="2"/>
        <w:numPr>
          <w:ilvl w:val="0"/>
          <w:numId w:val="0"/>
        </w:numPr>
        <w:rPr>
          <w:rFonts w:hint="eastAsia"/>
          <w:lang w:val="en-US" w:eastAsia="zh-CN"/>
        </w:rPr>
      </w:pPr>
    </w:p>
    <w:p w14:paraId="4F6735B1">
      <w:pPr>
        <w:pStyle w:val="9"/>
        <w:numPr>
          <w:ilvl w:val="0"/>
          <w:numId w:val="3"/>
        </w:numPr>
        <w:ind w:firstLineChars="0"/>
        <w:rPr>
          <w:rFonts w:ascii="黑体" w:hAnsi="黑体" w:eastAsia="黑体"/>
          <w:sz w:val="32"/>
          <w:szCs w:val="32"/>
        </w:rPr>
      </w:pPr>
      <w:r>
        <w:rPr>
          <w:rFonts w:ascii="黑体" w:hAnsi="黑体" w:eastAsia="黑体"/>
          <w:sz w:val="32"/>
          <w:szCs w:val="32"/>
        </w:rPr>
        <w:t>制定标准的目的和意义</w:t>
      </w:r>
    </w:p>
    <w:p w14:paraId="0A5D0B7F">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（一）立项意义</w:t>
      </w:r>
    </w:p>
    <w:p w14:paraId="01CD7E2A">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“三北”地区是我国草原主要分布区，</w:t>
      </w:r>
      <w:r>
        <w:rPr>
          <w:rFonts w:hint="default" w:ascii="仿宋" w:hAnsi="仿宋" w:eastAsia="仿宋"/>
          <w:sz w:val="32"/>
          <w:szCs w:val="32"/>
          <w:lang w:val="en-US" w:eastAsia="zh-CN"/>
        </w:rPr>
        <w:t>在</w:t>
      </w:r>
      <w:r>
        <w:rPr>
          <w:rFonts w:hint="eastAsia" w:ascii="仿宋" w:hAnsi="仿宋" w:eastAsia="仿宋"/>
          <w:sz w:val="32"/>
          <w:szCs w:val="32"/>
          <w:lang w:val="en-US" w:eastAsia="zh-CN"/>
        </w:rPr>
        <w:t>构筑国家生态屏障</w:t>
      </w:r>
      <w:r>
        <w:rPr>
          <w:rFonts w:hint="default" w:ascii="仿宋" w:hAnsi="仿宋" w:eastAsia="仿宋"/>
          <w:sz w:val="32"/>
          <w:szCs w:val="32"/>
          <w:lang w:val="en-US" w:eastAsia="zh-CN"/>
        </w:rPr>
        <w:t>、</w:t>
      </w:r>
      <w:r>
        <w:rPr>
          <w:rFonts w:hint="eastAsia" w:ascii="仿宋" w:hAnsi="仿宋" w:eastAsia="仿宋"/>
          <w:sz w:val="32"/>
          <w:szCs w:val="32"/>
          <w:lang w:val="en-US" w:eastAsia="zh-CN"/>
        </w:rPr>
        <w:t>边疆稳定、</w:t>
      </w:r>
      <w:r>
        <w:rPr>
          <w:rFonts w:hint="default" w:ascii="仿宋" w:hAnsi="仿宋" w:eastAsia="仿宋"/>
          <w:sz w:val="32"/>
          <w:szCs w:val="32"/>
          <w:lang w:val="en-US" w:eastAsia="zh-CN"/>
        </w:rPr>
        <w:t>经济社会可持续发展等方面具有战</w:t>
      </w:r>
      <w:r>
        <w:rPr>
          <w:rFonts w:hint="eastAsia" w:ascii="仿宋" w:hAnsi="仿宋" w:eastAsia="仿宋"/>
          <w:sz w:val="32"/>
          <w:szCs w:val="32"/>
          <w:lang w:val="en-US" w:eastAsia="zh-CN"/>
        </w:rPr>
        <w:t>略性作用。受气候变化等自然因素和长期过度利用等人为扰动因素，荒漠化、风沙危害和水土流失导致的生态灾害，威胁着国家</w:t>
      </w:r>
      <w:r>
        <w:rPr>
          <w:rFonts w:hint="default" w:ascii="仿宋" w:hAnsi="仿宋" w:eastAsia="仿宋"/>
          <w:sz w:val="32"/>
          <w:szCs w:val="32"/>
          <w:lang w:val="en-US" w:eastAsia="zh-CN"/>
        </w:rPr>
        <w:t>生态安全</w:t>
      </w:r>
      <w:r>
        <w:rPr>
          <w:rFonts w:hint="eastAsia" w:ascii="仿宋" w:hAnsi="仿宋" w:eastAsia="仿宋"/>
          <w:sz w:val="32"/>
          <w:szCs w:val="32"/>
          <w:lang w:val="en-US" w:eastAsia="zh-CN"/>
        </w:rPr>
        <w:t>，制约着地区经济社会发展。国家启动实施的“三北”防护林体系建设工程、草原生态修复工程，大规模推进沙化土地治理，有效遏制了土地沙化趋势。但目前在草原生态保护修复方面仍存在自然生态本底脆弱，人、草、畜等矛盾尚未得到根本解决，草原生态总体恶化局面尚未得到根本扭转，草原退化、沙化、盐渍化危及到三北地区的生态环境以及社会经济的可持续发展。</w:t>
      </w:r>
    </w:p>
    <w:p w14:paraId="68372A35">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近年，在落实习近平总书记推进“三北”等重点生态工程的重大战略部署中，突出三大标志性战役等治理重点，以筑牢我国北方重要生态安全屏障为根本目标，采取低成本、高效率的技术措施，修复治理退化、沙化、盐渍化草地，对于打赢三北地区“三大战役”，维护国家生态安全和食物安全、维护边疆稳定等方面都具有重要的战略意义。</w:t>
      </w:r>
    </w:p>
    <w:p w14:paraId="5BE61C59">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（二）目的及必要性</w:t>
      </w:r>
    </w:p>
    <w:p w14:paraId="5EB9FE67">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退化沙化草原修复一项重要的技术措施是草地补播。补播是在原有植被稀疏或过牧退化的草地上播种一些适应性强、饲用价值高的草种，以增加草群种类、增加覆盖度、提高产量与质量。补播方法主要有人力撒播、畜力补播、机具补播、飞机补播等。1979年，我国开始尝试用飞机播种林草种子。采用飞机播种的方式可从一定航高均匀撒播种子，具工效高、成本低，便于在面积较大、地形较复杂的退化草地实施等优点。</w:t>
      </w:r>
      <w:r>
        <w:rPr>
          <w:rFonts w:hint="eastAsia" w:ascii="仿宋" w:hAnsi="仿宋" w:eastAsia="仿宋"/>
          <w:sz w:val="32"/>
          <w:szCs w:val="32"/>
          <w:lang w:val="en-US" w:eastAsia="en-US"/>
        </w:rPr>
        <w:t>从</w:t>
      </w:r>
      <w:r>
        <w:rPr>
          <w:rFonts w:hint="eastAsia" w:ascii="仿宋" w:hAnsi="仿宋" w:eastAsia="仿宋"/>
          <w:sz w:val="32"/>
          <w:szCs w:val="32"/>
          <w:lang w:val="en-US" w:eastAsia="zh-CN"/>
        </w:rPr>
        <w:t>飞播</w:t>
      </w:r>
      <w:r>
        <w:rPr>
          <w:rFonts w:hint="eastAsia" w:ascii="仿宋" w:hAnsi="仿宋" w:eastAsia="仿宋"/>
          <w:sz w:val="32"/>
          <w:szCs w:val="32"/>
          <w:lang w:val="en-US" w:eastAsia="en-US"/>
        </w:rPr>
        <w:t>实施到现在</w:t>
      </w:r>
      <w:r>
        <w:rPr>
          <w:rFonts w:hint="eastAsia" w:ascii="仿宋" w:hAnsi="仿宋" w:eastAsia="仿宋"/>
          <w:sz w:val="32"/>
          <w:szCs w:val="32"/>
          <w:lang w:val="en-US" w:eastAsia="zh-CN"/>
        </w:rPr>
        <w:t xml:space="preserve">40多年来，曾发布了《飞机播种牧草技术规程》DB15/T31-92、《飞播造林技术规程》GB/T 15162-2018、《飞播种草技术规范》NY/T </w:t>
      </w:r>
      <w:bookmarkStart w:id="0" w:name="_Hlk161152552"/>
      <w:r>
        <w:rPr>
          <w:rFonts w:hint="eastAsia" w:ascii="仿宋" w:hAnsi="仿宋" w:eastAsia="仿宋"/>
          <w:sz w:val="32"/>
          <w:szCs w:val="32"/>
          <w:lang w:val="en-US" w:eastAsia="zh-CN"/>
        </w:rPr>
        <w:t>1239</w:t>
      </w:r>
      <w:bookmarkEnd w:id="0"/>
      <w:r>
        <w:rPr>
          <w:rFonts w:hint="eastAsia" w:ascii="仿宋" w:hAnsi="仿宋" w:eastAsia="仿宋"/>
          <w:sz w:val="32"/>
          <w:szCs w:val="32"/>
          <w:lang w:val="en-US" w:eastAsia="zh-CN"/>
        </w:rPr>
        <w:t>-2006 、《飞播治沙造林技术规程》DB15/T 556-2023等国标、行标和地方标准，主要是对有人驾驶固定翼飞机播种进行了规范化。</w:t>
      </w:r>
    </w:p>
    <w:p w14:paraId="3F224FEF">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2015年，国内首次出现了农用无人机播撒系统。一台高质量的无人机能够提供稳定的携荷能力和长时间的续航能力，同时还具备智能控制、断点续航、自动避障、轨迹记录、播种实时监控等功能。无人机播种具有灵活、适应性广、起降方便、全自主飞行、使用及维护简单等优点，可提高实施生态修复补播灌草种子的轻简化和智能化水平。在无人机飞播技术越来越发展的今天，无人机播撒作业已是一个巨大的市场。已有有人驾驶固定翼飞机播种标准的</w:t>
      </w:r>
      <w:r>
        <w:rPr>
          <w:rFonts w:hint="eastAsia" w:ascii="仿宋" w:hAnsi="仿宋" w:eastAsia="仿宋"/>
          <w:sz w:val="32"/>
          <w:szCs w:val="32"/>
          <w:lang w:val="en-US" w:eastAsia="en-US"/>
        </w:rPr>
        <w:t>部分指标、依据已不适应</w:t>
      </w:r>
      <w:r>
        <w:rPr>
          <w:rFonts w:hint="eastAsia" w:ascii="仿宋" w:hAnsi="仿宋" w:eastAsia="仿宋"/>
          <w:sz w:val="32"/>
          <w:szCs w:val="32"/>
          <w:lang w:val="en-US" w:eastAsia="zh-CN"/>
        </w:rPr>
        <w:t>无人机播种的要求，鉴于当前“三北”地区防沙治沙应用无人机飞播灌草的市场需求，编制《无人机飞播灌草技术规程》，规范无人机播种的作业要求、作业流程、飞播效果调查与管护等方面的指标与内容，对于实施三北工程“三大战役”有重要的现实作用。</w:t>
      </w:r>
    </w:p>
    <w:p w14:paraId="0239AF3E">
      <w:pPr>
        <w:pStyle w:val="9"/>
        <w:numPr>
          <w:ilvl w:val="0"/>
          <w:numId w:val="3"/>
        </w:numPr>
        <w:ind w:firstLineChars="0"/>
        <w:rPr>
          <w:rFonts w:ascii="黑体" w:hAnsi="黑体" w:eastAsia="黑体"/>
          <w:sz w:val="32"/>
          <w:szCs w:val="32"/>
        </w:rPr>
      </w:pPr>
      <w:r>
        <w:rPr>
          <w:rFonts w:ascii="黑体" w:hAnsi="黑体" w:eastAsia="黑体"/>
          <w:sz w:val="32"/>
          <w:szCs w:val="32"/>
        </w:rPr>
        <w:t>编制过程</w:t>
      </w:r>
    </w:p>
    <w:p w14:paraId="34A82B11">
      <w:pPr>
        <w:numPr>
          <w:ilvl w:val="0"/>
          <w:numId w:val="5"/>
        </w:numPr>
        <w:rPr>
          <w:rFonts w:ascii="仿宋" w:hAnsi="仿宋" w:eastAsia="仿宋"/>
          <w:sz w:val="32"/>
          <w:szCs w:val="32"/>
        </w:rPr>
      </w:pPr>
      <w:r>
        <w:rPr>
          <w:rFonts w:ascii="仿宋" w:hAnsi="仿宋" w:eastAsia="仿宋"/>
          <w:sz w:val="32"/>
          <w:szCs w:val="32"/>
        </w:rPr>
        <w:t>分工情况</w:t>
      </w:r>
    </w:p>
    <w:p w14:paraId="359EC3B1">
      <w:pPr>
        <w:numPr>
          <w:ilvl w:val="0"/>
          <w:numId w:val="0"/>
        </w:numPr>
        <w:ind w:firstLine="640" w:firstLineChars="200"/>
        <w:rPr>
          <w:rFonts w:hint="default" w:ascii="仿宋" w:hAnsi="仿宋" w:eastAsia="仿宋"/>
          <w:sz w:val="32"/>
          <w:szCs w:val="32"/>
          <w:lang w:val="en-US"/>
        </w:rPr>
      </w:pPr>
      <w:r>
        <w:rPr>
          <w:rFonts w:hint="eastAsia" w:ascii="仿宋" w:hAnsi="仿宋" w:eastAsia="仿宋"/>
          <w:sz w:val="32"/>
          <w:szCs w:val="32"/>
          <w:lang w:val="en-US" w:eastAsia="zh-CN"/>
        </w:rPr>
        <w:t>本标准获批后，标准编制负责人召开会议，对承担标准编制的相关研发人员和应用无人机飞播的工程技术人员进行了分工。</w:t>
      </w:r>
    </w:p>
    <w:p w14:paraId="61AAC124">
      <w:pPr>
        <w:spacing w:line="276" w:lineRule="auto"/>
        <w:jc w:val="center"/>
        <w:rPr>
          <w:rFonts w:ascii="黑体" w:hAnsi="黑体" w:eastAsia="黑体"/>
          <w:bCs/>
          <w:sz w:val="28"/>
          <w:szCs w:val="28"/>
        </w:rPr>
      </w:pPr>
      <w:r>
        <w:rPr>
          <w:rFonts w:hint="eastAsia" w:ascii="黑体" w:hAnsi="黑体" w:eastAsia="黑体"/>
          <w:bCs/>
          <w:sz w:val="24"/>
          <w:lang w:val="en-US" w:eastAsia="zh-CN"/>
        </w:rPr>
        <w:t xml:space="preserve"> </w:t>
      </w:r>
      <w:r>
        <w:rPr>
          <w:rFonts w:hint="eastAsia" w:ascii="黑体" w:hAnsi="黑体" w:eastAsia="黑体"/>
          <w:bCs/>
          <w:sz w:val="24"/>
        </w:rPr>
        <w:t>表</w:t>
      </w:r>
      <w:r>
        <w:rPr>
          <w:rFonts w:hint="eastAsia" w:ascii="黑体" w:hAnsi="黑体" w:eastAsia="黑体"/>
          <w:bCs/>
          <w:sz w:val="24"/>
          <w:lang w:val="en-US" w:eastAsia="zh-CN"/>
        </w:rPr>
        <w:t>2</w:t>
      </w:r>
      <w:r>
        <w:rPr>
          <w:rFonts w:hint="eastAsia" w:ascii="黑体" w:hAnsi="黑体" w:eastAsia="黑体"/>
          <w:bCs/>
          <w:sz w:val="24"/>
        </w:rPr>
        <w:t xml:space="preserve"> 起草小组成员</w:t>
      </w:r>
      <w:r>
        <w:rPr>
          <w:rFonts w:hint="eastAsia" w:ascii="黑体" w:hAnsi="黑体" w:eastAsia="黑体"/>
          <w:bCs/>
          <w:sz w:val="24"/>
          <w:lang w:val="en-US" w:eastAsia="zh-CN"/>
        </w:rPr>
        <w:t>分工</w:t>
      </w:r>
      <w:r>
        <w:rPr>
          <w:rFonts w:hint="eastAsia" w:ascii="黑体" w:hAnsi="黑体" w:eastAsia="黑体"/>
          <w:bCs/>
          <w:sz w:val="24"/>
        </w:rPr>
        <w:t>表</w:t>
      </w:r>
    </w:p>
    <w:tbl>
      <w:tblPr>
        <w:tblStyle w:val="6"/>
        <w:tblW w:w="81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64" w:type="dxa"/>
          <w:left w:w="128" w:type="dxa"/>
          <w:bottom w:w="64" w:type="dxa"/>
          <w:right w:w="128" w:type="dxa"/>
        </w:tblCellMar>
      </w:tblPr>
      <w:tblGrid>
        <w:gridCol w:w="1641"/>
        <w:gridCol w:w="6509"/>
      </w:tblGrid>
      <w:tr w14:paraId="473DB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4" w:type="dxa"/>
            <w:left w:w="128" w:type="dxa"/>
            <w:bottom w:w="64" w:type="dxa"/>
            <w:right w:w="128" w:type="dxa"/>
          </w:tblCellMar>
        </w:tblPrEx>
        <w:trPr>
          <w:trHeight w:val="0" w:hRule="atLeast"/>
          <w:tblHeader/>
          <w:jc w:val="center"/>
        </w:trPr>
        <w:tc>
          <w:tcPr>
            <w:tcW w:w="1641" w:type="dxa"/>
            <w:vAlign w:val="center"/>
          </w:tcPr>
          <w:p w14:paraId="31B93BAE">
            <w:pPr>
              <w:keepNext w:val="0"/>
              <w:keepLines w:val="0"/>
              <w:pageBreakBefore w:val="0"/>
              <w:wordWrap/>
              <w:overflowPunct/>
              <w:topLinePunct w:val="0"/>
              <w:bidi w:val="0"/>
              <w:snapToGrid w:val="0"/>
              <w:spacing w:line="360" w:lineRule="exact"/>
              <w:jc w:val="center"/>
              <w:rPr>
                <w:rFonts w:hint="eastAsia" w:ascii="宋体" w:hAnsi="宋体" w:eastAsiaTheme="minorEastAsia"/>
                <w:b/>
                <w:sz w:val="22"/>
                <w:szCs w:val="22"/>
                <w:lang w:val="en-US" w:eastAsia="zh-CN"/>
              </w:rPr>
            </w:pPr>
            <w:r>
              <w:rPr>
                <w:rFonts w:hint="eastAsia" w:ascii="宋体" w:hAnsi="宋体"/>
                <w:b/>
                <w:sz w:val="22"/>
                <w:szCs w:val="22"/>
                <w:lang w:val="en-US" w:eastAsia="zh-CN"/>
              </w:rPr>
              <w:t>人员</w:t>
            </w:r>
          </w:p>
        </w:tc>
        <w:tc>
          <w:tcPr>
            <w:tcW w:w="6509" w:type="dxa"/>
            <w:vAlign w:val="center"/>
          </w:tcPr>
          <w:p w14:paraId="7012B2F5">
            <w:pPr>
              <w:keepNext w:val="0"/>
              <w:keepLines w:val="0"/>
              <w:pageBreakBefore w:val="0"/>
              <w:wordWrap/>
              <w:overflowPunct/>
              <w:topLinePunct w:val="0"/>
              <w:bidi w:val="0"/>
              <w:snapToGrid w:val="0"/>
              <w:spacing w:line="360" w:lineRule="exact"/>
              <w:ind w:left="93"/>
              <w:jc w:val="center"/>
              <w:rPr>
                <w:rFonts w:hint="default" w:ascii="宋体" w:hAnsi="宋体" w:eastAsiaTheme="minorEastAsia"/>
                <w:b/>
                <w:sz w:val="22"/>
                <w:szCs w:val="22"/>
                <w:lang w:val="en-US" w:eastAsia="zh-CN"/>
              </w:rPr>
            </w:pPr>
            <w:r>
              <w:rPr>
                <w:rFonts w:hint="eastAsia" w:ascii="宋体" w:hAnsi="宋体"/>
                <w:b/>
                <w:sz w:val="22"/>
                <w:szCs w:val="22"/>
                <w:lang w:val="en-US" w:eastAsia="zh-CN"/>
              </w:rPr>
              <w:t>分工内容</w:t>
            </w:r>
          </w:p>
        </w:tc>
      </w:tr>
      <w:tr w14:paraId="470CB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4" w:type="dxa"/>
            <w:left w:w="128" w:type="dxa"/>
            <w:bottom w:w="64" w:type="dxa"/>
            <w:right w:w="128" w:type="dxa"/>
          </w:tblCellMar>
        </w:tblPrEx>
        <w:trPr>
          <w:trHeight w:val="0" w:hRule="atLeast"/>
          <w:jc w:val="center"/>
        </w:trPr>
        <w:tc>
          <w:tcPr>
            <w:tcW w:w="1641" w:type="dxa"/>
            <w:shd w:val="clear" w:color="auto" w:fill="auto"/>
            <w:vAlign w:val="center"/>
          </w:tcPr>
          <w:p w14:paraId="354568A4">
            <w:pPr>
              <w:keepNext w:val="0"/>
              <w:keepLines w:val="0"/>
              <w:pageBreakBefore w:val="0"/>
              <w:widowControl/>
              <w:kinsoku w:val="0"/>
              <w:wordWrap/>
              <w:overflowPunct/>
              <w:topLinePunct w:val="0"/>
              <w:autoSpaceDE w:val="0"/>
              <w:autoSpaceDN w:val="0"/>
              <w:bidi w:val="0"/>
              <w:adjustRightInd w:val="0"/>
              <w:snapToGrid w:val="0"/>
              <w:spacing w:line="280" w:lineRule="exact"/>
              <w:jc w:val="center"/>
              <w:textAlignment w:val="baseline"/>
              <w:rPr>
                <w:rFonts w:hint="eastAsia" w:ascii="宋体" w:hAnsi="宋体" w:eastAsia="等线" w:cs="宋体"/>
                <w:kern w:val="2"/>
                <w:sz w:val="22"/>
                <w:szCs w:val="21"/>
                <w:lang w:val="en-US" w:eastAsia="zh-CN" w:bidi="ar-SA"/>
                <w14:ligatures w14:val="standardContextual"/>
              </w:rPr>
            </w:pPr>
            <w:r>
              <w:rPr>
                <w:rFonts w:hint="eastAsia" w:ascii="宋体" w:hAnsi="宋体" w:eastAsia="等线" w:cs="宋体"/>
                <w:sz w:val="22"/>
                <w:szCs w:val="21"/>
              </w:rPr>
              <w:t>王召明</w:t>
            </w:r>
          </w:p>
        </w:tc>
        <w:tc>
          <w:tcPr>
            <w:tcW w:w="6509" w:type="dxa"/>
            <w:shd w:val="clear" w:color="auto" w:fill="auto"/>
            <w:vAlign w:val="center"/>
          </w:tcPr>
          <w:p w14:paraId="6E543376">
            <w:pPr>
              <w:keepNext w:val="0"/>
              <w:keepLines w:val="0"/>
              <w:pageBreakBefore w:val="0"/>
              <w:widowControl/>
              <w:kinsoku w:val="0"/>
              <w:wordWrap/>
              <w:overflowPunct/>
              <w:topLinePunct w:val="0"/>
              <w:autoSpaceDE w:val="0"/>
              <w:autoSpaceDN w:val="0"/>
              <w:bidi w:val="0"/>
              <w:adjustRightInd w:val="0"/>
              <w:snapToGrid w:val="0"/>
              <w:spacing w:line="280" w:lineRule="exact"/>
              <w:ind w:firstLine="440" w:firstLineChars="200"/>
              <w:jc w:val="left"/>
              <w:textAlignment w:val="baseline"/>
              <w:rPr>
                <w:rFonts w:hint="default" w:ascii="宋体" w:hAnsi="宋体" w:eastAsia="等线" w:cs="宋体"/>
                <w:kern w:val="2"/>
                <w:sz w:val="22"/>
                <w:szCs w:val="21"/>
                <w:lang w:val="en-US" w:eastAsia="zh-CN" w:bidi="ar-SA"/>
                <w14:ligatures w14:val="standardContextual"/>
              </w:rPr>
            </w:pPr>
            <w:r>
              <w:rPr>
                <w:rFonts w:hint="eastAsia" w:ascii="宋体" w:hAnsi="宋体" w:eastAsia="等线" w:cs="宋体"/>
                <w:kern w:val="2"/>
                <w:sz w:val="22"/>
                <w:szCs w:val="21"/>
                <w:lang w:val="en-US" w:eastAsia="zh-CN" w:bidi="ar-SA"/>
                <w14:ligatures w14:val="standardContextual"/>
              </w:rPr>
              <w:t>标准编制负责人，组织编制小组、召集会议，安排分工和编写计划，设计、审查标准编制内容，督查进度。</w:t>
            </w:r>
          </w:p>
        </w:tc>
      </w:tr>
      <w:tr w14:paraId="55DE9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4" w:type="dxa"/>
            <w:left w:w="128" w:type="dxa"/>
            <w:bottom w:w="64" w:type="dxa"/>
            <w:right w:w="128" w:type="dxa"/>
          </w:tblCellMar>
        </w:tblPrEx>
        <w:trPr>
          <w:trHeight w:val="0" w:hRule="atLeast"/>
          <w:jc w:val="center"/>
        </w:trPr>
        <w:tc>
          <w:tcPr>
            <w:tcW w:w="1641" w:type="dxa"/>
            <w:shd w:val="clear" w:color="auto" w:fill="auto"/>
            <w:vAlign w:val="center"/>
          </w:tcPr>
          <w:p w14:paraId="3C823442">
            <w:pPr>
              <w:keepNext w:val="0"/>
              <w:keepLines w:val="0"/>
              <w:pageBreakBefore w:val="0"/>
              <w:widowControl/>
              <w:kinsoku w:val="0"/>
              <w:wordWrap/>
              <w:overflowPunct/>
              <w:topLinePunct w:val="0"/>
              <w:autoSpaceDE w:val="0"/>
              <w:autoSpaceDN w:val="0"/>
              <w:bidi w:val="0"/>
              <w:adjustRightInd w:val="0"/>
              <w:snapToGrid w:val="0"/>
              <w:spacing w:line="280" w:lineRule="exact"/>
              <w:jc w:val="left"/>
              <w:textAlignment w:val="baseline"/>
              <w:rPr>
                <w:rFonts w:hint="eastAsia" w:ascii="宋体" w:hAnsi="宋体" w:eastAsia="等线" w:cs="Arial"/>
                <w:snapToGrid w:val="0"/>
                <w:color w:val="000000"/>
                <w:kern w:val="0"/>
                <w:sz w:val="22"/>
                <w:szCs w:val="21"/>
                <w:lang w:val="en-US" w:eastAsia="zh-CN" w:bidi="ar-SA"/>
                <w14:ligatures w14:val="standardContextual"/>
              </w:rPr>
            </w:pPr>
            <w:r>
              <w:rPr>
                <w:rFonts w:hint="eastAsia" w:ascii="宋体" w:hAnsi="宋体" w:eastAsia="等线" w:cs="宋体"/>
                <w:sz w:val="22"/>
                <w:szCs w:val="21"/>
              </w:rPr>
              <w:t>邢旗</w:t>
            </w:r>
            <w:r>
              <w:rPr>
                <w:rFonts w:hint="eastAsia" w:ascii="宋体" w:hAnsi="宋体" w:eastAsia="等线" w:cs="宋体"/>
                <w:sz w:val="22"/>
                <w:szCs w:val="21"/>
                <w:lang w:eastAsia="zh-CN"/>
              </w:rPr>
              <w:t>、</w:t>
            </w:r>
            <w:r>
              <w:rPr>
                <w:rFonts w:hint="eastAsia" w:ascii="宋体" w:hAnsi="宋体" w:eastAsia="等线"/>
                <w:sz w:val="22"/>
                <w:szCs w:val="21"/>
              </w:rPr>
              <w:t>陈翔</w:t>
            </w:r>
            <w:r>
              <w:rPr>
                <w:rFonts w:hint="eastAsia" w:ascii="宋体" w:hAnsi="宋体" w:eastAsia="等线"/>
                <w:sz w:val="22"/>
                <w:szCs w:val="21"/>
                <w:lang w:eastAsia="zh-CN"/>
              </w:rPr>
              <w:t>、</w:t>
            </w:r>
            <w:r>
              <w:rPr>
                <w:rFonts w:hint="eastAsia" w:ascii="宋体" w:hAnsi="宋体" w:eastAsia="等线" w:cs="宋体"/>
                <w:sz w:val="22"/>
                <w:szCs w:val="21"/>
              </w:rPr>
              <w:t>张健</w:t>
            </w:r>
            <w:r>
              <w:rPr>
                <w:rFonts w:hint="eastAsia" w:ascii="宋体" w:hAnsi="宋体" w:eastAsia="等线" w:cs="宋体"/>
                <w:sz w:val="22"/>
                <w:szCs w:val="21"/>
                <w:lang w:eastAsia="zh-CN"/>
              </w:rPr>
              <w:t>、</w:t>
            </w:r>
            <w:r>
              <w:rPr>
                <w:rFonts w:hint="eastAsia" w:ascii="宋体" w:hAnsi="宋体" w:eastAsia="等线" w:cs="宋体"/>
                <w:snapToGrid w:val="0"/>
                <w:color w:val="000000"/>
                <w:kern w:val="0"/>
                <w:sz w:val="22"/>
                <w:szCs w:val="21"/>
                <w:lang w:val="en-US" w:eastAsia="zh-CN" w:bidi="ar-SA"/>
              </w:rPr>
              <w:t>超乐萌</w:t>
            </w:r>
          </w:p>
        </w:tc>
        <w:tc>
          <w:tcPr>
            <w:tcW w:w="6509" w:type="dxa"/>
            <w:shd w:val="clear" w:color="auto" w:fill="auto"/>
            <w:vAlign w:val="center"/>
          </w:tcPr>
          <w:p w14:paraId="4EDF3EB9">
            <w:pPr>
              <w:keepNext w:val="0"/>
              <w:keepLines w:val="0"/>
              <w:pageBreakBefore w:val="0"/>
              <w:widowControl/>
              <w:kinsoku w:val="0"/>
              <w:wordWrap/>
              <w:overflowPunct/>
              <w:topLinePunct w:val="0"/>
              <w:autoSpaceDE w:val="0"/>
              <w:autoSpaceDN w:val="0"/>
              <w:bidi w:val="0"/>
              <w:adjustRightInd w:val="0"/>
              <w:snapToGrid w:val="0"/>
              <w:spacing w:line="280" w:lineRule="exact"/>
              <w:ind w:firstLine="440" w:firstLineChars="200"/>
              <w:jc w:val="left"/>
              <w:textAlignment w:val="baseline"/>
              <w:rPr>
                <w:rFonts w:hint="default" w:ascii="宋体" w:hAnsi="宋体" w:eastAsia="等线" w:cs="Arial"/>
                <w:snapToGrid w:val="0"/>
                <w:color w:val="000000"/>
                <w:kern w:val="0"/>
                <w:sz w:val="22"/>
                <w:szCs w:val="21"/>
                <w:lang w:val="en-US" w:eastAsia="zh-CN" w:bidi="ar-SA"/>
                <w14:ligatures w14:val="standardContextual"/>
              </w:rPr>
            </w:pPr>
            <w:r>
              <w:rPr>
                <w:rFonts w:hint="eastAsia" w:ascii="宋体" w:hAnsi="宋体" w:eastAsia="等线" w:cs="宋体"/>
                <w:kern w:val="2"/>
                <w:sz w:val="22"/>
                <w:szCs w:val="21"/>
                <w:lang w:val="en-US" w:eastAsia="zh-CN" w:bidi="ar-SA"/>
                <w14:ligatures w14:val="standardContextual"/>
              </w:rPr>
              <w:t>有多年修复退化、沙化、盐渍化草原的研究基础，起草过草原生态修复方面的国标、行标、地标，为本标准和编制说明编写做了大量的试验和实际调研工作，承担标准编制的主要内容。，</w:t>
            </w:r>
          </w:p>
        </w:tc>
      </w:tr>
      <w:tr w14:paraId="5871C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4" w:type="dxa"/>
            <w:left w:w="128" w:type="dxa"/>
            <w:bottom w:w="64" w:type="dxa"/>
            <w:right w:w="128" w:type="dxa"/>
          </w:tblCellMar>
        </w:tblPrEx>
        <w:trPr>
          <w:trHeight w:val="1053" w:hRule="atLeast"/>
          <w:jc w:val="center"/>
        </w:trPr>
        <w:tc>
          <w:tcPr>
            <w:tcW w:w="1641" w:type="dxa"/>
            <w:shd w:val="clear" w:color="auto" w:fill="auto"/>
            <w:vAlign w:val="center"/>
          </w:tcPr>
          <w:p w14:paraId="3A28AAEB">
            <w:pPr>
              <w:keepNext w:val="0"/>
              <w:keepLines w:val="0"/>
              <w:pageBreakBefore w:val="0"/>
              <w:widowControl/>
              <w:kinsoku w:val="0"/>
              <w:wordWrap/>
              <w:overflowPunct/>
              <w:topLinePunct w:val="0"/>
              <w:autoSpaceDE w:val="0"/>
              <w:autoSpaceDN w:val="0"/>
              <w:bidi w:val="0"/>
              <w:adjustRightInd w:val="0"/>
              <w:snapToGrid w:val="0"/>
              <w:spacing w:line="280" w:lineRule="exact"/>
              <w:jc w:val="left"/>
              <w:textAlignment w:val="baseline"/>
              <w:rPr>
                <w:rFonts w:hint="default" w:ascii="宋体" w:hAnsi="宋体" w:eastAsia="等线" w:cstheme="minorBidi"/>
                <w:kern w:val="2"/>
                <w:sz w:val="22"/>
                <w:szCs w:val="21"/>
                <w:lang w:val="en-US" w:eastAsia="zh-CN" w:bidi="ar-SA"/>
                <w14:ligatures w14:val="standardContextual"/>
              </w:rPr>
            </w:pPr>
            <w:r>
              <w:rPr>
                <w:rFonts w:hint="eastAsia" w:ascii="宋体" w:hAnsi="宋体" w:eastAsia="等线" w:cs="宋体"/>
                <w:snapToGrid w:val="0"/>
                <w:color w:val="000000"/>
                <w:kern w:val="0"/>
                <w:sz w:val="22"/>
                <w:szCs w:val="21"/>
                <w:lang w:val="en-US" w:eastAsia="zh-CN" w:bidi="ar-SA"/>
              </w:rPr>
              <w:t>王磊、</w:t>
            </w:r>
            <w:r>
              <w:rPr>
                <w:rFonts w:hint="eastAsia" w:ascii="宋体" w:hAnsi="宋体" w:eastAsia="等线" w:cs="宋体"/>
                <w:sz w:val="22"/>
                <w:szCs w:val="21"/>
                <w:lang w:val="en-US" w:eastAsia="zh-CN"/>
              </w:rPr>
              <w:t>马雨浓、吉雅图、</w:t>
            </w:r>
            <w:r>
              <w:rPr>
                <w:rFonts w:hint="eastAsia" w:ascii="宋体" w:hAnsi="宋体" w:eastAsia="等线"/>
                <w:sz w:val="22"/>
                <w:szCs w:val="21"/>
                <w:lang w:val="en-US" w:eastAsia="zh-CN"/>
              </w:rPr>
              <w:t>李江</w:t>
            </w:r>
          </w:p>
        </w:tc>
        <w:tc>
          <w:tcPr>
            <w:tcW w:w="6509" w:type="dxa"/>
            <w:shd w:val="clear" w:color="auto" w:fill="auto"/>
            <w:vAlign w:val="center"/>
          </w:tcPr>
          <w:p w14:paraId="519E9D4D">
            <w:pPr>
              <w:keepNext w:val="0"/>
              <w:keepLines w:val="0"/>
              <w:pageBreakBefore w:val="0"/>
              <w:widowControl/>
              <w:kinsoku w:val="0"/>
              <w:wordWrap/>
              <w:overflowPunct/>
              <w:topLinePunct w:val="0"/>
              <w:autoSpaceDE w:val="0"/>
              <w:autoSpaceDN w:val="0"/>
              <w:bidi w:val="0"/>
              <w:adjustRightInd w:val="0"/>
              <w:snapToGrid w:val="0"/>
              <w:spacing w:line="280" w:lineRule="exact"/>
              <w:ind w:firstLine="440" w:firstLineChars="200"/>
              <w:jc w:val="left"/>
              <w:textAlignment w:val="baseline"/>
              <w:rPr>
                <w:rFonts w:hint="default" w:ascii="宋体" w:hAnsi="宋体" w:eastAsia="等线" w:cs="Arial"/>
                <w:snapToGrid w:val="0"/>
                <w:color w:val="000000"/>
                <w:kern w:val="0"/>
                <w:sz w:val="22"/>
                <w:szCs w:val="21"/>
                <w:lang w:val="en-US" w:eastAsia="zh-CN" w:bidi="ar-SA"/>
                <w14:ligatures w14:val="standardContextual"/>
              </w:rPr>
            </w:pPr>
            <w:r>
              <w:rPr>
                <w:rFonts w:hint="eastAsia" w:ascii="宋体" w:hAnsi="宋体" w:eastAsia="等线" w:cs="Arial"/>
                <w:snapToGrid w:val="0"/>
                <w:color w:val="000000"/>
                <w:kern w:val="0"/>
                <w:sz w:val="22"/>
                <w:szCs w:val="21"/>
                <w:lang w:val="en-US" w:eastAsia="zh-CN" w:bidi="ar-SA"/>
                <w14:ligatures w14:val="standardContextual"/>
              </w:rPr>
              <w:t>有多次应用无人机补播灌草种子治理重度沙化草地的实践经验，对于本标准中农用无人机飞播种子的各项技术参数和要求进行总结，参加标准相关部分的编写工作。</w:t>
            </w:r>
          </w:p>
        </w:tc>
      </w:tr>
      <w:tr w14:paraId="025E4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4" w:type="dxa"/>
            <w:left w:w="128" w:type="dxa"/>
            <w:bottom w:w="64" w:type="dxa"/>
            <w:right w:w="128" w:type="dxa"/>
          </w:tblCellMar>
        </w:tblPrEx>
        <w:trPr>
          <w:trHeight w:val="1136" w:hRule="atLeast"/>
          <w:jc w:val="center"/>
        </w:trPr>
        <w:tc>
          <w:tcPr>
            <w:tcW w:w="1641" w:type="dxa"/>
            <w:shd w:val="clear" w:color="auto" w:fill="auto"/>
            <w:vAlign w:val="center"/>
          </w:tcPr>
          <w:p w14:paraId="4068B6AE">
            <w:pPr>
              <w:keepNext w:val="0"/>
              <w:keepLines w:val="0"/>
              <w:pageBreakBefore w:val="0"/>
              <w:widowControl/>
              <w:kinsoku w:val="0"/>
              <w:wordWrap/>
              <w:overflowPunct/>
              <w:topLinePunct w:val="0"/>
              <w:autoSpaceDE w:val="0"/>
              <w:autoSpaceDN w:val="0"/>
              <w:bidi w:val="0"/>
              <w:adjustRightInd w:val="0"/>
              <w:snapToGrid w:val="0"/>
              <w:spacing w:line="280" w:lineRule="exact"/>
              <w:jc w:val="left"/>
              <w:textAlignment w:val="baseline"/>
              <w:rPr>
                <w:rFonts w:hint="eastAsia" w:ascii="宋体" w:hAnsi="宋体" w:eastAsia="等线" w:cs="Arial"/>
                <w:snapToGrid w:val="0"/>
                <w:color w:val="000000"/>
                <w:kern w:val="0"/>
                <w:sz w:val="22"/>
                <w:szCs w:val="21"/>
                <w:lang w:val="en-US" w:eastAsia="zh-CN" w:bidi="ar-SA"/>
                <w14:ligatures w14:val="standardContextual"/>
              </w:rPr>
            </w:pPr>
            <w:r>
              <w:rPr>
                <w:rFonts w:hint="eastAsia" w:ascii="宋体" w:hAnsi="宋体" w:eastAsia="等线" w:cs="宋体"/>
                <w:sz w:val="22"/>
                <w:szCs w:val="21"/>
              </w:rPr>
              <w:t>张</w:t>
            </w:r>
            <w:r>
              <w:rPr>
                <w:rFonts w:hint="eastAsia" w:ascii="宋体" w:hAnsi="宋体" w:eastAsia="等线" w:cs="宋体"/>
                <w:sz w:val="22"/>
                <w:szCs w:val="21"/>
                <w:lang w:val="en-US" w:eastAsia="zh-CN"/>
              </w:rPr>
              <w:t>全民、</w:t>
            </w:r>
            <w:r>
              <w:rPr>
                <w:rFonts w:hint="eastAsia" w:ascii="宋体" w:hAnsi="宋体" w:eastAsia="等线" w:cs="Arial"/>
                <w:snapToGrid w:val="0"/>
                <w:color w:val="000000"/>
                <w:kern w:val="0"/>
                <w:sz w:val="22"/>
                <w:szCs w:val="21"/>
                <w:lang w:val="en-US" w:eastAsia="zh-CN" w:bidi="ar-SA"/>
              </w:rPr>
              <w:t>谢海桃、</w:t>
            </w:r>
            <w:r>
              <w:rPr>
                <w:rFonts w:hint="eastAsia" w:ascii="宋体" w:hAnsi="宋体" w:eastAsia="等线"/>
                <w:sz w:val="22"/>
                <w:szCs w:val="21"/>
                <w:lang w:val="en-US" w:eastAsia="zh-CN"/>
              </w:rPr>
              <w:t>金净、</w:t>
            </w:r>
            <w:r>
              <w:rPr>
                <w:rFonts w:hint="eastAsia" w:ascii="宋体" w:hAnsi="宋体" w:eastAsia="等线" w:cs="Arial"/>
                <w:snapToGrid w:val="0"/>
                <w:color w:val="000000"/>
                <w:kern w:val="0"/>
                <w:sz w:val="22"/>
                <w:szCs w:val="21"/>
                <w:lang w:val="en-US" w:eastAsia="zh-CN" w:bidi="ar-SA"/>
                <w14:ligatures w14:val="standardContextual"/>
              </w:rPr>
              <w:t>魏荣博、</w:t>
            </w:r>
            <w:r>
              <w:rPr>
                <w:rFonts w:hint="eastAsia" w:ascii="宋体" w:hAnsi="宋体" w:eastAsia="等线" w:cs="Arial"/>
                <w:snapToGrid w:val="0"/>
                <w:color w:val="000000"/>
                <w:kern w:val="0"/>
                <w:sz w:val="22"/>
                <w:szCs w:val="21"/>
                <w:lang w:val="en-US" w:eastAsia="zh-CN" w:bidi="ar-SA"/>
              </w:rPr>
              <w:t>赵冬莲</w:t>
            </w:r>
          </w:p>
        </w:tc>
        <w:tc>
          <w:tcPr>
            <w:tcW w:w="6509" w:type="dxa"/>
            <w:shd w:val="clear" w:color="auto" w:fill="auto"/>
            <w:vAlign w:val="center"/>
          </w:tcPr>
          <w:p w14:paraId="4DAE3576">
            <w:pPr>
              <w:keepNext w:val="0"/>
              <w:keepLines w:val="0"/>
              <w:pageBreakBefore w:val="0"/>
              <w:widowControl/>
              <w:kinsoku w:val="0"/>
              <w:wordWrap/>
              <w:overflowPunct/>
              <w:topLinePunct w:val="0"/>
              <w:autoSpaceDE w:val="0"/>
              <w:autoSpaceDN w:val="0"/>
              <w:bidi w:val="0"/>
              <w:adjustRightInd w:val="0"/>
              <w:snapToGrid w:val="0"/>
              <w:spacing w:line="280" w:lineRule="exact"/>
              <w:ind w:firstLine="440" w:firstLineChars="200"/>
              <w:jc w:val="left"/>
              <w:textAlignment w:val="baseline"/>
              <w:rPr>
                <w:rFonts w:hint="default" w:ascii="宋体" w:hAnsi="宋体" w:eastAsia="等线" w:cs="Arial"/>
                <w:snapToGrid w:val="0"/>
                <w:color w:val="000000"/>
                <w:kern w:val="0"/>
                <w:sz w:val="22"/>
                <w:szCs w:val="21"/>
                <w:lang w:val="en-US" w:eastAsia="zh-CN" w:bidi="ar-SA"/>
                <w14:ligatures w14:val="standardContextual"/>
              </w:rPr>
            </w:pPr>
            <w:r>
              <w:rPr>
                <w:rFonts w:hint="eastAsia" w:ascii="宋体" w:hAnsi="宋体" w:eastAsia="等线" w:cs="Arial"/>
                <w:snapToGrid w:val="0"/>
                <w:color w:val="000000"/>
                <w:kern w:val="0"/>
                <w:sz w:val="22"/>
                <w:szCs w:val="21"/>
                <w:lang w:val="en-US" w:eastAsia="zh-CN" w:bidi="ar-SA"/>
                <w14:ligatures w14:val="standardContextual"/>
              </w:rPr>
              <w:t>收集农用无人机作业资料，承担了标准和</w:t>
            </w:r>
            <w:r>
              <w:rPr>
                <w:rFonts w:hint="eastAsia" w:ascii="宋体" w:hAnsi="宋体" w:eastAsia="等线" w:cs="宋体"/>
                <w:kern w:val="2"/>
                <w:sz w:val="22"/>
                <w:szCs w:val="21"/>
                <w:lang w:val="en-US" w:eastAsia="zh-CN" w:bidi="ar-SA"/>
                <w14:ligatures w14:val="standardContextual"/>
              </w:rPr>
              <w:t>编制说明的部分内容；</w:t>
            </w:r>
            <w:r>
              <w:rPr>
                <w:rFonts w:hint="eastAsia" w:ascii="宋体" w:hAnsi="宋体" w:eastAsia="等线" w:cs="Arial"/>
                <w:snapToGrid w:val="0"/>
                <w:color w:val="000000"/>
                <w:kern w:val="0"/>
                <w:sz w:val="22"/>
                <w:szCs w:val="21"/>
                <w:lang w:val="en-US" w:eastAsia="zh-CN" w:bidi="ar-SA"/>
                <w14:ligatures w14:val="standardContextual"/>
              </w:rPr>
              <w:t>实地调研不同区域</w:t>
            </w:r>
            <w:r>
              <w:rPr>
                <w:rFonts w:hint="eastAsia" w:ascii="宋体" w:hAnsi="宋体" w:cstheme="minorBidi"/>
                <w:kern w:val="2"/>
                <w:sz w:val="22"/>
                <w:szCs w:val="21"/>
                <w:lang w:val="en-US" w:eastAsia="zh-CN" w:bidi="ar-SA"/>
                <w14:ligatures w14:val="standardContextual"/>
              </w:rPr>
              <w:t>无人机飞播效果，按已有标准评估不同补播方法的生态效益，计算施工成本，为今后推广应用打基础。</w:t>
            </w:r>
          </w:p>
        </w:tc>
      </w:tr>
      <w:tr w14:paraId="47F98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4" w:type="dxa"/>
            <w:left w:w="128" w:type="dxa"/>
            <w:bottom w:w="64" w:type="dxa"/>
            <w:right w:w="128" w:type="dxa"/>
          </w:tblCellMar>
        </w:tblPrEx>
        <w:trPr>
          <w:trHeight w:val="0" w:hRule="atLeast"/>
          <w:jc w:val="center"/>
        </w:trPr>
        <w:tc>
          <w:tcPr>
            <w:tcW w:w="1641" w:type="dxa"/>
            <w:shd w:val="clear" w:color="auto" w:fill="auto"/>
            <w:vAlign w:val="center"/>
          </w:tcPr>
          <w:p w14:paraId="469D77D4">
            <w:pPr>
              <w:keepNext w:val="0"/>
              <w:keepLines w:val="0"/>
              <w:pageBreakBefore w:val="0"/>
              <w:widowControl/>
              <w:kinsoku w:val="0"/>
              <w:wordWrap/>
              <w:overflowPunct/>
              <w:topLinePunct w:val="0"/>
              <w:autoSpaceDE w:val="0"/>
              <w:autoSpaceDN w:val="0"/>
              <w:bidi w:val="0"/>
              <w:adjustRightInd w:val="0"/>
              <w:snapToGrid w:val="0"/>
              <w:spacing w:line="280" w:lineRule="exact"/>
              <w:jc w:val="left"/>
              <w:textAlignment w:val="baseline"/>
              <w:rPr>
                <w:rFonts w:hint="eastAsia" w:ascii="宋体" w:hAnsi="宋体" w:eastAsia="Arial" w:cs="Arial"/>
                <w:snapToGrid w:val="0"/>
                <w:color w:val="000000"/>
                <w:kern w:val="0"/>
                <w:sz w:val="21"/>
                <w:szCs w:val="21"/>
                <w:lang w:val="en-US" w:eastAsia="en-US" w:bidi="ar-SA"/>
                <w14:ligatures w14:val="standardContextual"/>
              </w:rPr>
            </w:pPr>
            <w:r>
              <w:rPr>
                <w:rFonts w:hint="eastAsia" w:ascii="宋体" w:hAnsi="宋体" w:eastAsia="宋体"/>
                <w:szCs w:val="21"/>
                <w:lang w:val="en-US" w:eastAsia="zh-CN"/>
              </w:rPr>
              <w:t>张瑞林、林华、于东江、</w:t>
            </w:r>
            <w:r>
              <w:rPr>
                <w:rFonts w:hint="eastAsia" w:ascii="宋体" w:hAnsi="宋体" w:eastAsia="宋体" w:cs="宋体"/>
                <w:snapToGrid w:val="0"/>
                <w:color w:val="000000"/>
                <w:kern w:val="0"/>
                <w:sz w:val="21"/>
                <w:szCs w:val="21"/>
                <w:lang w:val="en-US" w:eastAsia="zh-CN" w:bidi="ar-SA"/>
              </w:rPr>
              <w:t>王晓凯、刁显鹤</w:t>
            </w:r>
          </w:p>
        </w:tc>
        <w:tc>
          <w:tcPr>
            <w:tcW w:w="6509" w:type="dxa"/>
            <w:shd w:val="clear" w:color="auto" w:fill="auto"/>
            <w:vAlign w:val="center"/>
          </w:tcPr>
          <w:p w14:paraId="4C5E8FB2">
            <w:pPr>
              <w:keepNext w:val="0"/>
              <w:keepLines w:val="0"/>
              <w:pageBreakBefore w:val="0"/>
              <w:widowControl/>
              <w:kinsoku w:val="0"/>
              <w:wordWrap/>
              <w:overflowPunct/>
              <w:topLinePunct w:val="0"/>
              <w:autoSpaceDE w:val="0"/>
              <w:autoSpaceDN w:val="0"/>
              <w:bidi w:val="0"/>
              <w:adjustRightInd w:val="0"/>
              <w:snapToGrid w:val="0"/>
              <w:spacing w:line="280" w:lineRule="exact"/>
              <w:jc w:val="left"/>
              <w:textAlignment w:val="baseline"/>
              <w:rPr>
                <w:rFonts w:hint="default" w:ascii="宋体" w:hAnsi="宋体" w:eastAsia="Arial" w:cs="Arial"/>
                <w:snapToGrid w:val="0"/>
                <w:color w:val="000000"/>
                <w:kern w:val="0"/>
                <w:sz w:val="21"/>
                <w:szCs w:val="21"/>
                <w:lang w:val="en-US" w:eastAsia="en-US" w:bidi="ar-SA"/>
                <w14:ligatures w14:val="standardContextual"/>
              </w:rPr>
            </w:pPr>
            <w:r>
              <w:rPr>
                <w:rFonts w:hint="eastAsia" w:ascii="宋体" w:hAnsi="宋体" w:eastAsia="等线" w:cs="Arial"/>
                <w:snapToGrid w:val="0"/>
                <w:color w:val="000000"/>
                <w:kern w:val="0"/>
                <w:sz w:val="22"/>
                <w:szCs w:val="21"/>
                <w:lang w:val="en-US" w:eastAsia="zh-CN" w:bidi="ar-SA"/>
                <w14:ligatures w14:val="standardContextual"/>
              </w:rPr>
              <w:t xml:space="preserve">    在不同区域应用无人机进行补播灌草种子治理沙地、重度沙化草地的试验示范，为本标准中无人机飞播作业方式、技术要求、作业流程进行实地验证。</w:t>
            </w:r>
          </w:p>
        </w:tc>
      </w:tr>
      <w:tr w14:paraId="7EFDF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4" w:type="dxa"/>
            <w:left w:w="128" w:type="dxa"/>
            <w:bottom w:w="64" w:type="dxa"/>
            <w:right w:w="128" w:type="dxa"/>
          </w:tblCellMar>
        </w:tblPrEx>
        <w:trPr>
          <w:trHeight w:val="1231" w:hRule="atLeast"/>
          <w:jc w:val="center"/>
        </w:trPr>
        <w:tc>
          <w:tcPr>
            <w:tcW w:w="1641" w:type="dxa"/>
            <w:shd w:val="clear" w:color="auto" w:fill="auto"/>
            <w:vAlign w:val="center"/>
          </w:tcPr>
          <w:p w14:paraId="37E34A79">
            <w:pPr>
              <w:keepNext w:val="0"/>
              <w:keepLines w:val="0"/>
              <w:pageBreakBefore w:val="0"/>
              <w:widowControl/>
              <w:kinsoku w:val="0"/>
              <w:wordWrap/>
              <w:overflowPunct/>
              <w:topLinePunct w:val="0"/>
              <w:autoSpaceDE w:val="0"/>
              <w:autoSpaceDN w:val="0"/>
              <w:bidi w:val="0"/>
              <w:adjustRightInd w:val="0"/>
              <w:snapToGrid w:val="0"/>
              <w:spacing w:line="280" w:lineRule="exact"/>
              <w:jc w:val="left"/>
              <w:textAlignment w:val="baseline"/>
              <w:rPr>
                <w:rFonts w:hint="eastAsia" w:ascii="宋体" w:hAnsi="宋体" w:eastAsia="等线" w:cs="Arial"/>
                <w:snapToGrid w:val="0"/>
                <w:color w:val="000000"/>
                <w:kern w:val="0"/>
                <w:sz w:val="22"/>
                <w:szCs w:val="21"/>
                <w:lang w:val="en-US" w:eastAsia="zh-CN" w:bidi="ar-SA"/>
                <w14:ligatures w14:val="standardContextual"/>
              </w:rPr>
            </w:pPr>
            <w:r>
              <w:rPr>
                <w:rFonts w:hint="eastAsia" w:ascii="宋体" w:hAnsi="宋体" w:eastAsia="等线"/>
                <w:sz w:val="22"/>
                <w:szCs w:val="21"/>
              </w:rPr>
              <w:t>崔海鹏</w:t>
            </w:r>
            <w:r>
              <w:rPr>
                <w:rFonts w:hint="eastAsia" w:ascii="宋体" w:hAnsi="宋体" w:eastAsia="等线"/>
                <w:sz w:val="22"/>
                <w:szCs w:val="21"/>
                <w:lang w:eastAsia="zh-CN"/>
              </w:rPr>
              <w:t>、</w:t>
            </w:r>
            <w:r>
              <w:rPr>
                <w:rFonts w:hint="eastAsia" w:ascii="宋体" w:hAnsi="宋体" w:eastAsia="等线"/>
                <w:sz w:val="22"/>
                <w:szCs w:val="21"/>
              </w:rPr>
              <w:t>胡努斯吐</w:t>
            </w:r>
            <w:r>
              <w:rPr>
                <w:rFonts w:hint="eastAsia" w:ascii="宋体" w:hAnsi="宋体" w:eastAsia="等线"/>
                <w:sz w:val="22"/>
                <w:szCs w:val="21"/>
                <w:lang w:eastAsia="zh-CN"/>
              </w:rPr>
              <w:t>、</w:t>
            </w:r>
            <w:r>
              <w:rPr>
                <w:rFonts w:hint="eastAsia" w:ascii="宋体" w:hAnsi="宋体" w:eastAsia="等线" w:cs="Arial"/>
                <w:snapToGrid w:val="0"/>
                <w:color w:val="000000"/>
                <w:kern w:val="0"/>
                <w:sz w:val="22"/>
                <w:szCs w:val="21"/>
                <w:lang w:val="en-US" w:eastAsia="zh-CN" w:bidi="ar-SA"/>
              </w:rPr>
              <w:t>张海宁、</w:t>
            </w:r>
            <w:r>
              <w:rPr>
                <w:rFonts w:hint="eastAsia" w:ascii="宋体" w:hAnsi="宋体" w:eastAsia="等线"/>
                <w:sz w:val="22"/>
                <w:szCs w:val="21"/>
              </w:rPr>
              <w:t>王雅茹</w:t>
            </w:r>
            <w:r>
              <w:rPr>
                <w:rFonts w:hint="eastAsia" w:ascii="宋体" w:hAnsi="宋体" w:eastAsia="等线"/>
                <w:sz w:val="22"/>
                <w:szCs w:val="21"/>
                <w:lang w:eastAsia="zh-CN"/>
              </w:rPr>
              <w:t>、</w:t>
            </w:r>
            <w:r>
              <w:rPr>
                <w:rFonts w:hint="eastAsia" w:ascii="宋体" w:hAnsi="宋体" w:eastAsia="等线"/>
                <w:sz w:val="22"/>
                <w:szCs w:val="21"/>
              </w:rPr>
              <w:t>冯彩霞</w:t>
            </w:r>
          </w:p>
        </w:tc>
        <w:tc>
          <w:tcPr>
            <w:tcW w:w="6509" w:type="dxa"/>
            <w:shd w:val="clear" w:color="auto" w:fill="auto"/>
            <w:vAlign w:val="center"/>
          </w:tcPr>
          <w:p w14:paraId="7BAE64E7">
            <w:pPr>
              <w:pStyle w:val="14"/>
              <w:numPr>
                <w:ilvl w:val="1"/>
                <w:numId w:val="0"/>
              </w:numPr>
              <w:spacing w:before="156" w:after="156"/>
              <w:ind w:leftChars="0" w:firstLine="440" w:firstLineChars="200"/>
              <w:rPr>
                <w:rFonts w:hint="default" w:ascii="宋体" w:hAnsi="宋体" w:eastAsia="等线" w:cs="Arial"/>
                <w:snapToGrid w:val="0"/>
                <w:color w:val="000000"/>
                <w:kern w:val="0"/>
                <w:sz w:val="22"/>
                <w:szCs w:val="21"/>
                <w:lang w:val="en-US" w:eastAsia="zh-CN" w:bidi="ar-SA"/>
                <w14:ligatures w14:val="standardContextual"/>
              </w:rPr>
            </w:pPr>
            <w:r>
              <w:rPr>
                <w:rFonts w:hint="eastAsia" w:ascii="宋体" w:hAnsi="宋体" w:eastAsia="等线" w:cs="Arial"/>
                <w:snapToGrid w:val="0"/>
                <w:color w:val="000000"/>
                <w:kern w:val="0"/>
                <w:sz w:val="22"/>
                <w:szCs w:val="21"/>
                <w:lang w:val="en-US" w:eastAsia="zh-CN" w:bidi="ar-SA"/>
                <w14:ligatures w14:val="standardContextual"/>
              </w:rPr>
              <w:t>为本标准附录A编制的主要完成人，收集</w:t>
            </w:r>
            <w:r>
              <w:rPr>
                <w:rFonts w:hint="eastAsia" w:ascii="宋体" w:hAnsi="宋体" w:eastAsia="等线" w:cs="宋体"/>
                <w:kern w:val="2"/>
                <w:sz w:val="22"/>
                <w:szCs w:val="21"/>
                <w:lang w:val="en-US" w:eastAsia="zh-CN" w:bidi="ar-SA"/>
                <w14:ligatures w14:val="standardContextual"/>
              </w:rPr>
              <w:t>查询北方草原适宜飞播的灌草种子资料，进行灌草种子种类选择及配比试验，总结了</w:t>
            </w:r>
            <w:r>
              <w:rPr>
                <w:rFonts w:hint="eastAsia" w:ascii="宋体" w:hAnsi="Times New Roman" w:eastAsia="宋体" w:cs="Times New Roman"/>
                <w:kern w:val="0"/>
                <w:sz w:val="21"/>
                <w:lang w:val="en-US" w:eastAsia="zh-CN" w:bidi="ar-SA"/>
              </w:rPr>
              <w:t>不同草原适宜飞播植物种组合</w:t>
            </w:r>
            <w:r>
              <w:rPr>
                <w:rFonts w:hint="eastAsia" w:ascii="宋体" w:eastAsia="宋体" w:cs="Times New Roman"/>
                <w:kern w:val="0"/>
                <w:sz w:val="21"/>
                <w:lang w:val="en-US" w:eastAsia="zh-CN" w:bidi="ar-SA"/>
              </w:rPr>
              <w:t>配比。</w:t>
            </w:r>
          </w:p>
        </w:tc>
      </w:tr>
      <w:tr w14:paraId="34848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64" w:type="dxa"/>
            <w:left w:w="128" w:type="dxa"/>
            <w:bottom w:w="64" w:type="dxa"/>
            <w:right w:w="128" w:type="dxa"/>
          </w:tblCellMar>
        </w:tblPrEx>
        <w:trPr>
          <w:trHeight w:val="0" w:hRule="atLeast"/>
          <w:jc w:val="center"/>
        </w:trPr>
        <w:tc>
          <w:tcPr>
            <w:tcW w:w="1641" w:type="dxa"/>
            <w:shd w:val="clear" w:color="auto" w:fill="auto"/>
            <w:vAlign w:val="center"/>
          </w:tcPr>
          <w:p w14:paraId="4329D94B">
            <w:pPr>
              <w:keepNext w:val="0"/>
              <w:keepLines w:val="0"/>
              <w:pageBreakBefore w:val="0"/>
              <w:widowControl/>
              <w:kinsoku w:val="0"/>
              <w:wordWrap/>
              <w:overflowPunct/>
              <w:topLinePunct w:val="0"/>
              <w:autoSpaceDE w:val="0"/>
              <w:autoSpaceDN w:val="0"/>
              <w:bidi w:val="0"/>
              <w:adjustRightInd w:val="0"/>
              <w:snapToGrid w:val="0"/>
              <w:spacing w:line="280" w:lineRule="exact"/>
              <w:jc w:val="left"/>
              <w:textAlignment w:val="baseline"/>
              <w:rPr>
                <w:rFonts w:hint="eastAsia" w:ascii="宋体" w:hAnsi="宋体" w:eastAsia="宋体" w:cstheme="minorBidi"/>
                <w:kern w:val="2"/>
                <w:sz w:val="22"/>
                <w:szCs w:val="21"/>
                <w:lang w:val="en-US" w:eastAsia="zh-CN" w:bidi="ar-SA"/>
                <w14:ligatures w14:val="standardContextual"/>
              </w:rPr>
            </w:pPr>
            <w:r>
              <w:rPr>
                <w:rFonts w:hint="eastAsia" w:ascii="宋体" w:hAnsi="宋体" w:eastAsia="宋体"/>
                <w:szCs w:val="21"/>
                <w:lang w:val="en-US" w:eastAsia="zh-CN"/>
              </w:rPr>
              <w:t>荆莹、周颖</w:t>
            </w:r>
          </w:p>
        </w:tc>
        <w:tc>
          <w:tcPr>
            <w:tcW w:w="6509" w:type="dxa"/>
            <w:shd w:val="clear" w:color="auto" w:fill="auto"/>
            <w:vAlign w:val="center"/>
          </w:tcPr>
          <w:p w14:paraId="31C9DA08">
            <w:pPr>
              <w:keepNext w:val="0"/>
              <w:keepLines w:val="0"/>
              <w:pageBreakBefore w:val="0"/>
              <w:widowControl/>
              <w:kinsoku w:val="0"/>
              <w:wordWrap/>
              <w:overflowPunct/>
              <w:topLinePunct w:val="0"/>
              <w:autoSpaceDE w:val="0"/>
              <w:autoSpaceDN w:val="0"/>
              <w:bidi w:val="0"/>
              <w:adjustRightInd w:val="0"/>
              <w:snapToGrid w:val="0"/>
              <w:spacing w:line="280" w:lineRule="exact"/>
              <w:ind w:firstLine="440" w:firstLineChars="200"/>
              <w:jc w:val="left"/>
              <w:textAlignment w:val="baseline"/>
              <w:rPr>
                <w:rFonts w:hint="default" w:ascii="宋体" w:hAnsi="宋体" w:eastAsiaTheme="minorEastAsia" w:cstheme="minorBidi"/>
                <w:kern w:val="2"/>
                <w:sz w:val="22"/>
                <w:szCs w:val="21"/>
                <w:lang w:val="en-US" w:eastAsia="zh-CN" w:bidi="ar-SA"/>
                <w14:ligatures w14:val="standardContextual"/>
              </w:rPr>
            </w:pPr>
            <w:r>
              <w:rPr>
                <w:rFonts w:hint="eastAsia" w:ascii="宋体" w:hAnsi="宋体" w:cstheme="minorBidi"/>
                <w:kern w:val="2"/>
                <w:sz w:val="22"/>
                <w:szCs w:val="21"/>
                <w:lang w:val="en-US" w:eastAsia="zh-CN" w:bidi="ar-SA"/>
                <w14:ligatures w14:val="standardContextual"/>
              </w:rPr>
              <w:t>参加无人机飞播效果调查，评估对比不同补播方法的生态、经济效益，按</w:t>
            </w:r>
            <w:r>
              <w:rPr>
                <w:rFonts w:hint="eastAsia"/>
              </w:rPr>
              <w:t>GB/T 1.1—2020规</w:t>
            </w:r>
            <w:r>
              <w:rPr>
                <w:rFonts w:hint="eastAsia"/>
                <w:lang w:val="en-US" w:eastAsia="zh-CN"/>
              </w:rPr>
              <w:t>范标准起草的各项内容。</w:t>
            </w:r>
          </w:p>
        </w:tc>
      </w:tr>
    </w:tbl>
    <w:p w14:paraId="30774700">
      <w:pPr>
        <w:numPr>
          <w:ilvl w:val="0"/>
          <w:numId w:val="5"/>
        </w:numPr>
        <w:ind w:left="0" w:leftChars="0" w:firstLine="0" w:firstLineChars="0"/>
        <w:rPr>
          <w:rFonts w:ascii="仿宋" w:hAnsi="仿宋" w:eastAsia="仿宋"/>
          <w:sz w:val="32"/>
          <w:szCs w:val="32"/>
        </w:rPr>
      </w:pPr>
      <w:r>
        <w:rPr>
          <w:rFonts w:ascii="仿宋" w:hAnsi="仿宋" w:eastAsia="仿宋"/>
          <w:sz w:val="32"/>
          <w:szCs w:val="32"/>
        </w:rPr>
        <w:t>起草阶段</w:t>
      </w:r>
    </w:p>
    <w:p w14:paraId="6E91FB45">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起草小组负责人召开编制标准会议，制定工作方案，对标准的范围、技术内容、编制框架等进行讨论，标准牵头单位负责人组织起草小组对标准修订相关要求、进度、流程等进行了安排，细化标准内容，确立了各自分工。</w:t>
      </w:r>
    </w:p>
    <w:p w14:paraId="2C60ABFF">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标准起草小组按照《中华人民共和国草原法》、《内蒙古自治区草原管理条例》、《内蒙古自治区草原管理条例实施细则》、《国务院关于加强草原保护与建设的若干意见》（国发[2002]19号）、《国务院办公厅关于加强草原保护修复的若干意见》（国办发[2021]7号）等国家和地方相关法律法规和规范性文件要求，搜集了国内草原飞播相关标准与文献，分析当前我区草原修复工作中的技术问题，分析草原保护修复工作中应用新技术及信息化技术现状，确定了本标准的参考文献、编制提纲、技术内容及部分技术参数，并开展一些区域的无人机飞播现场调查。</w:t>
      </w:r>
    </w:p>
    <w:p w14:paraId="1CB028BC">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 xml:space="preserve">2024年6-7月，标准修订小组在科尔沁、浑善达克沙地进行了无人机飞播现场调研，对飞播场地情况、无人机飞播过程进行了详细调查。修订小组根据实际调研情况，进行了指标分析和提纲讨论。在吸纳大家意见的基础上，按照标准编制的基本要求，组织编写人员召开2次讨论会，根据每一次讨论会意见，结合行业发展趋势，进一步进行了资料收集、问题分析、完成了标准修订初稿。初稿征求了参与起草标准单位相关人员的意见，又进行了修改，起草初稿在征求专家意见后讨论修改，于2025年4月，形成了标准征求意见稿。…     </w:t>
      </w:r>
    </w:p>
    <w:p w14:paraId="19F10820">
      <w:pPr>
        <w:ind w:firstLine="640" w:firstLineChars="200"/>
        <w:rPr>
          <w:rFonts w:ascii="仿宋" w:hAnsi="仿宋" w:eastAsia="仿宋"/>
          <w:sz w:val="32"/>
          <w:szCs w:val="32"/>
        </w:rPr>
      </w:pPr>
      <w:r>
        <w:rPr>
          <w:rFonts w:hint="eastAsia" w:ascii="仿宋" w:hAnsi="仿宋" w:eastAsia="仿宋"/>
          <w:sz w:val="32"/>
          <w:szCs w:val="32"/>
          <w:lang w:val="en-US" w:eastAsia="zh-CN"/>
        </w:rPr>
        <w:t>（三）</w:t>
      </w:r>
      <w:r>
        <w:rPr>
          <w:rFonts w:ascii="仿宋" w:hAnsi="仿宋" w:eastAsia="仿宋"/>
          <w:sz w:val="32"/>
          <w:szCs w:val="32"/>
        </w:rPr>
        <w:t>征求意见阶段</w:t>
      </w:r>
    </w:p>
    <w:p w14:paraId="08DFF8BE">
      <w:pPr>
        <w:rPr>
          <w:rFonts w:ascii="仿宋" w:hAnsi="仿宋" w:eastAsia="仿宋"/>
          <w:sz w:val="32"/>
          <w:szCs w:val="32"/>
        </w:rPr>
      </w:pPr>
      <w:r>
        <w:rPr>
          <w:rFonts w:ascii="仿宋" w:hAnsi="仿宋" w:eastAsia="仿宋"/>
          <w:sz w:val="32"/>
          <w:szCs w:val="32"/>
        </w:rPr>
        <w:t>（四）送审阶段</w:t>
      </w:r>
    </w:p>
    <w:p w14:paraId="1572E500">
      <w:pPr>
        <w:rPr>
          <w:rFonts w:ascii="仿宋" w:hAnsi="仿宋" w:eastAsia="仿宋"/>
          <w:sz w:val="32"/>
          <w:szCs w:val="32"/>
        </w:rPr>
      </w:pPr>
      <w:r>
        <w:rPr>
          <w:rFonts w:ascii="仿宋" w:hAnsi="仿宋" w:eastAsia="仿宋"/>
          <w:sz w:val="32"/>
          <w:szCs w:val="32"/>
        </w:rPr>
        <w:t>（五）报批阶段</w:t>
      </w:r>
    </w:p>
    <w:p w14:paraId="420BB464">
      <w:pPr>
        <w:rPr>
          <w:rFonts w:ascii="黑体" w:hAnsi="黑体" w:eastAsia="黑体"/>
          <w:sz w:val="32"/>
          <w:szCs w:val="32"/>
        </w:rPr>
      </w:pPr>
      <w:r>
        <w:rPr>
          <w:rFonts w:ascii="黑体" w:hAnsi="黑体" w:eastAsia="黑体"/>
          <w:sz w:val="32"/>
          <w:szCs w:val="32"/>
        </w:rPr>
        <w:t>四、制定标准的原则和依据，与现行法律、法规、标准的关系</w:t>
      </w:r>
    </w:p>
    <w:p w14:paraId="33AC560F">
      <w:pPr>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（一）</w:t>
      </w:r>
      <w:r>
        <w:rPr>
          <w:rFonts w:ascii="仿宋" w:hAnsi="仿宋" w:eastAsia="仿宋"/>
          <w:color w:val="000000" w:themeColor="text1"/>
          <w:sz w:val="32"/>
          <w:szCs w:val="32"/>
          <w14:textFill>
            <w14:solidFill>
              <w14:schemeClr w14:val="tx1"/>
            </w14:solidFill>
          </w14:textFill>
        </w:rPr>
        <w:t>原则和依据</w:t>
      </w:r>
    </w:p>
    <w:p w14:paraId="02ED9DF2">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1、编制原则</w:t>
      </w:r>
    </w:p>
    <w:p w14:paraId="491DC076">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科学性原则。以保护天然草地生态系统功能及合理修复天然草原为前提，按自然恢复为主的原则，合理制定无人机飞播指标和方法。</w:t>
      </w:r>
    </w:p>
    <w:p w14:paraId="07573558">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先进性原则。标准编制有利于提升科技创新驱动草原生态修复，提高草原生态修复治理新技术对生态修复工程的科技贡献率。</w:t>
      </w:r>
    </w:p>
    <w:p w14:paraId="74A85958">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实用性原则。该标准用于指导无人机飞播全过程，应具有实用性、可操作性，便于基层林草管理部门和生态修复企业操作使用。</w:t>
      </w:r>
    </w:p>
    <w:p w14:paraId="0FB9BD4D">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2、编制依据</w:t>
      </w:r>
    </w:p>
    <w:p w14:paraId="021BDF27">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本文件的内容与格式按照GB/T 1.1-2020《标准化工作导则 第1部分：标准化文件的结构和起草规则》的要求进行编制。</w:t>
      </w:r>
    </w:p>
    <w:p w14:paraId="2D2CD696">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本文件技术指标参考了如下技术文件制定：</w:t>
      </w:r>
    </w:p>
    <w:p w14:paraId="68FF937F">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GB/T 19377-2003 天然草地退化、沙化、盐渍化的分级指标</w:t>
      </w:r>
    </w:p>
    <w:p w14:paraId="004DE986">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GB 6141-2008 豆科草种子质量分级</w:t>
      </w:r>
    </w:p>
    <w:p w14:paraId="5BEDBAC9">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GB 6142-2008 禾本科主要栽培牧草种子质量分级</w:t>
      </w:r>
    </w:p>
    <w:p w14:paraId="1E158C60">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GB/T 27514-2011 沙化草场牧草补播技术规程</w:t>
      </w:r>
    </w:p>
    <w:p w14:paraId="4429F191">
      <w:pPr>
        <w:ind w:firstLine="640" w:firstLineChars="200"/>
        <w:rPr>
          <w:rFonts w:hint="eastAsia" w:ascii="仿宋" w:hAnsi="仿宋" w:eastAsia="仿宋"/>
          <w:sz w:val="32"/>
          <w:szCs w:val="32"/>
          <w:lang w:val="en-US" w:eastAsia="zh-CN"/>
        </w:rPr>
      </w:pPr>
      <w:r>
        <w:rPr>
          <w:rFonts w:hint="default" w:ascii="仿宋" w:hAnsi="仿宋" w:eastAsia="仿宋"/>
          <w:sz w:val="32"/>
          <w:szCs w:val="32"/>
          <w:lang w:val="en-US" w:eastAsia="zh-CN"/>
        </w:rPr>
        <w:t>GB/T 43071-2023</w:t>
      </w:r>
      <w:r>
        <w:rPr>
          <w:rFonts w:hint="eastAsia" w:ascii="仿宋" w:hAnsi="仿宋" w:eastAsia="仿宋"/>
          <w:sz w:val="32"/>
          <w:szCs w:val="32"/>
          <w:lang w:val="en-US" w:eastAsia="zh-CN"/>
        </w:rPr>
        <w:t xml:space="preserve"> </w:t>
      </w:r>
      <w:r>
        <w:rPr>
          <w:rFonts w:hint="default" w:ascii="仿宋" w:hAnsi="仿宋" w:eastAsia="仿宋"/>
          <w:sz w:val="32"/>
          <w:szCs w:val="32"/>
          <w:lang w:val="en-US" w:eastAsia="zh-CN"/>
        </w:rPr>
        <w:t>植保无人飞机</w:t>
      </w:r>
    </w:p>
    <w:p w14:paraId="055EEF63">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NY/T 1239-2006 飞播种草技术规范</w:t>
      </w:r>
    </w:p>
    <w:p w14:paraId="50AB9DA6">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NY/T 1237-2006 草原围栏建设技术规范</w:t>
      </w:r>
    </w:p>
    <w:p w14:paraId="7BF69835">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LY/T 2986—2018 流动沙地沙障设置技术规程</w:t>
      </w:r>
    </w:p>
    <w:p w14:paraId="33265B01">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DB15/T 556-2023 飞播治沙造林技术规程</w:t>
      </w:r>
    </w:p>
    <w:p w14:paraId="1C40D3B2">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DB15/T 374-2023 主要造林树种苗木质量分级</w:t>
      </w:r>
    </w:p>
    <w:p w14:paraId="09A85025">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本文件还参考了以下资料：</w:t>
      </w:r>
    </w:p>
    <w:p w14:paraId="67138E01">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无人机飞播造林种草技术研究（富勇武，山西林业2023.3）；无人播种的研究现状与发展趋势（李江涛等，农业机械化与现代化，2023.6）；无人机飞播技术在农业中的应用（李英等，河北农机，2023.16）等。</w:t>
      </w:r>
    </w:p>
    <w:p w14:paraId="57664C00">
      <w:pPr>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（二）</w:t>
      </w:r>
      <w:r>
        <w:rPr>
          <w:rFonts w:ascii="仿宋" w:hAnsi="仿宋" w:eastAsia="仿宋"/>
          <w:color w:val="000000" w:themeColor="text1"/>
          <w:sz w:val="32"/>
          <w:szCs w:val="32"/>
          <w14:textFill>
            <w14:solidFill>
              <w14:schemeClr w14:val="tx1"/>
            </w14:solidFill>
          </w14:textFill>
        </w:rPr>
        <w:t>与现行法律、法规、标准的关系</w:t>
      </w:r>
    </w:p>
    <w:p w14:paraId="7C5882EA">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本标准在编制过程符合《中华人民共和国标准化法》、《地方标准管理办法》等相关法律、法规、政策的规定，不存在与现行有关法律、法规和国家、行业、地方标准相违背的情况。</w:t>
      </w:r>
    </w:p>
    <w:p w14:paraId="6B2ACBAD">
      <w:pPr>
        <w:numPr>
          <w:ilvl w:val="0"/>
          <w:numId w:val="0"/>
        </w:numPr>
        <w:ind w:leftChars="0"/>
        <w:rPr>
          <w:rFonts w:ascii="黑体" w:hAnsi="黑体" w:eastAsia="黑体"/>
          <w:sz w:val="32"/>
          <w:szCs w:val="32"/>
        </w:rPr>
      </w:pPr>
      <w:r>
        <w:rPr>
          <w:rFonts w:hint="eastAsia" w:ascii="黑体" w:hAnsi="黑体" w:eastAsia="黑体"/>
          <w:sz w:val="32"/>
          <w:szCs w:val="32"/>
          <w:lang w:val="en-US" w:eastAsia="zh-CN"/>
        </w:rPr>
        <w:t>五、</w:t>
      </w:r>
      <w:r>
        <w:rPr>
          <w:rFonts w:ascii="黑体" w:hAnsi="黑体" w:eastAsia="黑体"/>
          <w:sz w:val="32"/>
          <w:szCs w:val="32"/>
        </w:rPr>
        <w:t>主要条款的说明，主要技术指标、参数、试验验证的论述</w:t>
      </w:r>
    </w:p>
    <w:p w14:paraId="57DFA3E5">
      <w:pPr>
        <w:ind w:firstLine="562" w:firstLineChars="200"/>
        <w:rPr>
          <w:rFonts w:hint="eastAsia" w:ascii="仿宋" w:hAnsi="仿宋" w:eastAsia="仿宋"/>
          <w:sz w:val="32"/>
          <w:szCs w:val="32"/>
          <w:lang w:val="en-US" w:eastAsia="zh-CN"/>
        </w:rPr>
      </w:pPr>
      <w:r>
        <w:rPr>
          <w:rFonts w:hint="eastAsia" w:ascii="仿宋" w:hAnsi="仿宋" w:eastAsia="仿宋" w:cs="仿宋"/>
          <w:b/>
          <w:bCs/>
          <w:snapToGrid w:val="0"/>
          <w:color w:val="000000"/>
          <w:kern w:val="0"/>
          <w:sz w:val="28"/>
          <w:szCs w:val="28"/>
          <w:lang w:val="en-US" w:eastAsia="zh-CN" w:bidi="ar-SA"/>
        </w:rPr>
        <w:t>（一）</w:t>
      </w:r>
      <w:r>
        <w:rPr>
          <w:rFonts w:hint="eastAsia" w:ascii="仿宋" w:hAnsi="仿宋" w:eastAsia="仿宋"/>
          <w:sz w:val="32"/>
          <w:szCs w:val="32"/>
          <w:lang w:val="en-US" w:eastAsia="zh-CN"/>
        </w:rPr>
        <w:t>主要条款说明</w:t>
      </w:r>
    </w:p>
    <w:p w14:paraId="2D156348">
      <w:pPr>
        <w:ind w:firstLine="640" w:firstLineChars="200"/>
        <w:rPr>
          <w:rFonts w:hint="default" w:ascii="仿宋" w:hAnsi="仿宋" w:eastAsia="仿宋"/>
          <w:sz w:val="32"/>
          <w:szCs w:val="32"/>
          <w:lang w:val="en-US" w:eastAsia="zh-CN"/>
        </w:rPr>
      </w:pPr>
      <w:r>
        <w:rPr>
          <w:rFonts w:hint="eastAsia" w:ascii="仿宋" w:hAnsi="仿宋" w:eastAsia="仿宋"/>
          <w:sz w:val="32"/>
          <w:szCs w:val="32"/>
          <w:lang w:val="en-US" w:eastAsia="zh-CN"/>
        </w:rPr>
        <w:t>本标准分别阐述了适用范围、规范性引用文件、术语和定义、农用无人机飞播灌草植物的作业要求、作业流程，播后管理与效果调查，以及附录等。作业要求包括无人机飞播的播区调查、地面处理、草种选择及其配置、无人机作业要求等指标；作业流程包括飞前准备、飞播作业、飞后维护等；播后管理包括地面处理、养护、鼠虫害防治；飞播效果调查评价包括调查和评价两部分内容。</w:t>
      </w:r>
    </w:p>
    <w:p w14:paraId="3EDF5896">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1、适用范围</w:t>
      </w:r>
    </w:p>
    <w:p w14:paraId="5CA50B43">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本文件规定了农用无人机飞播灌草植物的作业要求、作业流程、飞播效果调查与管护等，适用于退化、沙化草地中适宜飞播的区域。</w:t>
      </w:r>
    </w:p>
    <w:p w14:paraId="4A9A5C6E">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2、规范性引用文件</w:t>
      </w:r>
    </w:p>
    <w:p w14:paraId="6F06B2DA">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本标准规范性引用文件包括调查和判定草原退化程度方面：GB/T 19377-2003 《天然草地退化、沙化、盐渍化的分级指标》；无人机播种技术要求方面：</w:t>
      </w:r>
      <w:r>
        <w:rPr>
          <w:rFonts w:hint="default" w:ascii="仿宋" w:hAnsi="仿宋" w:eastAsia="仿宋"/>
          <w:sz w:val="32"/>
          <w:szCs w:val="32"/>
          <w:lang w:val="en-US" w:eastAsia="zh-CN"/>
        </w:rPr>
        <w:t>GB/T 43071-2023</w:t>
      </w:r>
      <w:r>
        <w:rPr>
          <w:rFonts w:hint="eastAsia" w:ascii="仿宋" w:hAnsi="仿宋" w:eastAsia="仿宋"/>
          <w:sz w:val="32"/>
          <w:szCs w:val="32"/>
          <w:lang w:val="en-US" w:eastAsia="zh-CN"/>
        </w:rPr>
        <w:t xml:space="preserve"> </w:t>
      </w:r>
      <w:r>
        <w:rPr>
          <w:rFonts w:hint="default" w:ascii="仿宋" w:hAnsi="仿宋" w:eastAsia="仿宋"/>
          <w:sz w:val="32"/>
          <w:szCs w:val="32"/>
          <w:lang w:val="en-US" w:eastAsia="zh-CN"/>
        </w:rPr>
        <w:t>植保无人飞机</w:t>
      </w:r>
      <w:r>
        <w:rPr>
          <w:rFonts w:hint="eastAsia" w:ascii="仿宋" w:hAnsi="仿宋" w:eastAsia="仿宋"/>
          <w:sz w:val="32"/>
          <w:szCs w:val="32"/>
          <w:lang w:val="en-US" w:eastAsia="zh-CN"/>
        </w:rPr>
        <w:t>；飞机播种方面：《飞播种草技术规范》NY/T 1239-2006、《飞播治沙造林技术规程》DB15/T 556-2023；沙化草地修复方面：《沙化草场牧草补播技术规程》GB/T 27514-2011；种子、苗木质量分级方面：《豆科草种子质量分级》GB 6141-2008、《禾本科草种子质量分级》GB 6142-2008、《主要造林树种苗木质量分级》DB15/T 374-2023；生态修复工程措施方面：《草原围栏建设技术规范》NY/T 1237-2006、《流动沙地沙障设置技术规程》LY/T 2986—2018。</w:t>
      </w:r>
    </w:p>
    <w:p w14:paraId="2B187C89">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3、术语和定义</w:t>
      </w:r>
    </w:p>
    <w:p w14:paraId="03E8D85E">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本标准对无人机飞播方面涉及的主要术语和定义进行了解释和规定，主要有：农用无人机Agricultural UAV、飞播Air seeding、宜播地Suitablesites、播幅Sowing width、航高Distance between ground and airplane、无序撒播Disorderly sowing、有序条播Orderly sowing、落种密度Seed density、成苗率Seedling growth rate、保存率Seedling growth rate。</w:t>
      </w:r>
    </w:p>
    <w:p w14:paraId="5FD7DF88">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4、作业要求</w:t>
      </w:r>
    </w:p>
    <w:p w14:paraId="790A31C7">
      <w:pPr>
        <w:ind w:firstLine="640" w:firstLineChars="200"/>
        <w:rPr>
          <w:rFonts w:hint="default" w:ascii="仿宋" w:hAnsi="仿宋" w:eastAsia="仿宋"/>
          <w:sz w:val="32"/>
          <w:szCs w:val="32"/>
          <w:lang w:val="en-US" w:eastAsia="zh-CN"/>
        </w:rPr>
      </w:pPr>
      <w:r>
        <w:rPr>
          <w:rFonts w:hint="eastAsia" w:ascii="仿宋" w:hAnsi="仿宋" w:eastAsia="仿宋"/>
          <w:sz w:val="32"/>
          <w:szCs w:val="32"/>
          <w:lang w:val="en-US" w:eastAsia="zh-CN"/>
        </w:rPr>
        <w:t>首先要求做播区调查，调查立地条件、气象条件，进行面积测量、地面处理是飞播前期基必要的础工作；飞播植物用种选择与配置也是一项重要工作，需要根据地形、土壤、降水、自然植被群落组成等条件选择飞播植物种，一般选择豆科与禾本科、深根型与浅根型，一年生与多年生植物组合；播前需要处理种子，要求</w:t>
      </w:r>
      <w:r>
        <w:rPr>
          <w:rFonts w:hint="default" w:ascii="仿宋" w:hAnsi="仿宋" w:eastAsia="仿宋"/>
          <w:sz w:val="32"/>
          <w:szCs w:val="32"/>
          <w:lang w:val="en-US" w:eastAsia="zh-CN"/>
        </w:rPr>
        <w:t>保证</w:t>
      </w:r>
      <w:r>
        <w:rPr>
          <w:rFonts w:hint="eastAsia" w:ascii="仿宋" w:hAnsi="仿宋" w:eastAsia="仿宋"/>
          <w:sz w:val="32"/>
          <w:szCs w:val="32"/>
          <w:lang w:val="en-US" w:eastAsia="zh-CN"/>
        </w:rPr>
        <w:t>灌木、草本种子质量</w:t>
      </w:r>
      <w:r>
        <w:rPr>
          <w:rFonts w:hint="default" w:ascii="仿宋" w:hAnsi="仿宋" w:eastAsia="仿宋"/>
          <w:sz w:val="32"/>
          <w:szCs w:val="32"/>
          <w:lang w:val="en-US" w:eastAsia="zh-CN"/>
        </w:rPr>
        <w:t>达到</w:t>
      </w:r>
      <w:r>
        <w:rPr>
          <w:rFonts w:hint="eastAsia" w:ascii="仿宋" w:hAnsi="仿宋" w:eastAsia="仿宋"/>
          <w:sz w:val="32"/>
          <w:szCs w:val="32"/>
          <w:lang w:val="en-US" w:eastAsia="zh-CN"/>
        </w:rPr>
        <w:t>二级以上(含二级)质量标准</w:t>
      </w:r>
      <w:r>
        <w:rPr>
          <w:rFonts w:hint="default" w:ascii="仿宋" w:hAnsi="仿宋" w:eastAsia="仿宋"/>
          <w:sz w:val="32"/>
          <w:szCs w:val="32"/>
          <w:lang w:val="en-US" w:eastAsia="zh-CN"/>
        </w:rPr>
        <w:t>，</w:t>
      </w:r>
      <w:r>
        <w:rPr>
          <w:rFonts w:hint="eastAsia" w:ascii="仿宋" w:hAnsi="仿宋" w:eastAsia="仿宋"/>
          <w:sz w:val="32"/>
          <w:szCs w:val="32"/>
          <w:lang w:val="en-US" w:eastAsia="zh-CN"/>
        </w:rPr>
        <w:t>播种量单种按照GB/T 27514-2011规定</w:t>
      </w:r>
      <w:r>
        <w:rPr>
          <w:rFonts w:hint="default" w:ascii="仿宋" w:hAnsi="仿宋" w:eastAsia="仿宋"/>
          <w:sz w:val="32"/>
          <w:szCs w:val="32"/>
          <w:lang w:val="en-US" w:eastAsia="zh-CN"/>
        </w:rPr>
        <w:t>，</w:t>
      </w:r>
      <w:r>
        <w:rPr>
          <w:rFonts w:hint="eastAsia" w:ascii="仿宋" w:hAnsi="仿宋" w:eastAsia="仿宋"/>
          <w:sz w:val="32"/>
          <w:szCs w:val="32"/>
          <w:lang w:val="en-US" w:eastAsia="zh-CN"/>
        </w:rPr>
        <w:t>混播植物播种量参照附录A 表A2</w:t>
      </w:r>
      <w:r>
        <w:rPr>
          <w:rFonts w:hint="default" w:ascii="仿宋" w:hAnsi="仿宋" w:eastAsia="仿宋"/>
          <w:sz w:val="32"/>
          <w:szCs w:val="32"/>
          <w:lang w:val="en-US" w:eastAsia="zh-CN"/>
        </w:rPr>
        <w:t>执行。</w:t>
      </w:r>
    </w:p>
    <w:p w14:paraId="214DAF2E">
      <w:pPr>
        <w:ind w:firstLine="640" w:firstLineChars="200"/>
        <w:rPr>
          <w:rFonts w:hint="default" w:ascii="仿宋" w:hAnsi="仿宋" w:eastAsia="仿宋"/>
          <w:sz w:val="32"/>
          <w:szCs w:val="32"/>
          <w:lang w:val="en-US" w:eastAsia="zh-CN"/>
        </w:rPr>
      </w:pPr>
      <w:r>
        <w:rPr>
          <w:rFonts w:hint="eastAsia" w:ascii="仿宋" w:hAnsi="仿宋" w:eastAsia="仿宋"/>
          <w:sz w:val="32"/>
          <w:szCs w:val="32"/>
          <w:lang w:val="en-US" w:eastAsia="zh-CN"/>
        </w:rPr>
        <w:t>无人机机型要求选择选择能够提供稳定的携荷能力和长时间续航能力的高质量的无人机</w:t>
      </w:r>
      <w:r>
        <w:rPr>
          <w:rFonts w:hint="default" w:ascii="仿宋" w:hAnsi="仿宋" w:eastAsia="仿宋"/>
          <w:sz w:val="32"/>
          <w:szCs w:val="32"/>
          <w:lang w:val="en-US" w:eastAsia="zh-CN"/>
        </w:rPr>
        <w:t>；</w:t>
      </w:r>
      <w:r>
        <w:rPr>
          <w:rFonts w:hint="eastAsia" w:ascii="仿宋" w:hAnsi="仿宋" w:eastAsia="仿宋"/>
          <w:sz w:val="32"/>
          <w:szCs w:val="32"/>
          <w:lang w:val="en-US" w:eastAsia="zh-CN"/>
        </w:rPr>
        <w:t>作业方式可采用无序撒播和有序条播两种播种方式</w:t>
      </w:r>
      <w:r>
        <w:rPr>
          <w:rFonts w:hint="default" w:ascii="仿宋" w:hAnsi="仿宋" w:eastAsia="仿宋"/>
          <w:sz w:val="32"/>
          <w:szCs w:val="32"/>
          <w:lang w:val="en-US" w:eastAsia="zh-CN"/>
        </w:rPr>
        <w:t>；</w:t>
      </w:r>
      <w:r>
        <w:rPr>
          <w:rFonts w:hint="eastAsia" w:ascii="仿宋" w:hAnsi="仿宋" w:eastAsia="仿宋"/>
          <w:sz w:val="32"/>
          <w:szCs w:val="32"/>
          <w:lang w:val="en-US" w:eastAsia="zh-CN"/>
        </w:rPr>
        <w:t>技术要求包括无人机性能要求、作业时环境要求、通信控制系统要求、安全要求等</w:t>
      </w:r>
      <w:r>
        <w:rPr>
          <w:rFonts w:hint="default" w:ascii="仿宋" w:hAnsi="仿宋" w:eastAsia="仿宋"/>
          <w:sz w:val="32"/>
          <w:szCs w:val="32"/>
          <w:lang w:val="en-US" w:eastAsia="zh-CN"/>
        </w:rPr>
        <w:t>；</w:t>
      </w:r>
      <w:r>
        <w:rPr>
          <w:rFonts w:hint="eastAsia" w:ascii="仿宋" w:hAnsi="仿宋" w:eastAsia="仿宋"/>
          <w:sz w:val="32"/>
          <w:szCs w:val="32"/>
          <w:lang w:val="en-US" w:eastAsia="zh-CN"/>
        </w:rPr>
        <w:t>作业人员要求</w:t>
      </w:r>
      <w:r>
        <w:rPr>
          <w:rFonts w:hint="default" w:ascii="仿宋" w:hAnsi="仿宋" w:eastAsia="仿宋"/>
          <w:sz w:val="32"/>
          <w:szCs w:val="32"/>
          <w:lang w:val="en-US" w:eastAsia="zh-CN"/>
        </w:rPr>
        <w:t>必须获得相关机构的培训证书。</w:t>
      </w:r>
    </w:p>
    <w:p w14:paraId="3485B80E">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5、作业流程</w:t>
      </w:r>
    </w:p>
    <w:p w14:paraId="3EF00B9B">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飞播前准备包括起降地和物资供应场地选择、检查飞行部件、确定作业参数、播幅设计等；飞播作业包括选择有利于飞机作业及牧草种子萌发与生长的时期，放置种子、选择的飞行参数和既定的航线进行作业，飞播时控制速度和高度，并保持安全飞行，同时进行落种密度测定；飞后维护包括及时检查无人机各零部件是否完好并进行保养维护。</w:t>
      </w:r>
    </w:p>
    <w:p w14:paraId="26DD8B96">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6、播后管理</w:t>
      </w:r>
    </w:p>
    <w:p w14:paraId="70BC5374">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包括地面处理、养护和鼠虫害防治，采取多种方式使种子入土，缺苗地块视面积大小进行人工或机械补播、补植；采用围栏或人工措施对飞播地块进行封禁；定期查看地块的病虫鼠害情况，做好预防。</w:t>
      </w:r>
    </w:p>
    <w:p w14:paraId="33147E82">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7、播后</w:t>
      </w:r>
      <w:r>
        <w:rPr>
          <w:rFonts w:hint="eastAsia" w:ascii="仿宋" w:hAnsi="仿宋" w:eastAsia="仿宋"/>
          <w:sz w:val="32"/>
          <w:szCs w:val="32"/>
          <w:lang w:val="en-US" w:eastAsia="en-US"/>
        </w:rPr>
        <w:t>管</w:t>
      </w:r>
      <w:r>
        <w:rPr>
          <w:rFonts w:hint="eastAsia" w:ascii="仿宋" w:hAnsi="仿宋" w:eastAsia="仿宋"/>
          <w:sz w:val="32"/>
          <w:szCs w:val="32"/>
          <w:lang w:val="en-US" w:eastAsia="zh-CN"/>
        </w:rPr>
        <w:t>理与效果调查</w:t>
      </w:r>
    </w:p>
    <w:p w14:paraId="78F95D9B">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当年调查飞播作业质量（落种密度）及出苗情况（成苗率），第二年春季进行保存率调查；2年～3年后进行飞播效果调查，调查方法按照NY/T 1239-2006中的附录A飞播种草质量调查，效果评价指标按照NY/T 1239-2006中的12.2表2规定执行。</w:t>
      </w:r>
    </w:p>
    <w:p w14:paraId="4F8DD0B2">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8、附录</w:t>
      </w:r>
    </w:p>
    <w:p w14:paraId="67CEA0C2">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附录A包括飞播植物种、组合配比及播量参考表。</w:t>
      </w:r>
    </w:p>
    <w:p w14:paraId="7399E1B5">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（二）主要技术指标、参数、试验论证的论述</w:t>
      </w:r>
    </w:p>
    <w:p w14:paraId="6C301848">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1、播区选择</w:t>
      </w:r>
    </w:p>
    <w:p w14:paraId="4B90A0F0">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选择具一定面积、地形高差较小、植被盖度的重度退化、沙化、盐渍化草地作为无人机飞播区域，根据蒙草集团工程实施人员无人机飞播经验，面积最好不小于500亩，近距离内（如10米内）地形高差不超过5米。</w:t>
      </w:r>
    </w:p>
    <w:p w14:paraId="54D74EF1">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播区调查：调查指标按NY/T 1239中的4.1规定的相关指标，评定退化程度指标和方法按照GB/T 19377 《天然草地退化、沙化、盐渍化的分级指标》中的4、5，判定是否是中度、重度退化、沙化、盐渍化草地。</w:t>
      </w:r>
    </w:p>
    <w:p w14:paraId="6FEC2079">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地面处理：参照DB15/T31-92、NY/T 1239“播前地面处理”相关规定的地面处理方法。</w:t>
      </w:r>
    </w:p>
    <w:p w14:paraId="1B929AF8">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面积测量：面积较大和地块较多的播区需应用测绘无人机的</w:t>
      </w:r>
      <w:r>
        <w:rPr>
          <w:rFonts w:hint="eastAsia" w:ascii="仿宋" w:hAnsi="仿宋" w:eastAsia="仿宋"/>
          <w:sz w:val="32"/>
          <w:szCs w:val="32"/>
          <w:lang w:val="en-US" w:eastAsia="en-US"/>
        </w:rPr>
        <w:t>摄影测量系统</w:t>
      </w:r>
      <w:r>
        <w:rPr>
          <w:rFonts w:hint="eastAsia" w:ascii="仿宋" w:hAnsi="仿宋" w:eastAsia="仿宋"/>
          <w:sz w:val="32"/>
          <w:szCs w:val="32"/>
          <w:lang w:val="en-US" w:eastAsia="zh-CN"/>
        </w:rPr>
        <w:t>进行测量，完成工程范围精细划定。</w:t>
      </w:r>
    </w:p>
    <w:p w14:paraId="0BE319E3">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2、植物种选择与配置</w:t>
      </w:r>
    </w:p>
    <w:p w14:paraId="5F8851C8">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植物种选择：飞播植物优先选择适宜播区生境条件、天然更新能力强、种源丰富的乡土植物种，一些经过引种驯化适合当地条件的植物种可作为补充。为了符合天然草原生态恢复的要求，一般选择豆科与禾本科、深根型与浅根型，一年生与多年生植物组合。对于风蚀沙化草地，主要选择防风固沙且能饲用的灌木、草本植物组合，同时配置一些速生的先锋植物;盐渍化草地主要选择耐盐碱的植物种组合，同时配置一、二年生耐盐碱植物作为先锋植物。</w:t>
      </w:r>
    </w:p>
    <w:p w14:paraId="585DBDDA">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不同草原类型适宜补播的主要灌木、草种是在对天然植物群落植被结构特征、组合方式，各植物种“四度一量”数据、生活型等分析的基础上，研究原生植被群落中建群种、优势种、主要伴生种组成，选择补播植物种，见附表A1。补播植物配置是综合考虑各植物种在群落中的重要值、生态位、种子千粒重等指标，确定不同类型植被修复物种配置种类及比例。</w:t>
      </w:r>
    </w:p>
    <w:p w14:paraId="0A817B79">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案例：蒙草集团在通辽市科尔沁左翼中旗（科左中旗）门达镇乌斯吐自然保护区和后乌苏嘎查，采取飞播措施治理严重沙化草地10000亩，选用的草种为小叶锦鸡儿、沙蒿、沙打旺、草木犀、羊柴、沙蓬草种比例（1:0.6:0.6:0.25:0.2:0.2），播量1.5kg/亩。监测数据表明：植被飞播第三年（2017年、2018年、2019年）后，2个飞播区域植被平均高度、盖度都较飞播当年（2015年8月）大幅提高（P＜0.05）第四年、第五年飞播区域植被逐渐趋于稳定。</w:t>
      </w:r>
    </w:p>
    <w:p w14:paraId="461C68D5">
      <w:pPr>
        <w:pStyle w:val="2"/>
        <w:rPr>
          <w:rFonts w:hint="eastAsia" w:ascii="仿宋" w:hAnsi="仿宋" w:eastAsia="仿宋"/>
          <w:sz w:val="32"/>
          <w:szCs w:val="32"/>
          <w:lang w:val="en-US" w:eastAsia="zh-CN"/>
        </w:rPr>
      </w:pPr>
      <w:r>
        <w:rPr>
          <w:sz w:val="21"/>
        </w:rPr>
        <w:drawing>
          <wp:anchor distT="0" distB="0" distL="114300" distR="114300" simplePos="0" relativeHeight="251662336" behindDoc="0" locked="0" layoutInCell="1" allowOverlap="1">
            <wp:simplePos x="0" y="0"/>
            <wp:positionH relativeFrom="column">
              <wp:posOffset>2940685</wp:posOffset>
            </wp:positionH>
            <wp:positionV relativeFrom="paragraph">
              <wp:posOffset>274955</wp:posOffset>
            </wp:positionV>
            <wp:extent cx="2921635" cy="1814830"/>
            <wp:effectExtent l="0" t="0" r="2540" b="4445"/>
            <wp:wrapSquare wrapText="bothSides"/>
            <wp:docPr id="156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r>
        <w:drawing>
          <wp:anchor distT="0" distB="0" distL="114300" distR="114300" simplePos="0" relativeHeight="251663360" behindDoc="0" locked="0" layoutInCell="1" allowOverlap="1">
            <wp:simplePos x="0" y="0"/>
            <wp:positionH relativeFrom="column">
              <wp:posOffset>171450</wp:posOffset>
            </wp:positionH>
            <wp:positionV relativeFrom="paragraph">
              <wp:posOffset>235585</wp:posOffset>
            </wp:positionV>
            <wp:extent cx="2497455" cy="1852930"/>
            <wp:effectExtent l="0" t="0" r="7620" b="4445"/>
            <wp:wrapNone/>
            <wp:docPr id="9"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14:paraId="40FD1BE0">
      <w:pPr>
        <w:rPr>
          <w:rFonts w:hint="eastAsia" w:ascii="仿宋" w:hAnsi="仿宋" w:eastAsia="仿宋"/>
          <w:sz w:val="32"/>
          <w:szCs w:val="32"/>
          <w:lang w:val="en-US" w:eastAsia="zh-CN"/>
        </w:rPr>
      </w:pPr>
    </w:p>
    <w:p w14:paraId="7C14D524">
      <w:pPr>
        <w:pStyle w:val="2"/>
        <w:rPr>
          <w:rFonts w:hint="eastAsia" w:ascii="仿宋" w:hAnsi="仿宋" w:eastAsia="仿宋"/>
          <w:sz w:val="32"/>
          <w:szCs w:val="32"/>
          <w:lang w:val="en-US" w:eastAsia="zh-CN"/>
        </w:rPr>
      </w:pPr>
    </w:p>
    <w:p w14:paraId="17A6F19B">
      <w:pPr>
        <w:rPr>
          <w:rFonts w:hint="eastAsia"/>
          <w:lang w:val="en-US" w:eastAsia="zh-CN"/>
        </w:rPr>
      </w:pPr>
    </w:p>
    <w:p w14:paraId="71DD8CD0">
      <w:pPr>
        <w:pStyle w:val="2"/>
        <w:rPr>
          <w:rFonts w:hint="eastAsia"/>
          <w:lang w:val="en-US" w:eastAsia="zh-CN"/>
        </w:rPr>
      </w:pPr>
    </w:p>
    <w:p w14:paraId="41B0FFFD">
      <w:pPr>
        <w:keepNext w:val="0"/>
        <w:keepLines w:val="0"/>
        <w:pageBreakBefore w:val="0"/>
        <w:widowControl/>
        <w:kinsoku w:val="0"/>
        <w:wordWrap/>
        <w:overflowPunct/>
        <w:topLinePunct w:val="0"/>
        <w:autoSpaceDE w:val="0"/>
        <w:autoSpaceDN w:val="0"/>
        <w:bidi w:val="0"/>
        <w:adjustRightInd w:val="0"/>
        <w:snapToGrid w:val="0"/>
        <w:spacing w:line="520" w:lineRule="exact"/>
        <w:ind w:firstLine="221" w:firstLineChars="100"/>
        <w:textAlignment w:val="baseline"/>
        <w:rPr>
          <w:rFonts w:ascii="Times New Roman" w:hAnsi="Times New Roman"/>
          <w:sz w:val="28"/>
          <w:szCs w:val="28"/>
        </w:rPr>
      </w:pPr>
      <w:r>
        <w:rPr>
          <w:rFonts w:eastAsia="仿宋"/>
          <w:b/>
          <w:color w:val="000000"/>
          <w:szCs w:val="21"/>
        </w:rPr>
        <w:t>飞播治理后不同年度群落盖度变化</w:t>
      </w:r>
      <w:r>
        <w:rPr>
          <w:rFonts w:hint="eastAsia" w:eastAsia="宋体"/>
          <w:lang w:val="en-US" w:eastAsia="zh-CN"/>
        </w:rPr>
        <w:t xml:space="preserve">            </w:t>
      </w:r>
      <w:r>
        <w:rPr>
          <w:rFonts w:eastAsia="仿宋"/>
          <w:b/>
          <w:color w:val="000000"/>
          <w:szCs w:val="21"/>
        </w:rPr>
        <w:t>飞播治理后不同年度群落</w:t>
      </w:r>
      <w:r>
        <w:rPr>
          <w:rFonts w:hint="eastAsia" w:eastAsia="仿宋"/>
          <w:b/>
          <w:color w:val="000000"/>
          <w:szCs w:val="21"/>
          <w:lang w:val="en-US" w:eastAsia="zh-CN"/>
        </w:rPr>
        <w:t>高</w:t>
      </w:r>
      <w:r>
        <w:rPr>
          <w:rFonts w:eastAsia="仿宋"/>
          <w:b/>
          <w:color w:val="000000"/>
          <w:szCs w:val="21"/>
        </w:rPr>
        <w:t>度变化</w:t>
      </w:r>
    </w:p>
    <w:p w14:paraId="7797DB80">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3、种子处理与播量</w:t>
      </w:r>
    </w:p>
    <w:p w14:paraId="398EEE5D">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带芒有茸的牧草种籽要进行脱芒去茸处理，有果皮或硬实率高的豆科牧草种籽，要用机械或化学方法进行处理，重量轻的种籽要进行丸粒化处理。灌木、草本种子质量应达到</w:t>
      </w:r>
      <w:r>
        <w:rPr>
          <w:rFonts w:hint="eastAsia" w:ascii="仿宋" w:hAnsi="仿宋" w:eastAsia="仿宋"/>
          <w:sz w:val="32"/>
          <w:szCs w:val="32"/>
          <w:lang w:val="en-US" w:eastAsia="en-US"/>
        </w:rPr>
        <w:t xml:space="preserve">GB 6141-2008 </w:t>
      </w:r>
      <w:r>
        <w:rPr>
          <w:rFonts w:hint="eastAsia" w:ascii="仿宋" w:hAnsi="仿宋" w:eastAsia="仿宋"/>
          <w:sz w:val="32"/>
          <w:szCs w:val="32"/>
          <w:lang w:val="en-US" w:eastAsia="zh-CN"/>
        </w:rPr>
        <w:t>、</w:t>
      </w:r>
      <w:r>
        <w:rPr>
          <w:rFonts w:hint="eastAsia" w:ascii="仿宋" w:hAnsi="仿宋" w:eastAsia="仿宋"/>
          <w:sz w:val="32"/>
          <w:szCs w:val="32"/>
          <w:lang w:val="en-US" w:eastAsia="en-US"/>
        </w:rPr>
        <w:t xml:space="preserve">GB 6142-2008 </w:t>
      </w:r>
      <w:r>
        <w:rPr>
          <w:rFonts w:hint="eastAsia" w:ascii="仿宋" w:hAnsi="仿宋" w:eastAsia="仿宋"/>
          <w:sz w:val="32"/>
          <w:szCs w:val="32"/>
          <w:lang w:val="en-US" w:eastAsia="zh-CN"/>
        </w:rPr>
        <w:t>、D</w:t>
      </w:r>
      <w:r>
        <w:rPr>
          <w:rFonts w:hint="eastAsia" w:ascii="仿宋" w:hAnsi="仿宋" w:eastAsia="仿宋"/>
          <w:sz w:val="32"/>
          <w:szCs w:val="32"/>
          <w:lang w:val="en-US" w:eastAsia="en-US"/>
        </w:rPr>
        <w:t>B</w:t>
      </w:r>
      <w:r>
        <w:rPr>
          <w:rFonts w:hint="eastAsia" w:ascii="仿宋" w:hAnsi="仿宋" w:eastAsia="仿宋"/>
          <w:sz w:val="32"/>
          <w:szCs w:val="32"/>
          <w:lang w:val="en-US" w:eastAsia="zh-CN"/>
        </w:rPr>
        <w:t>15</w:t>
      </w:r>
      <w:r>
        <w:rPr>
          <w:rFonts w:hint="eastAsia" w:ascii="仿宋" w:hAnsi="仿宋" w:eastAsia="仿宋"/>
          <w:sz w:val="32"/>
          <w:szCs w:val="32"/>
          <w:lang w:val="en-US" w:eastAsia="en-US"/>
        </w:rPr>
        <w:t xml:space="preserve">/T </w:t>
      </w:r>
      <w:r>
        <w:rPr>
          <w:rFonts w:hint="eastAsia" w:ascii="仿宋" w:hAnsi="仿宋" w:eastAsia="仿宋"/>
          <w:sz w:val="32"/>
          <w:szCs w:val="32"/>
          <w:lang w:val="en-US" w:eastAsia="zh-CN"/>
        </w:rPr>
        <w:t>374-2023</w:t>
      </w:r>
      <w:r>
        <w:rPr>
          <w:rFonts w:hint="eastAsia" w:ascii="仿宋" w:hAnsi="仿宋" w:eastAsia="仿宋"/>
          <w:sz w:val="32"/>
          <w:szCs w:val="32"/>
          <w:lang w:val="en-US" w:eastAsia="en-US"/>
        </w:rPr>
        <w:t>分级</w:t>
      </w:r>
      <w:r>
        <w:rPr>
          <w:rFonts w:hint="eastAsia" w:ascii="仿宋" w:hAnsi="仿宋" w:eastAsia="仿宋"/>
          <w:sz w:val="32"/>
          <w:szCs w:val="32"/>
          <w:lang w:val="en-US" w:eastAsia="zh-CN"/>
        </w:rPr>
        <w:t>规定的二级以上(含二级)质量标准。</w:t>
      </w:r>
    </w:p>
    <w:p w14:paraId="16702F70">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单播播种量参考DB15/T 31-92中的5（各种草种播种量表）、NY/T 1239中的7（草种组合及播种量表）、GB/T 27514-2011中的9（沙地草场适宜补播的灌草植物种参考播种量表）。混播植物播种量参考以往野外测定样方中主要植物在群落中的占比，以及多年不同草原修复中补播植物配比效果，制定了表A2飞播植物组合及播量参考表。</w:t>
      </w:r>
    </w:p>
    <w:p w14:paraId="31F9C5F6">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4、无人机型及作业方式</w:t>
      </w:r>
    </w:p>
    <w:p w14:paraId="7AA8ECAA">
      <w:pPr>
        <w:ind w:firstLine="640" w:firstLineChars="200"/>
        <w:rPr>
          <w:rFonts w:hint="default" w:ascii="仿宋" w:hAnsi="仿宋" w:eastAsia="仿宋"/>
          <w:sz w:val="32"/>
          <w:szCs w:val="32"/>
          <w:lang w:val="en-US" w:eastAsia="zh-CN"/>
        </w:rPr>
      </w:pPr>
      <w:r>
        <w:rPr>
          <w:rFonts w:hint="eastAsia" w:ascii="仿宋" w:hAnsi="仿宋" w:eastAsia="仿宋"/>
          <w:sz w:val="32"/>
          <w:szCs w:val="32"/>
          <w:lang w:val="en-US" w:eastAsia="zh-CN"/>
        </w:rPr>
        <w:t>选择能够提供稳定的携荷能力和长时间续航能力的高质量的无人机，同时具备智能控制、断点续航、自动避障、轨迹记录、播种实时监控等功能。近两年市场上已发布农用无人机播撒系统的有极飞科技、珠海羽人、大疆农业、北方天途等无人机企业，根据国内部分农用无人机机型资料主要技术参数（见表2）：续航时间6-22分钟，额定载重16-40公斤，作业效率3-5亩/min。根据以上作业技术参数和无人机飞播实践经验，本标准根据飞播的要求，无人机飞播灌木、草本植物应具备以下条件：装载量大于20公斤，单电续航时间大于15分钟，且需配备移动充电站以保证作业连续性。</w:t>
      </w:r>
    </w:p>
    <w:p w14:paraId="6E18DF67">
      <w:pPr>
        <w:ind w:firstLine="2420" w:firstLineChars="1100"/>
        <w:rPr>
          <w:rFonts w:hint="default" w:ascii="黑体" w:hAnsi="黑体" w:eastAsia="黑体" w:cstheme="minorBidi"/>
          <w:kern w:val="2"/>
          <w:sz w:val="22"/>
          <w:szCs w:val="21"/>
          <w:lang w:val="en-US" w:eastAsia="zh-CN" w:bidi="ar-SA"/>
          <w14:ligatures w14:val="standardContextual"/>
        </w:rPr>
      </w:pPr>
      <w:r>
        <w:rPr>
          <w:rFonts w:hint="eastAsia" w:ascii="黑体" w:hAnsi="黑体" w:eastAsia="黑体" w:cstheme="minorBidi"/>
          <w:kern w:val="2"/>
          <w:sz w:val="22"/>
          <w:szCs w:val="21"/>
          <w:lang w:val="en-US" w:eastAsia="zh-CN" w:bidi="ar-SA"/>
          <w14:ligatures w14:val="standardContextual"/>
        </w:rPr>
        <w:drawing>
          <wp:anchor distT="0" distB="0" distL="114300" distR="114300" simplePos="0" relativeHeight="251659264" behindDoc="0" locked="0" layoutInCell="1" allowOverlap="1">
            <wp:simplePos x="0" y="0"/>
            <wp:positionH relativeFrom="column">
              <wp:posOffset>-146050</wp:posOffset>
            </wp:positionH>
            <wp:positionV relativeFrom="paragraph">
              <wp:posOffset>371475</wp:posOffset>
            </wp:positionV>
            <wp:extent cx="5905500" cy="2619375"/>
            <wp:effectExtent l="0" t="0" r="0" b="0"/>
            <wp:wrapSquare wrapText="bothSides"/>
            <wp:docPr id="1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58"/>
                    <pic:cNvPicPr>
                      <a:picLocks noChangeAspect="1"/>
                    </pic:cNvPicPr>
                  </pic:nvPicPr>
                  <pic:blipFill>
                    <a:blip r:embed="rId8"/>
                    <a:srcRect l="1915" t="61847" r="1373"/>
                    <a:stretch>
                      <a:fillRect/>
                    </a:stretch>
                  </pic:blipFill>
                  <pic:spPr>
                    <a:xfrm>
                      <a:off x="0" y="0"/>
                      <a:ext cx="5905500" cy="2619375"/>
                    </a:xfrm>
                    <a:prstGeom prst="rect">
                      <a:avLst/>
                    </a:prstGeom>
                    <a:noFill/>
                    <a:ln w="9525">
                      <a:noFill/>
                    </a:ln>
                  </pic:spPr>
                </pic:pic>
              </a:graphicData>
            </a:graphic>
          </wp:anchor>
        </w:drawing>
      </w:r>
      <w:r>
        <w:rPr>
          <w:rFonts w:hint="eastAsia" w:ascii="黑体" w:hAnsi="黑体" w:eastAsia="黑体" w:cstheme="minorBidi"/>
          <w:kern w:val="2"/>
          <w:sz w:val="22"/>
          <w:szCs w:val="21"/>
          <w:lang w:val="en-US" w:eastAsia="zh-CN" w:bidi="ar-SA"/>
          <w14:ligatures w14:val="standardContextual"/>
        </w:rPr>
        <w:t>表3.国内部分农用无人机厂商机型对比</w:t>
      </w:r>
    </w:p>
    <w:p w14:paraId="5B12AF9B">
      <w:pPr>
        <w:ind w:firstLine="640" w:firstLineChars="200"/>
        <w:rPr>
          <w:rFonts w:hint="default" w:ascii="仿宋" w:hAnsi="仿宋" w:eastAsia="仿宋"/>
          <w:sz w:val="32"/>
          <w:szCs w:val="32"/>
          <w:lang w:val="en-US" w:eastAsia="zh-CN"/>
        </w:rPr>
      </w:pPr>
      <w:r>
        <w:rPr>
          <w:rFonts w:hint="eastAsia" w:ascii="仿宋" w:hAnsi="仿宋" w:eastAsia="仿宋"/>
          <w:sz w:val="32"/>
          <w:szCs w:val="32"/>
          <w:lang w:val="en-US" w:eastAsia="zh-CN"/>
        </w:rPr>
        <w:t>因无人机更新换代较快，新型农用无人机性能在不断提高，因而在续航时间、额定载重、作业效率都有很大提升（表3）。表3是最新型大疆T100、大疆T70的技术参数，看出最大载重、最大飞行半径、最大飞行半径、最大飞行速度都有较大提高，因此，无人机飞播技术参数要根据机型变化不断更新。</w:t>
      </w:r>
    </w:p>
    <w:p w14:paraId="30231C4B">
      <w:pPr>
        <w:pStyle w:val="10"/>
        <w:numPr>
          <w:ilvl w:val="1"/>
          <w:numId w:val="0"/>
        </w:numPr>
        <w:spacing w:line="276" w:lineRule="auto"/>
        <w:ind w:leftChars="0" w:firstLine="3300" w:firstLineChars="1500"/>
        <w:jc w:val="both"/>
      </w:pPr>
      <w:r>
        <w:rPr>
          <w:rFonts w:hint="eastAsia" w:hAnsi="黑体"/>
          <w:lang w:val="en-US" w:eastAsia="zh-CN"/>
        </w:rPr>
        <w:t>表4.</w:t>
      </w:r>
      <w:r>
        <w:rPr>
          <w:rFonts w:hint="eastAsia" w:hAnsi="黑体"/>
        </w:rPr>
        <w:t>飞播灌草主要无人机型技术参数</w:t>
      </w: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4"/>
        <w:gridCol w:w="3032"/>
        <w:gridCol w:w="3196"/>
      </w:tblGrid>
      <w:tr w14:paraId="3F2FF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346" w:type="pct"/>
            <w:vAlign w:val="center"/>
          </w:tcPr>
          <w:p w14:paraId="53C38264">
            <w:pPr>
              <w:pStyle w:val="12"/>
              <w:jc w:val="both"/>
              <w:rPr>
                <w:b w:val="0"/>
                <w:bCs w:val="0"/>
                <w:color w:val="auto"/>
                <w:sz w:val="21"/>
                <w:szCs w:val="21"/>
              </w:rPr>
            </w:pPr>
            <w:r>
              <w:rPr>
                <w:rFonts w:hint="eastAsia"/>
                <w:b w:val="0"/>
                <w:bCs w:val="0"/>
                <w:color w:val="auto"/>
                <w:sz w:val="21"/>
                <w:szCs w:val="21"/>
              </w:rPr>
              <w:t>技术参数</w:t>
            </w:r>
          </w:p>
        </w:tc>
        <w:tc>
          <w:tcPr>
            <w:tcW w:w="1779" w:type="pct"/>
            <w:vAlign w:val="center"/>
          </w:tcPr>
          <w:p w14:paraId="0E6E0621">
            <w:pPr>
              <w:pStyle w:val="12"/>
              <w:jc w:val="both"/>
              <w:rPr>
                <w:rFonts w:hint="eastAsia"/>
                <w:b w:val="0"/>
                <w:bCs w:val="0"/>
                <w:color w:val="auto"/>
                <w:sz w:val="21"/>
                <w:szCs w:val="21"/>
              </w:rPr>
            </w:pPr>
            <w:r>
              <w:rPr>
                <w:rFonts w:hint="eastAsia"/>
                <w:b w:val="0"/>
                <w:bCs w:val="0"/>
                <w:color w:val="auto"/>
                <w:sz w:val="21"/>
                <w:szCs w:val="21"/>
              </w:rPr>
              <w:t>大疆T100</w:t>
            </w:r>
          </w:p>
          <w:p w14:paraId="2DEDE4A0">
            <w:pPr>
              <w:pStyle w:val="12"/>
              <w:jc w:val="both"/>
              <w:rPr>
                <w:b w:val="0"/>
                <w:bCs w:val="0"/>
                <w:color w:val="auto"/>
                <w:sz w:val="21"/>
                <w:szCs w:val="21"/>
              </w:rPr>
            </w:pPr>
            <w:r>
              <w:rPr>
                <w:rFonts w:hint="eastAsia"/>
                <w:b w:val="0"/>
                <w:bCs w:val="0"/>
                <w:color w:val="auto"/>
                <w:sz w:val="21"/>
                <w:szCs w:val="21"/>
              </w:rPr>
              <w:t>农业无人飞机</w:t>
            </w:r>
          </w:p>
        </w:tc>
        <w:tc>
          <w:tcPr>
            <w:tcW w:w="1875" w:type="pct"/>
            <w:vAlign w:val="center"/>
          </w:tcPr>
          <w:p w14:paraId="1A68904A">
            <w:pPr>
              <w:pStyle w:val="12"/>
              <w:jc w:val="both"/>
              <w:rPr>
                <w:rFonts w:hint="eastAsia"/>
                <w:b w:val="0"/>
                <w:bCs w:val="0"/>
                <w:color w:val="auto"/>
                <w:sz w:val="21"/>
                <w:szCs w:val="21"/>
              </w:rPr>
            </w:pPr>
            <w:r>
              <w:rPr>
                <w:rFonts w:hint="eastAsia"/>
                <w:b w:val="0"/>
                <w:bCs w:val="0"/>
                <w:color w:val="auto"/>
                <w:sz w:val="21"/>
                <w:szCs w:val="21"/>
              </w:rPr>
              <w:t>大疆T70</w:t>
            </w:r>
          </w:p>
          <w:p w14:paraId="38742945">
            <w:pPr>
              <w:pStyle w:val="12"/>
              <w:jc w:val="both"/>
              <w:rPr>
                <w:b w:val="0"/>
                <w:bCs w:val="0"/>
                <w:color w:val="auto"/>
                <w:sz w:val="21"/>
                <w:szCs w:val="21"/>
              </w:rPr>
            </w:pPr>
            <w:r>
              <w:rPr>
                <w:rFonts w:hint="eastAsia"/>
                <w:b w:val="0"/>
                <w:bCs w:val="0"/>
                <w:color w:val="auto"/>
                <w:sz w:val="21"/>
                <w:szCs w:val="21"/>
              </w:rPr>
              <w:t>农业无人飞机</w:t>
            </w:r>
          </w:p>
        </w:tc>
      </w:tr>
      <w:tr w14:paraId="7FC29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346" w:type="pct"/>
            <w:vAlign w:val="center"/>
          </w:tcPr>
          <w:p w14:paraId="4A31FC42">
            <w:pPr>
              <w:pStyle w:val="12"/>
              <w:jc w:val="both"/>
              <w:rPr>
                <w:rFonts w:hint="eastAsia"/>
                <w:b w:val="0"/>
                <w:bCs w:val="0"/>
                <w:color w:val="auto"/>
                <w:sz w:val="21"/>
                <w:szCs w:val="21"/>
              </w:rPr>
            </w:pPr>
            <w:r>
              <w:rPr>
                <w:rFonts w:hint="eastAsia"/>
                <w:b w:val="0"/>
                <w:bCs w:val="0"/>
                <w:color w:val="auto"/>
                <w:sz w:val="21"/>
                <w:szCs w:val="21"/>
              </w:rPr>
              <w:t>空机重量</w:t>
            </w:r>
          </w:p>
        </w:tc>
        <w:tc>
          <w:tcPr>
            <w:tcW w:w="1779" w:type="pct"/>
            <w:vAlign w:val="center"/>
          </w:tcPr>
          <w:p w14:paraId="7AA74BC3">
            <w:pPr>
              <w:pStyle w:val="12"/>
              <w:jc w:val="both"/>
              <w:rPr>
                <w:rFonts w:hint="eastAsia"/>
                <w:b w:val="0"/>
                <w:bCs w:val="0"/>
                <w:color w:val="auto"/>
                <w:sz w:val="21"/>
                <w:szCs w:val="21"/>
              </w:rPr>
            </w:pPr>
            <w:r>
              <w:rPr>
                <w:rFonts w:hint="eastAsia"/>
                <w:b w:val="0"/>
                <w:bCs w:val="0"/>
                <w:color w:val="auto"/>
                <w:sz w:val="21"/>
                <w:szCs w:val="21"/>
              </w:rPr>
              <w:t>73kg</w:t>
            </w:r>
          </w:p>
        </w:tc>
        <w:tc>
          <w:tcPr>
            <w:tcW w:w="1875" w:type="pct"/>
            <w:vAlign w:val="center"/>
          </w:tcPr>
          <w:p w14:paraId="7F12653B">
            <w:pPr>
              <w:pStyle w:val="12"/>
              <w:jc w:val="both"/>
              <w:rPr>
                <w:rFonts w:hint="eastAsia"/>
                <w:b w:val="0"/>
                <w:bCs w:val="0"/>
                <w:color w:val="auto"/>
                <w:sz w:val="21"/>
                <w:szCs w:val="21"/>
              </w:rPr>
            </w:pPr>
            <w:r>
              <w:rPr>
                <w:rFonts w:hint="eastAsia"/>
                <w:b w:val="0"/>
                <w:bCs w:val="0"/>
                <w:color w:val="auto"/>
                <w:sz w:val="21"/>
                <w:szCs w:val="21"/>
              </w:rPr>
              <w:t>52kg</w:t>
            </w:r>
          </w:p>
        </w:tc>
      </w:tr>
      <w:tr w14:paraId="5C583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346" w:type="pct"/>
            <w:vAlign w:val="center"/>
          </w:tcPr>
          <w:p w14:paraId="58CB1B4A">
            <w:pPr>
              <w:pStyle w:val="12"/>
              <w:jc w:val="both"/>
              <w:rPr>
                <w:rFonts w:hint="eastAsia"/>
                <w:b w:val="0"/>
                <w:bCs w:val="0"/>
                <w:color w:val="auto"/>
                <w:sz w:val="21"/>
                <w:szCs w:val="21"/>
              </w:rPr>
            </w:pPr>
            <w:r>
              <w:rPr>
                <w:rFonts w:hint="eastAsia"/>
                <w:b w:val="0"/>
                <w:bCs w:val="0"/>
                <w:color w:val="auto"/>
                <w:sz w:val="21"/>
                <w:szCs w:val="21"/>
              </w:rPr>
              <w:t>最大载重</w:t>
            </w:r>
          </w:p>
        </w:tc>
        <w:tc>
          <w:tcPr>
            <w:tcW w:w="1779" w:type="pct"/>
            <w:vAlign w:val="center"/>
          </w:tcPr>
          <w:p w14:paraId="1BFED1C2">
            <w:pPr>
              <w:pStyle w:val="12"/>
              <w:jc w:val="both"/>
              <w:rPr>
                <w:rFonts w:hint="eastAsia"/>
                <w:b w:val="0"/>
                <w:bCs w:val="0"/>
                <w:color w:val="auto"/>
                <w:sz w:val="21"/>
                <w:szCs w:val="21"/>
              </w:rPr>
            </w:pPr>
            <w:r>
              <w:rPr>
                <w:rFonts w:hint="eastAsia"/>
                <w:b w:val="0"/>
                <w:bCs w:val="0"/>
                <w:color w:val="auto"/>
                <w:sz w:val="21"/>
                <w:szCs w:val="21"/>
              </w:rPr>
              <w:t>75kg(海平面附近)</w:t>
            </w:r>
          </w:p>
          <w:p w14:paraId="02E2CB6A">
            <w:pPr>
              <w:pStyle w:val="12"/>
              <w:jc w:val="both"/>
              <w:rPr>
                <w:rFonts w:hint="eastAsia"/>
                <w:b w:val="0"/>
                <w:bCs w:val="0"/>
                <w:color w:val="auto"/>
                <w:sz w:val="21"/>
                <w:szCs w:val="21"/>
              </w:rPr>
            </w:pPr>
            <w:r>
              <w:rPr>
                <w:rFonts w:hint="eastAsia"/>
                <w:b w:val="0"/>
                <w:bCs w:val="0"/>
                <w:color w:val="auto"/>
                <w:sz w:val="21"/>
                <w:szCs w:val="21"/>
              </w:rPr>
              <w:t>54kg(最大起飞海拔高度处)</w:t>
            </w:r>
          </w:p>
        </w:tc>
        <w:tc>
          <w:tcPr>
            <w:tcW w:w="1875" w:type="pct"/>
            <w:vAlign w:val="center"/>
          </w:tcPr>
          <w:p w14:paraId="263DDB49">
            <w:pPr>
              <w:pStyle w:val="12"/>
              <w:jc w:val="both"/>
              <w:rPr>
                <w:rFonts w:hint="eastAsia"/>
                <w:b w:val="0"/>
                <w:bCs w:val="0"/>
                <w:color w:val="auto"/>
                <w:sz w:val="21"/>
                <w:szCs w:val="21"/>
              </w:rPr>
            </w:pPr>
            <w:r>
              <w:rPr>
                <w:rFonts w:hint="eastAsia"/>
                <w:b w:val="0"/>
                <w:bCs w:val="0"/>
                <w:color w:val="auto"/>
                <w:sz w:val="21"/>
                <w:szCs w:val="21"/>
              </w:rPr>
              <w:t>50kg(海平面附近)</w:t>
            </w:r>
          </w:p>
          <w:p w14:paraId="51A259B4">
            <w:pPr>
              <w:pStyle w:val="12"/>
              <w:jc w:val="both"/>
              <w:rPr>
                <w:rFonts w:hint="eastAsia"/>
                <w:b w:val="0"/>
                <w:bCs w:val="0"/>
                <w:color w:val="auto"/>
                <w:sz w:val="21"/>
                <w:szCs w:val="21"/>
              </w:rPr>
            </w:pPr>
            <w:r>
              <w:rPr>
                <w:rFonts w:hint="eastAsia"/>
                <w:b w:val="0"/>
                <w:bCs w:val="0"/>
                <w:color w:val="auto"/>
                <w:sz w:val="21"/>
                <w:szCs w:val="21"/>
              </w:rPr>
              <w:t>26.5kg(最大起飞海拔高度处)</w:t>
            </w:r>
          </w:p>
        </w:tc>
      </w:tr>
      <w:tr w14:paraId="7145C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346" w:type="pct"/>
            <w:vAlign w:val="center"/>
          </w:tcPr>
          <w:p w14:paraId="2E40423D">
            <w:pPr>
              <w:pStyle w:val="12"/>
              <w:jc w:val="both"/>
              <w:rPr>
                <w:b w:val="0"/>
                <w:bCs w:val="0"/>
                <w:color w:val="auto"/>
                <w:sz w:val="21"/>
                <w:szCs w:val="21"/>
              </w:rPr>
            </w:pPr>
            <w:r>
              <w:rPr>
                <w:rFonts w:hint="eastAsia"/>
                <w:b w:val="0"/>
                <w:bCs w:val="0"/>
                <w:color w:val="auto"/>
                <w:sz w:val="21"/>
                <w:szCs w:val="21"/>
              </w:rPr>
              <w:t>最大飞行半径</w:t>
            </w:r>
          </w:p>
        </w:tc>
        <w:tc>
          <w:tcPr>
            <w:tcW w:w="1779" w:type="pct"/>
            <w:vAlign w:val="center"/>
          </w:tcPr>
          <w:p w14:paraId="7239EE8E">
            <w:pPr>
              <w:pStyle w:val="12"/>
              <w:jc w:val="both"/>
              <w:rPr>
                <w:b w:val="0"/>
                <w:bCs w:val="0"/>
                <w:color w:val="auto"/>
                <w:sz w:val="21"/>
                <w:szCs w:val="21"/>
              </w:rPr>
            </w:pPr>
            <w:r>
              <w:rPr>
                <w:rFonts w:hint="eastAsia"/>
                <w:b w:val="0"/>
                <w:bCs w:val="0"/>
                <w:color w:val="auto"/>
                <w:sz w:val="21"/>
                <w:szCs w:val="21"/>
              </w:rPr>
              <w:t>2000m</w:t>
            </w:r>
          </w:p>
        </w:tc>
        <w:tc>
          <w:tcPr>
            <w:tcW w:w="1875" w:type="pct"/>
            <w:vAlign w:val="center"/>
          </w:tcPr>
          <w:p w14:paraId="3381B9F8">
            <w:pPr>
              <w:pStyle w:val="12"/>
              <w:jc w:val="both"/>
              <w:rPr>
                <w:b w:val="0"/>
                <w:bCs w:val="0"/>
                <w:color w:val="auto"/>
                <w:sz w:val="21"/>
                <w:szCs w:val="21"/>
              </w:rPr>
            </w:pPr>
            <w:r>
              <w:rPr>
                <w:rFonts w:hint="eastAsia"/>
                <w:b w:val="0"/>
                <w:bCs w:val="0"/>
                <w:color w:val="auto"/>
                <w:sz w:val="21"/>
                <w:szCs w:val="21"/>
              </w:rPr>
              <w:t>2000m</w:t>
            </w:r>
          </w:p>
        </w:tc>
      </w:tr>
      <w:tr w14:paraId="72B63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346" w:type="pct"/>
            <w:vAlign w:val="center"/>
          </w:tcPr>
          <w:p w14:paraId="49104C74">
            <w:pPr>
              <w:pStyle w:val="12"/>
              <w:jc w:val="both"/>
              <w:rPr>
                <w:rFonts w:hint="eastAsia"/>
                <w:b w:val="0"/>
                <w:bCs w:val="0"/>
                <w:color w:val="auto"/>
                <w:sz w:val="21"/>
                <w:szCs w:val="21"/>
              </w:rPr>
            </w:pPr>
            <w:r>
              <w:rPr>
                <w:rFonts w:hint="eastAsia"/>
                <w:b w:val="0"/>
                <w:bCs w:val="0"/>
                <w:color w:val="auto"/>
                <w:sz w:val="21"/>
                <w:szCs w:val="21"/>
              </w:rPr>
              <w:t>最大飞行速度</w:t>
            </w:r>
          </w:p>
        </w:tc>
        <w:tc>
          <w:tcPr>
            <w:tcW w:w="1779" w:type="pct"/>
            <w:vAlign w:val="center"/>
          </w:tcPr>
          <w:p w14:paraId="1151D4B0">
            <w:pPr>
              <w:pStyle w:val="12"/>
              <w:jc w:val="both"/>
              <w:rPr>
                <w:rFonts w:hint="eastAsia"/>
                <w:b w:val="0"/>
                <w:bCs w:val="0"/>
                <w:color w:val="auto"/>
                <w:sz w:val="21"/>
                <w:szCs w:val="21"/>
              </w:rPr>
            </w:pPr>
            <w:r>
              <w:rPr>
                <w:rFonts w:hint="eastAsia"/>
                <w:b w:val="0"/>
                <w:bCs w:val="0"/>
                <w:color w:val="auto"/>
                <w:sz w:val="21"/>
                <w:szCs w:val="21"/>
              </w:rPr>
              <w:t>13.8m/s</w:t>
            </w:r>
          </w:p>
        </w:tc>
        <w:tc>
          <w:tcPr>
            <w:tcW w:w="1875" w:type="pct"/>
            <w:vAlign w:val="center"/>
          </w:tcPr>
          <w:p w14:paraId="0B590F8D">
            <w:pPr>
              <w:pStyle w:val="12"/>
              <w:jc w:val="both"/>
              <w:rPr>
                <w:rFonts w:hint="eastAsia"/>
                <w:b w:val="0"/>
                <w:bCs w:val="0"/>
                <w:color w:val="auto"/>
                <w:sz w:val="21"/>
                <w:szCs w:val="21"/>
              </w:rPr>
            </w:pPr>
            <w:r>
              <w:rPr>
                <w:rFonts w:hint="eastAsia"/>
                <w:b w:val="0"/>
                <w:bCs w:val="0"/>
                <w:color w:val="auto"/>
                <w:sz w:val="21"/>
                <w:szCs w:val="21"/>
              </w:rPr>
              <w:t>13.8m/s</w:t>
            </w:r>
          </w:p>
        </w:tc>
      </w:tr>
      <w:tr w14:paraId="5CBA3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346" w:type="pct"/>
            <w:vAlign w:val="center"/>
          </w:tcPr>
          <w:p w14:paraId="350E8F72">
            <w:pPr>
              <w:pStyle w:val="12"/>
              <w:jc w:val="both"/>
              <w:rPr>
                <w:rFonts w:hint="eastAsia"/>
                <w:b w:val="0"/>
                <w:bCs w:val="0"/>
                <w:color w:val="auto"/>
                <w:sz w:val="21"/>
                <w:szCs w:val="21"/>
              </w:rPr>
            </w:pPr>
            <w:r>
              <w:rPr>
                <w:rFonts w:hint="eastAsia"/>
                <w:b w:val="0"/>
                <w:bCs w:val="0"/>
                <w:color w:val="auto"/>
                <w:sz w:val="21"/>
                <w:szCs w:val="21"/>
              </w:rPr>
              <w:t>最大上升/下降速度</w:t>
            </w:r>
          </w:p>
        </w:tc>
        <w:tc>
          <w:tcPr>
            <w:tcW w:w="1779" w:type="pct"/>
            <w:vAlign w:val="center"/>
          </w:tcPr>
          <w:p w14:paraId="0AA1CA5B">
            <w:pPr>
              <w:pStyle w:val="12"/>
              <w:jc w:val="both"/>
              <w:rPr>
                <w:rFonts w:hint="eastAsia"/>
                <w:b w:val="0"/>
                <w:bCs w:val="0"/>
                <w:color w:val="auto"/>
                <w:sz w:val="21"/>
                <w:szCs w:val="21"/>
              </w:rPr>
            </w:pPr>
            <w:r>
              <w:rPr>
                <w:rFonts w:hint="eastAsia"/>
                <w:b w:val="0"/>
                <w:bCs w:val="0"/>
                <w:color w:val="auto"/>
                <w:sz w:val="21"/>
                <w:szCs w:val="21"/>
              </w:rPr>
              <w:t>3m/s</w:t>
            </w:r>
          </w:p>
        </w:tc>
        <w:tc>
          <w:tcPr>
            <w:tcW w:w="1875" w:type="pct"/>
            <w:vAlign w:val="center"/>
          </w:tcPr>
          <w:p w14:paraId="7BDCB289">
            <w:pPr>
              <w:pStyle w:val="12"/>
              <w:jc w:val="both"/>
              <w:rPr>
                <w:rFonts w:hint="eastAsia"/>
                <w:b w:val="0"/>
                <w:bCs w:val="0"/>
                <w:color w:val="auto"/>
                <w:sz w:val="21"/>
                <w:szCs w:val="21"/>
              </w:rPr>
            </w:pPr>
            <w:r>
              <w:rPr>
                <w:rFonts w:hint="eastAsia"/>
                <w:b w:val="0"/>
                <w:bCs w:val="0"/>
                <w:color w:val="auto"/>
                <w:sz w:val="21"/>
                <w:szCs w:val="21"/>
              </w:rPr>
              <w:t>3m/s</w:t>
            </w:r>
          </w:p>
        </w:tc>
      </w:tr>
      <w:tr w14:paraId="22AF1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346" w:type="pct"/>
            <w:vAlign w:val="center"/>
          </w:tcPr>
          <w:p w14:paraId="4F619A44">
            <w:pPr>
              <w:pStyle w:val="12"/>
              <w:jc w:val="both"/>
              <w:rPr>
                <w:rFonts w:hint="eastAsia"/>
                <w:b w:val="0"/>
                <w:bCs w:val="0"/>
                <w:color w:val="auto"/>
                <w:sz w:val="21"/>
                <w:szCs w:val="21"/>
              </w:rPr>
            </w:pPr>
            <w:r>
              <w:rPr>
                <w:rFonts w:hint="eastAsia"/>
                <w:b w:val="0"/>
                <w:bCs w:val="0"/>
                <w:color w:val="auto"/>
                <w:sz w:val="21"/>
                <w:szCs w:val="21"/>
              </w:rPr>
              <w:t>最大飞行高度</w:t>
            </w:r>
          </w:p>
        </w:tc>
        <w:tc>
          <w:tcPr>
            <w:tcW w:w="1779" w:type="pct"/>
            <w:vAlign w:val="center"/>
          </w:tcPr>
          <w:p w14:paraId="6E68012F">
            <w:pPr>
              <w:pStyle w:val="12"/>
              <w:jc w:val="both"/>
              <w:rPr>
                <w:rFonts w:hint="eastAsia"/>
                <w:b w:val="0"/>
                <w:bCs w:val="0"/>
                <w:color w:val="auto"/>
                <w:sz w:val="21"/>
                <w:szCs w:val="21"/>
              </w:rPr>
            </w:pPr>
            <w:r>
              <w:rPr>
                <w:rFonts w:hint="eastAsia"/>
                <w:b w:val="0"/>
                <w:bCs w:val="0"/>
                <w:color w:val="auto"/>
                <w:sz w:val="21"/>
                <w:szCs w:val="21"/>
              </w:rPr>
              <w:t>30m</w:t>
            </w:r>
          </w:p>
        </w:tc>
        <w:tc>
          <w:tcPr>
            <w:tcW w:w="1875" w:type="pct"/>
            <w:vAlign w:val="center"/>
          </w:tcPr>
          <w:p w14:paraId="27026A27">
            <w:pPr>
              <w:pStyle w:val="12"/>
              <w:jc w:val="both"/>
              <w:rPr>
                <w:rFonts w:hint="eastAsia"/>
                <w:b w:val="0"/>
                <w:bCs w:val="0"/>
                <w:color w:val="auto"/>
                <w:sz w:val="21"/>
                <w:szCs w:val="21"/>
              </w:rPr>
            </w:pPr>
            <w:r>
              <w:rPr>
                <w:rFonts w:hint="eastAsia"/>
                <w:b w:val="0"/>
                <w:bCs w:val="0"/>
                <w:color w:val="auto"/>
                <w:sz w:val="21"/>
                <w:szCs w:val="21"/>
              </w:rPr>
              <w:t>30m</w:t>
            </w:r>
          </w:p>
        </w:tc>
      </w:tr>
      <w:tr w14:paraId="318C3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346" w:type="pct"/>
            <w:vAlign w:val="center"/>
          </w:tcPr>
          <w:p w14:paraId="1CD19ECC">
            <w:pPr>
              <w:pStyle w:val="12"/>
              <w:jc w:val="both"/>
              <w:rPr>
                <w:b w:val="0"/>
                <w:bCs w:val="0"/>
                <w:color w:val="auto"/>
                <w:sz w:val="21"/>
                <w:szCs w:val="21"/>
              </w:rPr>
            </w:pPr>
            <w:r>
              <w:rPr>
                <w:rFonts w:hint="eastAsia"/>
                <w:b w:val="0"/>
                <w:bCs w:val="0"/>
                <w:color w:val="auto"/>
                <w:sz w:val="21"/>
                <w:szCs w:val="21"/>
              </w:rPr>
              <w:t>最大可承受风速</w:t>
            </w:r>
          </w:p>
        </w:tc>
        <w:tc>
          <w:tcPr>
            <w:tcW w:w="1779" w:type="pct"/>
            <w:vAlign w:val="center"/>
          </w:tcPr>
          <w:p w14:paraId="30C5ACC9">
            <w:pPr>
              <w:pStyle w:val="12"/>
              <w:jc w:val="both"/>
              <w:rPr>
                <w:b w:val="0"/>
                <w:bCs w:val="0"/>
                <w:color w:val="auto"/>
                <w:sz w:val="21"/>
                <w:szCs w:val="21"/>
              </w:rPr>
            </w:pPr>
            <w:r>
              <w:rPr>
                <w:rFonts w:hint="eastAsia"/>
                <w:b w:val="0"/>
                <w:bCs w:val="0"/>
                <w:color w:val="auto"/>
                <w:sz w:val="21"/>
                <w:szCs w:val="21"/>
              </w:rPr>
              <w:t>6m/s</w:t>
            </w:r>
          </w:p>
        </w:tc>
        <w:tc>
          <w:tcPr>
            <w:tcW w:w="1875" w:type="pct"/>
            <w:vAlign w:val="center"/>
          </w:tcPr>
          <w:p w14:paraId="2A826919">
            <w:pPr>
              <w:pStyle w:val="12"/>
              <w:jc w:val="both"/>
              <w:rPr>
                <w:b w:val="0"/>
                <w:bCs w:val="0"/>
                <w:color w:val="auto"/>
                <w:sz w:val="21"/>
                <w:szCs w:val="21"/>
              </w:rPr>
            </w:pPr>
            <w:r>
              <w:rPr>
                <w:rFonts w:hint="eastAsia"/>
                <w:b w:val="0"/>
                <w:bCs w:val="0"/>
                <w:color w:val="auto"/>
                <w:sz w:val="21"/>
                <w:szCs w:val="21"/>
              </w:rPr>
              <w:t>6m/s</w:t>
            </w:r>
          </w:p>
        </w:tc>
      </w:tr>
      <w:tr w14:paraId="3A3EF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346" w:type="pct"/>
            <w:vAlign w:val="center"/>
          </w:tcPr>
          <w:p w14:paraId="3D34771B">
            <w:pPr>
              <w:pStyle w:val="12"/>
              <w:jc w:val="both"/>
              <w:rPr>
                <w:b w:val="0"/>
                <w:bCs w:val="0"/>
                <w:color w:val="auto"/>
                <w:sz w:val="21"/>
                <w:szCs w:val="21"/>
              </w:rPr>
            </w:pPr>
            <w:r>
              <w:rPr>
                <w:rFonts w:hint="eastAsia"/>
                <w:b w:val="0"/>
                <w:bCs w:val="0"/>
                <w:color w:val="auto"/>
                <w:sz w:val="21"/>
                <w:szCs w:val="21"/>
              </w:rPr>
              <w:t>有效播幅</w:t>
            </w:r>
          </w:p>
        </w:tc>
        <w:tc>
          <w:tcPr>
            <w:tcW w:w="1779" w:type="pct"/>
            <w:vAlign w:val="center"/>
          </w:tcPr>
          <w:p w14:paraId="20CA2C57">
            <w:pPr>
              <w:pStyle w:val="12"/>
              <w:jc w:val="both"/>
              <w:rPr>
                <w:b w:val="0"/>
                <w:bCs w:val="0"/>
                <w:color w:val="auto"/>
                <w:sz w:val="21"/>
                <w:szCs w:val="21"/>
              </w:rPr>
            </w:pPr>
            <w:r>
              <w:rPr>
                <w:rFonts w:hint="eastAsia"/>
                <w:b w:val="0"/>
                <w:bCs w:val="0"/>
                <w:color w:val="auto"/>
                <w:sz w:val="21"/>
                <w:szCs w:val="21"/>
              </w:rPr>
              <w:t>3-10m</w:t>
            </w:r>
          </w:p>
        </w:tc>
        <w:tc>
          <w:tcPr>
            <w:tcW w:w="1875" w:type="pct"/>
            <w:vAlign w:val="center"/>
          </w:tcPr>
          <w:p w14:paraId="0713BDCE">
            <w:pPr>
              <w:pStyle w:val="12"/>
              <w:jc w:val="both"/>
              <w:rPr>
                <w:rFonts w:hint="eastAsia"/>
                <w:b w:val="0"/>
                <w:bCs w:val="0"/>
                <w:color w:val="auto"/>
                <w:sz w:val="21"/>
                <w:szCs w:val="21"/>
              </w:rPr>
            </w:pPr>
            <w:r>
              <w:rPr>
                <w:rFonts w:hint="eastAsia"/>
                <w:b w:val="0"/>
                <w:bCs w:val="0"/>
                <w:color w:val="auto"/>
                <w:sz w:val="21"/>
                <w:szCs w:val="21"/>
              </w:rPr>
              <w:t>3-10m</w:t>
            </w:r>
          </w:p>
        </w:tc>
      </w:tr>
      <w:tr w14:paraId="1C627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346" w:type="pct"/>
            <w:vAlign w:val="center"/>
          </w:tcPr>
          <w:p w14:paraId="1D9ADC17">
            <w:pPr>
              <w:pStyle w:val="12"/>
              <w:jc w:val="both"/>
              <w:rPr>
                <w:b w:val="0"/>
                <w:bCs w:val="0"/>
                <w:color w:val="auto"/>
                <w:sz w:val="21"/>
                <w:szCs w:val="21"/>
              </w:rPr>
            </w:pPr>
            <w:r>
              <w:rPr>
                <w:rFonts w:hint="eastAsia"/>
                <w:b w:val="0"/>
                <w:bCs w:val="0"/>
                <w:color w:val="auto"/>
                <w:sz w:val="21"/>
                <w:szCs w:val="21"/>
              </w:rPr>
              <w:t>播撒系统</w:t>
            </w:r>
          </w:p>
        </w:tc>
        <w:tc>
          <w:tcPr>
            <w:tcW w:w="1779" w:type="pct"/>
            <w:vAlign w:val="center"/>
          </w:tcPr>
          <w:p w14:paraId="58FA308D">
            <w:pPr>
              <w:pStyle w:val="12"/>
              <w:jc w:val="both"/>
              <w:rPr>
                <w:b w:val="0"/>
                <w:bCs w:val="0"/>
                <w:color w:val="auto"/>
                <w:sz w:val="21"/>
                <w:szCs w:val="21"/>
              </w:rPr>
            </w:pPr>
            <w:r>
              <w:rPr>
                <w:rFonts w:hint="eastAsia"/>
                <w:b w:val="0"/>
                <w:bCs w:val="0"/>
                <w:color w:val="auto"/>
                <w:sz w:val="21"/>
                <w:szCs w:val="21"/>
              </w:rPr>
              <w:t>0.5-5mm干燥固体颗粒</w:t>
            </w:r>
          </w:p>
        </w:tc>
        <w:tc>
          <w:tcPr>
            <w:tcW w:w="1875" w:type="pct"/>
            <w:vAlign w:val="center"/>
          </w:tcPr>
          <w:p w14:paraId="11257508">
            <w:pPr>
              <w:pStyle w:val="12"/>
              <w:jc w:val="both"/>
              <w:rPr>
                <w:b w:val="0"/>
                <w:bCs w:val="0"/>
                <w:color w:val="auto"/>
                <w:sz w:val="21"/>
                <w:szCs w:val="21"/>
              </w:rPr>
            </w:pPr>
            <w:r>
              <w:rPr>
                <w:rFonts w:hint="eastAsia"/>
                <w:b w:val="0"/>
                <w:bCs w:val="0"/>
                <w:color w:val="auto"/>
                <w:sz w:val="21"/>
                <w:szCs w:val="21"/>
              </w:rPr>
              <w:t>0.5-5mm干燥固体颗粒</w:t>
            </w:r>
          </w:p>
        </w:tc>
      </w:tr>
      <w:tr w14:paraId="404A0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346" w:type="pct"/>
            <w:vAlign w:val="center"/>
          </w:tcPr>
          <w:p w14:paraId="3A600299">
            <w:pPr>
              <w:pStyle w:val="12"/>
              <w:jc w:val="both"/>
              <w:rPr>
                <w:rFonts w:hint="eastAsia"/>
                <w:b w:val="0"/>
                <w:bCs w:val="0"/>
                <w:color w:val="auto"/>
                <w:sz w:val="21"/>
                <w:szCs w:val="21"/>
              </w:rPr>
            </w:pPr>
            <w:r>
              <w:rPr>
                <w:rFonts w:hint="eastAsia"/>
                <w:b w:val="0"/>
                <w:bCs w:val="0"/>
                <w:color w:val="auto"/>
                <w:sz w:val="21"/>
                <w:szCs w:val="21"/>
              </w:rPr>
              <w:t>最大排料量</w:t>
            </w:r>
          </w:p>
        </w:tc>
        <w:tc>
          <w:tcPr>
            <w:tcW w:w="1779" w:type="pct"/>
            <w:vAlign w:val="center"/>
          </w:tcPr>
          <w:p w14:paraId="10507C8E">
            <w:pPr>
              <w:pStyle w:val="12"/>
              <w:jc w:val="both"/>
              <w:rPr>
                <w:rFonts w:hint="eastAsia"/>
                <w:b w:val="0"/>
                <w:bCs w:val="0"/>
                <w:color w:val="auto"/>
                <w:sz w:val="21"/>
                <w:szCs w:val="21"/>
              </w:rPr>
            </w:pPr>
            <w:bookmarkStart w:id="1" w:name="OLE_LINK1"/>
            <w:r>
              <w:rPr>
                <w:rFonts w:hint="eastAsia"/>
                <w:b w:val="0"/>
                <w:bCs w:val="0"/>
                <w:color w:val="auto"/>
                <w:sz w:val="21"/>
                <w:szCs w:val="21"/>
              </w:rPr>
              <w:t>复合肥：400kg/min</w:t>
            </w:r>
            <w:bookmarkEnd w:id="1"/>
          </w:p>
        </w:tc>
        <w:tc>
          <w:tcPr>
            <w:tcW w:w="1875" w:type="pct"/>
            <w:vAlign w:val="center"/>
          </w:tcPr>
          <w:p w14:paraId="7AC7064F">
            <w:pPr>
              <w:pStyle w:val="12"/>
              <w:jc w:val="both"/>
              <w:rPr>
                <w:rFonts w:hint="eastAsia"/>
                <w:b w:val="0"/>
                <w:bCs w:val="0"/>
                <w:color w:val="auto"/>
                <w:sz w:val="21"/>
                <w:szCs w:val="21"/>
              </w:rPr>
            </w:pPr>
            <w:r>
              <w:rPr>
                <w:rFonts w:hint="eastAsia"/>
                <w:b w:val="0"/>
                <w:bCs w:val="0"/>
                <w:color w:val="auto"/>
                <w:sz w:val="21"/>
                <w:szCs w:val="21"/>
              </w:rPr>
              <w:t>复合肥：400kg/min</w:t>
            </w:r>
          </w:p>
        </w:tc>
      </w:tr>
      <w:tr w14:paraId="14E95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346" w:type="pct"/>
            <w:vAlign w:val="center"/>
          </w:tcPr>
          <w:p w14:paraId="63FD9745">
            <w:pPr>
              <w:pStyle w:val="12"/>
              <w:jc w:val="both"/>
              <w:rPr>
                <w:rFonts w:hint="eastAsia"/>
                <w:b w:val="0"/>
                <w:bCs w:val="0"/>
                <w:color w:val="auto"/>
                <w:sz w:val="21"/>
                <w:szCs w:val="21"/>
              </w:rPr>
            </w:pPr>
            <w:r>
              <w:rPr>
                <w:rFonts w:hint="eastAsia"/>
                <w:b w:val="0"/>
                <w:bCs w:val="0"/>
                <w:color w:val="auto"/>
                <w:sz w:val="21"/>
                <w:szCs w:val="21"/>
              </w:rPr>
              <w:t>喷洒系统</w:t>
            </w:r>
          </w:p>
        </w:tc>
        <w:tc>
          <w:tcPr>
            <w:tcW w:w="1779" w:type="pct"/>
            <w:vAlign w:val="center"/>
          </w:tcPr>
          <w:p w14:paraId="12A10CA8">
            <w:pPr>
              <w:pStyle w:val="12"/>
              <w:jc w:val="both"/>
              <w:rPr>
                <w:rFonts w:hint="eastAsia"/>
                <w:b w:val="0"/>
                <w:bCs w:val="0"/>
                <w:color w:val="auto"/>
                <w:sz w:val="21"/>
                <w:szCs w:val="21"/>
              </w:rPr>
            </w:pPr>
            <w:r>
              <w:rPr>
                <w:rFonts w:hint="eastAsia"/>
                <w:b w:val="0"/>
                <w:bCs w:val="0"/>
                <w:color w:val="auto"/>
                <w:sz w:val="21"/>
                <w:szCs w:val="21"/>
              </w:rPr>
              <w:t>雾化粒径50-500μm</w:t>
            </w:r>
          </w:p>
        </w:tc>
        <w:tc>
          <w:tcPr>
            <w:tcW w:w="1875" w:type="pct"/>
            <w:vAlign w:val="center"/>
          </w:tcPr>
          <w:p w14:paraId="476F53A9">
            <w:pPr>
              <w:pStyle w:val="12"/>
              <w:jc w:val="both"/>
              <w:rPr>
                <w:rFonts w:hint="eastAsia"/>
                <w:b w:val="0"/>
                <w:bCs w:val="0"/>
                <w:color w:val="auto"/>
                <w:sz w:val="21"/>
                <w:szCs w:val="21"/>
              </w:rPr>
            </w:pPr>
            <w:r>
              <w:rPr>
                <w:rFonts w:hint="eastAsia"/>
                <w:b w:val="0"/>
                <w:bCs w:val="0"/>
                <w:color w:val="auto"/>
                <w:sz w:val="21"/>
                <w:szCs w:val="21"/>
              </w:rPr>
              <w:t>雾化粒径50-500μm</w:t>
            </w:r>
          </w:p>
        </w:tc>
      </w:tr>
      <w:tr w14:paraId="2E16A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346" w:type="pct"/>
            <w:vAlign w:val="center"/>
          </w:tcPr>
          <w:p w14:paraId="14BB66ED">
            <w:pPr>
              <w:pStyle w:val="12"/>
              <w:jc w:val="both"/>
              <w:rPr>
                <w:rFonts w:hint="eastAsia"/>
                <w:b w:val="0"/>
                <w:bCs w:val="0"/>
                <w:color w:val="auto"/>
                <w:sz w:val="21"/>
                <w:szCs w:val="21"/>
              </w:rPr>
            </w:pPr>
            <w:r>
              <w:rPr>
                <w:rFonts w:hint="eastAsia"/>
                <w:b w:val="0"/>
                <w:bCs w:val="0"/>
                <w:color w:val="auto"/>
                <w:sz w:val="21"/>
                <w:szCs w:val="21"/>
              </w:rPr>
              <w:t>有效喷幅</w:t>
            </w:r>
          </w:p>
        </w:tc>
        <w:tc>
          <w:tcPr>
            <w:tcW w:w="1779" w:type="pct"/>
            <w:vAlign w:val="center"/>
          </w:tcPr>
          <w:p w14:paraId="74684220">
            <w:pPr>
              <w:pStyle w:val="12"/>
              <w:jc w:val="both"/>
              <w:rPr>
                <w:rFonts w:hint="eastAsia"/>
                <w:b w:val="0"/>
                <w:bCs w:val="0"/>
                <w:color w:val="auto"/>
                <w:sz w:val="21"/>
                <w:szCs w:val="21"/>
              </w:rPr>
            </w:pPr>
            <w:r>
              <w:rPr>
                <w:rFonts w:hint="eastAsia"/>
                <w:b w:val="0"/>
                <w:bCs w:val="0"/>
                <w:color w:val="auto"/>
                <w:sz w:val="21"/>
                <w:szCs w:val="21"/>
              </w:rPr>
              <w:t>5-11m</w:t>
            </w:r>
          </w:p>
        </w:tc>
        <w:tc>
          <w:tcPr>
            <w:tcW w:w="1875" w:type="pct"/>
            <w:vAlign w:val="center"/>
          </w:tcPr>
          <w:p w14:paraId="5EBDB006">
            <w:pPr>
              <w:pStyle w:val="12"/>
              <w:jc w:val="both"/>
              <w:rPr>
                <w:rFonts w:hint="eastAsia"/>
                <w:b w:val="0"/>
                <w:bCs w:val="0"/>
                <w:color w:val="auto"/>
                <w:sz w:val="21"/>
                <w:szCs w:val="21"/>
              </w:rPr>
            </w:pPr>
            <w:r>
              <w:rPr>
                <w:rFonts w:hint="eastAsia"/>
                <w:b w:val="0"/>
                <w:bCs w:val="0"/>
                <w:color w:val="auto"/>
                <w:sz w:val="21"/>
                <w:szCs w:val="21"/>
              </w:rPr>
              <w:t>4-11m</w:t>
            </w:r>
          </w:p>
        </w:tc>
      </w:tr>
      <w:tr w14:paraId="7A60F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346" w:type="pct"/>
            <w:vAlign w:val="center"/>
          </w:tcPr>
          <w:p w14:paraId="09840AD7">
            <w:pPr>
              <w:pStyle w:val="12"/>
              <w:jc w:val="both"/>
              <w:rPr>
                <w:b w:val="0"/>
                <w:bCs w:val="0"/>
                <w:color w:val="auto"/>
                <w:sz w:val="21"/>
                <w:szCs w:val="21"/>
              </w:rPr>
            </w:pPr>
            <w:r>
              <w:rPr>
                <w:rFonts w:hint="eastAsia"/>
                <w:b w:val="0"/>
                <w:bCs w:val="0"/>
                <w:color w:val="auto"/>
                <w:sz w:val="21"/>
                <w:szCs w:val="21"/>
              </w:rPr>
              <w:t>电池续航</w:t>
            </w:r>
          </w:p>
        </w:tc>
        <w:tc>
          <w:tcPr>
            <w:tcW w:w="1779" w:type="pct"/>
            <w:vAlign w:val="center"/>
          </w:tcPr>
          <w:p w14:paraId="108F515B">
            <w:pPr>
              <w:pStyle w:val="12"/>
              <w:jc w:val="both"/>
              <w:rPr>
                <w:rFonts w:hint="eastAsia"/>
                <w:b w:val="0"/>
                <w:bCs w:val="0"/>
                <w:color w:val="auto"/>
                <w:sz w:val="21"/>
                <w:szCs w:val="21"/>
              </w:rPr>
            </w:pPr>
            <w:r>
              <w:rPr>
                <w:rFonts w:hint="eastAsia"/>
                <w:b w:val="0"/>
                <w:bCs w:val="0"/>
                <w:color w:val="auto"/>
                <w:sz w:val="21"/>
                <w:szCs w:val="21"/>
              </w:rPr>
              <w:t xml:space="preserve">41000mAh，最大飞行时间10min(起飞重量149.9kg) </w:t>
            </w:r>
          </w:p>
        </w:tc>
        <w:tc>
          <w:tcPr>
            <w:tcW w:w="1875" w:type="pct"/>
            <w:vAlign w:val="center"/>
          </w:tcPr>
          <w:p w14:paraId="19BBFC9A">
            <w:pPr>
              <w:pStyle w:val="12"/>
              <w:jc w:val="both"/>
              <w:rPr>
                <w:rFonts w:hint="eastAsia"/>
                <w:b w:val="0"/>
                <w:bCs w:val="0"/>
                <w:color w:val="auto"/>
                <w:sz w:val="21"/>
                <w:szCs w:val="21"/>
              </w:rPr>
            </w:pPr>
            <w:r>
              <w:rPr>
                <w:rFonts w:hint="eastAsia"/>
                <w:b w:val="0"/>
                <w:bCs w:val="0"/>
                <w:color w:val="auto"/>
                <w:sz w:val="21"/>
                <w:szCs w:val="21"/>
              </w:rPr>
              <w:t>30000mAh,11.4min(起飞重量126kg)</w:t>
            </w:r>
          </w:p>
        </w:tc>
      </w:tr>
      <w:tr w14:paraId="4E082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346" w:type="pct"/>
            <w:vAlign w:val="center"/>
          </w:tcPr>
          <w:p w14:paraId="3EA2DACD">
            <w:pPr>
              <w:pStyle w:val="12"/>
              <w:jc w:val="both"/>
              <w:rPr>
                <w:rFonts w:hint="eastAsia"/>
                <w:b w:val="0"/>
                <w:bCs w:val="0"/>
                <w:color w:val="auto"/>
                <w:sz w:val="21"/>
                <w:szCs w:val="21"/>
              </w:rPr>
            </w:pPr>
            <w:r>
              <w:rPr>
                <w:rFonts w:hint="eastAsia"/>
                <w:b w:val="0"/>
                <w:bCs w:val="0"/>
                <w:color w:val="auto"/>
                <w:sz w:val="21"/>
                <w:szCs w:val="21"/>
              </w:rPr>
              <w:t>充电</w:t>
            </w:r>
          </w:p>
          <w:p w14:paraId="06183D11">
            <w:pPr>
              <w:pStyle w:val="12"/>
              <w:jc w:val="both"/>
              <w:rPr>
                <w:rFonts w:hint="eastAsia"/>
                <w:b w:val="0"/>
                <w:bCs w:val="0"/>
                <w:color w:val="auto"/>
                <w:sz w:val="21"/>
                <w:szCs w:val="21"/>
              </w:rPr>
            </w:pPr>
          </w:p>
          <w:p w14:paraId="75AB05A1">
            <w:pPr>
              <w:pStyle w:val="12"/>
              <w:jc w:val="both"/>
              <w:rPr>
                <w:b w:val="0"/>
                <w:bCs w:val="0"/>
                <w:color w:val="auto"/>
                <w:sz w:val="21"/>
                <w:szCs w:val="21"/>
              </w:rPr>
            </w:pPr>
            <w:r>
              <w:rPr>
                <w:rFonts w:hint="eastAsia"/>
                <w:b w:val="0"/>
                <w:bCs w:val="0"/>
                <w:color w:val="auto"/>
                <w:sz w:val="21"/>
                <w:szCs w:val="21"/>
              </w:rPr>
              <w:t>时长</w:t>
            </w:r>
          </w:p>
        </w:tc>
        <w:tc>
          <w:tcPr>
            <w:tcW w:w="1779" w:type="pct"/>
            <w:vAlign w:val="center"/>
          </w:tcPr>
          <w:p w14:paraId="3D03E21B">
            <w:pPr>
              <w:pStyle w:val="12"/>
              <w:jc w:val="both"/>
              <w:rPr>
                <w:b w:val="0"/>
                <w:bCs w:val="0"/>
                <w:color w:val="auto"/>
                <w:sz w:val="21"/>
                <w:szCs w:val="21"/>
              </w:rPr>
            </w:pPr>
            <w:r>
              <w:rPr>
                <w:rFonts w:hint="eastAsia"/>
                <w:b w:val="0"/>
                <w:bCs w:val="0"/>
                <w:color w:val="auto"/>
                <w:sz w:val="21"/>
                <w:szCs w:val="21"/>
              </w:rPr>
              <w:t>支持9min快速充电</w:t>
            </w:r>
          </w:p>
        </w:tc>
        <w:tc>
          <w:tcPr>
            <w:tcW w:w="1875" w:type="pct"/>
            <w:vAlign w:val="center"/>
          </w:tcPr>
          <w:p w14:paraId="5905FFF2">
            <w:pPr>
              <w:pStyle w:val="12"/>
              <w:jc w:val="both"/>
              <w:rPr>
                <w:rFonts w:hint="eastAsia"/>
                <w:b w:val="0"/>
                <w:bCs w:val="0"/>
                <w:color w:val="auto"/>
                <w:sz w:val="21"/>
                <w:szCs w:val="21"/>
              </w:rPr>
            </w:pPr>
            <w:r>
              <w:rPr>
                <w:rFonts w:hint="eastAsia"/>
                <w:b w:val="0"/>
                <w:bCs w:val="0"/>
                <w:color w:val="auto"/>
                <w:sz w:val="21"/>
                <w:szCs w:val="21"/>
              </w:rPr>
              <w:t>8-10min快速充电</w:t>
            </w:r>
          </w:p>
        </w:tc>
      </w:tr>
      <w:tr w14:paraId="73E7E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346" w:type="pct"/>
            <w:vAlign w:val="center"/>
          </w:tcPr>
          <w:p w14:paraId="2A592CB3">
            <w:pPr>
              <w:pStyle w:val="12"/>
              <w:jc w:val="both"/>
              <w:rPr>
                <w:b w:val="0"/>
                <w:bCs w:val="0"/>
                <w:color w:val="auto"/>
                <w:sz w:val="21"/>
                <w:szCs w:val="21"/>
              </w:rPr>
            </w:pPr>
            <w:r>
              <w:rPr>
                <w:rFonts w:hint="eastAsia"/>
                <w:b w:val="0"/>
                <w:bCs w:val="0"/>
                <w:color w:val="auto"/>
                <w:sz w:val="21"/>
                <w:szCs w:val="21"/>
              </w:rPr>
              <w:t>地形相随</w:t>
            </w:r>
          </w:p>
        </w:tc>
        <w:tc>
          <w:tcPr>
            <w:tcW w:w="1779" w:type="pct"/>
            <w:vAlign w:val="center"/>
          </w:tcPr>
          <w:p w14:paraId="3A149550">
            <w:pPr>
              <w:pStyle w:val="12"/>
              <w:jc w:val="both"/>
              <w:rPr>
                <w:b w:val="0"/>
                <w:bCs w:val="0"/>
                <w:color w:val="auto"/>
                <w:sz w:val="21"/>
                <w:szCs w:val="21"/>
              </w:rPr>
            </w:pPr>
            <w:r>
              <w:rPr>
                <w:b w:val="0"/>
                <w:bCs w:val="0"/>
                <w:color w:val="auto"/>
                <w:sz w:val="21"/>
                <w:szCs w:val="21"/>
              </w:rPr>
              <w:t>仿地飞行技术</w:t>
            </w:r>
          </w:p>
        </w:tc>
        <w:tc>
          <w:tcPr>
            <w:tcW w:w="1875" w:type="pct"/>
            <w:vAlign w:val="center"/>
          </w:tcPr>
          <w:p w14:paraId="42B0E013">
            <w:pPr>
              <w:pStyle w:val="12"/>
              <w:jc w:val="both"/>
              <w:rPr>
                <w:b w:val="0"/>
                <w:bCs w:val="0"/>
                <w:color w:val="auto"/>
                <w:sz w:val="21"/>
                <w:szCs w:val="21"/>
              </w:rPr>
            </w:pPr>
            <w:r>
              <w:rPr>
                <w:b w:val="0"/>
                <w:bCs w:val="0"/>
                <w:color w:val="auto"/>
                <w:sz w:val="21"/>
                <w:szCs w:val="21"/>
              </w:rPr>
              <w:t>仿地飞行技术</w:t>
            </w:r>
          </w:p>
        </w:tc>
      </w:tr>
    </w:tbl>
    <w:p w14:paraId="57E298AB">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5、飞播作业及飞后维护</w:t>
      </w:r>
    </w:p>
    <w:p w14:paraId="76417349">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无人机飞播可以采用无序撒播和有序条播两种播种方式，对于退化、沙化草原飞播一般采用无序撒播。根据一般无人机飞播作业参数确定本标准作业技术参数：撒播型无人机的飞行高度为5-30m，，播幅为5米</w:t>
      </w:r>
      <w:bookmarkStart w:id="2" w:name="OLE_LINK2"/>
      <w:r>
        <w:rPr>
          <w:rFonts w:hint="eastAsia" w:ascii="仿宋" w:hAnsi="仿宋" w:eastAsia="仿宋"/>
          <w:sz w:val="32"/>
          <w:szCs w:val="32"/>
          <w:lang w:val="en-US" w:eastAsia="zh-CN"/>
        </w:rPr>
        <w:t>～</w:t>
      </w:r>
      <w:bookmarkEnd w:id="2"/>
      <w:r>
        <w:rPr>
          <w:rFonts w:hint="eastAsia" w:ascii="仿宋" w:hAnsi="仿宋" w:eastAsia="仿宋"/>
          <w:sz w:val="32"/>
          <w:szCs w:val="32"/>
          <w:lang w:val="en-US" w:eastAsia="zh-CN"/>
        </w:rPr>
        <w:t>11米，播种量较大时，可分为航线垂直交叉的2次作业。</w:t>
      </w:r>
    </w:p>
    <w:p w14:paraId="09B85A6B">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根据飞播经验，宜在日降雨量小于10mm、风力小于２级的天气进行飞播作业。按照选择的飞行参数和既定的航线进行作业，地块面积较小时宜由技术熟练的飞手手动控制无人机；地块面积大且障碍物较少宜采用自动巡航模式进行飞播作业。要控制抛洒均匀的速度和高度，注意避开建筑物、电线杆等障碍物，保持安全飞行。</w:t>
      </w:r>
    </w:p>
    <w:p w14:paraId="18EB109F">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作业结束后应先解除动力电池连接，再解除控制电路连接，最后关闭遥控器。及时检查无人机各零部件是否完好并进行保养维护，对动力电池及时充电。</w:t>
      </w:r>
    </w:p>
    <w:p w14:paraId="48BE54AA">
      <w:pPr>
        <w:keepNext w:val="0"/>
        <w:keepLines w:val="0"/>
        <w:pageBreakBefore w:val="0"/>
        <w:widowControl/>
        <w:kinsoku w:val="0"/>
        <w:wordWrap/>
        <w:overflowPunct/>
        <w:topLinePunct w:val="0"/>
        <w:autoSpaceDE w:val="0"/>
        <w:autoSpaceDN w:val="0"/>
        <w:bidi w:val="0"/>
        <w:adjustRightInd w:val="0"/>
        <w:snapToGrid w:val="0"/>
        <w:spacing w:line="520" w:lineRule="exact"/>
        <w:ind w:firstLine="900" w:firstLineChars="300"/>
        <w:textAlignment w:val="baseline"/>
        <w:rPr>
          <w:rFonts w:hint="default" w:hAnsi="宋体"/>
          <w:sz w:val="28"/>
          <w:szCs w:val="28"/>
          <w:lang w:val="en-US" w:eastAsia="zh-CN"/>
        </w:rPr>
      </w:pPr>
      <w:r>
        <w:rPr>
          <w:rFonts w:hint="eastAsia" w:asciiTheme="majorEastAsia" w:hAnsiTheme="majorEastAsia" w:eastAsiaTheme="majorEastAsia" w:cstheme="majorEastAsia"/>
          <w:b w:val="0"/>
          <w:bCs w:val="0"/>
          <w:snapToGrid w:val="0"/>
          <w:color w:val="000000"/>
          <w:kern w:val="0"/>
          <w:sz w:val="30"/>
          <w:szCs w:val="30"/>
          <w:lang w:val="en-US" w:eastAsia="zh-CN" w:bidi="ar-SA"/>
        </w:rPr>
        <w:drawing>
          <wp:anchor distT="0" distB="0" distL="114300" distR="114300" simplePos="0" relativeHeight="251661312" behindDoc="0" locked="0" layoutInCell="1" allowOverlap="1">
            <wp:simplePos x="0" y="0"/>
            <wp:positionH relativeFrom="column">
              <wp:posOffset>3457575</wp:posOffset>
            </wp:positionH>
            <wp:positionV relativeFrom="paragraph">
              <wp:posOffset>266700</wp:posOffset>
            </wp:positionV>
            <wp:extent cx="2363470" cy="3418205"/>
            <wp:effectExtent l="0" t="0" r="8255" b="1270"/>
            <wp:wrapSquare wrapText="bothSides"/>
            <wp:docPr id="1" name="图片 1" descr="微信图片_2024060115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0601153159"/>
                    <pic:cNvPicPr>
                      <a:picLocks noChangeAspect="1"/>
                    </pic:cNvPicPr>
                  </pic:nvPicPr>
                  <pic:blipFill>
                    <a:blip r:embed="rId9"/>
                    <a:srcRect l="5604" t="22892" r="7763" b="6385"/>
                    <a:stretch>
                      <a:fillRect/>
                    </a:stretch>
                  </pic:blipFill>
                  <pic:spPr>
                    <a:xfrm>
                      <a:off x="0" y="0"/>
                      <a:ext cx="2363470" cy="3418205"/>
                    </a:xfrm>
                    <a:prstGeom prst="rect">
                      <a:avLst/>
                    </a:prstGeom>
                  </pic:spPr>
                </pic:pic>
              </a:graphicData>
            </a:graphic>
          </wp:anchor>
        </w:drawing>
      </w:r>
      <w:r>
        <w:rPr>
          <w:rFonts w:hint="eastAsia" w:asciiTheme="majorEastAsia" w:hAnsiTheme="majorEastAsia" w:eastAsiaTheme="majorEastAsia" w:cstheme="majorEastAsia"/>
          <w:b w:val="0"/>
          <w:bCs w:val="0"/>
          <w:snapToGrid w:val="0"/>
          <w:color w:val="000000"/>
          <w:kern w:val="0"/>
          <w:sz w:val="30"/>
          <w:szCs w:val="30"/>
          <w:lang w:val="en-US" w:eastAsia="zh-CN" w:bidi="ar-SA"/>
        </w:rPr>
        <w:drawing>
          <wp:anchor distT="0" distB="0" distL="114300" distR="114300" simplePos="0" relativeHeight="251660288" behindDoc="0" locked="0" layoutInCell="1" allowOverlap="1">
            <wp:simplePos x="0" y="0"/>
            <wp:positionH relativeFrom="column">
              <wp:posOffset>283210</wp:posOffset>
            </wp:positionH>
            <wp:positionV relativeFrom="paragraph">
              <wp:posOffset>265430</wp:posOffset>
            </wp:positionV>
            <wp:extent cx="2614930" cy="3442970"/>
            <wp:effectExtent l="0" t="0" r="4445" b="5080"/>
            <wp:wrapSquare wrapText="bothSides"/>
            <wp:docPr id="3" name="图片 3" descr="微信图片_2024060115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40601153115"/>
                    <pic:cNvPicPr>
                      <a:picLocks noChangeAspect="1"/>
                    </pic:cNvPicPr>
                  </pic:nvPicPr>
                  <pic:blipFill>
                    <a:blip r:embed="rId10"/>
                    <a:srcRect l="6380" t="8382" r="8340" b="26784"/>
                    <a:stretch>
                      <a:fillRect/>
                    </a:stretch>
                  </pic:blipFill>
                  <pic:spPr>
                    <a:xfrm>
                      <a:off x="0" y="0"/>
                      <a:ext cx="2614930" cy="3442970"/>
                    </a:xfrm>
                    <a:prstGeom prst="rect">
                      <a:avLst/>
                    </a:prstGeom>
                  </pic:spPr>
                </pic:pic>
              </a:graphicData>
            </a:graphic>
          </wp:anchor>
        </w:drawing>
      </w:r>
    </w:p>
    <w:p w14:paraId="5FA0FD7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firstLine="560" w:firstLineChars="200"/>
        <w:textAlignment w:val="baseline"/>
        <w:rPr>
          <w:rFonts w:hint="eastAsia" w:hAnsi="宋体"/>
          <w:sz w:val="28"/>
          <w:szCs w:val="28"/>
          <w:lang w:val="en-US" w:eastAsia="zh-CN"/>
        </w:rPr>
      </w:pPr>
    </w:p>
    <w:p w14:paraId="1A761EC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20" w:lineRule="exact"/>
        <w:ind w:firstLine="560" w:firstLineChars="200"/>
        <w:textAlignment w:val="baseline"/>
        <w:rPr>
          <w:rFonts w:hint="default" w:hAnsi="宋体"/>
          <w:sz w:val="28"/>
          <w:szCs w:val="28"/>
          <w:lang w:val="en-US" w:eastAsia="zh-CN"/>
        </w:rPr>
      </w:pPr>
    </w:p>
    <w:p w14:paraId="5483776B">
      <w:pPr>
        <w:keepNext w:val="0"/>
        <w:keepLines w:val="0"/>
        <w:pageBreakBefore w:val="0"/>
        <w:widowControl/>
        <w:kinsoku w:val="0"/>
        <w:wordWrap/>
        <w:overflowPunct/>
        <w:topLinePunct w:val="0"/>
        <w:autoSpaceDE w:val="0"/>
        <w:autoSpaceDN w:val="0"/>
        <w:bidi w:val="0"/>
        <w:adjustRightInd w:val="0"/>
        <w:snapToGrid w:val="0"/>
        <w:spacing w:line="520" w:lineRule="exact"/>
        <w:ind w:firstLine="320" w:firstLineChars="200"/>
        <w:textAlignment w:val="baseline"/>
        <w:rPr>
          <w:rFonts w:hint="default" w:ascii="Helvetica" w:hAnsi="Helvetica" w:eastAsia="Helvetica" w:cs="Helvetica"/>
          <w:i w:val="0"/>
          <w:iCs w:val="0"/>
          <w:caps w:val="0"/>
          <w:color w:val="262626"/>
          <w:spacing w:val="0"/>
          <w:sz w:val="16"/>
          <w:szCs w:val="16"/>
          <w:shd w:val="clear" w:fill="FFFFFF"/>
        </w:rPr>
      </w:pPr>
    </w:p>
    <w:p w14:paraId="489C048C">
      <w:pPr>
        <w:keepNext w:val="0"/>
        <w:keepLines w:val="0"/>
        <w:pageBreakBefore w:val="0"/>
        <w:widowControl/>
        <w:kinsoku w:val="0"/>
        <w:wordWrap/>
        <w:overflowPunct/>
        <w:topLinePunct w:val="0"/>
        <w:autoSpaceDE w:val="0"/>
        <w:autoSpaceDN w:val="0"/>
        <w:bidi w:val="0"/>
        <w:adjustRightInd w:val="0"/>
        <w:snapToGrid w:val="0"/>
        <w:spacing w:line="520" w:lineRule="exact"/>
        <w:ind w:firstLine="320" w:firstLineChars="200"/>
        <w:textAlignment w:val="baseline"/>
        <w:rPr>
          <w:rFonts w:hint="default" w:ascii="Helvetica" w:hAnsi="Helvetica" w:eastAsia="Helvetica" w:cs="Helvetica"/>
          <w:i w:val="0"/>
          <w:iCs w:val="0"/>
          <w:caps w:val="0"/>
          <w:color w:val="262626"/>
          <w:spacing w:val="0"/>
          <w:sz w:val="16"/>
          <w:szCs w:val="16"/>
          <w:shd w:val="clear" w:fill="FFFFFF"/>
        </w:rPr>
      </w:pPr>
    </w:p>
    <w:p w14:paraId="18F07E64">
      <w:pPr>
        <w:keepNext w:val="0"/>
        <w:keepLines w:val="0"/>
        <w:pageBreakBefore w:val="0"/>
        <w:widowControl/>
        <w:kinsoku w:val="0"/>
        <w:wordWrap/>
        <w:overflowPunct/>
        <w:topLinePunct w:val="0"/>
        <w:autoSpaceDE w:val="0"/>
        <w:autoSpaceDN w:val="0"/>
        <w:bidi w:val="0"/>
        <w:adjustRightInd w:val="0"/>
        <w:snapToGrid w:val="0"/>
        <w:spacing w:line="520" w:lineRule="exact"/>
        <w:ind w:firstLine="320" w:firstLineChars="200"/>
        <w:textAlignment w:val="baseline"/>
        <w:rPr>
          <w:rFonts w:hint="default" w:ascii="Helvetica" w:hAnsi="Helvetica" w:eastAsia="Helvetica" w:cs="Helvetica"/>
          <w:i w:val="0"/>
          <w:iCs w:val="0"/>
          <w:caps w:val="0"/>
          <w:color w:val="262626"/>
          <w:spacing w:val="0"/>
          <w:sz w:val="16"/>
          <w:szCs w:val="16"/>
          <w:shd w:val="clear" w:fill="FFFFFF"/>
        </w:rPr>
      </w:pPr>
    </w:p>
    <w:p w14:paraId="2C89CB6A">
      <w:pPr>
        <w:keepNext w:val="0"/>
        <w:keepLines w:val="0"/>
        <w:pageBreakBefore w:val="0"/>
        <w:widowControl/>
        <w:kinsoku w:val="0"/>
        <w:wordWrap/>
        <w:overflowPunct/>
        <w:topLinePunct w:val="0"/>
        <w:autoSpaceDE w:val="0"/>
        <w:autoSpaceDN w:val="0"/>
        <w:bidi w:val="0"/>
        <w:adjustRightInd w:val="0"/>
        <w:snapToGrid w:val="0"/>
        <w:spacing w:line="520" w:lineRule="exact"/>
        <w:ind w:firstLine="320" w:firstLineChars="200"/>
        <w:textAlignment w:val="baseline"/>
        <w:rPr>
          <w:rFonts w:hint="default" w:ascii="Helvetica" w:hAnsi="Helvetica" w:eastAsia="Helvetica" w:cs="Helvetica"/>
          <w:i w:val="0"/>
          <w:iCs w:val="0"/>
          <w:caps w:val="0"/>
          <w:color w:val="262626"/>
          <w:spacing w:val="0"/>
          <w:sz w:val="16"/>
          <w:szCs w:val="16"/>
          <w:shd w:val="clear" w:fill="FFFFFF"/>
        </w:rPr>
      </w:pPr>
    </w:p>
    <w:p w14:paraId="730178F2">
      <w:pPr>
        <w:keepNext w:val="0"/>
        <w:keepLines w:val="0"/>
        <w:pageBreakBefore w:val="0"/>
        <w:widowControl/>
        <w:kinsoku w:val="0"/>
        <w:wordWrap/>
        <w:overflowPunct/>
        <w:topLinePunct w:val="0"/>
        <w:autoSpaceDE w:val="0"/>
        <w:autoSpaceDN w:val="0"/>
        <w:bidi w:val="0"/>
        <w:adjustRightInd w:val="0"/>
        <w:snapToGrid w:val="0"/>
        <w:spacing w:line="520" w:lineRule="exact"/>
        <w:ind w:firstLine="320" w:firstLineChars="200"/>
        <w:textAlignment w:val="baseline"/>
        <w:rPr>
          <w:rFonts w:hint="default" w:ascii="Helvetica" w:hAnsi="Helvetica" w:eastAsia="Helvetica" w:cs="Helvetica"/>
          <w:i w:val="0"/>
          <w:iCs w:val="0"/>
          <w:caps w:val="0"/>
          <w:color w:val="262626"/>
          <w:spacing w:val="0"/>
          <w:sz w:val="16"/>
          <w:szCs w:val="16"/>
          <w:shd w:val="clear" w:fill="FFFFFF"/>
        </w:rPr>
      </w:pPr>
    </w:p>
    <w:p w14:paraId="34C7E658">
      <w:pPr>
        <w:pStyle w:val="2"/>
        <w:rPr>
          <w:rFonts w:hint="default"/>
        </w:rPr>
      </w:pPr>
    </w:p>
    <w:p w14:paraId="12C61D68">
      <w:pPr>
        <w:keepNext w:val="0"/>
        <w:keepLines w:val="0"/>
        <w:pageBreakBefore w:val="0"/>
        <w:widowControl/>
        <w:kinsoku w:val="0"/>
        <w:wordWrap/>
        <w:overflowPunct/>
        <w:topLinePunct w:val="0"/>
        <w:autoSpaceDE w:val="0"/>
        <w:autoSpaceDN w:val="0"/>
        <w:bidi w:val="0"/>
        <w:adjustRightInd w:val="0"/>
        <w:snapToGrid w:val="0"/>
        <w:spacing w:line="520" w:lineRule="exact"/>
        <w:jc w:val="center"/>
        <w:textAlignment w:val="baseline"/>
        <w:rPr>
          <w:rFonts w:hint="eastAsia" w:ascii="仿宋" w:hAnsi="仿宋" w:eastAsia="仿宋" w:cs="仿宋"/>
          <w:b/>
          <w:bCs/>
          <w:sz w:val="24"/>
          <w:szCs w:val="24"/>
          <w:lang w:val="en-US" w:eastAsia="zh-CN"/>
        </w:rPr>
      </w:pPr>
      <w:r>
        <w:rPr>
          <w:rFonts w:hint="eastAsia" w:ascii="仿宋" w:hAnsi="仿宋" w:eastAsia="仿宋" w:cs="仿宋"/>
          <w:b/>
          <w:bCs/>
          <w:snapToGrid w:val="0"/>
          <w:color w:val="000000"/>
          <w:kern w:val="0"/>
          <w:sz w:val="24"/>
          <w:szCs w:val="24"/>
          <w:lang w:val="en-US" w:eastAsia="zh-CN" w:bidi="ar-SA"/>
        </w:rPr>
        <w:t>蒙草集团应用农用无人机在通辽市扎鲁特旗播种灌草“种植包”</w:t>
      </w:r>
    </w:p>
    <w:p w14:paraId="095BEAE4">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6、飞播效果调查评价指标</w:t>
      </w:r>
    </w:p>
    <w:p w14:paraId="21EBBDF9">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当年调查飞播作业质量（落种密度）及出苗情况（成苗率），第二年春季进行保存率调查；2年～3年后进行飞播效果调查，调查方法按照NY/T 1239-2006中的附录A、附录B表B.1、表B.2的规定。</w:t>
      </w:r>
    </w:p>
    <w:p w14:paraId="028989B2">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评价指标按照NY/T 1239-200612.2表2规定的指标，包括有苗面积率(%)、盖度(%)、产草量(倍)等的规定执行。</w:t>
      </w:r>
    </w:p>
    <w:p w14:paraId="1323041A">
      <w:pPr>
        <w:numPr>
          <w:ilvl w:val="0"/>
          <w:numId w:val="6"/>
        </w:numPr>
        <w:rPr>
          <w:rFonts w:ascii="黑体" w:hAnsi="黑体" w:eastAsia="黑体"/>
          <w:sz w:val="32"/>
          <w:szCs w:val="32"/>
        </w:rPr>
      </w:pPr>
      <w:r>
        <w:rPr>
          <w:rFonts w:ascii="黑体" w:hAnsi="黑体" w:eastAsia="黑体"/>
          <w:sz w:val="32"/>
          <w:szCs w:val="32"/>
        </w:rPr>
        <w:t>重大意见分歧的处理依据和结果</w:t>
      </w:r>
    </w:p>
    <w:p w14:paraId="13C1CE96">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本标准在编制过程中，没有出现与现行有关法律、法规和国家、行业、地方标准相违背的情况。</w:t>
      </w:r>
    </w:p>
    <w:p w14:paraId="6D798DD5">
      <w:pPr>
        <w:pStyle w:val="2"/>
        <w:numPr>
          <w:ilvl w:val="0"/>
          <w:numId w:val="0"/>
        </w:numPr>
      </w:pPr>
    </w:p>
    <w:p w14:paraId="5AB874A0">
      <w:pPr>
        <w:numPr>
          <w:ilvl w:val="0"/>
          <w:numId w:val="6"/>
        </w:numPr>
        <w:ind w:left="0" w:leftChars="0" w:firstLine="0" w:firstLineChars="0"/>
        <w:rPr>
          <w:rFonts w:ascii="黑体" w:hAnsi="黑体" w:eastAsia="黑体"/>
          <w:sz w:val="32"/>
          <w:szCs w:val="32"/>
        </w:rPr>
      </w:pPr>
      <w:r>
        <w:rPr>
          <w:rFonts w:ascii="黑体" w:hAnsi="黑体" w:eastAsia="黑体"/>
          <w:sz w:val="32"/>
          <w:szCs w:val="32"/>
        </w:rPr>
        <w:t>采用国际标准或国外先进标准的，说明采标程度，以及国内外同类标准水平的对比情况</w:t>
      </w:r>
    </w:p>
    <w:p w14:paraId="63C4CC62">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本文件未采用国际标准或国外先进标准。</w:t>
      </w:r>
    </w:p>
    <w:p w14:paraId="7AFA50E9">
      <w:pPr>
        <w:rPr>
          <w:rFonts w:ascii="黑体" w:hAnsi="黑体" w:eastAsia="黑体"/>
          <w:sz w:val="32"/>
          <w:szCs w:val="32"/>
        </w:rPr>
      </w:pPr>
      <w:r>
        <w:rPr>
          <w:rFonts w:ascii="黑体" w:hAnsi="黑体" w:eastAsia="黑体"/>
          <w:sz w:val="32"/>
          <w:szCs w:val="32"/>
        </w:rPr>
        <w:t>八、推广实施</w:t>
      </w:r>
    </w:p>
    <w:p w14:paraId="5867E7BE">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在当前国家大力实施草原生态保护修复工程的形势下，农用无人机在</w:t>
      </w:r>
      <w:r>
        <w:rPr>
          <w:rFonts w:hint="eastAsia" w:ascii="仿宋" w:hAnsi="仿宋" w:eastAsia="仿宋"/>
          <w:sz w:val="32"/>
          <w:szCs w:val="32"/>
          <w:lang w:val="zh-CN" w:eastAsia="zh-CN"/>
        </w:rPr>
        <w:t>沙化草</w:t>
      </w:r>
      <w:r>
        <w:rPr>
          <w:rFonts w:hint="eastAsia" w:ascii="仿宋" w:hAnsi="仿宋" w:eastAsia="仿宋"/>
          <w:sz w:val="32"/>
          <w:szCs w:val="32"/>
          <w:lang w:val="en-US" w:eastAsia="zh-CN"/>
        </w:rPr>
        <w:t>地修复中应用较广泛。</w:t>
      </w:r>
      <w:r>
        <w:rPr>
          <w:rFonts w:hint="eastAsia" w:ascii="仿宋" w:hAnsi="仿宋" w:eastAsia="仿宋"/>
          <w:sz w:val="32"/>
          <w:szCs w:val="32"/>
          <w:lang w:val="zh-CN" w:eastAsia="zh-CN"/>
        </w:rPr>
        <w:t>沙化草</w:t>
      </w:r>
      <w:r>
        <w:rPr>
          <w:rFonts w:hint="eastAsia" w:ascii="仿宋" w:hAnsi="仿宋" w:eastAsia="仿宋"/>
          <w:sz w:val="32"/>
          <w:szCs w:val="32"/>
          <w:lang w:val="en-US" w:eastAsia="zh-CN"/>
        </w:rPr>
        <w:t>地修复</w:t>
      </w:r>
      <w:r>
        <w:rPr>
          <w:rFonts w:hint="eastAsia" w:ascii="仿宋" w:hAnsi="仿宋" w:eastAsia="仿宋"/>
          <w:sz w:val="32"/>
          <w:szCs w:val="32"/>
          <w:lang w:val="zh-CN" w:eastAsia="zh-CN"/>
        </w:rPr>
        <w:t>的技术关键是针对不同沙化程度，采用工程措施结合生物措施控制流沙、补播适合沙质土壤的灌草组合。</w:t>
      </w:r>
      <w:r>
        <w:rPr>
          <w:rFonts w:hint="eastAsia" w:ascii="仿宋" w:hAnsi="仿宋" w:eastAsia="仿宋"/>
          <w:sz w:val="32"/>
          <w:szCs w:val="32"/>
          <w:lang w:val="en-US" w:eastAsia="zh-CN"/>
        </w:rPr>
        <w:t>标准牵头单位蒙草集团近5年来</w:t>
      </w:r>
      <w:r>
        <w:rPr>
          <w:rFonts w:hint="eastAsia" w:ascii="仿宋" w:hAnsi="仿宋" w:eastAsia="仿宋"/>
          <w:sz w:val="32"/>
          <w:szCs w:val="32"/>
          <w:lang w:val="zh-CN" w:eastAsia="zh-CN"/>
        </w:rPr>
        <w:t>累计在面积地形较复杂的流动、半流动沙</w:t>
      </w:r>
      <w:r>
        <w:rPr>
          <w:rFonts w:hint="eastAsia" w:ascii="仿宋" w:hAnsi="仿宋" w:eastAsia="仿宋"/>
          <w:sz w:val="32"/>
          <w:szCs w:val="32"/>
          <w:lang w:val="en-US" w:eastAsia="zh-CN"/>
        </w:rPr>
        <w:t>应用无人机飞播技术修复中、重度沙化草原20</w:t>
      </w:r>
      <w:r>
        <w:rPr>
          <w:rFonts w:hint="eastAsia" w:ascii="仿宋" w:hAnsi="仿宋" w:eastAsia="仿宋"/>
          <w:sz w:val="32"/>
          <w:szCs w:val="32"/>
          <w:lang w:val="zh-CN" w:eastAsia="zh-CN"/>
        </w:rPr>
        <w:t>万亩</w:t>
      </w:r>
      <w:r>
        <w:rPr>
          <w:rFonts w:hint="eastAsia" w:ascii="仿宋" w:hAnsi="仿宋" w:eastAsia="仿宋"/>
          <w:sz w:val="32"/>
          <w:szCs w:val="32"/>
          <w:lang w:val="en-US" w:eastAsia="zh-CN"/>
        </w:rPr>
        <w:t>以上。</w:t>
      </w:r>
      <w:r>
        <w:rPr>
          <w:rFonts w:hint="eastAsia" w:ascii="仿宋" w:hAnsi="仿宋" w:eastAsia="仿宋"/>
          <w:sz w:val="32"/>
          <w:szCs w:val="32"/>
          <w:lang w:val="zh-CN" w:eastAsia="zh-CN"/>
        </w:rPr>
        <w:t>采用</w:t>
      </w:r>
      <w:r>
        <w:rPr>
          <w:rFonts w:hint="eastAsia" w:ascii="仿宋" w:hAnsi="仿宋" w:eastAsia="仿宋"/>
          <w:sz w:val="32"/>
          <w:szCs w:val="32"/>
          <w:lang w:val="en-US" w:eastAsia="zh-CN"/>
        </w:rPr>
        <w:t>无人机飞播</w:t>
      </w:r>
      <w:r>
        <w:rPr>
          <w:rFonts w:hint="eastAsia" w:ascii="仿宋" w:hAnsi="仿宋" w:eastAsia="仿宋"/>
          <w:sz w:val="32"/>
          <w:szCs w:val="32"/>
          <w:lang w:val="zh-CN" w:eastAsia="zh-CN"/>
        </w:rPr>
        <w:t>适宜的林草品种组合，具工效高、成本低等</w:t>
      </w:r>
      <w:r>
        <w:rPr>
          <w:rFonts w:hint="eastAsia" w:ascii="仿宋" w:hAnsi="仿宋" w:eastAsia="仿宋"/>
          <w:sz w:val="32"/>
          <w:szCs w:val="32"/>
          <w:lang w:val="en-US" w:eastAsia="zh-CN"/>
        </w:rPr>
        <w:t>特</w:t>
      </w:r>
      <w:r>
        <w:rPr>
          <w:rFonts w:hint="eastAsia" w:ascii="仿宋" w:hAnsi="仿宋" w:eastAsia="仿宋"/>
          <w:sz w:val="32"/>
          <w:szCs w:val="32"/>
          <w:lang w:val="zh-CN" w:eastAsia="zh-CN"/>
        </w:rPr>
        <w:t>点。</w:t>
      </w:r>
      <w:r>
        <w:rPr>
          <w:rFonts w:hint="eastAsia" w:ascii="仿宋" w:hAnsi="仿宋" w:eastAsia="仿宋"/>
          <w:sz w:val="32"/>
          <w:szCs w:val="32"/>
          <w:lang w:val="en-US" w:eastAsia="zh-CN"/>
        </w:rPr>
        <w:t>本标准的制定为用无人机代替人工驾驶直升飞机播撒林草种子修复退化沙化草原规范了一种新方法。标准可在自治区4大沙地及周边的严重</w:t>
      </w:r>
      <w:r>
        <w:rPr>
          <w:rFonts w:hint="eastAsia" w:ascii="仿宋" w:hAnsi="仿宋" w:eastAsia="仿宋"/>
          <w:sz w:val="32"/>
          <w:szCs w:val="32"/>
          <w:lang w:val="zh-CN" w:eastAsia="zh-CN"/>
        </w:rPr>
        <w:t>沙化草原，</w:t>
      </w:r>
      <w:r>
        <w:rPr>
          <w:rFonts w:hint="eastAsia" w:ascii="仿宋" w:hAnsi="仿宋" w:eastAsia="仿宋"/>
          <w:sz w:val="32"/>
          <w:szCs w:val="32"/>
          <w:lang w:val="en-US" w:eastAsia="zh-CN"/>
        </w:rPr>
        <w:t>以</w:t>
      </w:r>
      <w:r>
        <w:rPr>
          <w:rFonts w:hint="eastAsia" w:ascii="仿宋" w:hAnsi="仿宋" w:eastAsia="仿宋"/>
          <w:sz w:val="32"/>
          <w:szCs w:val="32"/>
          <w:lang w:val="zh-CN" w:eastAsia="zh-CN"/>
        </w:rPr>
        <w:t>及部分沙漠周边</w:t>
      </w:r>
      <w:r>
        <w:rPr>
          <w:rFonts w:hint="eastAsia" w:ascii="仿宋" w:hAnsi="仿宋" w:eastAsia="仿宋"/>
          <w:sz w:val="32"/>
          <w:szCs w:val="32"/>
          <w:lang w:val="en-US" w:eastAsia="zh-CN"/>
        </w:rPr>
        <w:t>治理锁边</w:t>
      </w:r>
      <w:r>
        <w:rPr>
          <w:rFonts w:hint="eastAsia" w:ascii="仿宋" w:hAnsi="仿宋" w:eastAsia="仿宋"/>
          <w:sz w:val="32"/>
          <w:szCs w:val="32"/>
          <w:lang w:val="zh-CN" w:eastAsia="zh-CN"/>
        </w:rPr>
        <w:t>修复</w:t>
      </w:r>
      <w:r>
        <w:rPr>
          <w:rFonts w:hint="eastAsia" w:ascii="仿宋" w:hAnsi="仿宋" w:eastAsia="仿宋"/>
          <w:sz w:val="32"/>
          <w:szCs w:val="32"/>
          <w:lang w:val="en-US" w:eastAsia="zh-CN"/>
        </w:rPr>
        <w:t>中得到推广应用</w:t>
      </w:r>
      <w:r>
        <w:rPr>
          <w:rFonts w:hint="eastAsia" w:ascii="仿宋" w:hAnsi="仿宋" w:eastAsia="仿宋"/>
          <w:sz w:val="32"/>
          <w:szCs w:val="32"/>
          <w:lang w:val="zh-CN" w:eastAsia="zh-CN"/>
        </w:rPr>
        <w:t>。</w:t>
      </w:r>
      <w:r>
        <w:rPr>
          <w:rFonts w:hint="eastAsia" w:ascii="仿宋" w:hAnsi="仿宋" w:eastAsia="仿宋"/>
          <w:sz w:val="32"/>
          <w:szCs w:val="32"/>
          <w:lang w:val="en-US" w:eastAsia="zh-CN"/>
        </w:rPr>
        <w:t>今后在草原生态保护修复工程实施过程中，各级林草主管部门、技术推广部门、工程实施单位都可以用标准实施与推广。今后，工程实施人员要认识本标准实施提升生态修复机械化、智能化意义，加大宣传力度，以标准推动实现草原生态修复工程创新及效益价值提升。</w:t>
      </w:r>
    </w:p>
    <w:p w14:paraId="12CCE55A">
      <w:pPr>
        <w:ind w:firstLine="480" w:firstLineChars="200"/>
        <w:rPr>
          <w:rFonts w:hint="eastAsia" w:ascii="仿宋" w:hAnsi="仿宋" w:eastAsia="仿宋" w:cs="仿宋"/>
          <w:b/>
          <w:bCs/>
          <w:snapToGrid w:val="0"/>
          <w:color w:val="000000"/>
          <w:kern w:val="0"/>
          <w:sz w:val="24"/>
          <w:szCs w:val="24"/>
          <w:lang w:val="en-US" w:eastAsia="zh-CN" w:bidi="ar-SA"/>
        </w:rPr>
      </w:pPr>
      <w:r>
        <w:rPr>
          <w:rFonts w:hint="eastAsia" w:ascii="仿宋" w:hAnsi="仿宋" w:eastAsia="仿宋" w:cs="仿宋"/>
          <w:sz w:val="24"/>
          <w:szCs w:val="24"/>
        </w:rPr>
        <w:drawing>
          <wp:anchor distT="0" distB="0" distL="114300" distR="114300" simplePos="0" relativeHeight="251664384" behindDoc="0" locked="0" layoutInCell="1" allowOverlap="1">
            <wp:simplePos x="0" y="0"/>
            <wp:positionH relativeFrom="column">
              <wp:posOffset>38100</wp:posOffset>
            </wp:positionH>
            <wp:positionV relativeFrom="paragraph">
              <wp:posOffset>158750</wp:posOffset>
            </wp:positionV>
            <wp:extent cx="2786380" cy="1927225"/>
            <wp:effectExtent l="9525" t="9525" r="13970" b="15875"/>
            <wp:wrapSquare wrapText="bothSides"/>
            <wp:docPr id="1073742998" name="图片 5" descr="mmexport144481400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998" name="图片 5" descr="mmexport1444814000042"/>
                    <pic:cNvPicPr>
                      <a:picLocks noChangeAspect="1"/>
                    </pic:cNvPicPr>
                  </pic:nvPicPr>
                  <pic:blipFill>
                    <a:blip r:embed="rId11" cstate="screen"/>
                    <a:srcRect l="10212" t="14817" r="17847" b="9818"/>
                    <a:stretch>
                      <a:fillRect/>
                    </a:stretch>
                  </pic:blipFill>
                  <pic:spPr>
                    <a:xfrm>
                      <a:off x="0" y="0"/>
                      <a:ext cx="2786380" cy="1927225"/>
                    </a:xfrm>
                    <a:prstGeom prst="rect">
                      <a:avLst/>
                    </a:prstGeom>
                    <a:noFill/>
                    <a:ln w="9525">
                      <a:solidFill>
                        <a:schemeClr val="tx1"/>
                      </a:solidFill>
                    </a:ln>
                  </pic:spPr>
                </pic:pic>
              </a:graphicData>
            </a:graphic>
          </wp:anchor>
        </w:drawing>
      </w:r>
      <w:r>
        <w:rPr>
          <w:rFonts w:hint="eastAsia" w:ascii="仿宋" w:hAnsi="仿宋" w:eastAsia="仿宋" w:cs="仿宋"/>
          <w:sz w:val="24"/>
          <w:szCs w:val="24"/>
        </w:rPr>
        <w:drawing>
          <wp:anchor distT="0" distB="0" distL="114300" distR="114300" simplePos="0" relativeHeight="251665408" behindDoc="0" locked="0" layoutInCell="1" allowOverlap="1">
            <wp:simplePos x="0" y="0"/>
            <wp:positionH relativeFrom="column">
              <wp:posOffset>3259455</wp:posOffset>
            </wp:positionH>
            <wp:positionV relativeFrom="paragraph">
              <wp:posOffset>172720</wp:posOffset>
            </wp:positionV>
            <wp:extent cx="2573020" cy="1851025"/>
            <wp:effectExtent l="9525" t="9525" r="17780" b="15875"/>
            <wp:wrapSquare wrapText="bothSides"/>
            <wp:docPr id="1073743072" name="图片 1073743071" descr="4G0A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3072" name="图片 1073743071" descr="4G0A7543"/>
                    <pic:cNvPicPr>
                      <a:picLocks noChangeAspect="1"/>
                    </pic:cNvPicPr>
                  </pic:nvPicPr>
                  <pic:blipFill>
                    <a:blip r:embed="rId12" cstate="screen"/>
                    <a:srcRect l="15887" t="19539" r="7946" b="7496"/>
                    <a:stretch>
                      <a:fillRect/>
                    </a:stretch>
                  </pic:blipFill>
                  <pic:spPr>
                    <a:xfrm>
                      <a:off x="0" y="0"/>
                      <a:ext cx="2573020" cy="1851025"/>
                    </a:xfrm>
                    <a:prstGeom prst="rect">
                      <a:avLst/>
                    </a:prstGeom>
                    <a:noFill/>
                    <a:ln w="6350" cap="flat" cmpd="sng">
                      <a:solidFill>
                        <a:srgbClr val="000000"/>
                      </a:solidFill>
                      <a:prstDash val="solid"/>
                      <a:miter/>
                      <a:headEnd type="none" w="med" len="med"/>
                      <a:tailEnd type="none" w="med" len="med"/>
                    </a:ln>
                  </pic:spPr>
                </pic:pic>
              </a:graphicData>
            </a:graphic>
          </wp:anchor>
        </w:drawing>
      </w:r>
      <w:r>
        <w:rPr>
          <w:rFonts w:hint="eastAsia" w:ascii="仿宋" w:hAnsi="仿宋" w:eastAsia="仿宋"/>
          <w:sz w:val="32"/>
          <w:szCs w:val="32"/>
          <w:lang w:val="en-US" w:eastAsia="zh-CN"/>
        </w:rPr>
        <w:t xml:space="preserve">                      </w:t>
      </w:r>
      <w:r>
        <w:rPr>
          <w:rFonts w:hint="eastAsia" w:ascii="仿宋" w:hAnsi="仿宋" w:eastAsia="仿宋" w:cs="仿宋"/>
          <w:b/>
          <w:bCs/>
          <w:snapToGrid w:val="0"/>
          <w:color w:val="000000"/>
          <w:kern w:val="0"/>
          <w:sz w:val="24"/>
          <w:szCs w:val="24"/>
          <w:lang w:val="en-US" w:eastAsia="zh-CN" w:bidi="ar-SA"/>
        </w:rPr>
        <w:t>科尔沁沙地飞播前后对比</w:t>
      </w:r>
    </w:p>
    <w:p w14:paraId="33EF5174">
      <w:pPr>
        <w:rPr>
          <w:rFonts w:ascii="黑体" w:hAnsi="黑体" w:eastAsia="黑体"/>
          <w:sz w:val="32"/>
          <w:szCs w:val="32"/>
        </w:rPr>
      </w:pPr>
      <w:r>
        <w:rPr>
          <w:rFonts w:ascii="黑体" w:hAnsi="黑体" w:eastAsia="黑体"/>
          <w:sz w:val="32"/>
          <w:szCs w:val="32"/>
        </w:rPr>
        <w:t>九、其他应说明的事项</w:t>
      </w:r>
    </w:p>
    <w:p w14:paraId="6A6F39C9">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无。</w:t>
      </w:r>
    </w:p>
    <w:p w14:paraId="0D023E34">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参考文献：</w:t>
      </w:r>
    </w:p>
    <w:p w14:paraId="42CFAA83">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1.无人机飞播造林种草技术研究（富勇武，山西林业2023.3）；</w:t>
      </w:r>
    </w:p>
    <w:p w14:paraId="138C9614">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2.无人机播种的研究现状与发展趋势（李江涛等，农业机械化与现代化，2023.6）；</w:t>
      </w:r>
    </w:p>
    <w:p w14:paraId="14572938">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3.无人机飞播技术在农业中的应用（李英等，河北农机，2023.16）；</w:t>
      </w:r>
    </w:p>
    <w:p w14:paraId="1819D849">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4.</w:t>
      </w:r>
      <w:r>
        <w:rPr>
          <w:rFonts w:hint="eastAsia" w:ascii="仿宋" w:hAnsi="仿宋" w:eastAsia="仿宋"/>
          <w:sz w:val="32"/>
          <w:szCs w:val="32"/>
          <w:lang w:val="en-US" w:eastAsia="zh-CN"/>
        </w:rPr>
        <w:fldChar w:fldCharType="begin"/>
      </w:r>
      <w:r>
        <w:rPr>
          <w:rFonts w:hint="eastAsia" w:ascii="仿宋" w:hAnsi="仿宋" w:eastAsia="仿宋"/>
          <w:sz w:val="32"/>
          <w:szCs w:val="32"/>
          <w:lang w:val="en-US" w:eastAsia="zh-CN"/>
        </w:rPr>
        <w:instrText xml:space="preserve"> HYPERLINK "https://kns.cnki.net/kcms2/article/abstract?v=2R7H8JGA7EzQ1M7XhYy9gaF4lfLXqxAzRm3D8f171oYp7XUD45lm9B0D2qR9QXv6Offyzorj1NGkWGd83KvvLiMODqOq00kFASdaVddv20i5K08zBGo7SM67hZ5Arprq3v1Sdc1yALCWNXLSAg1inw==&amp;uniplatform=NZKPT&amp;language=CHS" \t "https://kns.cnki.net/kns8s/defaultresult/_blank" </w:instrText>
      </w:r>
      <w:r>
        <w:rPr>
          <w:rFonts w:hint="eastAsia" w:ascii="仿宋" w:hAnsi="仿宋" w:eastAsia="仿宋"/>
          <w:sz w:val="32"/>
          <w:szCs w:val="32"/>
          <w:lang w:val="en-US" w:eastAsia="zh-CN"/>
        </w:rPr>
        <w:fldChar w:fldCharType="separate"/>
      </w:r>
      <w:r>
        <w:rPr>
          <w:rFonts w:hint="eastAsia" w:ascii="仿宋" w:hAnsi="仿宋" w:eastAsia="仿宋"/>
          <w:sz w:val="32"/>
          <w:szCs w:val="32"/>
          <w:lang w:val="en-US" w:eastAsia="zh-CN"/>
        </w:rPr>
        <w:t>无人机播撒与传统播种有何不同</w:t>
      </w:r>
      <w:r>
        <w:rPr>
          <w:rFonts w:hint="eastAsia" w:ascii="仿宋" w:hAnsi="仿宋" w:eastAsia="仿宋"/>
          <w:sz w:val="32"/>
          <w:szCs w:val="32"/>
          <w:lang w:val="en-US" w:eastAsia="zh-CN"/>
        </w:rPr>
        <w:fldChar w:fldCharType="end"/>
      </w:r>
      <w:r>
        <w:rPr>
          <w:rFonts w:hint="eastAsia" w:ascii="仿宋" w:hAnsi="仿宋" w:eastAsia="仿宋"/>
          <w:sz w:val="32"/>
          <w:szCs w:val="32"/>
          <w:lang w:val="en-US" w:eastAsia="zh-CN"/>
        </w:rPr>
        <w:t>（夏木，农机市场，2023.4）；</w:t>
      </w:r>
    </w:p>
    <w:p w14:paraId="441147C8">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5.无人机助推智慧农业发展（陈武强等，湖南农业科学，2024.1）；</w:t>
      </w:r>
    </w:p>
    <w:p w14:paraId="7E87423E">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6.无人机在农业发展中的应用（金礼芬等，智慧农业，2022.19）；</w:t>
      </w:r>
    </w:p>
    <w:p w14:paraId="77B40D6C">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7.无人机技术在农业生产中的应用（杨文云，农业灾害研究，2018.8）；</w:t>
      </w:r>
    </w:p>
    <w:p w14:paraId="6E6FE75F">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8.飞播种子丸粒化技术应用对植被和土壤的影响（贾冰等，中国沙漠，2023.2）；</w:t>
      </w:r>
    </w:p>
    <w:p w14:paraId="334336B9">
      <w:pPr>
        <w:ind w:firstLine="640" w:firstLineChars="200"/>
        <w:rPr>
          <w:rFonts w:hint="eastAsia" w:ascii="仿宋" w:hAnsi="仿宋" w:eastAsia="仿宋"/>
          <w:sz w:val="32"/>
          <w:szCs w:val="32"/>
          <w:lang w:val="en-US" w:eastAsia="zh-CN"/>
        </w:rPr>
      </w:pPr>
      <w:r>
        <w:rPr>
          <w:rFonts w:hint="eastAsia" w:ascii="仿宋" w:hAnsi="仿宋" w:eastAsia="仿宋"/>
          <w:sz w:val="32"/>
          <w:szCs w:val="32"/>
          <w:lang w:val="en-US" w:eastAsia="zh-CN"/>
        </w:rPr>
        <w:t>9.植被盖度对飞播造林当年出苗效果影响（杨宝珍，乡村科技，2021.17）；10.无人机在现代精准化农业和智慧灌溉中的应用（王玉娟，探索与观察，2021.12.006）。</w:t>
      </w:r>
    </w:p>
    <w:p w14:paraId="7D3E89EA">
      <w:pPr>
        <w:ind w:firstLine="2560" w:firstLineChars="800"/>
        <w:rPr>
          <w:rFonts w:hint="eastAsia" w:ascii="仿宋" w:hAnsi="仿宋" w:eastAsia="仿宋"/>
          <w:sz w:val="32"/>
          <w:szCs w:val="32"/>
          <w:lang w:val="en-US" w:eastAsia="zh-CN"/>
        </w:rPr>
      </w:pPr>
      <w:r>
        <w:rPr>
          <w:rFonts w:hint="eastAsia" w:ascii="仿宋" w:hAnsi="仿宋" w:eastAsia="仿宋"/>
          <w:sz w:val="32"/>
          <w:szCs w:val="32"/>
          <w:lang w:val="en-US" w:eastAsia="zh-CN"/>
        </w:rPr>
        <w:t>《无人机飞播灌草技术规程》起草组</w:t>
      </w:r>
    </w:p>
    <w:p w14:paraId="0726933F">
      <w:pPr>
        <w:ind w:firstLine="4480" w:firstLineChars="1400"/>
        <w:rPr>
          <w:rFonts w:hint="eastAsia" w:ascii="仿宋" w:hAnsi="仿宋" w:eastAsia="仿宋"/>
          <w:sz w:val="32"/>
          <w:szCs w:val="32"/>
          <w:lang w:val="en-US" w:eastAsia="zh-CN"/>
        </w:rPr>
      </w:pPr>
      <w:r>
        <w:rPr>
          <w:rFonts w:hint="eastAsia" w:ascii="仿宋" w:hAnsi="仿宋" w:eastAsia="仿宋"/>
          <w:sz w:val="32"/>
          <w:szCs w:val="32"/>
          <w:lang w:val="en-US" w:eastAsia="zh-CN"/>
        </w:rPr>
        <w:t>2025年10月</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00"/>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Helvetica">
    <w:altName w:val="Arial"/>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960CCC"/>
    <w:multiLevelType w:val="singleLevel"/>
    <w:tmpl w:val="B2960CCC"/>
    <w:lvl w:ilvl="0" w:tentative="0">
      <w:start w:val="2"/>
      <w:numFmt w:val="chineseCounting"/>
      <w:suff w:val="nothing"/>
      <w:lvlText w:val="（%1）"/>
      <w:lvlJc w:val="left"/>
      <w:rPr>
        <w:rFonts w:hint="eastAsia"/>
      </w:rPr>
    </w:lvl>
  </w:abstractNum>
  <w:abstractNum w:abstractNumId="1">
    <w:nsid w:val="168A52EC"/>
    <w:multiLevelType w:val="multilevel"/>
    <w:tmpl w:val="168A52EC"/>
    <w:lvl w:ilvl="0" w:tentative="0">
      <w:start w:val="1"/>
      <w:numFmt w:val="japaneseCounting"/>
      <w:lvlText w:val="%1、"/>
      <w:lvlJc w:val="left"/>
      <w:pPr>
        <w:ind w:left="720" w:hanging="720"/>
      </w:pPr>
      <w:rPr>
        <w:rFonts w:hint="default" w:ascii="黑体" w:hAnsi="黑体" w:eastAsia="黑体"/>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58FED3A2"/>
    <w:multiLevelType w:val="singleLevel"/>
    <w:tmpl w:val="58FED3A2"/>
    <w:lvl w:ilvl="0" w:tentative="0">
      <w:start w:val="1"/>
      <w:numFmt w:val="chineseCounting"/>
      <w:suff w:val="nothing"/>
      <w:lvlText w:val="（%1）"/>
      <w:lvlJc w:val="left"/>
      <w:rPr>
        <w:rFonts w:hint="eastAsia"/>
      </w:rPr>
    </w:lvl>
  </w:abstractNum>
  <w:abstractNum w:abstractNumId="3">
    <w:nsid w:val="60B55DC2"/>
    <w:multiLevelType w:val="multilevel"/>
    <w:tmpl w:val="60B55DC2"/>
    <w:lvl w:ilvl="0" w:tentative="0">
      <w:start w:val="1"/>
      <w:numFmt w:val="upperLetter"/>
      <w:lvlText w:val="%1"/>
      <w:lvlJc w:val="left"/>
      <w:pPr>
        <w:tabs>
          <w:tab w:val="left" w:pos="0"/>
        </w:tabs>
        <w:ind w:left="0" w:hanging="425"/>
      </w:pPr>
      <w:rPr>
        <w:rFonts w:hint="eastAsia"/>
      </w:rPr>
    </w:lvl>
    <w:lvl w:ilvl="1" w:tentative="0">
      <w:start w:val="1"/>
      <w:numFmt w:val="decimal"/>
      <w:pStyle w:val="10"/>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4">
    <w:nsid w:val="657D3FBC"/>
    <w:multiLevelType w:val="multilevel"/>
    <w:tmpl w:val="657D3FBC"/>
    <w:lvl w:ilvl="0" w:tentative="0">
      <w:start w:val="1"/>
      <w:numFmt w:val="upperLetter"/>
      <w:suff w:val="nothing"/>
      <w:lvlText w:val="附录%1"/>
      <w:lvlJc w:val="left"/>
      <w:pPr>
        <w:ind w:left="0" w:firstLine="0"/>
      </w:pPr>
      <w:rPr>
        <w:rFonts w:hint="eastAsia"/>
        <w:spacing w:val="100"/>
      </w:rPr>
    </w:lvl>
    <w:lvl w:ilvl="1" w:tentative="0">
      <w:start w:val="1"/>
      <w:numFmt w:val="decimal"/>
      <w:pStyle w:val="14"/>
      <w:suff w:val="nothing"/>
      <w:lvlText w:val="%1.%2　"/>
      <w:lvlJc w:val="left"/>
      <w:pPr>
        <w:ind w:left="0" w:firstLine="0"/>
      </w:pPr>
      <w:rPr>
        <w:rFonts w:hint="eastAsia" w:ascii="黑体" w:eastAsia="黑体"/>
        <w:b w:val="0"/>
        <w:i w:val="0"/>
        <w:sz w:val="21"/>
      </w:rPr>
    </w:lvl>
    <w:lvl w:ilvl="2" w:tentative="0">
      <w:start w:val="1"/>
      <w:numFmt w:val="decimal"/>
      <w:suff w:val="nothing"/>
      <w:lvlText w:val="%1.%2.%3　"/>
      <w:lvlJc w:val="left"/>
      <w:pPr>
        <w:ind w:left="0" w:firstLine="0"/>
      </w:pPr>
      <w:rPr>
        <w:rFonts w:hint="eastAsia" w:ascii="黑体" w:eastAsia="黑体"/>
        <w:b w:val="0"/>
        <w:i w:val="0"/>
        <w:sz w:val="21"/>
      </w:rPr>
    </w:lvl>
    <w:lvl w:ilvl="3" w:tentative="0">
      <w:start w:val="1"/>
      <w:numFmt w:val="decimal"/>
      <w:suff w:val="nothing"/>
      <w:lvlText w:val="%1.%2.%3.%4　"/>
      <w:lvlJc w:val="left"/>
      <w:pPr>
        <w:ind w:left="0" w:firstLine="0"/>
      </w:pPr>
      <w:rPr>
        <w:rFonts w:hint="eastAsia" w:ascii="黑体" w:eastAsia="黑体"/>
        <w:b w:val="0"/>
        <w:i w:val="0"/>
        <w:sz w:val="21"/>
      </w:rPr>
    </w:lvl>
    <w:lvl w:ilvl="4" w:tentative="0">
      <w:start w:val="1"/>
      <w:numFmt w:val="decimal"/>
      <w:suff w:val="nothing"/>
      <w:lvlText w:val="%1.%2.%3.%4.%5　"/>
      <w:lvlJc w:val="left"/>
      <w:pPr>
        <w:ind w:left="0" w:firstLine="0"/>
      </w:pPr>
      <w:rPr>
        <w:rFonts w:hint="eastAsia" w:ascii="黑体" w:eastAsia="黑体"/>
        <w:b w:val="0"/>
        <w:i w:val="0"/>
        <w:sz w:val="21"/>
      </w:rPr>
    </w:lvl>
    <w:lvl w:ilvl="5" w:tentative="0">
      <w:start w:val="1"/>
      <w:numFmt w:val="decimal"/>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70AA7D6F"/>
    <w:multiLevelType w:val="singleLevel"/>
    <w:tmpl w:val="70AA7D6F"/>
    <w:lvl w:ilvl="0" w:tentative="0">
      <w:start w:val="6"/>
      <w:numFmt w:val="chineseCounting"/>
      <w:suff w:val="nothing"/>
      <w:lvlText w:val="%1、"/>
      <w:lvlJc w:val="left"/>
      <w:rPr>
        <w:rFonts w:hint="eastAsia"/>
      </w:rPr>
    </w:lvl>
  </w:abstractNum>
  <w:num w:numId="1">
    <w:abstractNumId w:val="3"/>
  </w:num>
  <w:num w:numId="2">
    <w:abstractNumId w:val="4"/>
  </w:num>
  <w:num w:numId="3">
    <w:abstractNumId w:val="1"/>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3E3"/>
    <w:rsid w:val="000C1271"/>
    <w:rsid w:val="002720DC"/>
    <w:rsid w:val="003764AD"/>
    <w:rsid w:val="00677746"/>
    <w:rsid w:val="007002AA"/>
    <w:rsid w:val="00995049"/>
    <w:rsid w:val="00A65D94"/>
    <w:rsid w:val="00D8044F"/>
    <w:rsid w:val="00DF1108"/>
    <w:rsid w:val="00E07831"/>
    <w:rsid w:val="00F16BD5"/>
    <w:rsid w:val="00FA48B5"/>
    <w:rsid w:val="00FB13E3"/>
    <w:rsid w:val="00FE7159"/>
    <w:rsid w:val="04386A46"/>
    <w:rsid w:val="29D15F7C"/>
    <w:rsid w:val="3F6C2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semiHidden/>
    <w:qFormat/>
    <w:uiPriority w:val="0"/>
    <w:rPr>
      <w:rFonts w:ascii="Arial" w:hAnsi="Arial" w:eastAsia="Arial" w:cs="Arial"/>
      <w:sz w:val="21"/>
      <w:szCs w:val="21"/>
      <w:lang w:val="en-US" w:eastAsia="en-US" w:bidi="ar-SA"/>
    </w:rPr>
  </w:style>
  <w:style w:type="paragraph" w:styleId="3">
    <w:name w:val="Body Text Indent"/>
    <w:basedOn w:val="1"/>
    <w:qFormat/>
    <w:uiPriority w:val="0"/>
    <w:pPr>
      <w:spacing w:line="584" w:lineRule="exact"/>
      <w:ind w:firstLine="640" w:firstLineChars="200"/>
    </w:pPr>
    <w:rPr>
      <w:rFonts w:ascii="仿宋_GB2312" w:eastAsia="仿宋_GB2312" w:cs="仿宋_GB2312"/>
      <w:sz w:val="32"/>
      <w:szCs w:val="32"/>
    </w:rPr>
  </w:style>
  <w:style w:type="paragraph" w:styleId="4">
    <w:name w:val="footer"/>
    <w:basedOn w:val="1"/>
    <w:qFormat/>
    <w:uiPriority w:val="99"/>
    <w:pPr>
      <w:tabs>
        <w:tab w:val="center" w:pos="4153"/>
        <w:tab w:val="right" w:pos="8306"/>
      </w:tabs>
      <w:snapToGrid w:val="0"/>
      <w:jc w:val="left"/>
    </w:pPr>
    <w:rPr>
      <w:sz w:val="18"/>
      <w:szCs w:val="18"/>
    </w:rPr>
  </w:style>
  <w:style w:type="paragraph" w:styleId="5">
    <w:name w:val="Body Text First Indent 2"/>
    <w:basedOn w:val="3"/>
    <w:qFormat/>
    <w:uiPriority w:val="0"/>
    <w:pPr>
      <w:ind w:left="420" w:leftChars="200" w:firstLine="420" w:firstLineChars="200"/>
    </w:pPr>
    <w:rPr>
      <w:rFonts w:ascii="Times New Roman"/>
      <w:kern w:val="2"/>
      <w:szCs w:val="24"/>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List Paragraph"/>
    <w:basedOn w:val="1"/>
    <w:qFormat/>
    <w:uiPriority w:val="34"/>
    <w:pPr>
      <w:ind w:firstLine="420" w:firstLineChars="200"/>
    </w:pPr>
  </w:style>
  <w:style w:type="paragraph" w:customStyle="1" w:styleId="10">
    <w:name w:val="附录表标题"/>
    <w:basedOn w:val="1"/>
    <w:next w:val="11"/>
    <w:autoRedefine/>
    <w:qFormat/>
    <w:uiPriority w:val="0"/>
    <w:pPr>
      <w:numPr>
        <w:ilvl w:val="1"/>
        <w:numId w:val="1"/>
      </w:numPr>
      <w:tabs>
        <w:tab w:val="left" w:pos="180"/>
      </w:tabs>
      <w:spacing w:beforeLines="50" w:afterLines="50"/>
      <w:ind w:left="0" w:firstLine="0"/>
      <w:jc w:val="center"/>
    </w:pPr>
    <w:rPr>
      <w:rFonts w:ascii="黑体" w:eastAsia="黑体"/>
      <w:szCs w:val="21"/>
    </w:rPr>
  </w:style>
  <w:style w:type="paragraph" w:customStyle="1" w:styleId="11">
    <w:name w:val="段"/>
    <w:autoRedefine/>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12">
    <w:name w:val="标准文件_表格"/>
    <w:basedOn w:val="13"/>
    <w:qFormat/>
    <w:uiPriority w:val="0"/>
    <w:pPr>
      <w:ind w:firstLine="0" w:firstLineChars="0"/>
      <w:jc w:val="center"/>
    </w:pPr>
    <w:rPr>
      <w:sz w:val="18"/>
    </w:rPr>
  </w:style>
  <w:style w:type="paragraph" w:customStyle="1" w:styleId="13">
    <w:name w:val="标准文件_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
    <w:name w:val="标准文件_附录一级条标题"/>
    <w:next w:val="13"/>
    <w:qFormat/>
    <w:uiPriority w:val="0"/>
    <w:pPr>
      <w:widowControl w:val="0"/>
      <w:numPr>
        <w:ilvl w:val="1"/>
        <w:numId w:val="2"/>
      </w:numPr>
      <w:spacing w:before="50" w:beforeLines="50" w:after="50" w:afterLines="50"/>
      <w:jc w:val="both"/>
      <w:outlineLvl w:val="2"/>
    </w:pPr>
    <w:rPr>
      <w:rFonts w:ascii="黑体" w:hAnsi="Times New Roman" w:eastAsia="黑体" w:cs="Times New Roman"/>
      <w:kern w:val="21"/>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D:\&#30828;&#30424;&#36164;&#26009;\2019&#24180;\&#33258;&#27835;&#21306;&#37325;&#22823;&#19987;&#39033;&#39564;&#25910;&#26448;&#26009;\2018&#24180;&#27801;&#22320;&#25968;&#2545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30828;&#30424;&#36164;&#26009;\2019&#24180;\&#33258;&#27835;&#21306;&#37325;&#22823;&#19987;&#39033;&#39564;&#25910;&#26448;&#26009;\2018&#24180;&#27801;&#22320;&#25968;&#2545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21538795913932"/>
          <c:y val="0.0777662992634766"/>
          <c:w val="0.831440929981076"/>
          <c:h val="0.775355667737494"/>
        </c:manualLayout>
      </c:layout>
      <c:barChart>
        <c:barDir val="col"/>
        <c:grouping val="clustered"/>
        <c:varyColors val="0"/>
        <c:ser>
          <c:idx val="0"/>
          <c:order val="0"/>
          <c:tx>
            <c:strRef>
              <c:f>[2018年沙地数据.xlsx]中旗数据处理!$A$17</c:f>
              <c:strCache>
                <c:ptCount val="1"/>
                <c:pt idx="0">
                  <c:v>高度</c:v>
                </c:pt>
              </c:strCache>
            </c:strRef>
          </c:tx>
          <c:spPr>
            <a:pattFill prst="pct20">
              <a:fgClr>
                <a:schemeClr val="tx1"/>
              </a:fgClr>
              <a:bgClr>
                <a:schemeClr val="bg1"/>
              </a:bgClr>
            </a:pattFill>
            <a:ln>
              <a:solidFill>
                <a:schemeClr val="tx1"/>
              </a:solidFill>
            </a:ln>
          </c:spPr>
          <c:invertIfNegative val="0"/>
          <c:dLbls>
            <c:dLbl>
              <c:idx val="0"/>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a:t>a</a:t>
                    </a:r>
                    <a:endParaRPr lang="en-US" alt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0432692307692308"/>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a:t>b</a:t>
                    </a:r>
                    <a:endParaRPr lang="en-US" alt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0384615384615385"/>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a:t>c</a:t>
                    </a:r>
                    <a:endParaRPr lang="en-US" alt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248756218905464"/>
                  <c:y val="-0.158653846153846"/>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a:t>bd</a:t>
                    </a:r>
                    <a:endParaRPr lang="en-US" alt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100961538461538"/>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a:t>ce</a:t>
                    </a:r>
                    <a:endParaRPr lang="en-US" alt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errBars>
            <c:errBarType val="both"/>
            <c:errValType val="cust"/>
            <c:noEndCap val="0"/>
            <c:plus>
              <c:numRef>
                <c:f>[2018年沙地数据.xlsx]中旗数据处理!$G$26:$K$26</c:f>
                <c:numCache>
                  <c:formatCode>General</c:formatCode>
                  <c:ptCount val="5"/>
                  <c:pt idx="0">
                    <c:v>0.8</c:v>
                  </c:pt>
                  <c:pt idx="1">
                    <c:v>4.70531614240744</c:v>
                  </c:pt>
                  <c:pt idx="2">
                    <c:v>4.0153166571446</c:v>
                  </c:pt>
                  <c:pt idx="3">
                    <c:v>16.2585362194756</c:v>
                  </c:pt>
                  <c:pt idx="4">
                    <c:v>10.9739952354906</c:v>
                  </c:pt>
                </c:numCache>
              </c:numRef>
            </c:plus>
            <c:minus>
              <c:numRef>
                <c:f>[2018年沙地数据.xlsx]中旗数据处理!$G$26:$K$26</c:f>
                <c:numCache>
                  <c:formatCode>General</c:formatCode>
                  <c:ptCount val="5"/>
                  <c:pt idx="0">
                    <c:v>0.8</c:v>
                  </c:pt>
                  <c:pt idx="1">
                    <c:v>4.70531614240744</c:v>
                  </c:pt>
                  <c:pt idx="2">
                    <c:v>4.0153166571446</c:v>
                  </c:pt>
                  <c:pt idx="3">
                    <c:v>16.2585362194756</c:v>
                  </c:pt>
                  <c:pt idx="4">
                    <c:v>10.9739952354906</c:v>
                  </c:pt>
                </c:numCache>
              </c:numRef>
            </c:minus>
          </c:errBars>
          <c:cat>
            <c:numRef>
              <c:f>[2018年沙地数据.xlsx]中旗数据处理!$B$16:$F$16</c:f>
              <c:numCache>
                <c:formatCode>General</c:formatCode>
                <c:ptCount val="5"/>
                <c:pt idx="0">
                  <c:v>2015.8</c:v>
                </c:pt>
                <c:pt idx="1">
                  <c:v>2016.8</c:v>
                </c:pt>
                <c:pt idx="2">
                  <c:v>2017.8</c:v>
                </c:pt>
                <c:pt idx="3">
                  <c:v>2018.8</c:v>
                </c:pt>
                <c:pt idx="4">
                  <c:v>2019.8</c:v>
                </c:pt>
              </c:numCache>
            </c:numRef>
          </c:cat>
          <c:val>
            <c:numRef>
              <c:f>[2018年沙地数据.xlsx]中旗数据处理!$B$17:$F$17</c:f>
              <c:numCache>
                <c:formatCode>General</c:formatCode>
                <c:ptCount val="5"/>
                <c:pt idx="0">
                  <c:v>10.7</c:v>
                </c:pt>
                <c:pt idx="1">
                  <c:v>34.8</c:v>
                </c:pt>
                <c:pt idx="2" c:formatCode="0.0">
                  <c:v>64.125</c:v>
                </c:pt>
                <c:pt idx="3">
                  <c:v>50.2</c:v>
                </c:pt>
                <c:pt idx="4">
                  <c:v>64.5</c:v>
                </c:pt>
              </c:numCache>
            </c:numRef>
          </c:val>
        </c:ser>
        <c:dLbls>
          <c:showLegendKey val="0"/>
          <c:showVal val="0"/>
          <c:showCatName val="0"/>
          <c:showSerName val="0"/>
          <c:showPercent val="0"/>
          <c:showBubbleSize val="0"/>
        </c:dLbls>
        <c:gapWidth val="150"/>
        <c:axId val="177238016"/>
        <c:axId val="177239552"/>
      </c:barChart>
      <c:catAx>
        <c:axId val="177238016"/>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77239552"/>
        <c:crosses val="autoZero"/>
        <c:auto val="1"/>
        <c:lblAlgn val="ctr"/>
        <c:lblOffset val="100"/>
        <c:noMultiLvlLbl val="0"/>
      </c:catAx>
      <c:valAx>
        <c:axId val="177239552"/>
        <c:scaling>
          <c:orientation val="minMax"/>
        </c:scaling>
        <c:delete val="0"/>
        <c:axPos val="l"/>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77238016"/>
        <c:crosses val="autoZero"/>
        <c:crossBetween val="between"/>
      </c:valAx>
      <c:spPr>
        <a:ln>
          <a:noFill/>
        </a:ln>
      </c:spPr>
    </c:plotArea>
    <c:legend>
      <c:legendPos val="r"/>
      <c:layout>
        <c:manualLayout>
          <c:xMode val="edge"/>
          <c:yMode val="edge"/>
          <c:x val="0.166709755030621"/>
          <c:y val="0.0229560367454068"/>
          <c:w val="0.152734689413823"/>
          <c:h val="0.0837171916010499"/>
        </c:manualLayout>
      </c:layout>
      <c:overlay val="0"/>
      <c:txPr>
        <a:bodyPr rot="0" spcFirstLastPara="0" vertOverflow="ellipsis" vert="horz" wrap="square" anchor="ctr" anchorCtr="1"/>
        <a:lstStyle/>
        <a:p>
          <a:pPr>
            <a:defRPr lang="zh-CN" sz="12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d88ed219-a89f-4713-b1b0-a2e0faf4ade7}"/>
      </c:ext>
    </c:extLst>
  </c:chart>
  <c:spPr>
    <a:ln w="9525" cap="flat" cmpd="sng" algn="ctr">
      <a:noFill/>
      <a:prstDash val="solid"/>
      <a:round/>
    </a:ln>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248500999334"/>
          <c:y val="0.0582452936284051"/>
          <c:w val="0.840425531914894"/>
          <c:h val="0.78691159586682"/>
        </c:manualLayout>
      </c:layout>
      <c:barChart>
        <c:barDir val="col"/>
        <c:grouping val="clustered"/>
        <c:varyColors val="0"/>
        <c:ser>
          <c:idx val="1"/>
          <c:order val="0"/>
          <c:tx>
            <c:strRef>
              <c:f>"盖度"</c:f>
              <c:strCache>
                <c:ptCount val="1"/>
                <c:pt idx="0">
                  <c:v>盖度</c:v>
                </c:pt>
              </c:strCache>
            </c:strRef>
          </c:tx>
          <c:spPr>
            <a:pattFill prst="dotGrid">
              <a:fgClr>
                <a:schemeClr val="tx1"/>
              </a:fgClr>
              <a:bgClr>
                <a:schemeClr val="bg1"/>
              </a:bgClr>
            </a:pattFill>
            <a:ln>
              <a:solidFill>
                <a:schemeClr val="tx1"/>
              </a:solidFill>
            </a:ln>
          </c:spPr>
          <c:invertIfNegative val="0"/>
          <c:dLbls>
            <c:dLbl>
              <c:idx val="0"/>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a:t>a</a:t>
                    </a:r>
                    <a:endParaRPr lang="en-US" alt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00245098039215691"/>
                  <c:y val="-0.0383693045563549"/>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a:t>b</a:t>
                    </a:r>
                    <a:endParaRPr lang="en-US" alt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0671462829736211"/>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a:t>bc</a:t>
                    </a:r>
                    <a:endParaRPr lang="en-US" alt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8.98682428801411e-17"/>
                  <c:y val="-0.0479616306954436"/>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a:t>bd</a:t>
                    </a:r>
                    <a:endParaRPr lang="en-US" alt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767386091127098"/>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a:t>be</a:t>
                    </a:r>
                    <a:endParaRPr lang="en-US" alt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errBars>
            <c:errBarType val="both"/>
            <c:errValType val="cust"/>
            <c:noEndCap val="0"/>
            <c:plus>
              <c:numRef>
                <c:f>[2018年沙地数据.xlsx]中旗数据处理!$B$29:$F$29</c:f>
                <c:numCache>
                  <c:formatCode>General</c:formatCode>
                  <c:ptCount val="5"/>
                  <c:pt idx="0">
                    <c:v>1.1</c:v>
                  </c:pt>
                  <c:pt idx="1">
                    <c:v>4.40958551844099</c:v>
                  </c:pt>
                  <c:pt idx="2">
                    <c:v>7.19809002444398</c:v>
                  </c:pt>
                  <c:pt idx="3">
                    <c:v>5.7662812973354</c:v>
                  </c:pt>
                  <c:pt idx="4">
                    <c:v>8.07332468246951</c:v>
                  </c:pt>
                </c:numCache>
              </c:numRef>
            </c:plus>
            <c:minus>
              <c:numRef>
                <c:f>[2018年沙地数据.xlsx]中旗数据处理!$B$29:$F$29</c:f>
                <c:numCache>
                  <c:formatCode>General</c:formatCode>
                  <c:ptCount val="5"/>
                  <c:pt idx="0">
                    <c:v>1.1</c:v>
                  </c:pt>
                  <c:pt idx="1">
                    <c:v>4.40958551844099</c:v>
                  </c:pt>
                  <c:pt idx="2">
                    <c:v>7.19809002444398</c:v>
                  </c:pt>
                  <c:pt idx="3">
                    <c:v>5.7662812973354</c:v>
                  </c:pt>
                  <c:pt idx="4">
                    <c:v>8.07332468246951</c:v>
                  </c:pt>
                </c:numCache>
              </c:numRef>
            </c:minus>
          </c:errBars>
          <c:cat>
            <c:numRef>
              <c:f>[2018年沙地数据.xlsx]中旗数据处理!$B$27:$F$27</c:f>
              <c:numCache>
                <c:formatCode>General</c:formatCode>
                <c:ptCount val="5"/>
                <c:pt idx="0">
                  <c:v>2015.8</c:v>
                </c:pt>
                <c:pt idx="1">
                  <c:v>2016.8</c:v>
                </c:pt>
                <c:pt idx="2">
                  <c:v>2017.8</c:v>
                </c:pt>
                <c:pt idx="3">
                  <c:v>2018.8</c:v>
                </c:pt>
                <c:pt idx="4">
                  <c:v>2019.8</c:v>
                </c:pt>
              </c:numCache>
            </c:numRef>
          </c:cat>
          <c:val>
            <c:numRef>
              <c:f>[2018年沙地数据.xlsx]中旗数据处理!$B$28:$F$28</c:f>
              <c:numCache>
                <c:formatCode>0.0</c:formatCode>
                <c:ptCount val="5"/>
                <c:pt idx="0">
                  <c:v>12.5</c:v>
                </c:pt>
                <c:pt idx="1">
                  <c:v>46.6666666666667</c:v>
                </c:pt>
                <c:pt idx="2">
                  <c:v>48.25</c:v>
                </c:pt>
                <c:pt idx="3">
                  <c:v>53</c:v>
                </c:pt>
                <c:pt idx="4">
                  <c:v>60</c:v>
                </c:pt>
              </c:numCache>
            </c:numRef>
          </c:val>
        </c:ser>
        <c:dLbls>
          <c:showLegendKey val="0"/>
          <c:showVal val="0"/>
          <c:showCatName val="0"/>
          <c:showSerName val="0"/>
          <c:showPercent val="0"/>
          <c:showBubbleSize val="0"/>
        </c:dLbls>
        <c:gapWidth val="150"/>
        <c:axId val="177271552"/>
        <c:axId val="177273088"/>
      </c:barChart>
      <c:catAx>
        <c:axId val="177271552"/>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77273088"/>
        <c:crosses val="autoZero"/>
        <c:auto val="1"/>
        <c:lblAlgn val="ctr"/>
        <c:lblOffset val="100"/>
        <c:noMultiLvlLbl val="0"/>
      </c:catAx>
      <c:valAx>
        <c:axId val="177273088"/>
        <c:scaling>
          <c:orientation val="minMax"/>
        </c:scaling>
        <c:delete val="0"/>
        <c:axPos val="l"/>
        <c:numFmt formatCode="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77271552"/>
        <c:crosses val="autoZero"/>
        <c:crossBetween val="between"/>
      </c:valAx>
    </c:plotArea>
    <c:legend>
      <c:legendPos val="r"/>
      <c:layout>
        <c:manualLayout>
          <c:xMode val="edge"/>
          <c:yMode val="edge"/>
          <c:x val="0.737267405328374"/>
          <c:y val="0.0276164951372085"/>
          <c:w val="0.102734689413823"/>
          <c:h val="0.0837171916010499"/>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b179da6b-1451-44f2-a418-1fb3ce5b5e38}"/>
      </c:ext>
    </c:extLst>
  </c:chart>
  <c:spPr>
    <a:ln w="9525" cap="flat" cmpd="sng" algn="ctr">
      <a:noFill/>
      <a:prstDash val="solid"/>
      <a:round/>
    </a:ln>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21</Pages>
  <Words>6917</Words>
  <Characters>7577</Characters>
  <Lines>2</Lines>
  <Paragraphs>1</Paragraphs>
  <TotalTime>4</TotalTime>
  <ScaleCrop>false</ScaleCrop>
  <LinksUpToDate>false</LinksUpToDate>
  <CharactersWithSpaces>7668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2025-09-10T06:53:00Z</dcterms:created>
  <dc:creator>苑榕</dc:creator>
  <cp:lastModifiedBy>邢旗</cp:lastModifiedBy>
  <dcterms:modified xsi:type="dcterms:W3CDTF">2025-10-15T01:59:23Z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eyJoZGlkIjoiODViY2JkMjU3NGYzZTEwMzZmMGFkZWViYmNkYWU3NDIiLCJ1c2VySWQiOiI0MTUzODQ5MjgifQ==</vt:lpwstr>
  </property>
  <property fmtid="{D5CDD505-2E9C-101B-9397-08002B2CF9AE}" pid="3" name="KSOProductBuildVer">
    <vt:lpwstr>2052-12.1.0.22529</vt:lpwstr>
  </property>
  <property fmtid="{D5CDD505-2E9C-101B-9397-08002B2CF9AE}" pid="4" name="ICV">
    <vt:lpwstr>A03A59DA5F914B98A29B39246860EB8D_12</vt:lpwstr>
  </property>
</Properties>
</file>