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97DED">
      <w:pPr>
        <w:jc w:val="center"/>
        <w:rPr>
          <w:rFonts w:hint="default" w:ascii="Times New Roman" w:hAnsi="Times New Roman" w:eastAsia="黑体" w:cs="Times New Roman"/>
          <w:b/>
          <w:bCs/>
          <w:sz w:val="36"/>
          <w:szCs w:val="32"/>
        </w:rPr>
      </w:pPr>
      <w:bookmarkStart w:id="0" w:name="_Toc481651147"/>
      <w:r>
        <w:rPr>
          <w:rFonts w:hint="default" w:ascii="Times New Roman" w:hAnsi="Times New Roman" w:eastAsia="黑体" w:cs="Times New Roman"/>
          <w:b/>
          <w:bCs/>
          <w:sz w:val="36"/>
          <w:szCs w:val="32"/>
        </w:rPr>
        <w:t>《</w:t>
      </w:r>
      <w:r>
        <w:rPr>
          <w:rFonts w:hint="eastAsia" w:ascii="Times New Roman" w:hAnsi="Times New Roman" w:eastAsia="黑体" w:cs="Times New Roman"/>
          <w:b/>
          <w:bCs/>
          <w:sz w:val="36"/>
          <w:szCs w:val="32"/>
          <w:lang w:eastAsia="zh-CN"/>
        </w:rPr>
        <w:t>机器人谐波传动减速器轴承用钢</w:t>
      </w:r>
      <w:r>
        <w:rPr>
          <w:rFonts w:hint="default" w:ascii="Times New Roman" w:hAnsi="Times New Roman" w:eastAsia="黑体" w:cs="Times New Roman"/>
          <w:b/>
          <w:bCs/>
          <w:sz w:val="36"/>
          <w:szCs w:val="32"/>
        </w:rPr>
        <w:t>》</w:t>
      </w:r>
    </w:p>
    <w:p w14:paraId="3D30AA9D">
      <w:pPr>
        <w:jc w:val="center"/>
        <w:rPr>
          <w:rFonts w:hint="default" w:ascii="Times New Roman" w:hAnsi="Times New Roman" w:eastAsia="黑体" w:cs="Times New Roman"/>
          <w:b/>
          <w:bCs/>
          <w:sz w:val="36"/>
          <w:szCs w:val="32"/>
        </w:rPr>
      </w:pPr>
      <w:r>
        <w:rPr>
          <w:rFonts w:hint="default" w:ascii="Times New Roman" w:hAnsi="Times New Roman" w:eastAsia="黑体" w:cs="Times New Roman"/>
          <w:b/>
          <w:bCs/>
          <w:sz w:val="36"/>
          <w:szCs w:val="32"/>
        </w:rPr>
        <w:t>团体标准编制说明</w:t>
      </w:r>
    </w:p>
    <w:p w14:paraId="0F0E27BF">
      <w:pPr>
        <w:jc w:val="center"/>
        <w:rPr>
          <w:rFonts w:hint="default" w:ascii="Times New Roman" w:hAnsi="Times New Roman" w:eastAsia="黑体" w:cs="Times New Roman"/>
          <w:b/>
          <w:bCs/>
          <w:sz w:val="32"/>
          <w:szCs w:val="32"/>
        </w:rPr>
      </w:pPr>
    </w:p>
    <w:bookmarkEnd w:id="0"/>
    <w:p w14:paraId="2D1794A4">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一、任务来源</w:t>
      </w:r>
    </w:p>
    <w:p w14:paraId="055075FB">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贯彻落实中共中央、国务院印发的《国家标准化发展纲要》中大力发展团体标准的有关要求，制定满足市场和创新需要的团体标准，落实国家关于钢铁行业高质量发展的政策导向，满足生产企业和下游用户对</w:t>
      </w:r>
      <w:r>
        <w:rPr>
          <w:rFonts w:hint="eastAsia" w:ascii="Times New Roman" w:hAnsi="Times New Roman" w:eastAsia="仿宋_GB2312" w:cs="Times New Roman"/>
          <w:sz w:val="28"/>
          <w:szCs w:val="28"/>
          <w:lang w:eastAsia="zh-CN"/>
        </w:rPr>
        <w:t>机器人谐波传动减速器轴承用钢</w:t>
      </w:r>
      <w:r>
        <w:rPr>
          <w:rFonts w:hint="default" w:ascii="Times New Roman" w:hAnsi="Times New Roman" w:eastAsia="仿宋_GB2312" w:cs="Times New Roman"/>
          <w:sz w:val="28"/>
          <w:szCs w:val="28"/>
        </w:rPr>
        <w:t>产品标准的实际需求，提出《</w:t>
      </w:r>
      <w:r>
        <w:rPr>
          <w:rFonts w:hint="eastAsia" w:ascii="Times New Roman" w:hAnsi="Times New Roman" w:eastAsia="仿宋_GB2312" w:cs="Times New Roman"/>
          <w:sz w:val="28"/>
          <w:szCs w:val="28"/>
          <w:lang w:eastAsia="zh-CN"/>
        </w:rPr>
        <w:t>机器人谐波传动减速器轴承用钢</w:t>
      </w:r>
      <w:r>
        <w:rPr>
          <w:rFonts w:hint="default" w:ascii="Times New Roman" w:hAnsi="Times New Roman" w:eastAsia="仿宋_GB2312" w:cs="Times New Roman"/>
          <w:sz w:val="28"/>
          <w:szCs w:val="28"/>
        </w:rPr>
        <w:t>》团体标准制定项目。</w:t>
      </w:r>
    </w:p>
    <w:p w14:paraId="7CAE31A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本标准由中国特钢企业协会团体标准化工作委员会、中关村不锈及特种合金新材料产业技术创新联盟</w:t>
      </w:r>
      <w:r>
        <w:rPr>
          <w:rFonts w:hint="default" w:ascii="Times New Roman" w:hAnsi="Times New Roman" w:eastAsia="仿宋_GB2312" w:cs="Times New Roman"/>
          <w:sz w:val="28"/>
          <w:szCs w:val="28"/>
          <w:highlight w:val="none"/>
          <w:lang w:val="en-US" w:eastAsia="zh-CN"/>
        </w:rPr>
        <w:t>团体</w:t>
      </w:r>
      <w:r>
        <w:rPr>
          <w:rFonts w:hint="default" w:ascii="Times New Roman" w:hAnsi="Times New Roman" w:eastAsia="仿宋_GB2312" w:cs="Times New Roman"/>
          <w:sz w:val="28"/>
          <w:szCs w:val="28"/>
          <w:highlight w:val="none"/>
        </w:rPr>
        <w:t>标准化工作委员会联合提出并归口。由</w:t>
      </w:r>
      <w:r>
        <w:rPr>
          <w:rFonts w:hint="eastAsia" w:ascii="Times New Roman" w:hAnsi="Times New Roman" w:eastAsia="仿宋_GB2312" w:cs="Times New Roman"/>
          <w:sz w:val="28"/>
          <w:szCs w:val="28"/>
          <w:lang w:eastAsia="zh-CN"/>
        </w:rPr>
        <w:t>江阴兴澄特种钢铁有限公司</w:t>
      </w:r>
      <w:r>
        <w:rPr>
          <w:rFonts w:hint="default" w:ascii="Times New Roman" w:hAnsi="Times New Roman" w:eastAsia="仿宋_GB2312" w:cs="Times New Roman"/>
          <w:sz w:val="28"/>
          <w:szCs w:val="28"/>
        </w:rPr>
        <w:t>、冶金工业规划研究院等起草，并共同参与前期研究、调研和标准的编制、修改、技术数据验证以及标准推广等工作。</w:t>
      </w:r>
    </w:p>
    <w:p w14:paraId="41B34728">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二、制定本标准的目的和意义</w:t>
      </w:r>
    </w:p>
    <w:p w14:paraId="44F6459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随着全球人口老龄化、劳动力短缺问题愈加严重，智能机器人可以有效代替人力执行繁重、危险的任务，填补劳动力空缺。推动智能机器人产业和技术的发展可以提高生产效率，降低生产成本，进一步促进生产方式发生深刻变革。推动传统制造向智能制造转型已成为新一轮国际科技竞争的新焦点，是我国亟需抢占主导权的新赛道、建立领先优势的新领域。</w:t>
      </w:r>
    </w:p>
    <w:p w14:paraId="25489B2C">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谐波减速器体积小，传动比高，精密度高，适用于负载较轻的精密减速器领域，是机器人减速器的优选方案，作为核心部件，其主要由内齿刚轮、柔轮和波发生器组成，在机器人中应用于肩关节、腕部、腰部、髋部等部位。其中，波发生器轴承作为谐波减速器的“心脏”，其核心作用是支撑椭圆形凸轮并引导柔轮的弹性变形。当凸轮旋转时，轴承外圈通过弹性变形带动柔轮产生周期性椭圆化运动，实现与刚轮的错齿啮合传动。这一过程中，轴承需承受较大的应力及循环载荷，对材料强度和结构稳定性提出极高要求，多采用的材料为GCr15、17CrNiMo6、陶瓷基复合材料等。目前，国内相关的标准有《机器人用谐波齿轮减速器》（GB/T 30819-2024）、《合金结构钢》（GB/T 3077-2015）等，均未细分至谐波传动减速器轴承用钢产品对应的标准要求，建议制定技术指标更加完善、先进的细分领域《机器人谐波传动减速器轴承用钢》标准，进一步完善机器人谐波传动减速器轴承用钢标准体系，满足上下游配套需求；二是突出钢铁企业原材料生产企业优势，占据标准赛道话语权</w:t>
      </w:r>
      <w:r>
        <w:rPr>
          <w:rFonts w:hint="default" w:ascii="Times New Roman" w:hAnsi="Times New Roman" w:eastAsia="仿宋_GB2312" w:cs="Times New Roman"/>
          <w:sz w:val="28"/>
          <w:szCs w:val="28"/>
        </w:rPr>
        <w:t>。</w:t>
      </w:r>
    </w:p>
    <w:p w14:paraId="6D75A40C">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三、标准编制过程</w:t>
      </w:r>
    </w:p>
    <w:p w14:paraId="552361FC">
      <w:pPr>
        <w:spacing w:line="360" w:lineRule="auto"/>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江阴兴澄特种钢铁有限公司</w:t>
      </w:r>
      <w:r>
        <w:rPr>
          <w:rFonts w:hint="default" w:ascii="Times New Roman" w:hAnsi="Times New Roman" w:eastAsia="仿宋_GB2312" w:cs="Times New Roman"/>
          <w:sz w:val="28"/>
          <w:szCs w:val="28"/>
        </w:rPr>
        <w:t>与冶金工业规划研究院等单位共同承担了《</w:t>
      </w:r>
      <w:r>
        <w:rPr>
          <w:rFonts w:hint="eastAsia" w:ascii="Times New Roman" w:hAnsi="Times New Roman" w:eastAsia="仿宋_GB2312" w:cs="Times New Roman"/>
          <w:sz w:val="28"/>
          <w:szCs w:val="28"/>
          <w:lang w:val="en-US" w:eastAsia="zh-CN"/>
        </w:rPr>
        <w:t>机器人谐波传动减速器轴承用钢</w:t>
      </w:r>
      <w:r>
        <w:rPr>
          <w:rFonts w:hint="default" w:ascii="Times New Roman" w:hAnsi="Times New Roman" w:eastAsia="仿宋_GB2312" w:cs="Times New Roman"/>
          <w:sz w:val="28"/>
          <w:szCs w:val="28"/>
        </w:rPr>
        <w:t>》团体标准的编制工作，共同组建了该团体标准起草小组，明确各自的责任和分工，并开展工作。在《</w:t>
      </w:r>
      <w:r>
        <w:rPr>
          <w:rFonts w:hint="eastAsia" w:ascii="Times New Roman" w:hAnsi="Times New Roman" w:eastAsia="仿宋_GB2312" w:cs="Times New Roman"/>
          <w:sz w:val="28"/>
          <w:szCs w:val="28"/>
          <w:lang w:val="en-US" w:eastAsia="zh-CN"/>
        </w:rPr>
        <w:t>机器人谐波传动减速器轴承用钢</w:t>
      </w:r>
      <w:r>
        <w:rPr>
          <w:rFonts w:hint="default" w:ascii="Times New Roman" w:hAnsi="Times New Roman" w:eastAsia="仿宋_GB2312" w:cs="Times New Roman"/>
          <w:sz w:val="28"/>
          <w:szCs w:val="28"/>
        </w:rPr>
        <w:t>》标准制定过程中，起草小组认真查阅有关资料、收集相关数据信息，结合国内外生产情况，以及产品下游用户提出的性能要求，以及相关产品标准等，进行本团体标准的编制工作。</w:t>
      </w:r>
    </w:p>
    <w:p w14:paraId="4972E3A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主要编制过程如下：</w:t>
      </w:r>
    </w:p>
    <w:p w14:paraId="5795499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月，中国特钢企业协会团体标准化工作委员会</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lang w:val="en-US" w:eastAsia="zh-CN"/>
        </w:rPr>
        <w:t>团体</w:t>
      </w:r>
      <w:r>
        <w:rPr>
          <w:rFonts w:hint="default" w:ascii="Times New Roman" w:hAnsi="Times New Roman" w:eastAsia="仿宋_GB2312" w:cs="Times New Roman"/>
          <w:sz w:val="28"/>
          <w:szCs w:val="28"/>
          <w:highlight w:val="none"/>
          <w:lang w:eastAsia="zh-CN"/>
        </w:rPr>
        <w:t>标准化工作委员会</w:t>
      </w:r>
      <w:r>
        <w:rPr>
          <w:rFonts w:hint="default" w:ascii="Times New Roman" w:hAnsi="Times New Roman" w:eastAsia="仿宋_GB2312" w:cs="Times New Roman"/>
          <w:sz w:val="28"/>
          <w:szCs w:val="28"/>
          <w:highlight w:val="none"/>
        </w:rPr>
        <w:t>（以下简称团标委）秘书处给各位委员发出团体标准立项函审单。到立项函审截止日期，没有委员提出不同意见；</w:t>
      </w:r>
    </w:p>
    <w:p w14:paraId="1535660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月，团标委正式下达《</w:t>
      </w:r>
      <w:r>
        <w:rPr>
          <w:rFonts w:hint="eastAsia" w:ascii="Times New Roman" w:hAnsi="Times New Roman" w:eastAsia="仿宋_GB2312" w:cs="Times New Roman"/>
          <w:sz w:val="28"/>
          <w:szCs w:val="28"/>
          <w:highlight w:val="none"/>
          <w:lang w:val="en-US" w:eastAsia="zh-CN"/>
        </w:rPr>
        <w:t>机器人谐波传动减速器轴承用钢</w:t>
      </w:r>
      <w:r>
        <w:rPr>
          <w:rFonts w:hint="default" w:ascii="Times New Roman" w:hAnsi="Times New Roman" w:eastAsia="仿宋_GB2312" w:cs="Times New Roman"/>
          <w:sz w:val="28"/>
          <w:szCs w:val="28"/>
          <w:highlight w:val="none"/>
        </w:rPr>
        <w:t>》团体标准立项计划（202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年第</w:t>
      </w:r>
      <w:r>
        <w:rPr>
          <w:rFonts w:hint="eastAsia" w:ascii="Times New Roman" w:hAnsi="Times New Roman" w:eastAsia="仿宋_GB2312" w:cs="Times New Roman"/>
          <w:sz w:val="28"/>
          <w:szCs w:val="28"/>
          <w:highlight w:val="none"/>
          <w:lang w:val="en-US" w:eastAsia="zh-CN"/>
        </w:rPr>
        <w:t>三</w:t>
      </w:r>
      <w:r>
        <w:rPr>
          <w:rFonts w:hint="default" w:ascii="Times New Roman" w:hAnsi="Times New Roman" w:eastAsia="仿宋_GB2312" w:cs="Times New Roman"/>
          <w:sz w:val="28"/>
          <w:szCs w:val="28"/>
          <w:highlight w:val="none"/>
        </w:rPr>
        <w:t>批）。由</w:t>
      </w:r>
      <w:r>
        <w:rPr>
          <w:rFonts w:hint="default" w:ascii="Times New Roman" w:hAnsi="Times New Roman" w:eastAsia="仿宋_GB2312" w:cs="Times New Roman"/>
          <w:sz w:val="28"/>
          <w:szCs w:val="28"/>
          <w:highlight w:val="none"/>
          <w:lang w:val="en-US" w:eastAsia="zh-CN"/>
        </w:rPr>
        <w:t>江阴兴澄特种钢铁有限公司</w:t>
      </w:r>
      <w:r>
        <w:rPr>
          <w:rFonts w:hint="default" w:ascii="Times New Roman" w:hAnsi="Times New Roman" w:eastAsia="仿宋" w:cs="Times New Roman"/>
          <w:sz w:val="28"/>
          <w:szCs w:val="28"/>
        </w:rPr>
        <w:t>、冶金工业规划研究院</w:t>
      </w:r>
      <w:r>
        <w:rPr>
          <w:rFonts w:hint="default" w:ascii="Times New Roman" w:hAnsi="Times New Roman" w:eastAsia="仿宋_GB2312" w:cs="Times New Roman"/>
          <w:sz w:val="28"/>
          <w:szCs w:val="28"/>
        </w:rPr>
        <w:t>相关人员组成了标准起草组，提出了标准编制计划和任务分工，并开始标准编制工作；</w:t>
      </w:r>
    </w:p>
    <w:p w14:paraId="3C98B0A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6-7</w:t>
      </w:r>
      <w:r>
        <w:rPr>
          <w:rFonts w:hint="default" w:ascii="Times New Roman" w:hAnsi="Times New Roman" w:eastAsia="仿宋_GB2312" w:cs="Times New Roman"/>
          <w:sz w:val="28"/>
          <w:szCs w:val="28"/>
        </w:rPr>
        <w:t>月：进行了起草标准的调研、问题分析和相关资料收集等准备工作，完成了标准制定提纲、标准草案；</w:t>
      </w:r>
    </w:p>
    <w:p w14:paraId="1399C17F">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2025年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月：召开标准启动会，围绕标准草案进行讨论，并按照与会意见和建议作进一步修改；主要修改：</w:t>
      </w:r>
    </w:p>
    <w:p w14:paraId="58E33F0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2025年  月：形成征求意见稿，发出征求意见；</w:t>
      </w:r>
    </w:p>
    <w:p w14:paraId="20F6DF12">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2025年  月：完成征求意见处理、形成标准送审稿；</w:t>
      </w:r>
    </w:p>
    <w:p w14:paraId="39D866F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2025年  月：完成该标准审定会和标准报批稿，上报中国特钢企业协会审批；</w:t>
      </w:r>
    </w:p>
    <w:p w14:paraId="3DF3F39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2025年  月：完成该标准发布、实施。</w:t>
      </w:r>
    </w:p>
    <w:p w14:paraId="52D5C9F7">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四、标准编制原则</w:t>
      </w:r>
    </w:p>
    <w:p w14:paraId="6EB1F33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本标准的制定一是坚持先进性与实用性相结合、统一性与灵活性相结合、可靠性与经济性相结合的原则，尽可能使标准满足多目标要求；二是充分考虑</w:t>
      </w:r>
      <w:r>
        <w:rPr>
          <w:rFonts w:hint="eastAsia" w:ascii="Times New Roman" w:hAnsi="Times New Roman" w:eastAsia="仿宋_GB2312" w:cs="Times New Roman"/>
          <w:sz w:val="28"/>
          <w:szCs w:val="28"/>
          <w:highlight w:val="none"/>
          <w:lang w:val="en-US" w:eastAsia="zh-CN"/>
        </w:rPr>
        <w:t>机器人谐波传动减速器轴承用钢</w:t>
      </w:r>
      <w:r>
        <w:rPr>
          <w:rFonts w:hint="default" w:ascii="Times New Roman" w:hAnsi="Times New Roman" w:eastAsia="仿宋_GB2312" w:cs="Times New Roman"/>
          <w:sz w:val="28"/>
          <w:szCs w:val="28"/>
        </w:rPr>
        <w:t>的使用需求，在充分调研交流基础上开展标准编制工作，尽可能使该标准符合实际现状和满足未来发展要求；三是技术创新的原则。在与国家标准体系协调一致的基础上，在标准结构、内容及主要技术指标等方面进行技术创新，在标准中充分体现新产品的技术特点。</w:t>
      </w:r>
    </w:p>
    <w:p w14:paraId="3BCBF000">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五、主要技术内容</w:t>
      </w:r>
    </w:p>
    <w:p w14:paraId="19C30F3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（一）标准编写格式</w:t>
      </w:r>
    </w:p>
    <w:p w14:paraId="6B2C4577">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本文件按照GB/T 1.1-2020《标准化工作导则 第1部分：标准化文件的结构和起草规则》的规定起草。</w:t>
      </w:r>
    </w:p>
    <w:p w14:paraId="1C71C9D0">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本文件规定了</w:t>
      </w:r>
      <w:r>
        <w:rPr>
          <w:rFonts w:hint="default" w:ascii="Times New Roman" w:hAnsi="Times New Roman" w:eastAsia="仿宋_GB2312" w:cs="Times New Roman"/>
          <w:sz w:val="28"/>
          <w:szCs w:val="28"/>
          <w:lang w:val="en-US" w:eastAsia="zh-CN"/>
        </w:rPr>
        <w:t>机器人谐波传动减速器轴承用钢</w:t>
      </w:r>
      <w:r>
        <w:rPr>
          <w:rFonts w:hint="default" w:ascii="Times New Roman" w:hAnsi="Times New Roman" w:eastAsia="仿宋_GB2312" w:cs="Times New Roman"/>
          <w:sz w:val="28"/>
          <w:szCs w:val="28"/>
        </w:rPr>
        <w:t>的订货内容、制造工艺、技术要求、试验方法、检验规则、包装、标志</w:t>
      </w:r>
      <w:r>
        <w:rPr>
          <w:rFonts w:hint="default" w:ascii="Times New Roman" w:hAnsi="Times New Roman" w:eastAsia="仿宋_GB2312" w:cs="Times New Roman"/>
          <w:sz w:val="28"/>
          <w:szCs w:val="28"/>
          <w:lang w:eastAsia="zh-CN"/>
        </w:rPr>
        <w:t>及</w:t>
      </w:r>
      <w:r>
        <w:rPr>
          <w:rFonts w:hint="default" w:ascii="Times New Roman" w:hAnsi="Times New Roman" w:eastAsia="仿宋_GB2312" w:cs="Times New Roman"/>
          <w:sz w:val="28"/>
          <w:szCs w:val="28"/>
        </w:rPr>
        <w:t>质量证明书。</w:t>
      </w:r>
    </w:p>
    <w:p w14:paraId="5457F379">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（二）适用范围</w:t>
      </w:r>
    </w:p>
    <w:p w14:paraId="4D244AAA">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本文件适用于</w:t>
      </w:r>
      <w:r>
        <w:rPr>
          <w:rFonts w:hint="default" w:ascii="Times New Roman" w:hAnsi="Times New Roman" w:eastAsia="仿宋_GB2312" w:cs="Times New Roman"/>
          <w:sz w:val="28"/>
          <w:szCs w:val="28"/>
          <w:lang w:val="en-US" w:eastAsia="zh-CN"/>
        </w:rPr>
        <w:t>制造公称直径为20 mm～200 mm的机器人谐波传动减速器轴承用钢</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以下简称圆钢</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p>
    <w:p w14:paraId="3D738F88">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（三）术语和定义</w:t>
      </w:r>
    </w:p>
    <w:p w14:paraId="2B9EE9CC">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本文件没有需要界定的术语和定义。</w:t>
      </w:r>
    </w:p>
    <w:p w14:paraId="247AF92E">
      <w:pPr>
        <w:numPr>
          <w:ilvl w:val="0"/>
          <w:numId w:val="3"/>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订货内容</w:t>
      </w:r>
    </w:p>
    <w:p w14:paraId="606166A3">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1.按本文件订货的合同或订单应包括下列内容：</w:t>
      </w:r>
    </w:p>
    <w:p w14:paraId="17464D50">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本文件</w:t>
      </w:r>
      <w:r>
        <w:rPr>
          <w:rFonts w:hint="default" w:ascii="Times New Roman" w:hAnsi="Times New Roman" w:eastAsia="仿宋_GB2312" w:cs="Times New Roman"/>
          <w:sz w:val="28"/>
          <w:szCs w:val="28"/>
          <w:lang w:val="en-US" w:eastAsia="zh-CN"/>
        </w:rPr>
        <w:t>编号；</w:t>
      </w:r>
    </w:p>
    <w:p w14:paraId="7745AEB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产品名称；</w:t>
      </w:r>
    </w:p>
    <w:p w14:paraId="0676228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牌号；</w:t>
      </w:r>
    </w:p>
    <w:p w14:paraId="12C58F1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规格；</w:t>
      </w:r>
    </w:p>
    <w:p w14:paraId="1E7ED22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重量</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或数量</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w:t>
      </w:r>
    </w:p>
    <w:p w14:paraId="4027DF4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交货状态；</w:t>
      </w:r>
    </w:p>
    <w:p w14:paraId="74A8F56F">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特殊要求。</w:t>
      </w:r>
    </w:p>
    <w:p w14:paraId="5A60A3B5">
      <w:pPr>
        <w:numPr>
          <w:ilvl w:val="0"/>
          <w:numId w:val="3"/>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制造工艺</w:t>
      </w:r>
    </w:p>
    <w:p w14:paraId="7AFB3A51">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1.冶炼方法</w:t>
      </w:r>
    </w:p>
    <w:p w14:paraId="0281703C">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钢由转炉或电炉冶炼，经炉外精炼及真空脱气处理。</w:t>
      </w:r>
    </w:p>
    <w:p w14:paraId="758CC077">
      <w:pPr>
        <w:numPr>
          <w:ilvl w:val="0"/>
          <w:numId w:val="0"/>
        </w:numPr>
        <w:spacing w:line="360" w:lineRule="auto"/>
        <w:ind w:left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2.交货状态</w:t>
      </w:r>
    </w:p>
    <w:p w14:paraId="078B09C4">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圆钢以热轧、热轧软化退火或热轧球化退火状态交货</w:t>
      </w:r>
      <w:r>
        <w:rPr>
          <w:rFonts w:hint="eastAsia" w:ascii="Times New Roman" w:hAnsi="Times New Roman" w:eastAsia="仿宋_GB2312" w:cs="Times New Roman"/>
          <w:sz w:val="28"/>
          <w:szCs w:val="28"/>
          <w:lang w:val="en-US" w:eastAsia="zh-CN"/>
        </w:rPr>
        <w:t>。</w:t>
      </w:r>
    </w:p>
    <w:p w14:paraId="57750623">
      <w:pPr>
        <w:numPr>
          <w:ilvl w:val="0"/>
          <w:numId w:val="3"/>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技术要求</w:t>
      </w:r>
    </w:p>
    <w:p w14:paraId="5B7F1ED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 </w:t>
      </w:r>
      <w:r>
        <w:rPr>
          <w:rFonts w:hint="eastAsia" w:ascii="Times New Roman" w:hAnsi="Times New Roman" w:eastAsia="仿宋_GB2312" w:cs="Times New Roman"/>
          <w:sz w:val="28"/>
          <w:szCs w:val="28"/>
          <w:lang w:val="en-US" w:eastAsia="zh-CN"/>
        </w:rPr>
        <w:t>牌号和</w:t>
      </w:r>
      <w:r>
        <w:rPr>
          <w:rFonts w:hint="default" w:ascii="Times New Roman" w:hAnsi="Times New Roman" w:eastAsia="仿宋_GB2312" w:cs="Times New Roman"/>
          <w:sz w:val="28"/>
          <w:szCs w:val="28"/>
          <w:lang w:val="en-US" w:eastAsia="zh-CN"/>
        </w:rPr>
        <w:t>化学成分</w:t>
      </w:r>
    </w:p>
    <w:p w14:paraId="5662505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钢的牌号及化学成分（熔炼分析）应符合表1的规定。</w:t>
      </w:r>
    </w:p>
    <w:p w14:paraId="1941A08C">
      <w:pPr>
        <w:keepNext w:val="0"/>
        <w:keepLines w:val="0"/>
        <w:pageBreakBefore w:val="0"/>
        <w:widowControl/>
        <w:numPr>
          <w:ilvl w:val="0"/>
          <w:numId w:val="2"/>
        </w:numPr>
        <w:tabs>
          <w:tab w:val="left" w:pos="0"/>
        </w:tabs>
        <w:kinsoku/>
        <w:wordWrap/>
        <w:overflowPunct/>
        <w:topLinePunct w:val="0"/>
        <w:autoSpaceDE/>
        <w:autoSpaceDN/>
        <w:bidi w:val="0"/>
        <w:adjustRightInd/>
        <w:snapToGrid/>
        <w:spacing w:before="156" w:beforeLines="50" w:after="156" w:afterLines="50"/>
        <w:ind w:left="0"/>
        <w:jc w:val="center"/>
        <w:textAlignment w:val="auto"/>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牌号和化学成分</w:t>
      </w:r>
    </w:p>
    <w:tbl>
      <w:tblPr>
        <w:tblStyle w:val="7"/>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762"/>
        <w:gridCol w:w="760"/>
        <w:gridCol w:w="760"/>
        <w:gridCol w:w="760"/>
        <w:gridCol w:w="595"/>
        <w:gridCol w:w="625"/>
        <w:gridCol w:w="800"/>
        <w:gridCol w:w="762"/>
        <w:gridCol w:w="838"/>
        <w:gridCol w:w="887"/>
        <w:gridCol w:w="813"/>
      </w:tblGrid>
      <w:tr w14:paraId="4995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6" w:type="dxa"/>
            <w:vMerge w:val="restart"/>
            <w:shd w:val="clear" w:color="auto" w:fill="auto"/>
            <w:vAlign w:val="center"/>
          </w:tcPr>
          <w:p w14:paraId="0563289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牌号</w:t>
            </w:r>
          </w:p>
        </w:tc>
        <w:tc>
          <w:tcPr>
            <w:tcW w:w="8362" w:type="dxa"/>
            <w:gridSpan w:val="11"/>
            <w:shd w:val="clear" w:color="auto" w:fill="auto"/>
            <w:vAlign w:val="center"/>
          </w:tcPr>
          <w:p w14:paraId="3F18B86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化学成分（质量分数）/%</w:t>
            </w:r>
          </w:p>
        </w:tc>
      </w:tr>
      <w:tr w14:paraId="3755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026" w:type="dxa"/>
            <w:vMerge w:val="continue"/>
            <w:vAlign w:val="center"/>
          </w:tcPr>
          <w:p w14:paraId="5D51AA8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highlight w:val="none"/>
              </w:rPr>
            </w:pPr>
          </w:p>
        </w:tc>
        <w:tc>
          <w:tcPr>
            <w:tcW w:w="762" w:type="dxa"/>
            <w:shd w:val="clear" w:color="auto" w:fill="auto"/>
            <w:vAlign w:val="center"/>
          </w:tcPr>
          <w:p w14:paraId="5216CDDF">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w:t>
            </w:r>
          </w:p>
        </w:tc>
        <w:tc>
          <w:tcPr>
            <w:tcW w:w="760" w:type="dxa"/>
            <w:shd w:val="clear" w:color="auto" w:fill="auto"/>
            <w:vAlign w:val="center"/>
          </w:tcPr>
          <w:p w14:paraId="5652EDE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Si</w:t>
            </w:r>
          </w:p>
        </w:tc>
        <w:tc>
          <w:tcPr>
            <w:tcW w:w="760" w:type="dxa"/>
            <w:shd w:val="clear" w:color="auto" w:fill="auto"/>
            <w:vAlign w:val="center"/>
          </w:tcPr>
          <w:p w14:paraId="075CA40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Mn</w:t>
            </w:r>
          </w:p>
        </w:tc>
        <w:tc>
          <w:tcPr>
            <w:tcW w:w="760" w:type="dxa"/>
            <w:shd w:val="clear" w:color="auto" w:fill="auto"/>
            <w:vAlign w:val="center"/>
          </w:tcPr>
          <w:p w14:paraId="40AA33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Cr</w:t>
            </w:r>
          </w:p>
        </w:tc>
        <w:tc>
          <w:tcPr>
            <w:tcW w:w="595" w:type="dxa"/>
            <w:shd w:val="clear" w:color="auto" w:fill="auto"/>
            <w:vAlign w:val="center"/>
          </w:tcPr>
          <w:p w14:paraId="62D85BE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Cu</w:t>
            </w:r>
          </w:p>
        </w:tc>
        <w:tc>
          <w:tcPr>
            <w:tcW w:w="625" w:type="dxa"/>
            <w:shd w:val="clear" w:color="auto" w:fill="auto"/>
            <w:vAlign w:val="center"/>
          </w:tcPr>
          <w:p w14:paraId="656AF97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Ni</w:t>
            </w:r>
          </w:p>
        </w:tc>
        <w:tc>
          <w:tcPr>
            <w:tcW w:w="800" w:type="dxa"/>
            <w:shd w:val="clear" w:color="auto" w:fill="auto"/>
            <w:vAlign w:val="center"/>
          </w:tcPr>
          <w:p w14:paraId="1C33A08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Mo</w:t>
            </w:r>
          </w:p>
        </w:tc>
        <w:tc>
          <w:tcPr>
            <w:tcW w:w="762" w:type="dxa"/>
            <w:shd w:val="clear" w:color="auto" w:fill="auto"/>
            <w:vAlign w:val="center"/>
          </w:tcPr>
          <w:p w14:paraId="3CC1D7C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Al</w:t>
            </w:r>
          </w:p>
        </w:tc>
        <w:tc>
          <w:tcPr>
            <w:tcW w:w="838" w:type="dxa"/>
            <w:shd w:val="clear" w:color="auto" w:fill="auto"/>
            <w:vAlign w:val="center"/>
          </w:tcPr>
          <w:p w14:paraId="7BE159F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Ti</w:t>
            </w:r>
          </w:p>
        </w:tc>
        <w:tc>
          <w:tcPr>
            <w:tcW w:w="887" w:type="dxa"/>
            <w:shd w:val="clear" w:color="auto" w:fill="auto"/>
            <w:vAlign w:val="center"/>
          </w:tcPr>
          <w:p w14:paraId="11890E0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Ca</w:t>
            </w:r>
          </w:p>
        </w:tc>
        <w:tc>
          <w:tcPr>
            <w:tcW w:w="813" w:type="dxa"/>
            <w:shd w:val="clear" w:color="auto" w:fill="auto"/>
            <w:vAlign w:val="center"/>
          </w:tcPr>
          <w:p w14:paraId="14423A95">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O</w:t>
            </w:r>
          </w:p>
        </w:tc>
      </w:tr>
      <w:tr w14:paraId="259B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6" w:type="dxa"/>
            <w:vAlign w:val="center"/>
          </w:tcPr>
          <w:p w14:paraId="62CAB46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GCr15</w:t>
            </w:r>
          </w:p>
        </w:tc>
        <w:tc>
          <w:tcPr>
            <w:tcW w:w="762" w:type="dxa"/>
            <w:shd w:val="clear" w:color="auto" w:fill="auto"/>
            <w:vAlign w:val="center"/>
          </w:tcPr>
          <w:p w14:paraId="31DC4B0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0.93</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1.05</w:t>
            </w:r>
          </w:p>
        </w:tc>
        <w:tc>
          <w:tcPr>
            <w:tcW w:w="760" w:type="dxa"/>
            <w:shd w:val="clear" w:color="auto" w:fill="auto"/>
            <w:vAlign w:val="center"/>
          </w:tcPr>
          <w:p w14:paraId="0AE0BA1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0.15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0.35</w:t>
            </w:r>
          </w:p>
        </w:tc>
        <w:tc>
          <w:tcPr>
            <w:tcW w:w="760" w:type="dxa"/>
            <w:shd w:val="clear" w:color="auto" w:fill="auto"/>
            <w:vAlign w:val="center"/>
          </w:tcPr>
          <w:p w14:paraId="509508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0.25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0.45</w:t>
            </w:r>
          </w:p>
        </w:tc>
        <w:tc>
          <w:tcPr>
            <w:tcW w:w="760" w:type="dxa"/>
            <w:shd w:val="clear" w:color="auto" w:fill="auto"/>
            <w:vAlign w:val="center"/>
          </w:tcPr>
          <w:p w14:paraId="315C532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1.40</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1.65</w:t>
            </w:r>
          </w:p>
        </w:tc>
        <w:tc>
          <w:tcPr>
            <w:tcW w:w="595" w:type="dxa"/>
            <w:shd w:val="clear" w:color="auto" w:fill="auto"/>
            <w:vAlign w:val="center"/>
          </w:tcPr>
          <w:p w14:paraId="6E14485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w:t>
            </w:r>
          </w:p>
          <w:p w14:paraId="7FE65C1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0.25</w:t>
            </w:r>
          </w:p>
        </w:tc>
        <w:tc>
          <w:tcPr>
            <w:tcW w:w="625" w:type="dxa"/>
            <w:shd w:val="clear" w:color="auto" w:fill="auto"/>
            <w:vAlign w:val="center"/>
          </w:tcPr>
          <w:p w14:paraId="041FAF4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0.25</w:t>
            </w:r>
          </w:p>
        </w:tc>
        <w:tc>
          <w:tcPr>
            <w:tcW w:w="800" w:type="dxa"/>
            <w:shd w:val="clear" w:color="auto" w:fill="auto"/>
            <w:vAlign w:val="center"/>
          </w:tcPr>
          <w:p w14:paraId="5C612E5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0.10</w:t>
            </w:r>
          </w:p>
        </w:tc>
        <w:tc>
          <w:tcPr>
            <w:tcW w:w="762" w:type="dxa"/>
            <w:shd w:val="clear" w:color="auto" w:fill="auto"/>
            <w:vAlign w:val="center"/>
          </w:tcPr>
          <w:p w14:paraId="1C8C1C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0.050</w:t>
            </w:r>
          </w:p>
        </w:tc>
        <w:tc>
          <w:tcPr>
            <w:tcW w:w="838" w:type="dxa"/>
            <w:shd w:val="clear" w:color="auto" w:fill="auto"/>
            <w:vAlign w:val="center"/>
          </w:tcPr>
          <w:p w14:paraId="5FA4C38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6A89E0D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0.003 0</w:t>
            </w:r>
          </w:p>
        </w:tc>
        <w:tc>
          <w:tcPr>
            <w:tcW w:w="887" w:type="dxa"/>
            <w:shd w:val="clear" w:color="auto" w:fill="auto"/>
            <w:vAlign w:val="center"/>
          </w:tcPr>
          <w:p w14:paraId="16551A8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545999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0.001 0</w:t>
            </w:r>
          </w:p>
        </w:tc>
        <w:tc>
          <w:tcPr>
            <w:tcW w:w="813" w:type="dxa"/>
            <w:shd w:val="clear" w:color="auto" w:fill="auto"/>
            <w:vAlign w:val="center"/>
          </w:tcPr>
          <w:p w14:paraId="03FE0D0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0E00892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0.001 0</w:t>
            </w:r>
          </w:p>
        </w:tc>
      </w:tr>
      <w:tr w14:paraId="3FF4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6" w:type="dxa"/>
            <w:vAlign w:val="center"/>
          </w:tcPr>
          <w:p w14:paraId="1B8D1F0A">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GB/T 18254</w:t>
            </w:r>
          </w:p>
          <w:p w14:paraId="394CD726">
            <w:pPr>
              <w:keepNext w:val="0"/>
              <w:keepLines w:val="0"/>
              <w:widowControl/>
              <w:suppressLineNumbers w:val="0"/>
              <w:spacing w:before="0" w:beforeAutospacing="0" w:after="0" w:afterAutospacing="0"/>
              <w:ind w:left="0" w:right="0"/>
              <w:jc w:val="center"/>
              <w:rPr>
                <w:rFonts w:hint="default"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（高级优质钢）</w:t>
            </w:r>
          </w:p>
        </w:tc>
        <w:tc>
          <w:tcPr>
            <w:tcW w:w="762" w:type="dxa"/>
            <w:shd w:val="clear" w:color="auto" w:fill="auto"/>
            <w:vAlign w:val="center"/>
          </w:tcPr>
          <w:p w14:paraId="0A6B3374">
            <w:pPr>
              <w:keepNext w:val="0"/>
              <w:keepLines w:val="0"/>
              <w:widowControl/>
              <w:suppressLineNumbers w:val="0"/>
              <w:spacing w:before="0" w:beforeAutospacing="0" w:after="0" w:afterAutospacing="0"/>
              <w:ind w:left="0" w:right="0"/>
              <w:jc w:val="center"/>
              <w:rPr>
                <w:rFonts w:hint="default"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0.95~1.05</w:t>
            </w:r>
          </w:p>
        </w:tc>
        <w:tc>
          <w:tcPr>
            <w:tcW w:w="760" w:type="dxa"/>
            <w:shd w:val="clear" w:color="auto" w:fill="auto"/>
            <w:vAlign w:val="center"/>
          </w:tcPr>
          <w:p w14:paraId="166AA4DB">
            <w:pPr>
              <w:keepNext w:val="0"/>
              <w:keepLines w:val="0"/>
              <w:widowControl/>
              <w:suppressLineNumbers w:val="0"/>
              <w:spacing w:before="0" w:beforeAutospacing="0" w:after="0" w:afterAutospacing="0"/>
              <w:ind w:left="0" w:right="0"/>
              <w:jc w:val="center"/>
              <w:rPr>
                <w:rFonts w:hint="default"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0.15~0.35</w:t>
            </w:r>
          </w:p>
        </w:tc>
        <w:tc>
          <w:tcPr>
            <w:tcW w:w="760" w:type="dxa"/>
            <w:shd w:val="clear" w:color="auto" w:fill="auto"/>
            <w:vAlign w:val="center"/>
          </w:tcPr>
          <w:p w14:paraId="70B31AF9">
            <w:pPr>
              <w:keepNext w:val="0"/>
              <w:keepLines w:val="0"/>
              <w:widowControl/>
              <w:suppressLineNumbers w:val="0"/>
              <w:spacing w:before="0" w:beforeAutospacing="0" w:after="0" w:afterAutospacing="0"/>
              <w:ind w:left="0" w:right="0"/>
              <w:jc w:val="center"/>
              <w:rPr>
                <w:rFonts w:hint="default"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0.25~0.45</w:t>
            </w:r>
          </w:p>
        </w:tc>
        <w:tc>
          <w:tcPr>
            <w:tcW w:w="760" w:type="dxa"/>
            <w:shd w:val="clear" w:color="auto" w:fill="auto"/>
            <w:vAlign w:val="center"/>
          </w:tcPr>
          <w:p w14:paraId="4C1E4AEF">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1.40～1.65</w:t>
            </w:r>
          </w:p>
        </w:tc>
        <w:tc>
          <w:tcPr>
            <w:tcW w:w="595" w:type="dxa"/>
            <w:shd w:val="clear" w:color="auto" w:fill="auto"/>
            <w:vAlign w:val="center"/>
          </w:tcPr>
          <w:p w14:paraId="474227F7">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w:t>
            </w:r>
          </w:p>
          <w:p w14:paraId="3A3869E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0.25</w:t>
            </w:r>
          </w:p>
        </w:tc>
        <w:tc>
          <w:tcPr>
            <w:tcW w:w="625" w:type="dxa"/>
            <w:shd w:val="clear" w:color="auto" w:fill="auto"/>
            <w:vAlign w:val="center"/>
          </w:tcPr>
          <w:p w14:paraId="58F025A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r>
              <w:rPr>
                <w:rFonts w:hint="eastAsia" w:ascii="宋体" w:hAnsi="宋体" w:eastAsia="宋体" w:cs="宋体"/>
                <w:color w:val="C00000"/>
                <w:kern w:val="0"/>
                <w:sz w:val="18"/>
                <w:szCs w:val="18"/>
                <w:highlight w:val="none"/>
                <w:lang w:val="en-US" w:eastAsia="zh-CN"/>
              </w:rPr>
              <w:t>0.25</w:t>
            </w:r>
          </w:p>
        </w:tc>
        <w:tc>
          <w:tcPr>
            <w:tcW w:w="800" w:type="dxa"/>
            <w:shd w:val="clear" w:color="auto" w:fill="auto"/>
            <w:vAlign w:val="center"/>
          </w:tcPr>
          <w:p w14:paraId="0977A23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r>
              <w:rPr>
                <w:rFonts w:hint="eastAsia" w:ascii="宋体" w:hAnsi="宋体" w:eastAsia="宋体" w:cs="宋体"/>
                <w:color w:val="C00000"/>
                <w:kern w:val="0"/>
                <w:sz w:val="18"/>
                <w:szCs w:val="18"/>
                <w:highlight w:val="none"/>
                <w:lang w:val="en-US" w:eastAsia="zh-CN"/>
              </w:rPr>
              <w:t>0.10</w:t>
            </w:r>
          </w:p>
        </w:tc>
        <w:tc>
          <w:tcPr>
            <w:tcW w:w="762" w:type="dxa"/>
            <w:shd w:val="clear" w:color="auto" w:fill="auto"/>
            <w:vAlign w:val="center"/>
          </w:tcPr>
          <w:p w14:paraId="1A993AD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r>
              <w:rPr>
                <w:rFonts w:hint="eastAsia" w:ascii="宋体" w:hAnsi="宋体" w:eastAsia="宋体" w:cs="宋体"/>
                <w:color w:val="C00000"/>
                <w:kern w:val="0"/>
                <w:sz w:val="18"/>
                <w:szCs w:val="18"/>
                <w:highlight w:val="none"/>
                <w:lang w:val="en-US" w:eastAsia="zh-CN"/>
              </w:rPr>
              <w:t>0.050</w:t>
            </w:r>
          </w:p>
        </w:tc>
        <w:tc>
          <w:tcPr>
            <w:tcW w:w="838" w:type="dxa"/>
            <w:shd w:val="clear" w:color="auto" w:fill="auto"/>
            <w:vAlign w:val="center"/>
          </w:tcPr>
          <w:p w14:paraId="2E8CA272">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p>
          <w:p w14:paraId="32F73F4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0.003 0</w:t>
            </w:r>
          </w:p>
        </w:tc>
        <w:tc>
          <w:tcPr>
            <w:tcW w:w="887" w:type="dxa"/>
            <w:shd w:val="clear" w:color="auto" w:fill="auto"/>
            <w:vAlign w:val="center"/>
          </w:tcPr>
          <w:p w14:paraId="2CC8471A">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p>
          <w:p w14:paraId="03B213A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0.001 0</w:t>
            </w:r>
          </w:p>
        </w:tc>
        <w:tc>
          <w:tcPr>
            <w:tcW w:w="813" w:type="dxa"/>
            <w:shd w:val="clear" w:color="auto" w:fill="auto"/>
            <w:vAlign w:val="center"/>
          </w:tcPr>
          <w:p w14:paraId="1BF07C55">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w:t>
            </w:r>
          </w:p>
          <w:p w14:paraId="2D9E8A99">
            <w:pPr>
              <w:keepNext w:val="0"/>
              <w:keepLines w:val="0"/>
              <w:widowControl/>
              <w:suppressLineNumbers w:val="0"/>
              <w:spacing w:before="0" w:beforeAutospacing="0" w:after="0" w:afterAutospacing="0"/>
              <w:ind w:left="0" w:right="0"/>
              <w:jc w:val="center"/>
              <w:rPr>
                <w:rFonts w:hint="default"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0.009</w:t>
            </w:r>
          </w:p>
        </w:tc>
      </w:tr>
      <w:tr w14:paraId="7EF3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6" w:type="dxa"/>
            <w:vAlign w:val="center"/>
          </w:tcPr>
          <w:p w14:paraId="507B125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GCr15SiMn</w:t>
            </w:r>
          </w:p>
        </w:tc>
        <w:tc>
          <w:tcPr>
            <w:tcW w:w="762" w:type="dxa"/>
            <w:shd w:val="clear" w:color="auto" w:fill="auto"/>
            <w:vAlign w:val="center"/>
          </w:tcPr>
          <w:p w14:paraId="6F81658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0.93</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1.05</w:t>
            </w:r>
          </w:p>
        </w:tc>
        <w:tc>
          <w:tcPr>
            <w:tcW w:w="760" w:type="dxa"/>
            <w:shd w:val="clear" w:color="auto" w:fill="auto"/>
            <w:vAlign w:val="center"/>
          </w:tcPr>
          <w:p w14:paraId="1AF3137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0.45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0.75</w:t>
            </w:r>
          </w:p>
        </w:tc>
        <w:tc>
          <w:tcPr>
            <w:tcW w:w="760" w:type="dxa"/>
            <w:shd w:val="clear" w:color="auto" w:fill="auto"/>
            <w:vAlign w:val="center"/>
          </w:tcPr>
          <w:p w14:paraId="6AD6962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0.95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1.25</w:t>
            </w:r>
          </w:p>
        </w:tc>
        <w:tc>
          <w:tcPr>
            <w:tcW w:w="760" w:type="dxa"/>
            <w:shd w:val="clear" w:color="auto" w:fill="auto"/>
            <w:vAlign w:val="center"/>
          </w:tcPr>
          <w:p w14:paraId="0CDC040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1.40</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1.65</w:t>
            </w:r>
          </w:p>
        </w:tc>
        <w:tc>
          <w:tcPr>
            <w:tcW w:w="595" w:type="dxa"/>
            <w:shd w:val="clear" w:color="auto" w:fill="auto"/>
            <w:vAlign w:val="center"/>
          </w:tcPr>
          <w:p w14:paraId="041555B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2D13E4E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0.25</w:t>
            </w:r>
          </w:p>
        </w:tc>
        <w:tc>
          <w:tcPr>
            <w:tcW w:w="625" w:type="dxa"/>
            <w:shd w:val="clear" w:color="auto" w:fill="auto"/>
            <w:vAlign w:val="center"/>
          </w:tcPr>
          <w:p w14:paraId="78A2F09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0.25</w:t>
            </w:r>
          </w:p>
        </w:tc>
        <w:tc>
          <w:tcPr>
            <w:tcW w:w="800" w:type="dxa"/>
            <w:shd w:val="clear" w:color="auto" w:fill="auto"/>
            <w:vAlign w:val="center"/>
          </w:tcPr>
          <w:p w14:paraId="5CDA5B8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0.10</w:t>
            </w:r>
          </w:p>
        </w:tc>
        <w:tc>
          <w:tcPr>
            <w:tcW w:w="762" w:type="dxa"/>
            <w:shd w:val="clear" w:color="auto" w:fill="auto"/>
            <w:vAlign w:val="center"/>
          </w:tcPr>
          <w:p w14:paraId="487DA72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0.050</w:t>
            </w:r>
          </w:p>
        </w:tc>
        <w:tc>
          <w:tcPr>
            <w:tcW w:w="838" w:type="dxa"/>
            <w:shd w:val="clear" w:color="auto" w:fill="auto"/>
            <w:vAlign w:val="center"/>
          </w:tcPr>
          <w:p w14:paraId="13BB3FD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0058061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0.003 0</w:t>
            </w:r>
          </w:p>
        </w:tc>
        <w:tc>
          <w:tcPr>
            <w:tcW w:w="887" w:type="dxa"/>
            <w:shd w:val="clear" w:color="auto" w:fill="auto"/>
            <w:vAlign w:val="center"/>
          </w:tcPr>
          <w:p w14:paraId="3E3A26B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4AC0F46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0.001 0</w:t>
            </w:r>
          </w:p>
        </w:tc>
        <w:tc>
          <w:tcPr>
            <w:tcW w:w="813" w:type="dxa"/>
            <w:shd w:val="clear" w:color="auto" w:fill="auto"/>
            <w:vAlign w:val="center"/>
          </w:tcPr>
          <w:p w14:paraId="67A784C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39B7D1D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0.001 0</w:t>
            </w:r>
          </w:p>
        </w:tc>
      </w:tr>
      <w:tr w14:paraId="5B5C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6" w:type="dxa"/>
            <w:vAlign w:val="center"/>
          </w:tcPr>
          <w:p w14:paraId="005D7F6E">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GB/T 18254</w:t>
            </w:r>
          </w:p>
          <w:p w14:paraId="3A824F2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（高级优质钢）</w:t>
            </w:r>
          </w:p>
        </w:tc>
        <w:tc>
          <w:tcPr>
            <w:tcW w:w="762" w:type="dxa"/>
            <w:shd w:val="clear" w:color="auto" w:fill="auto"/>
            <w:vAlign w:val="center"/>
          </w:tcPr>
          <w:p w14:paraId="79671AEB">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0.95~1.05</w:t>
            </w:r>
          </w:p>
        </w:tc>
        <w:tc>
          <w:tcPr>
            <w:tcW w:w="760" w:type="dxa"/>
            <w:shd w:val="clear" w:color="auto" w:fill="auto"/>
            <w:vAlign w:val="center"/>
          </w:tcPr>
          <w:p w14:paraId="25053C42">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0.45～0.75</w:t>
            </w:r>
          </w:p>
        </w:tc>
        <w:tc>
          <w:tcPr>
            <w:tcW w:w="760" w:type="dxa"/>
            <w:shd w:val="clear" w:color="auto" w:fill="auto"/>
            <w:vAlign w:val="center"/>
          </w:tcPr>
          <w:p w14:paraId="74A127C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0.95</w:t>
            </w:r>
            <w:r>
              <w:rPr>
                <w:rFonts w:hint="eastAsia" w:ascii="宋体" w:hAnsi="宋体" w:eastAsia="宋体" w:cs="宋体"/>
                <w:color w:val="C00000"/>
                <w:kern w:val="0"/>
                <w:sz w:val="18"/>
                <w:szCs w:val="18"/>
                <w:highlight w:val="none"/>
              </w:rPr>
              <w:t>～</w:t>
            </w:r>
            <w:r>
              <w:rPr>
                <w:rFonts w:hint="eastAsia" w:ascii="宋体" w:hAnsi="宋体" w:eastAsia="宋体" w:cs="宋体"/>
                <w:color w:val="C00000"/>
                <w:kern w:val="0"/>
                <w:sz w:val="18"/>
                <w:szCs w:val="18"/>
                <w:highlight w:val="none"/>
                <w:lang w:val="en-US" w:eastAsia="zh-CN"/>
              </w:rPr>
              <w:t>1.25</w:t>
            </w:r>
          </w:p>
        </w:tc>
        <w:tc>
          <w:tcPr>
            <w:tcW w:w="760" w:type="dxa"/>
            <w:shd w:val="clear" w:color="auto" w:fill="auto"/>
            <w:vAlign w:val="center"/>
          </w:tcPr>
          <w:p w14:paraId="31473C7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1.40</w:t>
            </w:r>
            <w:r>
              <w:rPr>
                <w:rFonts w:hint="eastAsia" w:ascii="宋体" w:hAnsi="宋体" w:eastAsia="宋体" w:cs="宋体"/>
                <w:color w:val="C00000"/>
                <w:kern w:val="0"/>
                <w:sz w:val="18"/>
                <w:szCs w:val="18"/>
                <w:highlight w:val="none"/>
              </w:rPr>
              <w:t>～</w:t>
            </w:r>
            <w:r>
              <w:rPr>
                <w:rFonts w:hint="eastAsia" w:ascii="宋体" w:hAnsi="宋体" w:eastAsia="宋体" w:cs="宋体"/>
                <w:color w:val="C00000"/>
                <w:kern w:val="0"/>
                <w:sz w:val="18"/>
                <w:szCs w:val="18"/>
                <w:highlight w:val="none"/>
                <w:lang w:val="en-US" w:eastAsia="zh-CN"/>
              </w:rPr>
              <w:t>1.65</w:t>
            </w:r>
          </w:p>
        </w:tc>
        <w:tc>
          <w:tcPr>
            <w:tcW w:w="595" w:type="dxa"/>
            <w:shd w:val="clear" w:color="auto" w:fill="auto"/>
            <w:vAlign w:val="center"/>
          </w:tcPr>
          <w:p w14:paraId="68D2EA79">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p>
          <w:p w14:paraId="7A3099D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0.25</w:t>
            </w:r>
          </w:p>
        </w:tc>
        <w:tc>
          <w:tcPr>
            <w:tcW w:w="625" w:type="dxa"/>
            <w:shd w:val="clear" w:color="auto" w:fill="auto"/>
            <w:vAlign w:val="center"/>
          </w:tcPr>
          <w:p w14:paraId="53441F9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eastAsia="zh-CN"/>
              </w:rPr>
              <w:t>≤</w:t>
            </w:r>
            <w:r>
              <w:rPr>
                <w:rFonts w:hint="eastAsia" w:ascii="宋体" w:hAnsi="宋体" w:eastAsia="宋体" w:cs="宋体"/>
                <w:color w:val="C00000"/>
                <w:kern w:val="0"/>
                <w:sz w:val="18"/>
                <w:szCs w:val="18"/>
                <w:highlight w:val="none"/>
                <w:lang w:val="en-US" w:eastAsia="zh-CN"/>
              </w:rPr>
              <w:t>0.25</w:t>
            </w:r>
          </w:p>
        </w:tc>
        <w:tc>
          <w:tcPr>
            <w:tcW w:w="800" w:type="dxa"/>
            <w:shd w:val="clear" w:color="auto" w:fill="auto"/>
            <w:vAlign w:val="center"/>
          </w:tcPr>
          <w:p w14:paraId="361FE41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eastAsia="zh-CN"/>
              </w:rPr>
              <w:t>≤</w:t>
            </w:r>
            <w:r>
              <w:rPr>
                <w:rFonts w:hint="eastAsia" w:ascii="宋体" w:hAnsi="宋体" w:eastAsia="宋体" w:cs="宋体"/>
                <w:color w:val="C00000"/>
                <w:kern w:val="0"/>
                <w:sz w:val="18"/>
                <w:szCs w:val="18"/>
                <w:highlight w:val="none"/>
                <w:lang w:val="en-US" w:eastAsia="zh-CN"/>
              </w:rPr>
              <w:t>0.10</w:t>
            </w:r>
          </w:p>
        </w:tc>
        <w:tc>
          <w:tcPr>
            <w:tcW w:w="762" w:type="dxa"/>
            <w:shd w:val="clear" w:color="auto" w:fill="auto"/>
            <w:vAlign w:val="center"/>
          </w:tcPr>
          <w:p w14:paraId="6445514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eastAsia="zh-CN"/>
              </w:rPr>
              <w:t>≤</w:t>
            </w:r>
            <w:r>
              <w:rPr>
                <w:rFonts w:hint="eastAsia" w:ascii="宋体" w:hAnsi="宋体" w:eastAsia="宋体" w:cs="宋体"/>
                <w:color w:val="C00000"/>
                <w:kern w:val="0"/>
                <w:sz w:val="18"/>
                <w:szCs w:val="18"/>
                <w:highlight w:val="none"/>
                <w:lang w:val="en-US" w:eastAsia="zh-CN"/>
              </w:rPr>
              <w:t>0.050</w:t>
            </w:r>
          </w:p>
        </w:tc>
        <w:tc>
          <w:tcPr>
            <w:tcW w:w="838" w:type="dxa"/>
            <w:shd w:val="clear" w:color="auto" w:fill="auto"/>
            <w:vAlign w:val="center"/>
          </w:tcPr>
          <w:p w14:paraId="5496B2EC">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p>
          <w:p w14:paraId="0C0EBC1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0.003 0</w:t>
            </w:r>
          </w:p>
        </w:tc>
        <w:tc>
          <w:tcPr>
            <w:tcW w:w="887" w:type="dxa"/>
            <w:shd w:val="clear" w:color="auto" w:fill="auto"/>
            <w:vAlign w:val="center"/>
          </w:tcPr>
          <w:p w14:paraId="70DA2E79">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p>
          <w:p w14:paraId="51F0568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0.001 0</w:t>
            </w:r>
          </w:p>
        </w:tc>
        <w:tc>
          <w:tcPr>
            <w:tcW w:w="813" w:type="dxa"/>
            <w:shd w:val="clear" w:color="auto" w:fill="auto"/>
            <w:vAlign w:val="center"/>
          </w:tcPr>
          <w:p w14:paraId="05A4458A">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eastAsia="zh-CN"/>
              </w:rPr>
            </w:pPr>
            <w:r>
              <w:rPr>
                <w:rFonts w:hint="eastAsia" w:ascii="宋体" w:hAnsi="宋体" w:eastAsia="宋体" w:cs="宋体"/>
                <w:color w:val="C00000"/>
                <w:kern w:val="0"/>
                <w:sz w:val="18"/>
                <w:szCs w:val="18"/>
                <w:highlight w:val="none"/>
                <w:lang w:eastAsia="zh-CN"/>
              </w:rPr>
              <w:t>≤</w:t>
            </w:r>
          </w:p>
          <w:p w14:paraId="007F3C5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0.001 0</w:t>
            </w:r>
          </w:p>
        </w:tc>
      </w:tr>
    </w:tbl>
    <w:p w14:paraId="29031D96">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钢的成品化学成分允许偏差应符合表2的规定</w:t>
      </w:r>
      <w:r>
        <w:rPr>
          <w:rFonts w:hint="eastAsia" w:ascii="Times New Roman" w:hAnsi="Times New Roman" w:eastAsia="仿宋_GB2312" w:cs="Times New Roman"/>
          <w:sz w:val="28"/>
          <w:szCs w:val="28"/>
          <w:lang w:val="en-US" w:eastAsia="zh-CN"/>
        </w:rPr>
        <w:t>。</w:t>
      </w:r>
    </w:p>
    <w:p w14:paraId="7C46387A">
      <w:pPr>
        <w:keepNext w:val="0"/>
        <w:keepLines w:val="0"/>
        <w:pageBreakBefore w:val="0"/>
        <w:widowControl/>
        <w:numPr>
          <w:ilvl w:val="0"/>
          <w:numId w:val="2"/>
        </w:numPr>
        <w:tabs>
          <w:tab w:val="left" w:pos="0"/>
        </w:tabs>
        <w:kinsoku/>
        <w:wordWrap/>
        <w:overflowPunct/>
        <w:topLinePunct w:val="0"/>
        <w:autoSpaceDE/>
        <w:autoSpaceDN/>
        <w:bidi w:val="0"/>
        <w:adjustRightInd/>
        <w:snapToGrid/>
        <w:spacing w:before="156" w:beforeLines="50" w:after="156" w:afterLines="50"/>
        <w:ind w:left="0"/>
        <w:jc w:val="center"/>
        <w:textAlignment w:val="auto"/>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成品</w:t>
      </w:r>
      <w:r>
        <w:rPr>
          <w:rFonts w:hint="default" w:ascii="黑体" w:hAnsi="Times New Roman" w:eastAsia="黑体" w:cs="Times New Roman"/>
          <w:sz w:val="21"/>
          <w:lang w:val="en-US" w:eastAsia="zh-CN" w:bidi="ar-SA"/>
        </w:rPr>
        <w:t>化学成分允许偏差</w:t>
      </w:r>
    </w:p>
    <w:tbl>
      <w:tblPr>
        <w:tblStyle w:val="7"/>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63"/>
        <w:gridCol w:w="838"/>
        <w:gridCol w:w="775"/>
        <w:gridCol w:w="800"/>
        <w:gridCol w:w="1075"/>
        <w:gridCol w:w="887"/>
        <w:gridCol w:w="713"/>
        <w:gridCol w:w="850"/>
        <w:gridCol w:w="873"/>
        <w:gridCol w:w="756"/>
        <w:gridCol w:w="917"/>
      </w:tblGrid>
      <w:tr w14:paraId="1D6C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3" w:type="dxa"/>
            <w:shd w:val="clear" w:color="auto" w:fill="auto"/>
            <w:vAlign w:val="center"/>
          </w:tcPr>
          <w:p w14:paraId="7F5CC02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p>
        </w:tc>
        <w:tc>
          <w:tcPr>
            <w:tcW w:w="863" w:type="dxa"/>
            <w:shd w:val="clear" w:color="auto" w:fill="auto"/>
            <w:vAlign w:val="center"/>
          </w:tcPr>
          <w:p w14:paraId="7B2AE60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w:t>
            </w:r>
          </w:p>
        </w:tc>
        <w:tc>
          <w:tcPr>
            <w:tcW w:w="838" w:type="dxa"/>
            <w:shd w:val="clear" w:color="auto" w:fill="auto"/>
            <w:vAlign w:val="center"/>
          </w:tcPr>
          <w:p w14:paraId="5CC1DB7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Si</w:t>
            </w:r>
          </w:p>
        </w:tc>
        <w:tc>
          <w:tcPr>
            <w:tcW w:w="775" w:type="dxa"/>
            <w:vAlign w:val="center"/>
          </w:tcPr>
          <w:p w14:paraId="4D9FE56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Mn</w:t>
            </w:r>
          </w:p>
        </w:tc>
        <w:tc>
          <w:tcPr>
            <w:tcW w:w="800" w:type="dxa"/>
            <w:vAlign w:val="center"/>
          </w:tcPr>
          <w:p w14:paraId="1883DF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Cr</w:t>
            </w:r>
          </w:p>
        </w:tc>
        <w:tc>
          <w:tcPr>
            <w:tcW w:w="1075" w:type="dxa"/>
            <w:vAlign w:val="center"/>
          </w:tcPr>
          <w:p w14:paraId="6F514E2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P</w:t>
            </w:r>
          </w:p>
        </w:tc>
        <w:tc>
          <w:tcPr>
            <w:tcW w:w="887" w:type="dxa"/>
            <w:vAlign w:val="center"/>
          </w:tcPr>
          <w:p w14:paraId="3382624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S</w:t>
            </w:r>
          </w:p>
        </w:tc>
        <w:tc>
          <w:tcPr>
            <w:tcW w:w="713" w:type="dxa"/>
            <w:vAlign w:val="center"/>
          </w:tcPr>
          <w:p w14:paraId="006B97B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Ni</w:t>
            </w:r>
          </w:p>
        </w:tc>
        <w:tc>
          <w:tcPr>
            <w:tcW w:w="850" w:type="dxa"/>
            <w:vAlign w:val="center"/>
          </w:tcPr>
          <w:p w14:paraId="78102B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Cu</w:t>
            </w:r>
          </w:p>
        </w:tc>
        <w:tc>
          <w:tcPr>
            <w:tcW w:w="873" w:type="dxa"/>
            <w:vAlign w:val="center"/>
          </w:tcPr>
          <w:p w14:paraId="702D6C1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Ti</w:t>
            </w:r>
          </w:p>
        </w:tc>
        <w:tc>
          <w:tcPr>
            <w:tcW w:w="756" w:type="dxa"/>
            <w:vAlign w:val="center"/>
          </w:tcPr>
          <w:p w14:paraId="58C99EA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Al</w:t>
            </w:r>
          </w:p>
        </w:tc>
        <w:tc>
          <w:tcPr>
            <w:tcW w:w="917" w:type="dxa"/>
            <w:vAlign w:val="center"/>
          </w:tcPr>
          <w:p w14:paraId="133A8F0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Mo</w:t>
            </w:r>
          </w:p>
        </w:tc>
      </w:tr>
      <w:tr w14:paraId="095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3" w:type="dxa"/>
            <w:shd w:val="clear" w:color="auto" w:fill="auto"/>
            <w:vAlign w:val="center"/>
          </w:tcPr>
          <w:p w14:paraId="77B2DBC1">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本文件</w:t>
            </w:r>
          </w:p>
        </w:tc>
        <w:tc>
          <w:tcPr>
            <w:tcW w:w="863" w:type="dxa"/>
            <w:shd w:val="clear" w:color="auto" w:fill="auto"/>
            <w:vAlign w:val="center"/>
          </w:tcPr>
          <w:p w14:paraId="28F9307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±0.03</w:t>
            </w:r>
          </w:p>
        </w:tc>
        <w:tc>
          <w:tcPr>
            <w:tcW w:w="838" w:type="dxa"/>
            <w:shd w:val="clear" w:color="auto" w:fill="auto"/>
            <w:vAlign w:val="center"/>
          </w:tcPr>
          <w:p w14:paraId="401A474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±0.02</w:t>
            </w:r>
          </w:p>
        </w:tc>
        <w:tc>
          <w:tcPr>
            <w:tcW w:w="775" w:type="dxa"/>
            <w:vAlign w:val="center"/>
          </w:tcPr>
          <w:p w14:paraId="084D7CE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±0.03</w:t>
            </w:r>
          </w:p>
        </w:tc>
        <w:tc>
          <w:tcPr>
            <w:tcW w:w="800" w:type="dxa"/>
            <w:vAlign w:val="center"/>
          </w:tcPr>
          <w:p w14:paraId="29D2CC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±0.05</w:t>
            </w:r>
          </w:p>
        </w:tc>
        <w:tc>
          <w:tcPr>
            <w:tcW w:w="1075" w:type="dxa"/>
            <w:vAlign w:val="center"/>
          </w:tcPr>
          <w:p w14:paraId="2FCB1B3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+0.005</w:t>
            </w:r>
          </w:p>
          <w:p w14:paraId="2898550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 xml:space="preserve"> 0</w:t>
            </w:r>
          </w:p>
        </w:tc>
        <w:tc>
          <w:tcPr>
            <w:tcW w:w="887" w:type="dxa"/>
            <w:vAlign w:val="center"/>
          </w:tcPr>
          <w:p w14:paraId="61BCF44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+0.005 0</w:t>
            </w:r>
          </w:p>
        </w:tc>
        <w:tc>
          <w:tcPr>
            <w:tcW w:w="713" w:type="dxa"/>
            <w:vAlign w:val="center"/>
          </w:tcPr>
          <w:p w14:paraId="5D4AE20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+0.030</w:t>
            </w:r>
          </w:p>
        </w:tc>
        <w:tc>
          <w:tcPr>
            <w:tcW w:w="850" w:type="dxa"/>
            <w:vAlign w:val="center"/>
          </w:tcPr>
          <w:p w14:paraId="03DB782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+0.02</w:t>
            </w:r>
          </w:p>
          <w:p w14:paraId="3B22C57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w:t>
            </w:r>
          </w:p>
        </w:tc>
        <w:tc>
          <w:tcPr>
            <w:tcW w:w="873" w:type="dxa"/>
            <w:vAlign w:val="center"/>
          </w:tcPr>
          <w:p w14:paraId="3229DA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+0.0005 0</w:t>
            </w:r>
          </w:p>
        </w:tc>
        <w:tc>
          <w:tcPr>
            <w:tcW w:w="756" w:type="dxa"/>
            <w:vAlign w:val="center"/>
          </w:tcPr>
          <w:p w14:paraId="0886A07A">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+0.0100</w:t>
            </w:r>
          </w:p>
        </w:tc>
        <w:tc>
          <w:tcPr>
            <w:tcW w:w="917" w:type="dxa"/>
            <w:vAlign w:val="center"/>
          </w:tcPr>
          <w:p w14:paraId="3B3CB21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+0.01</w:t>
            </w:r>
          </w:p>
        </w:tc>
      </w:tr>
      <w:tr w14:paraId="70A8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3" w:type="dxa"/>
            <w:shd w:val="clear" w:color="auto" w:fill="auto"/>
            <w:vAlign w:val="center"/>
          </w:tcPr>
          <w:p w14:paraId="0FBC0FC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GB/T 18254</w:t>
            </w:r>
          </w:p>
        </w:tc>
        <w:tc>
          <w:tcPr>
            <w:tcW w:w="863" w:type="dxa"/>
            <w:shd w:val="clear" w:color="auto" w:fill="auto"/>
            <w:vAlign w:val="center"/>
          </w:tcPr>
          <w:p w14:paraId="0DF53DF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±0.03</w:t>
            </w:r>
          </w:p>
        </w:tc>
        <w:tc>
          <w:tcPr>
            <w:tcW w:w="838" w:type="dxa"/>
            <w:shd w:val="clear" w:color="auto" w:fill="auto"/>
            <w:vAlign w:val="center"/>
          </w:tcPr>
          <w:p w14:paraId="79A978F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±0.02</w:t>
            </w:r>
          </w:p>
        </w:tc>
        <w:tc>
          <w:tcPr>
            <w:tcW w:w="775" w:type="dxa"/>
            <w:shd w:val="clear"/>
            <w:vAlign w:val="center"/>
          </w:tcPr>
          <w:p w14:paraId="7504590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±0.03</w:t>
            </w:r>
          </w:p>
        </w:tc>
        <w:tc>
          <w:tcPr>
            <w:tcW w:w="800" w:type="dxa"/>
            <w:shd w:val="clear"/>
            <w:vAlign w:val="center"/>
          </w:tcPr>
          <w:p w14:paraId="44AFD5E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±0.05</w:t>
            </w:r>
          </w:p>
        </w:tc>
        <w:tc>
          <w:tcPr>
            <w:tcW w:w="1075" w:type="dxa"/>
            <w:shd w:val="clear"/>
            <w:vAlign w:val="center"/>
          </w:tcPr>
          <w:p w14:paraId="00D4C38F">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+0.005</w:t>
            </w:r>
          </w:p>
          <w:p w14:paraId="37E0BA2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 xml:space="preserve"> 0</w:t>
            </w:r>
          </w:p>
        </w:tc>
        <w:tc>
          <w:tcPr>
            <w:tcW w:w="887" w:type="dxa"/>
            <w:shd w:val="clear"/>
            <w:vAlign w:val="center"/>
          </w:tcPr>
          <w:p w14:paraId="4A6CB05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+0.005 0</w:t>
            </w:r>
          </w:p>
        </w:tc>
        <w:tc>
          <w:tcPr>
            <w:tcW w:w="713" w:type="dxa"/>
            <w:shd w:val="clear"/>
            <w:vAlign w:val="center"/>
          </w:tcPr>
          <w:p w14:paraId="0126733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+0.030</w:t>
            </w:r>
          </w:p>
        </w:tc>
        <w:tc>
          <w:tcPr>
            <w:tcW w:w="850" w:type="dxa"/>
            <w:shd w:val="clear"/>
            <w:vAlign w:val="center"/>
          </w:tcPr>
          <w:p w14:paraId="6956E77D">
            <w:pPr>
              <w:keepNext w:val="0"/>
              <w:keepLines w:val="0"/>
              <w:widowControl/>
              <w:suppressLineNumbers w:val="0"/>
              <w:spacing w:before="0" w:beforeAutospacing="0" w:after="0" w:afterAutospacing="0"/>
              <w:ind w:left="0" w:right="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+0.02</w:t>
            </w:r>
          </w:p>
          <w:p w14:paraId="6872BC4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w:t>
            </w:r>
          </w:p>
        </w:tc>
        <w:tc>
          <w:tcPr>
            <w:tcW w:w="873" w:type="dxa"/>
            <w:shd w:val="clear"/>
            <w:vAlign w:val="center"/>
          </w:tcPr>
          <w:p w14:paraId="535367C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+0.0005 0</w:t>
            </w:r>
          </w:p>
        </w:tc>
        <w:tc>
          <w:tcPr>
            <w:tcW w:w="756" w:type="dxa"/>
            <w:shd w:val="clear"/>
            <w:vAlign w:val="center"/>
          </w:tcPr>
          <w:p w14:paraId="6C91E7A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bidi="ar-SA"/>
              </w:rPr>
            </w:pPr>
            <w:r>
              <w:rPr>
                <w:rFonts w:hint="eastAsia" w:ascii="宋体" w:hAnsi="宋体" w:eastAsia="宋体" w:cs="宋体"/>
                <w:color w:val="C00000"/>
                <w:kern w:val="0"/>
                <w:sz w:val="18"/>
                <w:szCs w:val="18"/>
                <w:highlight w:val="none"/>
                <w:lang w:val="en-US" w:eastAsia="zh-CN"/>
              </w:rPr>
              <w:t>+0.0100</w:t>
            </w:r>
          </w:p>
        </w:tc>
        <w:tc>
          <w:tcPr>
            <w:tcW w:w="917" w:type="dxa"/>
            <w:shd w:val="clear"/>
            <w:vAlign w:val="center"/>
          </w:tcPr>
          <w:p w14:paraId="2549D84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≤0.10时，+0.01</w:t>
            </w:r>
          </w:p>
          <w:p w14:paraId="5EE95B1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＞0.10时，±0.02</w:t>
            </w:r>
          </w:p>
        </w:tc>
      </w:tr>
    </w:tbl>
    <w:p w14:paraId="2180E2B7">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2.硬度</w:t>
      </w:r>
    </w:p>
    <w:p w14:paraId="30D6E28F">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圆钢的硬度应符合表3的规定</w:t>
      </w:r>
      <w:r>
        <w:rPr>
          <w:rFonts w:hint="eastAsia" w:ascii="Times New Roman" w:hAnsi="Times New Roman" w:eastAsia="仿宋_GB2312" w:cs="Times New Roman"/>
          <w:sz w:val="28"/>
          <w:szCs w:val="28"/>
          <w:lang w:val="en-US" w:eastAsia="zh-CN"/>
        </w:rPr>
        <w:t>。</w:t>
      </w:r>
    </w:p>
    <w:p w14:paraId="12C4DA3A">
      <w:pPr>
        <w:keepNext w:val="0"/>
        <w:keepLines w:val="0"/>
        <w:pageBreakBefore w:val="0"/>
        <w:widowControl/>
        <w:numPr>
          <w:ilvl w:val="0"/>
          <w:numId w:val="2"/>
        </w:numPr>
        <w:tabs>
          <w:tab w:val="left" w:pos="0"/>
        </w:tabs>
        <w:kinsoku/>
        <w:wordWrap/>
        <w:overflowPunct/>
        <w:topLinePunct w:val="0"/>
        <w:autoSpaceDE/>
        <w:autoSpaceDN/>
        <w:bidi w:val="0"/>
        <w:adjustRightInd/>
        <w:snapToGrid/>
        <w:spacing w:before="156" w:beforeLines="50" w:after="156" w:afterLines="50"/>
        <w:ind w:left="0"/>
        <w:jc w:val="center"/>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硬度</w:t>
      </w:r>
    </w:p>
    <w:tbl>
      <w:tblPr>
        <w:tblStyle w:val="7"/>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3173"/>
        <w:gridCol w:w="3598"/>
      </w:tblGrid>
      <w:tr w14:paraId="68237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547" w:type="dxa"/>
            <w:tcBorders>
              <w:left w:val="single" w:color="auto" w:sz="4" w:space="0"/>
            </w:tcBorders>
            <w:noWrap w:val="0"/>
            <w:vAlign w:val="center"/>
          </w:tcPr>
          <w:p w14:paraId="08E08A0B">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牌号</w:t>
            </w:r>
          </w:p>
        </w:tc>
        <w:tc>
          <w:tcPr>
            <w:tcW w:w="3173" w:type="dxa"/>
            <w:noWrap w:val="0"/>
            <w:vAlign w:val="center"/>
          </w:tcPr>
          <w:p w14:paraId="755DCB2F">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热轧软化退火</w:t>
            </w:r>
            <w:r>
              <w:rPr>
                <w:rFonts w:hint="eastAsia" w:ascii="宋体" w:hAnsi="宋体" w:eastAsia="宋体" w:cs="宋体"/>
                <w:sz w:val="18"/>
                <w:szCs w:val="18"/>
                <w:highlight w:val="none"/>
                <w:lang w:eastAsia="zh-CN"/>
              </w:rPr>
              <w:t>硬度</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HBW</w:t>
            </w:r>
            <w:r>
              <w:rPr>
                <w:rFonts w:hint="eastAsia" w:ascii="宋体" w:hAnsi="宋体" w:eastAsia="宋体" w:cs="宋体"/>
                <w:sz w:val="18"/>
                <w:szCs w:val="18"/>
                <w:highlight w:val="none"/>
                <w:lang w:eastAsia="zh-CN"/>
              </w:rPr>
              <w:t>，不大于</w:t>
            </w:r>
          </w:p>
        </w:tc>
        <w:tc>
          <w:tcPr>
            <w:tcW w:w="3598" w:type="dxa"/>
            <w:noWrap w:val="0"/>
            <w:vAlign w:val="center"/>
          </w:tcPr>
          <w:p w14:paraId="75E1F5F0">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热轧</w:t>
            </w:r>
            <w:r>
              <w:rPr>
                <w:rFonts w:hint="eastAsia" w:ascii="宋体" w:hAnsi="宋体" w:eastAsia="宋体" w:cs="宋体"/>
                <w:sz w:val="18"/>
                <w:szCs w:val="18"/>
                <w:highlight w:val="none"/>
                <w:lang w:eastAsia="zh-CN"/>
              </w:rPr>
              <w:t>球</w:t>
            </w:r>
            <w:r>
              <w:rPr>
                <w:rFonts w:hint="eastAsia" w:ascii="宋体" w:hAnsi="宋体" w:eastAsia="宋体" w:cs="宋体"/>
                <w:sz w:val="18"/>
                <w:szCs w:val="18"/>
                <w:highlight w:val="none"/>
              </w:rPr>
              <w:t>化退火硬度</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HBW</w:t>
            </w:r>
          </w:p>
        </w:tc>
      </w:tr>
      <w:tr w14:paraId="6DA2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547" w:type="dxa"/>
            <w:tcBorders>
              <w:left w:val="single" w:color="auto" w:sz="4" w:space="0"/>
            </w:tcBorders>
            <w:noWrap w:val="0"/>
            <w:vAlign w:val="center"/>
          </w:tcPr>
          <w:p w14:paraId="142AF839">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color w:val="auto"/>
                <w:sz w:val="18"/>
                <w:szCs w:val="18"/>
                <w:highlight w:val="none"/>
              </w:rPr>
              <w:t>GCr15</w:t>
            </w:r>
          </w:p>
        </w:tc>
        <w:tc>
          <w:tcPr>
            <w:tcW w:w="3173" w:type="dxa"/>
            <w:noWrap w:val="0"/>
            <w:vAlign w:val="center"/>
          </w:tcPr>
          <w:p w14:paraId="0A384ED8">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245</w:t>
            </w:r>
          </w:p>
        </w:tc>
        <w:tc>
          <w:tcPr>
            <w:tcW w:w="3598" w:type="dxa"/>
            <w:noWrap w:val="0"/>
            <w:vAlign w:val="center"/>
          </w:tcPr>
          <w:p w14:paraId="13CD3832">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179～2</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7</w:t>
            </w:r>
          </w:p>
        </w:tc>
      </w:tr>
      <w:tr w14:paraId="1ACC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2547" w:type="dxa"/>
            <w:tcBorders>
              <w:left w:val="single" w:color="auto" w:sz="4" w:space="0"/>
            </w:tcBorders>
            <w:noWrap w:val="0"/>
            <w:vAlign w:val="center"/>
          </w:tcPr>
          <w:p w14:paraId="02F709EE">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rPr>
            </w:pPr>
            <w:r>
              <w:rPr>
                <w:rFonts w:hint="eastAsia" w:ascii="宋体" w:hAnsi="宋体" w:eastAsia="宋体" w:cs="宋体"/>
                <w:color w:val="auto"/>
                <w:sz w:val="18"/>
                <w:szCs w:val="18"/>
                <w:highlight w:val="none"/>
              </w:rPr>
              <w:t>GCr15SiMn</w:t>
            </w:r>
          </w:p>
        </w:tc>
        <w:tc>
          <w:tcPr>
            <w:tcW w:w="3173" w:type="dxa"/>
            <w:noWrap w:val="0"/>
            <w:vAlign w:val="center"/>
          </w:tcPr>
          <w:p w14:paraId="740F7B48">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245</w:t>
            </w:r>
          </w:p>
        </w:tc>
        <w:tc>
          <w:tcPr>
            <w:tcW w:w="3598" w:type="dxa"/>
            <w:noWrap w:val="0"/>
            <w:vAlign w:val="center"/>
          </w:tcPr>
          <w:p w14:paraId="3FE0FCA1">
            <w:pPr>
              <w:keepNext w:val="0"/>
              <w:keepLines w:val="0"/>
              <w:suppressLineNumbers w:val="0"/>
              <w:spacing w:before="0" w:beforeAutospacing="0" w:after="0" w:afterAutospacing="0"/>
              <w:ind w:left="0" w:leftChars="0" w:right="0" w:right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179～217</w:t>
            </w:r>
          </w:p>
        </w:tc>
      </w:tr>
    </w:tbl>
    <w:p w14:paraId="0926B935">
      <w:pPr>
        <w:numPr>
          <w:ilvl w:val="0"/>
          <w:numId w:val="4"/>
        </w:num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低倍</w:t>
      </w:r>
    </w:p>
    <w:p w14:paraId="0F2AAED9">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圆钢应按GB/T 18254—2016进行酸浸低倍检验，其横向低倍酸浸试片上不应有残余缩孔、气泡、裂纹、过烧和白点等有害缺陷。中心疏松、一般疏松、锭型偏析的合格级别应符合表4的规定</w:t>
      </w:r>
      <w:r>
        <w:rPr>
          <w:rFonts w:hint="eastAsia" w:ascii="Times New Roman" w:hAnsi="Times New Roman" w:eastAsia="仿宋_GB2312" w:cs="Times New Roman"/>
          <w:sz w:val="28"/>
          <w:szCs w:val="28"/>
          <w:lang w:val="en-US" w:eastAsia="zh-CN"/>
        </w:rPr>
        <w:t>。</w:t>
      </w:r>
    </w:p>
    <w:p w14:paraId="0AC35279">
      <w:pPr>
        <w:keepNext w:val="0"/>
        <w:keepLines w:val="0"/>
        <w:pageBreakBefore w:val="0"/>
        <w:widowControl/>
        <w:numPr>
          <w:ilvl w:val="0"/>
          <w:numId w:val="2"/>
        </w:numPr>
        <w:tabs>
          <w:tab w:val="left" w:pos="0"/>
        </w:tabs>
        <w:kinsoku/>
        <w:wordWrap/>
        <w:overflowPunct/>
        <w:topLinePunct w:val="0"/>
        <w:autoSpaceDE/>
        <w:autoSpaceDN/>
        <w:bidi w:val="0"/>
        <w:adjustRightInd/>
        <w:snapToGrid/>
        <w:spacing w:before="156" w:beforeLines="50" w:after="156" w:afterLines="50"/>
        <w:ind w:left="0"/>
        <w:jc w:val="center"/>
        <w:textAlignment w:val="auto"/>
        <w:rPr>
          <w:rFonts w:hint="default" w:ascii="黑体" w:hAnsi="Times New Roman" w:eastAsia="黑体" w:cs="Times New Roman"/>
          <w:sz w:val="21"/>
          <w:lang w:val="en-US" w:eastAsia="zh-CN" w:bidi="ar-SA"/>
        </w:rPr>
      </w:pPr>
      <w:r>
        <w:rPr>
          <w:rFonts w:hint="default" w:ascii="黑体" w:hAnsi="Times New Roman" w:eastAsia="黑体" w:cs="Times New Roman"/>
          <w:sz w:val="21"/>
          <w:lang w:val="en-US" w:eastAsia="zh-CN" w:bidi="ar-SA"/>
        </w:rPr>
        <w:t>低倍</w:t>
      </w:r>
      <w:r>
        <w:rPr>
          <w:rFonts w:hint="eastAsia" w:ascii="黑体" w:hAnsi="Times New Roman" w:eastAsia="黑体" w:cs="Times New Roman"/>
          <w:sz w:val="21"/>
          <w:lang w:val="en-US" w:eastAsia="zh-CN" w:bidi="ar-SA"/>
        </w:rPr>
        <w:t>组织合格级别</w:t>
      </w:r>
    </w:p>
    <w:tbl>
      <w:tblPr>
        <w:tblStyle w:val="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39"/>
        <w:gridCol w:w="3897"/>
        <w:gridCol w:w="3120"/>
      </w:tblGrid>
      <w:tr w14:paraId="1821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2339" w:type="dxa"/>
            <w:noWrap w:val="0"/>
            <w:vAlign w:val="center"/>
          </w:tcPr>
          <w:p w14:paraId="324F6D2D">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缺陷类型</w:t>
            </w:r>
          </w:p>
        </w:tc>
        <w:tc>
          <w:tcPr>
            <w:tcW w:w="3897" w:type="dxa"/>
            <w:noWrap w:val="0"/>
            <w:vAlign w:val="center"/>
          </w:tcPr>
          <w:p w14:paraId="595A434F">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GB/T 18254</w:t>
            </w:r>
            <w:r>
              <w:rPr>
                <w:rFonts w:hint="eastAsia" w:ascii="Times New Roman" w:hAnsi="宋体" w:eastAsia="宋体" w:cs="宋体"/>
                <w:sz w:val="18"/>
                <w:szCs w:val="18"/>
                <w:highlight w:val="none"/>
                <w:vertAlign w:val="baseline"/>
                <w:lang w:val="en-US" w:eastAsia="zh-CN"/>
              </w:rPr>
              <w:t>—</w:t>
            </w:r>
            <w:r>
              <w:rPr>
                <w:rFonts w:hint="eastAsia" w:ascii="宋体" w:hAnsi="宋体" w:eastAsia="宋体" w:cs="宋体"/>
                <w:kern w:val="2"/>
                <w:sz w:val="18"/>
                <w:szCs w:val="18"/>
              </w:rPr>
              <w:t>2016</w:t>
            </w:r>
          </w:p>
          <w:p w14:paraId="567D35E7">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附录A中评级图</w:t>
            </w:r>
          </w:p>
        </w:tc>
        <w:tc>
          <w:tcPr>
            <w:tcW w:w="3120" w:type="dxa"/>
            <w:noWrap w:val="0"/>
            <w:vAlign w:val="center"/>
          </w:tcPr>
          <w:p w14:paraId="51A495E9">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合格级别/级，不大于</w:t>
            </w:r>
          </w:p>
        </w:tc>
      </w:tr>
      <w:tr w14:paraId="755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339" w:type="dxa"/>
            <w:noWrap w:val="0"/>
            <w:vAlign w:val="center"/>
          </w:tcPr>
          <w:p w14:paraId="14E000AF">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中心疏松</w:t>
            </w:r>
          </w:p>
        </w:tc>
        <w:tc>
          <w:tcPr>
            <w:tcW w:w="3897" w:type="dxa"/>
            <w:noWrap w:val="0"/>
            <w:vAlign w:val="center"/>
          </w:tcPr>
          <w:p w14:paraId="3F5AF9AB">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第1级别图</w:t>
            </w:r>
          </w:p>
        </w:tc>
        <w:tc>
          <w:tcPr>
            <w:tcW w:w="3120" w:type="dxa"/>
            <w:noWrap w:val="0"/>
            <w:vAlign w:val="center"/>
          </w:tcPr>
          <w:p w14:paraId="26F175E2">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1.5</w:t>
            </w:r>
          </w:p>
        </w:tc>
      </w:tr>
      <w:tr w14:paraId="3D04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339" w:type="dxa"/>
            <w:noWrap w:val="0"/>
            <w:vAlign w:val="center"/>
          </w:tcPr>
          <w:p w14:paraId="0E502D25">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一般疏松</w:t>
            </w:r>
          </w:p>
        </w:tc>
        <w:tc>
          <w:tcPr>
            <w:tcW w:w="3897" w:type="dxa"/>
            <w:noWrap w:val="0"/>
            <w:vAlign w:val="center"/>
          </w:tcPr>
          <w:p w14:paraId="70C7D0FC">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第2级别图</w:t>
            </w:r>
          </w:p>
        </w:tc>
        <w:tc>
          <w:tcPr>
            <w:tcW w:w="3120" w:type="dxa"/>
            <w:noWrap w:val="0"/>
            <w:vAlign w:val="center"/>
          </w:tcPr>
          <w:p w14:paraId="282CC6E9">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1.0</w:t>
            </w:r>
          </w:p>
        </w:tc>
      </w:tr>
      <w:tr w14:paraId="4AC0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339" w:type="dxa"/>
            <w:noWrap w:val="0"/>
            <w:vAlign w:val="center"/>
          </w:tcPr>
          <w:p w14:paraId="75BFF16E">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锭型偏析</w:t>
            </w:r>
          </w:p>
        </w:tc>
        <w:tc>
          <w:tcPr>
            <w:tcW w:w="3897" w:type="dxa"/>
            <w:noWrap w:val="0"/>
            <w:vAlign w:val="center"/>
          </w:tcPr>
          <w:p w14:paraId="2F5F598A">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第3级别图</w:t>
            </w:r>
          </w:p>
        </w:tc>
        <w:tc>
          <w:tcPr>
            <w:tcW w:w="3120" w:type="dxa"/>
            <w:noWrap w:val="0"/>
            <w:vAlign w:val="center"/>
          </w:tcPr>
          <w:p w14:paraId="4BCDB7AE">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1.0</w:t>
            </w:r>
          </w:p>
        </w:tc>
      </w:tr>
    </w:tbl>
    <w:p w14:paraId="5D08813C">
      <w:pPr>
        <w:numPr>
          <w:ilvl w:val="0"/>
          <w:numId w:val="4"/>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塔形发纹</w:t>
      </w:r>
    </w:p>
    <w:p w14:paraId="6114266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圆钢应按GB/T 15711进行塔形发纹检验，其合格级别应符合表5的规定</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color w:val="C00000"/>
          <w:sz w:val="28"/>
          <w:szCs w:val="28"/>
          <w:lang w:val="en-US" w:eastAsia="zh-CN"/>
        </w:rPr>
        <w:t>此指标为本文件新增。</w:t>
      </w:r>
    </w:p>
    <w:p w14:paraId="7E65F402">
      <w:pPr>
        <w:numPr>
          <w:ilvl w:val="0"/>
          <w:numId w:val="2"/>
        </w:numPr>
        <w:tabs>
          <w:tab w:val="left" w:pos="360"/>
        </w:tabs>
        <w:spacing w:before="156" w:beforeLines="50" w:after="156" w:afterLines="50"/>
        <w:ind w:left="0"/>
        <w:jc w:val="center"/>
        <w:rPr>
          <w:rFonts w:hint="default" w:ascii="Times New Roman" w:hAnsi="Times New Roman" w:eastAsia="黑体" w:cs="Times New Roman"/>
          <w:sz w:val="21"/>
          <w:highlight w:val="none"/>
          <w:lang w:val="en-US" w:eastAsia="zh-CN" w:bidi="ar-SA"/>
        </w:rPr>
      </w:pPr>
      <w:r>
        <w:rPr>
          <w:rFonts w:hint="eastAsia" w:ascii="Times New Roman" w:hAnsi="Times New Roman" w:eastAsia="黑体" w:cs="Times New Roman"/>
          <w:sz w:val="21"/>
          <w:highlight w:val="none"/>
          <w:lang w:val="en-US" w:eastAsia="zh-CN" w:bidi="ar-SA"/>
        </w:rPr>
        <w:t>塔形发纹合格级别</w:t>
      </w:r>
    </w:p>
    <w:tbl>
      <w:tblPr>
        <w:tblStyle w:val="7"/>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6"/>
        <w:gridCol w:w="3776"/>
      </w:tblGrid>
      <w:tr w14:paraId="04F9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5" w:type="pct"/>
            <w:tcBorders>
              <w:top w:val="single" w:color="auto" w:sz="4" w:space="0"/>
              <w:left w:val="single" w:color="auto" w:sz="4" w:space="0"/>
              <w:bottom w:val="single" w:color="auto" w:sz="4" w:space="0"/>
              <w:right w:val="single" w:color="auto" w:sz="4" w:space="0"/>
            </w:tcBorders>
            <w:noWrap w:val="0"/>
            <w:vAlign w:val="center"/>
          </w:tcPr>
          <w:p w14:paraId="75023597">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bookmarkStart w:id="1" w:name="OLE_LINK14"/>
            <w:bookmarkStart w:id="2" w:name="OLE_LINK15"/>
            <w:bookmarkStart w:id="3" w:name="OLE_LINK16"/>
            <w:bookmarkStart w:id="4" w:name="OLE_LINK19"/>
            <w:bookmarkStart w:id="5" w:name="OLE_LINK17"/>
            <w:bookmarkStart w:id="6" w:name="OLE_LINK18"/>
            <w:bookmarkStart w:id="7" w:name="OLE_LINK20"/>
            <w:r>
              <w:rPr>
                <w:rFonts w:hint="eastAsia" w:ascii="宋体" w:hAnsi="宋体" w:eastAsia="宋体" w:cs="宋体"/>
                <w:kern w:val="2"/>
                <w:sz w:val="18"/>
                <w:szCs w:val="18"/>
              </w:rPr>
              <w:t>发纹总条数</w:t>
            </w:r>
          </w:p>
        </w:tc>
        <w:tc>
          <w:tcPr>
            <w:tcW w:w="2254" w:type="pct"/>
            <w:tcBorders>
              <w:top w:val="single" w:color="auto" w:sz="4" w:space="0"/>
              <w:left w:val="single" w:color="auto" w:sz="4" w:space="0"/>
              <w:bottom w:val="single" w:color="auto" w:sz="4" w:space="0"/>
              <w:right w:val="single" w:color="auto" w:sz="4" w:space="0"/>
            </w:tcBorders>
            <w:noWrap w:val="0"/>
            <w:vAlign w:val="center"/>
          </w:tcPr>
          <w:p w14:paraId="46424020">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≤5条</w:t>
            </w:r>
          </w:p>
        </w:tc>
      </w:tr>
      <w:tr w14:paraId="4574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5" w:type="pct"/>
            <w:tcBorders>
              <w:top w:val="single" w:color="auto" w:sz="4" w:space="0"/>
              <w:left w:val="single" w:color="auto" w:sz="4" w:space="0"/>
              <w:bottom w:val="single" w:color="auto" w:sz="4" w:space="0"/>
              <w:right w:val="single" w:color="auto" w:sz="4" w:space="0"/>
            </w:tcBorders>
            <w:noWrap w:val="0"/>
            <w:vAlign w:val="center"/>
          </w:tcPr>
          <w:p w14:paraId="59707C15">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发纹总长度</w:t>
            </w:r>
          </w:p>
        </w:tc>
        <w:tc>
          <w:tcPr>
            <w:tcW w:w="2254" w:type="pct"/>
            <w:tcBorders>
              <w:top w:val="single" w:color="auto" w:sz="4" w:space="0"/>
              <w:left w:val="single" w:color="auto" w:sz="4" w:space="0"/>
              <w:bottom w:val="single" w:color="auto" w:sz="4" w:space="0"/>
              <w:right w:val="single" w:color="auto" w:sz="4" w:space="0"/>
            </w:tcBorders>
            <w:noWrap w:val="0"/>
            <w:vAlign w:val="center"/>
          </w:tcPr>
          <w:p w14:paraId="164B64C8">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≤10</w:t>
            </w:r>
            <w:r>
              <w:rPr>
                <w:rFonts w:hint="eastAsia" w:ascii="宋体" w:hAnsi="宋体" w:eastAsia="宋体" w:cs="宋体"/>
                <w:kern w:val="2"/>
                <w:sz w:val="18"/>
                <w:szCs w:val="18"/>
                <w:lang w:val="en-US" w:eastAsia="zh-CN"/>
              </w:rPr>
              <w:t xml:space="preserve"> </w:t>
            </w:r>
            <w:r>
              <w:rPr>
                <w:rFonts w:hint="eastAsia" w:ascii="宋体" w:hAnsi="宋体" w:eastAsia="宋体" w:cs="宋体"/>
                <w:kern w:val="2"/>
                <w:sz w:val="18"/>
                <w:szCs w:val="18"/>
              </w:rPr>
              <w:t>mm</w:t>
            </w:r>
          </w:p>
        </w:tc>
      </w:tr>
      <w:tr w14:paraId="779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5" w:type="pct"/>
            <w:tcBorders>
              <w:top w:val="single" w:color="auto" w:sz="4" w:space="0"/>
              <w:left w:val="single" w:color="auto" w:sz="4" w:space="0"/>
              <w:bottom w:val="single" w:color="auto" w:sz="4" w:space="0"/>
              <w:right w:val="single" w:color="auto" w:sz="4" w:space="0"/>
            </w:tcBorders>
            <w:noWrap w:val="0"/>
            <w:vAlign w:val="center"/>
          </w:tcPr>
          <w:p w14:paraId="5FFB4CF6">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每阶上发纹最多条数</w:t>
            </w:r>
          </w:p>
        </w:tc>
        <w:tc>
          <w:tcPr>
            <w:tcW w:w="2254" w:type="pct"/>
            <w:tcBorders>
              <w:top w:val="single" w:color="auto" w:sz="4" w:space="0"/>
              <w:left w:val="single" w:color="auto" w:sz="4" w:space="0"/>
              <w:bottom w:val="single" w:color="auto" w:sz="4" w:space="0"/>
              <w:right w:val="single" w:color="auto" w:sz="4" w:space="0"/>
            </w:tcBorders>
            <w:noWrap w:val="0"/>
            <w:vAlign w:val="center"/>
          </w:tcPr>
          <w:p w14:paraId="13C258E1">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≤3条</w:t>
            </w:r>
          </w:p>
        </w:tc>
      </w:tr>
      <w:tr w14:paraId="2541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5" w:type="pct"/>
            <w:tcBorders>
              <w:top w:val="single" w:color="auto" w:sz="4" w:space="0"/>
              <w:left w:val="single" w:color="auto" w:sz="4" w:space="0"/>
              <w:bottom w:val="single" w:color="auto" w:sz="4" w:space="0"/>
              <w:right w:val="single" w:color="auto" w:sz="4" w:space="0"/>
            </w:tcBorders>
            <w:noWrap w:val="0"/>
            <w:vAlign w:val="center"/>
          </w:tcPr>
          <w:p w14:paraId="5E7BE9BF">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发纹起算长度</w:t>
            </w:r>
          </w:p>
        </w:tc>
        <w:tc>
          <w:tcPr>
            <w:tcW w:w="2254" w:type="pct"/>
            <w:tcBorders>
              <w:top w:val="single" w:color="auto" w:sz="4" w:space="0"/>
              <w:left w:val="single" w:color="auto" w:sz="4" w:space="0"/>
              <w:bottom w:val="single" w:color="auto" w:sz="4" w:space="0"/>
              <w:right w:val="single" w:color="auto" w:sz="4" w:space="0"/>
            </w:tcBorders>
            <w:noWrap w:val="0"/>
            <w:vAlign w:val="center"/>
          </w:tcPr>
          <w:p w14:paraId="3D15D6E2">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0.6</w:t>
            </w:r>
            <w:r>
              <w:rPr>
                <w:rFonts w:hint="eastAsia" w:ascii="宋体" w:hAnsi="宋体" w:eastAsia="宋体" w:cs="宋体"/>
                <w:kern w:val="2"/>
                <w:sz w:val="18"/>
                <w:szCs w:val="18"/>
                <w:lang w:val="en-US" w:eastAsia="zh-CN"/>
              </w:rPr>
              <w:t xml:space="preserve"> </w:t>
            </w:r>
            <w:r>
              <w:rPr>
                <w:rFonts w:hint="eastAsia" w:ascii="宋体" w:hAnsi="宋体" w:eastAsia="宋体" w:cs="宋体"/>
                <w:kern w:val="2"/>
                <w:sz w:val="18"/>
                <w:szCs w:val="18"/>
              </w:rPr>
              <w:t>mm</w:t>
            </w:r>
          </w:p>
        </w:tc>
      </w:tr>
      <w:tr w14:paraId="79DD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1BBACBA5">
            <w:pPr>
              <w:keepNext w:val="0"/>
              <w:keepLines w:val="0"/>
              <w:suppressLineNumbers w:val="0"/>
              <w:spacing w:before="0" w:beforeAutospacing="0" w:after="0" w:afterAutospacing="0" w:line="300" w:lineRule="auto"/>
              <w:ind w:left="0" w:right="0"/>
              <w:jc w:val="left"/>
              <w:rPr>
                <w:rFonts w:hint="eastAsia" w:ascii="宋体" w:hAnsi="宋体" w:eastAsia="宋体" w:cs="宋体"/>
                <w:kern w:val="2"/>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黑体" w:hAnsi="黑体" w:eastAsia="黑体" w:cs="黑体"/>
                <w:sz w:val="18"/>
                <w:szCs w:val="18"/>
              </w:rPr>
              <w:t>注：</w:t>
            </w:r>
            <w:r>
              <w:rPr>
                <w:rFonts w:hint="eastAsia" w:ascii="宋体" w:hAnsi="宋体" w:eastAsia="宋体" w:cs="宋体"/>
                <w:sz w:val="18"/>
                <w:szCs w:val="18"/>
              </w:rPr>
              <w:t>同一母线上，间距小于2</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mm的发纹计为一条。</w:t>
            </w:r>
          </w:p>
        </w:tc>
      </w:tr>
      <w:bookmarkEnd w:id="1"/>
      <w:bookmarkEnd w:id="2"/>
      <w:bookmarkEnd w:id="3"/>
      <w:bookmarkEnd w:id="4"/>
      <w:bookmarkEnd w:id="5"/>
      <w:bookmarkEnd w:id="6"/>
      <w:bookmarkEnd w:id="7"/>
    </w:tbl>
    <w:p w14:paraId="5A8E1015">
      <w:pPr>
        <w:numPr>
          <w:ilvl w:val="0"/>
          <w:numId w:val="4"/>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非金属夹杂物</w:t>
      </w:r>
    </w:p>
    <w:p w14:paraId="19E807E6">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圆钢应</w:t>
      </w:r>
      <w:r>
        <w:rPr>
          <w:rFonts w:hint="default" w:ascii="Times New Roman" w:hAnsi="Times New Roman" w:eastAsia="仿宋_GB2312" w:cs="Times New Roman"/>
          <w:sz w:val="28"/>
          <w:szCs w:val="28"/>
          <w:lang w:val="en-US" w:eastAsia="zh-CN"/>
        </w:rPr>
        <w:t>按GB/T 10561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20</w:t>
      </w:r>
      <w:r>
        <w:rPr>
          <w:rFonts w:hint="eastAsia"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lang w:val="en-US" w:eastAsia="zh-CN"/>
        </w:rPr>
        <w:t>中A法</w:t>
      </w:r>
      <w:r>
        <w:rPr>
          <w:rFonts w:hint="eastAsia" w:ascii="Times New Roman" w:hAnsi="Times New Roman" w:eastAsia="仿宋_GB2312" w:cs="Times New Roman"/>
          <w:sz w:val="28"/>
          <w:szCs w:val="28"/>
          <w:lang w:val="en-US" w:eastAsia="zh-CN"/>
        </w:rPr>
        <w:t>进行</w:t>
      </w:r>
      <w:r>
        <w:rPr>
          <w:rFonts w:hint="default" w:ascii="Times New Roman" w:hAnsi="Times New Roman" w:eastAsia="仿宋_GB2312" w:cs="Times New Roman"/>
          <w:sz w:val="28"/>
          <w:szCs w:val="28"/>
          <w:lang w:val="en-US" w:eastAsia="zh-CN"/>
        </w:rPr>
        <w:t>非金属夹杂物</w:t>
      </w:r>
      <w:r>
        <w:rPr>
          <w:rFonts w:hint="eastAsia" w:ascii="Times New Roman" w:hAnsi="Times New Roman" w:eastAsia="仿宋_GB2312" w:cs="Times New Roman"/>
          <w:sz w:val="28"/>
          <w:szCs w:val="28"/>
          <w:lang w:val="en-US" w:eastAsia="zh-CN"/>
        </w:rPr>
        <w:t>检验</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其合格级别</w:t>
      </w:r>
      <w:r>
        <w:rPr>
          <w:rFonts w:hint="default" w:ascii="Times New Roman" w:hAnsi="Times New Roman" w:eastAsia="仿宋_GB2312" w:cs="Times New Roman"/>
          <w:sz w:val="28"/>
          <w:szCs w:val="28"/>
          <w:lang w:val="en-US" w:eastAsia="zh-CN"/>
        </w:rPr>
        <w:t>应符合表</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的</w:t>
      </w:r>
      <w:r>
        <w:rPr>
          <w:rFonts w:hint="eastAsia" w:ascii="Times New Roman" w:hAnsi="Times New Roman" w:eastAsia="仿宋_GB2312" w:cs="Times New Roman"/>
          <w:sz w:val="28"/>
          <w:szCs w:val="28"/>
          <w:lang w:val="en-US" w:eastAsia="zh-CN"/>
        </w:rPr>
        <w:t>规定。</w:t>
      </w:r>
      <w:r>
        <w:rPr>
          <w:rFonts w:hint="eastAsia" w:ascii="Times New Roman" w:hAnsi="Times New Roman" w:eastAsia="仿宋_GB2312" w:cs="Times New Roman"/>
          <w:color w:val="C00000"/>
          <w:sz w:val="28"/>
          <w:szCs w:val="28"/>
          <w:lang w:val="en-US" w:eastAsia="zh-CN"/>
        </w:rPr>
        <w:t>此指标有区分。</w:t>
      </w:r>
    </w:p>
    <w:p w14:paraId="31D0375B">
      <w:pPr>
        <w:numPr>
          <w:ilvl w:val="0"/>
          <w:numId w:val="2"/>
        </w:numPr>
        <w:tabs>
          <w:tab w:val="left" w:pos="360"/>
        </w:tabs>
        <w:spacing w:before="156" w:beforeLines="50" w:after="156" w:afterLines="50"/>
        <w:ind w:left="0"/>
        <w:jc w:val="center"/>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非金属夹杂物合格级别</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661"/>
        <w:gridCol w:w="662"/>
        <w:gridCol w:w="661"/>
        <w:gridCol w:w="662"/>
        <w:gridCol w:w="661"/>
        <w:gridCol w:w="662"/>
        <w:gridCol w:w="661"/>
        <w:gridCol w:w="666"/>
        <w:gridCol w:w="1112"/>
      </w:tblGrid>
      <w:tr w14:paraId="4F69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53" w:type="dxa"/>
          </w:tcPr>
          <w:p w14:paraId="34E3237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非金属夹杂物类型</w:t>
            </w:r>
          </w:p>
        </w:tc>
        <w:tc>
          <w:tcPr>
            <w:tcW w:w="1403" w:type="dxa"/>
            <w:gridSpan w:val="2"/>
            <w:vAlign w:val="center"/>
          </w:tcPr>
          <w:p w14:paraId="29B1F1F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A类</w:t>
            </w:r>
          </w:p>
        </w:tc>
        <w:tc>
          <w:tcPr>
            <w:tcW w:w="1403" w:type="dxa"/>
            <w:gridSpan w:val="2"/>
            <w:vAlign w:val="center"/>
          </w:tcPr>
          <w:p w14:paraId="2A15C96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B类</w:t>
            </w:r>
          </w:p>
        </w:tc>
        <w:tc>
          <w:tcPr>
            <w:tcW w:w="1403" w:type="dxa"/>
            <w:gridSpan w:val="2"/>
            <w:vAlign w:val="center"/>
          </w:tcPr>
          <w:p w14:paraId="01B6B63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C类</w:t>
            </w:r>
          </w:p>
        </w:tc>
        <w:tc>
          <w:tcPr>
            <w:tcW w:w="1405" w:type="dxa"/>
            <w:gridSpan w:val="2"/>
            <w:vAlign w:val="center"/>
          </w:tcPr>
          <w:p w14:paraId="571BB96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D类</w:t>
            </w:r>
          </w:p>
        </w:tc>
        <w:tc>
          <w:tcPr>
            <w:tcW w:w="1255" w:type="dxa"/>
            <w:vMerge w:val="restart"/>
            <w:vAlign w:val="center"/>
          </w:tcPr>
          <w:p w14:paraId="09367AA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DS类</w:t>
            </w:r>
          </w:p>
        </w:tc>
      </w:tr>
      <w:tr w14:paraId="207E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53" w:type="dxa"/>
            <w:vMerge w:val="restart"/>
            <w:vAlign w:val="center"/>
          </w:tcPr>
          <w:p w14:paraId="6BF7242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合格级别/级，不大于</w:t>
            </w:r>
          </w:p>
        </w:tc>
        <w:tc>
          <w:tcPr>
            <w:tcW w:w="701" w:type="dxa"/>
            <w:vAlign w:val="center"/>
          </w:tcPr>
          <w:p w14:paraId="555459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细系</w:t>
            </w:r>
          </w:p>
        </w:tc>
        <w:tc>
          <w:tcPr>
            <w:tcW w:w="701" w:type="dxa"/>
            <w:vAlign w:val="center"/>
          </w:tcPr>
          <w:p w14:paraId="5A99979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粗系</w:t>
            </w:r>
          </w:p>
        </w:tc>
        <w:tc>
          <w:tcPr>
            <w:tcW w:w="701" w:type="dxa"/>
            <w:vAlign w:val="center"/>
          </w:tcPr>
          <w:p w14:paraId="2635466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细系</w:t>
            </w:r>
          </w:p>
        </w:tc>
        <w:tc>
          <w:tcPr>
            <w:tcW w:w="701" w:type="dxa"/>
            <w:vAlign w:val="center"/>
          </w:tcPr>
          <w:p w14:paraId="1EEA810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粗系</w:t>
            </w:r>
          </w:p>
        </w:tc>
        <w:tc>
          <w:tcPr>
            <w:tcW w:w="701" w:type="dxa"/>
            <w:vAlign w:val="center"/>
          </w:tcPr>
          <w:p w14:paraId="146BF90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细系</w:t>
            </w:r>
          </w:p>
        </w:tc>
        <w:tc>
          <w:tcPr>
            <w:tcW w:w="701" w:type="dxa"/>
            <w:vAlign w:val="center"/>
          </w:tcPr>
          <w:p w14:paraId="5753C60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粗系</w:t>
            </w:r>
          </w:p>
        </w:tc>
        <w:tc>
          <w:tcPr>
            <w:tcW w:w="701" w:type="dxa"/>
            <w:vAlign w:val="center"/>
          </w:tcPr>
          <w:p w14:paraId="36B7E60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细系</w:t>
            </w:r>
          </w:p>
        </w:tc>
        <w:tc>
          <w:tcPr>
            <w:tcW w:w="707" w:type="dxa"/>
            <w:vAlign w:val="center"/>
          </w:tcPr>
          <w:p w14:paraId="07643AF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粗系</w:t>
            </w:r>
          </w:p>
        </w:tc>
        <w:tc>
          <w:tcPr>
            <w:tcW w:w="1255" w:type="dxa"/>
            <w:vMerge w:val="continue"/>
            <w:vAlign w:val="center"/>
          </w:tcPr>
          <w:p w14:paraId="4462632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p>
        </w:tc>
      </w:tr>
      <w:tr w14:paraId="6B04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53" w:type="dxa"/>
            <w:vMerge w:val="continue"/>
          </w:tcPr>
          <w:p w14:paraId="48A00B3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p>
        </w:tc>
        <w:tc>
          <w:tcPr>
            <w:tcW w:w="701" w:type="dxa"/>
            <w:vAlign w:val="center"/>
          </w:tcPr>
          <w:p w14:paraId="3E80993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701" w:type="dxa"/>
            <w:vAlign w:val="center"/>
          </w:tcPr>
          <w:p w14:paraId="2E82D7E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0</w:t>
            </w:r>
          </w:p>
        </w:tc>
        <w:tc>
          <w:tcPr>
            <w:tcW w:w="701" w:type="dxa"/>
            <w:vAlign w:val="center"/>
          </w:tcPr>
          <w:p w14:paraId="0A6EBA4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.0</w:t>
            </w:r>
          </w:p>
        </w:tc>
        <w:tc>
          <w:tcPr>
            <w:tcW w:w="701" w:type="dxa"/>
            <w:vAlign w:val="center"/>
          </w:tcPr>
          <w:p w14:paraId="60FBB53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.5</w:t>
            </w:r>
          </w:p>
        </w:tc>
        <w:tc>
          <w:tcPr>
            <w:tcW w:w="701" w:type="dxa"/>
            <w:vAlign w:val="center"/>
          </w:tcPr>
          <w:p w14:paraId="768AECE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701" w:type="dxa"/>
            <w:vAlign w:val="center"/>
          </w:tcPr>
          <w:p w14:paraId="76BBB92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701" w:type="dxa"/>
            <w:vAlign w:val="center"/>
          </w:tcPr>
          <w:p w14:paraId="1F2D88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0</w:t>
            </w:r>
          </w:p>
        </w:tc>
        <w:tc>
          <w:tcPr>
            <w:tcW w:w="707" w:type="dxa"/>
            <w:vAlign w:val="center"/>
          </w:tcPr>
          <w:p w14:paraId="1BD3B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.5</w:t>
            </w:r>
          </w:p>
        </w:tc>
        <w:tc>
          <w:tcPr>
            <w:tcW w:w="1255" w:type="dxa"/>
            <w:vAlign w:val="center"/>
          </w:tcPr>
          <w:p w14:paraId="6854EC7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auto"/>
                <w:sz w:val="18"/>
                <w:szCs w:val="18"/>
                <w:u w:val="none"/>
              </w:rPr>
              <w:t>1.5</w:t>
            </w:r>
          </w:p>
        </w:tc>
      </w:tr>
      <w:tr w14:paraId="5BC7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53" w:type="dxa"/>
          </w:tcPr>
          <w:p w14:paraId="6C63C31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C00000"/>
                <w:sz w:val="18"/>
                <w:szCs w:val="18"/>
                <w:lang w:val="en-US" w:eastAsia="zh-CN"/>
              </w:rPr>
              <w:t>GB/T 18254特级优质钢</w:t>
            </w:r>
          </w:p>
        </w:tc>
        <w:tc>
          <w:tcPr>
            <w:tcW w:w="701" w:type="dxa"/>
            <w:vAlign w:val="center"/>
          </w:tcPr>
          <w:p w14:paraId="5ACC4D85">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701" w:type="dxa"/>
            <w:vAlign w:val="center"/>
          </w:tcPr>
          <w:p w14:paraId="6F83A3B5">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701" w:type="dxa"/>
            <w:vAlign w:val="center"/>
          </w:tcPr>
          <w:p w14:paraId="02715162">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701" w:type="dxa"/>
            <w:vAlign w:val="center"/>
          </w:tcPr>
          <w:p w14:paraId="25A12828">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701" w:type="dxa"/>
            <w:vAlign w:val="center"/>
          </w:tcPr>
          <w:p w14:paraId="2D30E21F">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w:t>
            </w:r>
          </w:p>
        </w:tc>
        <w:tc>
          <w:tcPr>
            <w:tcW w:w="701" w:type="dxa"/>
            <w:vAlign w:val="center"/>
          </w:tcPr>
          <w:p w14:paraId="791A7099">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w:t>
            </w:r>
          </w:p>
        </w:tc>
        <w:tc>
          <w:tcPr>
            <w:tcW w:w="701" w:type="dxa"/>
            <w:vAlign w:val="center"/>
          </w:tcPr>
          <w:p w14:paraId="35730976">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707" w:type="dxa"/>
            <w:vAlign w:val="center"/>
          </w:tcPr>
          <w:p w14:paraId="75A8293F">
            <w:pPr>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1255" w:type="dxa"/>
            <w:vAlign w:val="center"/>
          </w:tcPr>
          <w:p w14:paraId="3479E31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18"/>
                <w:szCs w:val="18"/>
                <w:u w:val="none"/>
                <w:lang w:val="en-US" w:eastAsia="zh-CN"/>
              </w:rPr>
            </w:pPr>
            <w:r>
              <w:rPr>
                <w:rFonts w:hint="eastAsia" w:ascii="宋体" w:hAnsi="宋体" w:eastAsia="宋体" w:cs="宋体"/>
                <w:color w:val="auto"/>
                <w:sz w:val="18"/>
                <w:szCs w:val="18"/>
                <w:u w:val="none"/>
                <w:lang w:val="en-US" w:eastAsia="zh-CN"/>
              </w:rPr>
              <w:t>1.0</w:t>
            </w:r>
          </w:p>
        </w:tc>
      </w:tr>
    </w:tbl>
    <w:p w14:paraId="1782F5A2">
      <w:pPr>
        <w:numPr>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6.脱碳层</w:t>
      </w:r>
    </w:p>
    <w:p w14:paraId="092C5050">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热轧圆钢的表面每边总脱碳层深度应不超过公称直径的1.0%。</w:t>
      </w:r>
    </w:p>
    <w:p w14:paraId="64EF6D8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热轧软化退火和热轧球化退火圆钢的表面每边总脱碳层深度应不超过公称直径的1.0%+0.15mm。</w:t>
      </w:r>
    </w:p>
    <w:p w14:paraId="7B538D51">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7.碳化物不均匀性</w:t>
      </w:r>
    </w:p>
    <w:p w14:paraId="2D7266D0">
      <w:pPr>
        <w:spacing w:line="360" w:lineRule="auto"/>
        <w:ind w:firstLine="560" w:firstLineChars="200"/>
        <w:rPr>
          <w:rFonts w:hint="default" w:ascii="Times New Roman" w:hAnsi="Times New Roman" w:eastAsia="仿宋_GB2312" w:cs="Times New Roman"/>
          <w:color w:val="C00000"/>
          <w:sz w:val="28"/>
          <w:szCs w:val="28"/>
          <w:lang w:val="en-US" w:eastAsia="zh-CN"/>
        </w:rPr>
      </w:pPr>
      <w:r>
        <w:rPr>
          <w:rFonts w:hint="default" w:ascii="Times New Roman" w:hAnsi="Times New Roman" w:eastAsia="仿宋_GB2312" w:cs="Times New Roman"/>
          <w:sz w:val="28"/>
          <w:szCs w:val="28"/>
          <w:lang w:val="en-US" w:eastAsia="zh-CN"/>
        </w:rPr>
        <w:t>圆钢的碳化物网状合格级别应符合表7的规定</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color w:val="C00000"/>
          <w:sz w:val="28"/>
          <w:szCs w:val="28"/>
          <w:lang w:val="en-US" w:eastAsia="zh-CN"/>
        </w:rPr>
        <w:t>在公称直径部分有加严。</w:t>
      </w:r>
    </w:p>
    <w:p w14:paraId="27186641">
      <w:pPr>
        <w:numPr>
          <w:ilvl w:val="0"/>
          <w:numId w:val="2"/>
        </w:numPr>
        <w:tabs>
          <w:tab w:val="left" w:pos="360"/>
        </w:tabs>
        <w:spacing w:before="156" w:beforeLines="50" w:after="156" w:afterLines="50"/>
        <w:ind w:left="0"/>
        <w:jc w:val="center"/>
        <w:rPr>
          <w:rFonts w:hint="default" w:ascii="Times New Roman" w:hAnsi="Times New Roman" w:eastAsia="黑体" w:cs="Times New Roman"/>
          <w:sz w:val="21"/>
          <w:highlight w:val="none"/>
          <w:lang w:val="en-US" w:eastAsia="zh-CN" w:bidi="ar-SA"/>
        </w:rPr>
      </w:pPr>
      <w:r>
        <w:rPr>
          <w:rFonts w:hint="eastAsia" w:ascii="Times New Roman" w:hAnsi="Times New Roman" w:eastAsia="黑体" w:cs="Times New Roman"/>
          <w:sz w:val="21"/>
          <w:highlight w:val="none"/>
          <w:lang w:val="en-US" w:eastAsia="zh-CN" w:bidi="ar-SA"/>
        </w:rPr>
        <w:t>碳化物网状</w:t>
      </w:r>
      <w:r>
        <w:rPr>
          <w:rFonts w:hint="default" w:ascii="Times New Roman" w:hAnsi="Times New Roman" w:eastAsia="黑体" w:cs="Times New Roman"/>
          <w:sz w:val="21"/>
          <w:highlight w:val="none"/>
          <w:lang w:val="en-US" w:eastAsia="zh-CN" w:bidi="ar-SA"/>
        </w:rPr>
        <w:t>合格级别</w:t>
      </w:r>
    </w:p>
    <w:tbl>
      <w:tblPr>
        <w:tblStyle w:val="7"/>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370"/>
        <w:gridCol w:w="2368"/>
        <w:gridCol w:w="2475"/>
      </w:tblGrid>
      <w:tr w14:paraId="63FD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258FAA0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交货状态</w:t>
            </w:r>
          </w:p>
        </w:tc>
        <w:tc>
          <w:tcPr>
            <w:tcW w:w="819" w:type="pct"/>
            <w:shd w:val="clear" w:color="auto" w:fill="auto"/>
            <w:vAlign w:val="center"/>
          </w:tcPr>
          <w:p w14:paraId="3735FD6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公称直径/mm</w:t>
            </w:r>
          </w:p>
        </w:tc>
        <w:tc>
          <w:tcPr>
            <w:tcW w:w="1416" w:type="pct"/>
            <w:vAlign w:val="center"/>
          </w:tcPr>
          <w:p w14:paraId="108016E4">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合格级别/级，不大于</w:t>
            </w:r>
          </w:p>
        </w:tc>
        <w:tc>
          <w:tcPr>
            <w:tcW w:w="1480" w:type="pct"/>
            <w:vAlign w:val="center"/>
          </w:tcPr>
          <w:p w14:paraId="78C92EF2">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评定</w:t>
            </w:r>
          </w:p>
        </w:tc>
      </w:tr>
      <w:tr w14:paraId="70C2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64EEF31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热轧</w:t>
            </w:r>
          </w:p>
        </w:tc>
        <w:tc>
          <w:tcPr>
            <w:tcW w:w="819" w:type="pct"/>
            <w:shd w:val="clear" w:color="auto" w:fill="auto"/>
            <w:vAlign w:val="center"/>
          </w:tcPr>
          <w:p w14:paraId="225BCD08">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w:t>
            </w:r>
          </w:p>
        </w:tc>
        <w:tc>
          <w:tcPr>
            <w:tcW w:w="1416" w:type="pct"/>
            <w:vMerge w:val="restart"/>
            <w:vAlign w:val="center"/>
          </w:tcPr>
          <w:p w14:paraId="0BDC894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不超过附录A中第7评级图</w:t>
            </w:r>
          </w:p>
        </w:tc>
        <w:tc>
          <w:tcPr>
            <w:tcW w:w="1480" w:type="pct"/>
            <w:vMerge w:val="restart"/>
            <w:vAlign w:val="center"/>
          </w:tcPr>
          <w:p w14:paraId="2BFC150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GB/T 18254—2016附录A中</w:t>
            </w:r>
          </w:p>
          <w:p w14:paraId="0E00D8C9">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第7评级图</w:t>
            </w:r>
          </w:p>
        </w:tc>
      </w:tr>
      <w:tr w14:paraId="5678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60AD212E">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热轧软化退火</w:t>
            </w:r>
          </w:p>
        </w:tc>
        <w:tc>
          <w:tcPr>
            <w:tcW w:w="819" w:type="pct"/>
            <w:shd w:val="clear" w:color="auto" w:fill="auto"/>
            <w:vAlign w:val="center"/>
          </w:tcPr>
          <w:p w14:paraId="362F78F3">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w:t>
            </w:r>
          </w:p>
        </w:tc>
        <w:tc>
          <w:tcPr>
            <w:tcW w:w="1416" w:type="pct"/>
            <w:vMerge w:val="continue"/>
            <w:vAlign w:val="center"/>
          </w:tcPr>
          <w:p w14:paraId="4D02963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p>
        </w:tc>
        <w:tc>
          <w:tcPr>
            <w:tcW w:w="1480" w:type="pct"/>
            <w:vMerge w:val="continue"/>
            <w:vAlign w:val="center"/>
          </w:tcPr>
          <w:p w14:paraId="373DE5E4">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p>
        </w:tc>
      </w:tr>
      <w:tr w14:paraId="43F2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Merge w:val="restart"/>
            <w:vAlign w:val="center"/>
          </w:tcPr>
          <w:p w14:paraId="054BF7E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热轧球化退火</w:t>
            </w:r>
          </w:p>
        </w:tc>
        <w:tc>
          <w:tcPr>
            <w:tcW w:w="819" w:type="pct"/>
            <w:shd w:val="clear" w:color="auto" w:fill="auto"/>
            <w:vAlign w:val="center"/>
          </w:tcPr>
          <w:p w14:paraId="2BC6DCA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color w:val="C00000"/>
                <w:sz w:val="18"/>
                <w:szCs w:val="18"/>
                <w:highlight w:val="none"/>
                <w:vertAlign w:val="baseline"/>
                <w:lang w:val="en-US" w:eastAsia="zh-CN" w:bidi="ar-SA"/>
              </w:rPr>
            </w:pPr>
            <w:r>
              <w:rPr>
                <w:rFonts w:hint="eastAsia" w:ascii="宋体" w:hAnsi="Times New Roman" w:eastAsia="宋体" w:cs="Times New Roman"/>
                <w:color w:val="C00000"/>
                <w:sz w:val="18"/>
                <w:szCs w:val="18"/>
                <w:highlight w:val="none"/>
                <w:vertAlign w:val="baseline"/>
                <w:lang w:val="en-US" w:eastAsia="zh-CN" w:bidi="ar-SA"/>
              </w:rPr>
              <w:t>20</w:t>
            </w:r>
            <w:r>
              <w:rPr>
                <w:rFonts w:hint="eastAsia" w:ascii="宋体" w:hAnsi="宋体" w:eastAsia="宋体" w:cs="宋体"/>
                <w:color w:val="C00000"/>
                <w:sz w:val="18"/>
                <w:szCs w:val="18"/>
                <w:highlight w:val="none"/>
                <w:vertAlign w:val="baseline"/>
                <w:lang w:val="en-US" w:eastAsia="zh-CN" w:bidi="ar-SA"/>
              </w:rPr>
              <w:t>～</w:t>
            </w:r>
            <w:r>
              <w:rPr>
                <w:rFonts w:hint="eastAsia" w:ascii="宋体" w:hAnsi="Times New Roman" w:eastAsia="宋体" w:cs="Times New Roman"/>
                <w:color w:val="C00000"/>
                <w:sz w:val="18"/>
                <w:szCs w:val="18"/>
                <w:highlight w:val="none"/>
                <w:vertAlign w:val="baseline"/>
                <w:lang w:val="en-US" w:eastAsia="zh-CN" w:bidi="ar-SA"/>
              </w:rPr>
              <w:t>60</w:t>
            </w:r>
          </w:p>
        </w:tc>
        <w:tc>
          <w:tcPr>
            <w:tcW w:w="1416" w:type="pct"/>
            <w:vAlign w:val="center"/>
          </w:tcPr>
          <w:p w14:paraId="42B00E77">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color w:val="C00000"/>
                <w:sz w:val="18"/>
                <w:szCs w:val="18"/>
                <w:highlight w:val="none"/>
                <w:vertAlign w:val="baseline"/>
                <w:lang w:val="en-US" w:eastAsia="zh-CN" w:bidi="ar-SA"/>
              </w:rPr>
            </w:pPr>
            <w:r>
              <w:rPr>
                <w:rFonts w:hint="eastAsia" w:ascii="宋体" w:hAnsi="Times New Roman" w:eastAsia="宋体" w:cs="Times New Roman"/>
                <w:color w:val="C00000"/>
                <w:sz w:val="18"/>
                <w:szCs w:val="18"/>
                <w:highlight w:val="none"/>
                <w:vertAlign w:val="baseline"/>
                <w:lang w:val="en-US" w:eastAsia="zh-CN" w:bidi="ar-SA"/>
              </w:rPr>
              <w:t>2.5</w:t>
            </w:r>
          </w:p>
        </w:tc>
        <w:tc>
          <w:tcPr>
            <w:tcW w:w="1480" w:type="pct"/>
            <w:vMerge w:val="continue"/>
            <w:vAlign w:val="center"/>
          </w:tcPr>
          <w:p w14:paraId="2C35748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p>
        </w:tc>
      </w:tr>
      <w:tr w14:paraId="3B0C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Merge w:val="continue"/>
            <w:vAlign w:val="center"/>
          </w:tcPr>
          <w:p w14:paraId="4FD533B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p>
        </w:tc>
        <w:tc>
          <w:tcPr>
            <w:tcW w:w="819" w:type="pct"/>
            <w:shd w:val="clear" w:color="auto" w:fill="auto"/>
            <w:vAlign w:val="center"/>
          </w:tcPr>
          <w:p w14:paraId="2C811F79">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color w:val="C00000"/>
                <w:sz w:val="18"/>
                <w:szCs w:val="18"/>
                <w:highlight w:val="none"/>
                <w:vertAlign w:val="baseline"/>
                <w:lang w:val="en-US" w:eastAsia="zh-CN" w:bidi="ar-SA"/>
              </w:rPr>
            </w:pPr>
            <w:r>
              <w:rPr>
                <w:rFonts w:hint="eastAsia" w:ascii="宋体" w:hAnsi="Times New Roman" w:eastAsia="宋体" w:cs="Times New Roman"/>
                <w:color w:val="C00000"/>
                <w:sz w:val="18"/>
                <w:szCs w:val="18"/>
                <w:highlight w:val="none"/>
                <w:vertAlign w:val="baseline"/>
                <w:lang w:val="en-US" w:eastAsia="zh-CN" w:bidi="ar-SA"/>
              </w:rPr>
              <w:t>＞60～200</w:t>
            </w:r>
          </w:p>
        </w:tc>
        <w:tc>
          <w:tcPr>
            <w:tcW w:w="1416" w:type="pct"/>
            <w:vAlign w:val="center"/>
          </w:tcPr>
          <w:p w14:paraId="5CAF923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color w:val="C00000"/>
                <w:sz w:val="18"/>
                <w:szCs w:val="18"/>
                <w:highlight w:val="none"/>
                <w:vertAlign w:val="baseline"/>
                <w:lang w:val="en-US" w:eastAsia="zh-CN" w:bidi="ar-SA"/>
              </w:rPr>
            </w:pPr>
            <w:r>
              <w:rPr>
                <w:rFonts w:hint="eastAsia" w:ascii="宋体" w:hAnsi="Times New Roman" w:eastAsia="宋体" w:cs="Times New Roman"/>
                <w:color w:val="C00000"/>
                <w:sz w:val="18"/>
                <w:szCs w:val="18"/>
                <w:highlight w:val="none"/>
                <w:vertAlign w:val="baseline"/>
                <w:lang w:val="en-US" w:eastAsia="zh-CN" w:bidi="ar-SA"/>
              </w:rPr>
              <w:t>供需双方协议</w:t>
            </w:r>
          </w:p>
        </w:tc>
        <w:tc>
          <w:tcPr>
            <w:tcW w:w="1480" w:type="pct"/>
            <w:vAlign w:val="center"/>
          </w:tcPr>
          <w:p w14:paraId="0008E46B">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GB/T 18254—2016附录A中</w:t>
            </w:r>
          </w:p>
          <w:p w14:paraId="2BADDDD7">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第6评级图</w:t>
            </w:r>
          </w:p>
        </w:tc>
      </w:tr>
    </w:tbl>
    <w:p w14:paraId="715CBB22">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圆钢的碳化物带状合格级别应符合表8的规定</w:t>
      </w:r>
      <w:r>
        <w:rPr>
          <w:rFonts w:hint="eastAsia" w:ascii="Times New Roman" w:hAnsi="Times New Roman" w:eastAsia="仿宋_GB2312" w:cs="Times New Roman"/>
          <w:sz w:val="28"/>
          <w:szCs w:val="28"/>
          <w:lang w:val="en-US" w:eastAsia="zh-CN"/>
        </w:rPr>
        <w:t>。</w:t>
      </w:r>
    </w:p>
    <w:p w14:paraId="0D4E4BAF">
      <w:pPr>
        <w:numPr>
          <w:ilvl w:val="0"/>
          <w:numId w:val="2"/>
        </w:numPr>
        <w:tabs>
          <w:tab w:val="left" w:pos="360"/>
        </w:tabs>
        <w:spacing w:before="156" w:beforeLines="50" w:after="156" w:afterLines="50"/>
        <w:ind w:left="0"/>
        <w:jc w:val="center"/>
        <w:rPr>
          <w:rFonts w:hint="default" w:ascii="Times New Roman" w:hAnsi="Times New Roman" w:eastAsia="黑体" w:cs="Times New Roman"/>
          <w:sz w:val="21"/>
          <w:highlight w:val="none"/>
          <w:lang w:val="en-US" w:eastAsia="zh-CN" w:bidi="ar-SA"/>
        </w:rPr>
      </w:pPr>
      <w:r>
        <w:rPr>
          <w:rFonts w:hint="eastAsia" w:ascii="Times New Roman" w:hAnsi="Times New Roman" w:eastAsia="黑体" w:cs="Times New Roman"/>
          <w:sz w:val="21"/>
          <w:highlight w:val="none"/>
          <w:lang w:val="en-US" w:eastAsia="zh-CN" w:bidi="ar-SA"/>
        </w:rPr>
        <w:t>碳化物带状</w:t>
      </w:r>
      <w:r>
        <w:rPr>
          <w:rFonts w:hint="default" w:ascii="Times New Roman" w:hAnsi="Times New Roman" w:eastAsia="黑体" w:cs="Times New Roman"/>
          <w:sz w:val="21"/>
          <w:highlight w:val="none"/>
          <w:lang w:val="en-US" w:eastAsia="zh-CN" w:bidi="ar-SA"/>
        </w:rPr>
        <w:t>合格级别</w:t>
      </w:r>
    </w:p>
    <w:tbl>
      <w:tblPr>
        <w:tblStyle w:val="7"/>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1369"/>
        <w:gridCol w:w="2368"/>
        <w:gridCol w:w="2475"/>
      </w:tblGrid>
      <w:tr w14:paraId="0F77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pct"/>
            <w:vAlign w:val="center"/>
          </w:tcPr>
          <w:p w14:paraId="7572EC6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交货状态</w:t>
            </w:r>
          </w:p>
        </w:tc>
        <w:tc>
          <w:tcPr>
            <w:tcW w:w="819" w:type="pct"/>
            <w:shd w:val="clear" w:color="auto" w:fill="auto"/>
            <w:vAlign w:val="center"/>
          </w:tcPr>
          <w:p w14:paraId="4DDA626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公称直径/mm</w:t>
            </w:r>
          </w:p>
        </w:tc>
        <w:tc>
          <w:tcPr>
            <w:tcW w:w="1416" w:type="pct"/>
            <w:vAlign w:val="center"/>
          </w:tcPr>
          <w:p w14:paraId="0DEFE54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合格级别/级，不大于</w:t>
            </w:r>
          </w:p>
        </w:tc>
        <w:tc>
          <w:tcPr>
            <w:tcW w:w="1479" w:type="pct"/>
            <w:vAlign w:val="center"/>
          </w:tcPr>
          <w:p w14:paraId="4B0C0115">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评定</w:t>
            </w:r>
          </w:p>
        </w:tc>
      </w:tr>
      <w:tr w14:paraId="5E0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pct"/>
            <w:vMerge w:val="restart"/>
            <w:vAlign w:val="center"/>
          </w:tcPr>
          <w:p w14:paraId="71943817">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热轧、热轧软化退火</w:t>
            </w:r>
          </w:p>
          <w:p w14:paraId="1612DF5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或热轧球化退火</w:t>
            </w:r>
          </w:p>
        </w:tc>
        <w:tc>
          <w:tcPr>
            <w:tcW w:w="819" w:type="pct"/>
            <w:shd w:val="clear" w:color="auto" w:fill="auto"/>
            <w:vAlign w:val="center"/>
          </w:tcPr>
          <w:p w14:paraId="2CB6D858">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color w:val="C00000"/>
                <w:sz w:val="18"/>
                <w:szCs w:val="18"/>
                <w:highlight w:val="none"/>
                <w:vertAlign w:val="baseline"/>
                <w:lang w:val="en-US" w:eastAsia="zh-CN" w:bidi="ar-SA"/>
              </w:rPr>
              <w:t>20</w:t>
            </w:r>
            <w:r>
              <w:rPr>
                <w:rFonts w:hint="eastAsia" w:ascii="宋体" w:hAnsi="宋体" w:eastAsia="宋体" w:cs="宋体"/>
                <w:color w:val="C00000"/>
                <w:sz w:val="18"/>
                <w:szCs w:val="18"/>
                <w:highlight w:val="none"/>
                <w:vertAlign w:val="baseline"/>
                <w:lang w:val="en-US" w:eastAsia="zh-CN" w:bidi="ar-SA"/>
              </w:rPr>
              <w:t>～</w:t>
            </w:r>
            <w:r>
              <w:rPr>
                <w:rFonts w:hint="eastAsia" w:ascii="宋体" w:hAnsi="Times New Roman" w:eastAsia="宋体" w:cs="Times New Roman"/>
                <w:color w:val="C00000"/>
                <w:sz w:val="18"/>
                <w:szCs w:val="18"/>
                <w:highlight w:val="none"/>
                <w:vertAlign w:val="baseline"/>
                <w:lang w:val="en-US" w:eastAsia="zh-CN" w:bidi="ar-SA"/>
              </w:rPr>
              <w:t>30</w:t>
            </w:r>
          </w:p>
        </w:tc>
        <w:tc>
          <w:tcPr>
            <w:tcW w:w="1416" w:type="pct"/>
            <w:vAlign w:val="center"/>
          </w:tcPr>
          <w:p w14:paraId="73B6F4D3">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2.0</w:t>
            </w:r>
          </w:p>
        </w:tc>
        <w:tc>
          <w:tcPr>
            <w:tcW w:w="1479" w:type="pct"/>
            <w:vMerge w:val="restart"/>
            <w:vAlign w:val="center"/>
          </w:tcPr>
          <w:p w14:paraId="60A3162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GB/T 18254—2016附录A中</w:t>
            </w:r>
          </w:p>
          <w:p w14:paraId="2B52C75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第8评级图</w:t>
            </w:r>
          </w:p>
        </w:tc>
      </w:tr>
      <w:tr w14:paraId="0964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pct"/>
            <w:vMerge w:val="continue"/>
            <w:vAlign w:val="center"/>
          </w:tcPr>
          <w:p w14:paraId="5AA3FCE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420" w:leftChars="20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p>
        </w:tc>
        <w:tc>
          <w:tcPr>
            <w:tcW w:w="819" w:type="pct"/>
            <w:shd w:val="clear" w:color="auto" w:fill="auto"/>
            <w:vAlign w:val="center"/>
          </w:tcPr>
          <w:p w14:paraId="4B3AF589">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＞30</w:t>
            </w:r>
            <w:r>
              <w:rPr>
                <w:rFonts w:hint="eastAsia" w:ascii="宋体" w:hAnsi="宋体" w:eastAsia="宋体" w:cs="宋体"/>
                <w:sz w:val="18"/>
                <w:szCs w:val="18"/>
                <w:highlight w:val="none"/>
                <w:vertAlign w:val="baseline"/>
                <w:lang w:val="en-US" w:eastAsia="zh-CN" w:bidi="ar-SA"/>
              </w:rPr>
              <w:t>～</w:t>
            </w:r>
            <w:r>
              <w:rPr>
                <w:rFonts w:hint="eastAsia" w:ascii="宋体" w:hAnsi="Times New Roman" w:eastAsia="宋体" w:cs="Times New Roman"/>
                <w:sz w:val="18"/>
                <w:szCs w:val="18"/>
                <w:highlight w:val="none"/>
                <w:vertAlign w:val="baseline"/>
                <w:lang w:val="en-US" w:eastAsia="zh-CN" w:bidi="ar-SA"/>
              </w:rPr>
              <w:t>60</w:t>
            </w:r>
          </w:p>
        </w:tc>
        <w:tc>
          <w:tcPr>
            <w:tcW w:w="1416" w:type="pct"/>
            <w:vAlign w:val="center"/>
          </w:tcPr>
          <w:p w14:paraId="3D901EC8">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2.5</w:t>
            </w:r>
          </w:p>
        </w:tc>
        <w:tc>
          <w:tcPr>
            <w:tcW w:w="1479" w:type="pct"/>
            <w:vMerge w:val="continue"/>
            <w:vAlign w:val="center"/>
          </w:tcPr>
          <w:p w14:paraId="6BE76553">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420" w:leftChars="20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p>
        </w:tc>
      </w:tr>
      <w:tr w14:paraId="5754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pct"/>
            <w:vMerge w:val="continue"/>
            <w:vAlign w:val="center"/>
          </w:tcPr>
          <w:p w14:paraId="1498DEFA">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420" w:leftChars="20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p>
        </w:tc>
        <w:tc>
          <w:tcPr>
            <w:tcW w:w="819" w:type="pct"/>
            <w:shd w:val="clear" w:color="auto" w:fill="auto"/>
            <w:vAlign w:val="center"/>
          </w:tcPr>
          <w:p w14:paraId="500AADA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＞60</w:t>
            </w:r>
            <w:r>
              <w:rPr>
                <w:rFonts w:hint="eastAsia" w:ascii="宋体" w:hAnsi="宋体" w:eastAsia="宋体" w:cs="宋体"/>
                <w:sz w:val="18"/>
                <w:szCs w:val="18"/>
                <w:highlight w:val="none"/>
                <w:vertAlign w:val="baseline"/>
                <w:lang w:val="en-US" w:eastAsia="zh-CN" w:bidi="ar-SA"/>
              </w:rPr>
              <w:t>～</w:t>
            </w:r>
            <w:r>
              <w:rPr>
                <w:rFonts w:hint="eastAsia" w:ascii="宋体" w:hAnsi="Times New Roman" w:eastAsia="宋体" w:cs="Times New Roman"/>
                <w:sz w:val="18"/>
                <w:szCs w:val="18"/>
                <w:highlight w:val="none"/>
                <w:vertAlign w:val="baseline"/>
                <w:lang w:val="en-US" w:eastAsia="zh-CN" w:bidi="ar-SA"/>
              </w:rPr>
              <w:t>150</w:t>
            </w:r>
          </w:p>
        </w:tc>
        <w:tc>
          <w:tcPr>
            <w:tcW w:w="1416" w:type="pct"/>
            <w:vAlign w:val="center"/>
          </w:tcPr>
          <w:p w14:paraId="320A06AA">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right="0" w:rightChars="0" w:firstLine="0" w:firstLineChars="0"/>
              <w:jc w:val="center"/>
              <w:textAlignment w:val="auto"/>
              <w:rPr>
                <w:rFonts w:hint="default" w:ascii="宋体" w:hAnsi="Times New Roman" w:eastAsia="宋体" w:cs="Times New Roman"/>
                <w:sz w:val="18"/>
                <w:szCs w:val="18"/>
                <w:highlight w:val="none"/>
                <w:vertAlign w:val="baseline"/>
                <w:lang w:val="en-US" w:eastAsia="zh-CN" w:bidi="ar-SA"/>
              </w:rPr>
            </w:pPr>
            <w:r>
              <w:rPr>
                <w:rFonts w:hint="eastAsia" w:ascii="宋体" w:hAnsi="Times New Roman" w:eastAsia="宋体" w:cs="Times New Roman"/>
                <w:sz w:val="18"/>
                <w:szCs w:val="18"/>
                <w:highlight w:val="none"/>
                <w:vertAlign w:val="baseline"/>
                <w:lang w:val="en-US" w:eastAsia="zh-CN" w:bidi="ar-SA"/>
              </w:rPr>
              <w:t>3.0</w:t>
            </w:r>
          </w:p>
        </w:tc>
        <w:tc>
          <w:tcPr>
            <w:tcW w:w="1479" w:type="pct"/>
            <w:vMerge w:val="continue"/>
            <w:vAlign w:val="center"/>
          </w:tcPr>
          <w:p w14:paraId="6E25D434">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420" w:leftChars="200" w:right="0" w:rightChars="0" w:firstLine="0" w:firstLineChars="0"/>
              <w:jc w:val="center"/>
              <w:textAlignment w:val="auto"/>
              <w:rPr>
                <w:rFonts w:hint="eastAsia" w:ascii="宋体" w:hAnsi="Times New Roman" w:eastAsia="宋体" w:cs="Times New Roman"/>
                <w:sz w:val="18"/>
                <w:szCs w:val="18"/>
                <w:highlight w:val="none"/>
                <w:vertAlign w:val="baseline"/>
                <w:lang w:val="en-US" w:eastAsia="zh-CN" w:bidi="ar-SA"/>
              </w:rPr>
            </w:pPr>
          </w:p>
        </w:tc>
      </w:tr>
      <w:tr w14:paraId="3D2D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5FAB6B7B">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420" w:leftChars="200" w:right="0" w:rightChars="0" w:firstLine="0" w:firstLineChars="0"/>
              <w:jc w:val="both"/>
              <w:textAlignment w:val="auto"/>
              <w:rPr>
                <w:rFonts w:hint="eastAsia" w:ascii="黑体" w:hAnsi="黑体" w:eastAsia="黑体" w:cs="黑体"/>
                <w:sz w:val="18"/>
                <w:szCs w:val="18"/>
                <w:highlight w:val="none"/>
                <w:vertAlign w:val="baseline"/>
                <w:lang w:val="en-US" w:eastAsia="zh-CN" w:bidi="ar-SA"/>
              </w:rPr>
            </w:pPr>
            <w:r>
              <w:rPr>
                <w:rFonts w:hint="eastAsia" w:ascii="黑体" w:hAnsi="黑体" w:eastAsia="黑体" w:cs="黑体"/>
                <w:sz w:val="18"/>
                <w:szCs w:val="18"/>
                <w:highlight w:val="none"/>
                <w:vertAlign w:val="baseline"/>
                <w:lang w:val="en-US" w:eastAsia="zh-CN" w:bidi="ar-SA"/>
              </w:rPr>
              <w:t>注：</w:t>
            </w:r>
            <w:r>
              <w:rPr>
                <w:rFonts w:hint="eastAsia" w:ascii="宋体" w:hAnsi="Times New Roman" w:eastAsia="宋体" w:cs="Times New Roman"/>
                <w:sz w:val="18"/>
                <w:szCs w:val="18"/>
                <w:highlight w:val="none"/>
                <w:vertAlign w:val="baseline"/>
                <w:lang w:val="en-US" w:eastAsia="zh-CN" w:bidi="ar-SA"/>
              </w:rPr>
              <w:t>公称直径＞150</w:t>
            </w:r>
            <w:r>
              <w:rPr>
                <w:rFonts w:hint="eastAsia" w:ascii="宋体" w:hAnsi="宋体" w:eastAsia="宋体" w:cs="宋体"/>
                <w:sz w:val="18"/>
                <w:szCs w:val="18"/>
                <w:highlight w:val="none"/>
                <w:vertAlign w:val="baseline"/>
                <w:lang w:val="en-US" w:eastAsia="zh-CN" w:bidi="ar-SA"/>
              </w:rPr>
              <w:t>～200 mm的圆钢，由供需双方协议。</w:t>
            </w:r>
          </w:p>
        </w:tc>
      </w:tr>
    </w:tbl>
    <w:p w14:paraId="7E53DB36">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圆钢的碳化物液析应不超过GB/T 18254—2016附录A中第9评级图的1.0级</w:t>
      </w:r>
      <w:r>
        <w:rPr>
          <w:rFonts w:hint="eastAsia" w:ascii="Times New Roman" w:hAnsi="Times New Roman" w:eastAsia="仿宋_GB2312" w:cs="Times New Roman"/>
          <w:sz w:val="28"/>
          <w:szCs w:val="28"/>
          <w:lang w:val="en-US" w:eastAsia="zh-CN"/>
        </w:rPr>
        <w:t>。</w:t>
      </w:r>
    </w:p>
    <w:p w14:paraId="6F8039C2">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8.显微孔隙</w:t>
      </w:r>
    </w:p>
    <w:p w14:paraId="4D3F96E9">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公称直径不大于60 mm的圆钢不应有显微孔隙。公称直径大于60 mm的圆钢，其显微孔隙应不超过GB/T 18254—2016附录A中第10评级图的规定</w:t>
      </w:r>
      <w:r>
        <w:rPr>
          <w:rFonts w:hint="eastAsia" w:ascii="Times New Roman" w:hAnsi="Times New Roman" w:eastAsia="仿宋_GB2312" w:cs="Times New Roman"/>
          <w:sz w:val="28"/>
          <w:szCs w:val="28"/>
          <w:lang w:val="en-US" w:eastAsia="zh-CN"/>
        </w:rPr>
        <w:t>。</w:t>
      </w:r>
    </w:p>
    <w:p w14:paraId="585C75FA">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9.超声检测</w:t>
      </w:r>
    </w:p>
    <w:p w14:paraId="5568B8F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圆钢应进行超声检测，其合格级别应符合GB/T 4162—2022中A级的规定</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color w:val="C00000"/>
          <w:sz w:val="28"/>
          <w:szCs w:val="28"/>
          <w:lang w:val="en-US" w:eastAsia="zh-CN"/>
        </w:rPr>
        <w:t>此项为新增要求。</w:t>
      </w:r>
    </w:p>
    <w:p w14:paraId="28A7836A">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10.表面质量</w:t>
      </w:r>
    </w:p>
    <w:p w14:paraId="1FDF298F">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圆钢应加工良好，表面不应有裂纹、折叠、拉裂、结疤和夹杂物及其他对使用有害的缺陷。如有上述缺陷应清除，清除深度从圆钢实际尺寸算起，应不超过公称尺寸公差之半</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color w:val="C00000"/>
          <w:sz w:val="28"/>
          <w:szCs w:val="28"/>
          <w:lang w:val="en-US" w:eastAsia="zh-CN"/>
        </w:rPr>
        <w:t>此项加严。</w:t>
      </w:r>
    </w:p>
    <w:p w14:paraId="704F36B0">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圆钢应进行表面质量检测，表面缺陷深度应不超过0.3 mm</w:t>
      </w:r>
      <w:r>
        <w:rPr>
          <w:rFonts w:hint="eastAsia" w:ascii="Times New Roman" w:hAnsi="Times New Roman" w:eastAsia="仿宋_GB2312" w:cs="Times New Roman"/>
          <w:sz w:val="28"/>
          <w:szCs w:val="28"/>
          <w:lang w:val="en-US" w:eastAsia="zh-CN"/>
        </w:rPr>
        <w:t>。</w:t>
      </w:r>
    </w:p>
    <w:p w14:paraId="321D5CCC">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11.尺寸、外形、重量</w:t>
      </w:r>
    </w:p>
    <w:p w14:paraId="55EDD1B7">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（1）尺寸及其允许偏差</w:t>
      </w:r>
    </w:p>
    <w:p w14:paraId="4840C435">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圆钢的尺寸及其允许偏差应符合GB/T 702—2017中第1组的规定</w:t>
      </w:r>
      <w:r>
        <w:rPr>
          <w:rFonts w:hint="eastAsia" w:ascii="Times New Roman" w:hAnsi="Times New Roman" w:eastAsia="仿宋_GB2312" w:cs="Times New Roman"/>
          <w:sz w:val="28"/>
          <w:szCs w:val="28"/>
          <w:lang w:val="en-US" w:eastAsia="zh-CN"/>
        </w:rPr>
        <w:t>。</w:t>
      </w:r>
    </w:p>
    <w:p w14:paraId="1558E124">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（2）长度</w:t>
      </w:r>
    </w:p>
    <w:p w14:paraId="0D57D41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w:t>
      </w:r>
      <w:r>
        <w:rPr>
          <w:rFonts w:hint="eastAsia" w:ascii="Times New Roman" w:hAnsi="Times New Roman" w:eastAsia="仿宋_GB2312" w:cs="Times New Roman"/>
          <w:sz w:val="28"/>
          <w:szCs w:val="28"/>
          <w:lang w:val="en-US" w:eastAsia="zh-CN"/>
        </w:rPr>
        <w:t>通常交货</w:t>
      </w:r>
      <w:r>
        <w:rPr>
          <w:rFonts w:hint="default" w:ascii="Times New Roman" w:hAnsi="Times New Roman" w:eastAsia="仿宋_GB2312" w:cs="Times New Roman"/>
          <w:sz w:val="28"/>
          <w:szCs w:val="28"/>
          <w:lang w:val="en-US" w:eastAsia="zh-CN"/>
        </w:rPr>
        <w:t>长度为</w:t>
      </w:r>
      <w:r>
        <w:rPr>
          <w:rFonts w:hint="eastAsia" w:ascii="Times New Roman" w:hAnsi="Times New Roman" w:eastAsia="仿宋_GB2312" w:cs="Times New Roman"/>
          <w:sz w:val="28"/>
          <w:szCs w:val="28"/>
          <w:lang w:val="en-US" w:eastAsia="zh-CN"/>
        </w:rPr>
        <w:t>3000mm～8000mm。</w:t>
      </w:r>
    </w:p>
    <w:p w14:paraId="70C690BA">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圆钢</w:t>
      </w:r>
      <w:r>
        <w:rPr>
          <w:rFonts w:hint="default" w:ascii="Times New Roman" w:hAnsi="Times New Roman" w:eastAsia="仿宋_GB2312" w:cs="Times New Roman"/>
          <w:sz w:val="28"/>
          <w:szCs w:val="28"/>
          <w:lang w:val="en-US" w:eastAsia="zh-CN"/>
        </w:rPr>
        <w:t>应在规定长度范围内以齐尺长度交货，每捆中最长与最短钢材的长度差应不大于</w:t>
      </w:r>
      <w:r>
        <w:rPr>
          <w:rFonts w:hint="eastAsia" w:ascii="Times New Roman" w:hAnsi="Times New Roman" w:eastAsia="仿宋_GB2312" w:cs="Times New Roman"/>
          <w:sz w:val="28"/>
          <w:szCs w:val="28"/>
          <w:lang w:val="en-US" w:eastAsia="zh-CN"/>
        </w:rPr>
        <w:t>1 000 mm</w:t>
      </w:r>
      <w:r>
        <w:rPr>
          <w:rFonts w:hint="default" w:ascii="Times New Roman" w:hAnsi="Times New Roman" w:eastAsia="仿宋_GB2312" w:cs="Times New Roman"/>
          <w:sz w:val="28"/>
          <w:szCs w:val="28"/>
          <w:lang w:val="en-US" w:eastAsia="zh-CN"/>
        </w:rPr>
        <w:t>。</w:t>
      </w:r>
    </w:p>
    <w:p w14:paraId="4F327C08">
      <w:pPr>
        <w:keepNext w:val="0"/>
        <w:keepLines w:val="0"/>
        <w:pageBreakBefore w:val="0"/>
        <w:widowControl/>
        <w:numPr>
          <w:numId w:val="0"/>
        </w:numPr>
        <w:kinsoku/>
        <w:wordWrap/>
        <w:overflowPunct/>
        <w:topLinePunct w:val="0"/>
        <w:autoSpaceDE/>
        <w:autoSpaceDN/>
        <w:bidi w:val="0"/>
        <w:adjustRightInd/>
        <w:snapToGrid/>
        <w:spacing w:before="0" w:beforeLines="0" w:after="0" w:afterLines="0"/>
        <w:ind w:leftChars="0"/>
        <w:jc w:val="both"/>
        <w:textAlignment w:val="auto"/>
        <w:outlineLvl w:val="9"/>
        <w:rPr>
          <w:rFonts w:hint="default" w:ascii="Times New Roman" w:hAnsi="Times New Roman" w:eastAsia="宋体" w:cs="Times New Roman"/>
          <w:sz w:val="21"/>
          <w:lang w:val="en-US" w:eastAsia="zh-CN" w:bidi="ar-SA"/>
        </w:rPr>
      </w:pPr>
      <w:r>
        <w:rPr>
          <w:rFonts w:hint="eastAsia" w:ascii="Times New Roman" w:hAnsi="Times New Roman" w:eastAsia="仿宋_GB2312" w:cs="Times New Roman"/>
          <w:kern w:val="2"/>
          <w:sz w:val="28"/>
          <w:szCs w:val="28"/>
          <w:lang w:val="en-US" w:eastAsia="zh-CN" w:bidi="ar-SA"/>
        </w:rPr>
        <w:t>按定尺或倍尺交货的圆钢，其长度允许偏差应不超过</w:t>
      </w:r>
      <w:r>
        <w:rPr>
          <w:rFonts w:hint="eastAsia" w:ascii="宋体" w:hAnsi="宋体" w:eastAsia="宋体" w:cs="宋体"/>
          <w:sz w:val="28"/>
          <w:szCs w:val="28"/>
          <w:highlight w:val="none"/>
          <w:lang w:val="en-US" w:eastAsia="zh-CN" w:bidi="ar-SA"/>
          <w:eastAsianLayout w:id="3" w:combine="1"/>
        </w:rPr>
        <w:t>+50   0</w:t>
      </w:r>
      <w:r>
        <w:rPr>
          <w:rFonts w:hint="eastAsia" w:ascii="Times New Roman" w:hAnsi="Times New Roman" w:eastAsia="仿宋_GB2312" w:cs="Times New Roman"/>
          <w:kern w:val="2"/>
          <w:sz w:val="28"/>
          <w:szCs w:val="28"/>
          <w:lang w:val="en-US" w:eastAsia="zh-CN" w:bidi="ar-SA"/>
        </w:rPr>
        <w:t>mm</w:t>
      </w:r>
      <w:r>
        <w:rPr>
          <w:rFonts w:hint="default" w:ascii="Times New Roman" w:hAnsi="Times New Roman" w:eastAsia="宋体" w:cs="Times New Roman"/>
          <w:sz w:val="21"/>
          <w:szCs w:val="21"/>
          <w:lang w:val="en-US" w:eastAsia="zh-CN" w:bidi="ar-SA"/>
        </w:rPr>
        <w:t>。</w:t>
      </w:r>
    </w:p>
    <w:p w14:paraId="4FAFBE43">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（3）外形</w:t>
      </w:r>
    </w:p>
    <w:p w14:paraId="4EB20400">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圆钢的不圆度应符合GB/T 702—2017的规定</w:t>
      </w:r>
      <w:r>
        <w:rPr>
          <w:rFonts w:hint="eastAsia" w:ascii="Times New Roman" w:hAnsi="Times New Roman" w:eastAsia="仿宋_GB2312" w:cs="Times New Roman"/>
          <w:sz w:val="28"/>
          <w:szCs w:val="28"/>
          <w:lang w:val="en-US" w:eastAsia="zh-CN"/>
        </w:rPr>
        <w:t>。</w:t>
      </w:r>
    </w:p>
    <w:p w14:paraId="5B29E3EF">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圆钢的每米弯曲度应不大于3.0 mm，总弯曲度应不大于圆钢长度的0.3%</w:t>
      </w:r>
      <w:r>
        <w:rPr>
          <w:rFonts w:hint="eastAsia" w:ascii="Times New Roman" w:hAnsi="Times New Roman" w:eastAsia="仿宋_GB2312" w:cs="Times New Roman"/>
          <w:sz w:val="28"/>
          <w:szCs w:val="28"/>
          <w:lang w:val="en-US" w:eastAsia="zh-CN"/>
        </w:rPr>
        <w:t>。</w:t>
      </w:r>
    </w:p>
    <w:p w14:paraId="168AC3FB">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圆钢不应有显著扭转</w:t>
      </w:r>
      <w:r>
        <w:rPr>
          <w:rFonts w:hint="eastAsia" w:ascii="Times New Roman" w:hAnsi="Times New Roman" w:eastAsia="仿宋_GB2312" w:cs="Times New Roman"/>
          <w:sz w:val="28"/>
          <w:szCs w:val="28"/>
          <w:lang w:val="en-US" w:eastAsia="zh-CN"/>
        </w:rPr>
        <w:t>。</w:t>
      </w:r>
    </w:p>
    <w:p w14:paraId="4154ECE9">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圆钢端头应锯切或剪切整齐，不应有飞边、毛刺及影响使用的切斜和压扁</w:t>
      </w:r>
      <w:r>
        <w:rPr>
          <w:rFonts w:hint="eastAsia" w:ascii="Times New Roman" w:hAnsi="Times New Roman" w:eastAsia="仿宋_GB2312" w:cs="Times New Roman"/>
          <w:sz w:val="28"/>
          <w:szCs w:val="28"/>
          <w:lang w:val="en-US" w:eastAsia="zh-CN"/>
        </w:rPr>
        <w:t>。</w:t>
      </w:r>
    </w:p>
    <w:p w14:paraId="1E817DF2">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圆钢按实际重量交货</w:t>
      </w:r>
      <w:r>
        <w:rPr>
          <w:rFonts w:hint="eastAsia" w:ascii="Times New Roman" w:hAnsi="Times New Roman" w:eastAsia="仿宋_GB2312" w:cs="Times New Roman"/>
          <w:sz w:val="28"/>
          <w:szCs w:val="28"/>
          <w:lang w:val="en-US" w:eastAsia="zh-CN"/>
        </w:rPr>
        <w:t>。</w:t>
      </w:r>
    </w:p>
    <w:p w14:paraId="3D5B7464">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根据需方要求，经供需双方协商，并在合同中注明，可提出下列特殊要求：</w:t>
      </w:r>
    </w:p>
    <w:p w14:paraId="5186F94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淬火断口检测；</w:t>
      </w:r>
      <w:bookmarkStart w:id="8" w:name="_GoBack"/>
      <w:bookmarkEnd w:id="8"/>
    </w:p>
    <w:p w14:paraId="7EABB1C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高频超声检测；</w:t>
      </w:r>
    </w:p>
    <w:p w14:paraId="006A224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加严表面质量；</w:t>
      </w:r>
    </w:p>
    <w:p w14:paraId="6619746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其他特殊要求。</w:t>
      </w:r>
    </w:p>
    <w:p w14:paraId="46A7B4CF">
      <w:pPr>
        <w:numPr>
          <w:ilvl w:val="0"/>
          <w:numId w:val="3"/>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试验方法</w:t>
      </w:r>
    </w:p>
    <w:p w14:paraId="39092DA7">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钢的化学成分分析按GB/T 223(所有部分)、GB/T 4336、GB/T 20123等通用方法进行，仲裁时由供需双方协商确定</w:t>
      </w:r>
      <w:r>
        <w:rPr>
          <w:rFonts w:hint="eastAsia" w:ascii="Times New Roman" w:hAnsi="Times New Roman" w:eastAsia="仿宋_GB2312" w:cs="Times New Roman"/>
          <w:sz w:val="28"/>
          <w:szCs w:val="28"/>
          <w:lang w:val="en-US" w:eastAsia="zh-CN"/>
        </w:rPr>
        <w:t>。</w:t>
      </w:r>
    </w:p>
    <w:p w14:paraId="1DE7D346">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圆钢的检验项目及试验方法应符合表9的规定</w:t>
      </w:r>
      <w:r>
        <w:rPr>
          <w:rFonts w:hint="eastAsia" w:ascii="Times New Roman" w:hAnsi="Times New Roman" w:eastAsia="仿宋_GB2312" w:cs="Times New Roman"/>
          <w:sz w:val="28"/>
          <w:szCs w:val="28"/>
          <w:lang w:val="en-US" w:eastAsia="zh-CN"/>
        </w:rPr>
        <w:t>。</w:t>
      </w:r>
    </w:p>
    <w:p w14:paraId="07699E5E">
      <w:pPr>
        <w:numPr>
          <w:ilvl w:val="0"/>
          <w:numId w:val="2"/>
        </w:numPr>
        <w:tabs>
          <w:tab w:val="left" w:pos="360"/>
        </w:tabs>
        <w:spacing w:before="156" w:beforeLines="50" w:after="156" w:afterLines="50"/>
        <w:ind w:left="420"/>
        <w:jc w:val="center"/>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检验项目、取样数量、取样部位及试验方法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98"/>
        <w:gridCol w:w="2631"/>
        <w:gridCol w:w="1628"/>
        <w:gridCol w:w="2477"/>
      </w:tblGrid>
      <w:tr w14:paraId="0EA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dxa"/>
            <w:vAlign w:val="center"/>
          </w:tcPr>
          <w:p w14:paraId="0B19F953">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序号</w:t>
            </w:r>
          </w:p>
        </w:tc>
        <w:tc>
          <w:tcPr>
            <w:tcW w:w="1337" w:type="dxa"/>
            <w:vAlign w:val="center"/>
          </w:tcPr>
          <w:p w14:paraId="7ED2659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检验项目</w:t>
            </w:r>
          </w:p>
        </w:tc>
        <w:tc>
          <w:tcPr>
            <w:tcW w:w="2988" w:type="dxa"/>
            <w:vAlign w:val="center"/>
          </w:tcPr>
          <w:p w14:paraId="4F8D2AE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取样数量</w:t>
            </w:r>
            <w:r>
              <w:rPr>
                <w:rFonts w:hint="eastAsia" w:ascii="宋体" w:hAnsi="宋体" w:eastAsia="宋体" w:cs="宋体"/>
                <w:sz w:val="18"/>
                <w:szCs w:val="18"/>
                <w:highlight w:val="none"/>
                <w:vertAlign w:val="superscript"/>
                <w:lang w:val="en-US" w:eastAsia="zh-CN" w:bidi="ar-SA"/>
              </w:rPr>
              <w:t>a</w:t>
            </w:r>
          </w:p>
        </w:tc>
        <w:tc>
          <w:tcPr>
            <w:tcW w:w="1701" w:type="dxa"/>
            <w:vAlign w:val="center"/>
          </w:tcPr>
          <w:p w14:paraId="330997D5">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取样部位</w:t>
            </w:r>
          </w:p>
        </w:tc>
        <w:tc>
          <w:tcPr>
            <w:tcW w:w="2698" w:type="dxa"/>
            <w:vAlign w:val="center"/>
          </w:tcPr>
          <w:p w14:paraId="352838E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试验方法</w:t>
            </w:r>
          </w:p>
        </w:tc>
      </w:tr>
      <w:tr w14:paraId="3287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01A81E12">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1</w:t>
            </w:r>
          </w:p>
        </w:tc>
        <w:tc>
          <w:tcPr>
            <w:tcW w:w="1337" w:type="dxa"/>
            <w:vAlign w:val="center"/>
          </w:tcPr>
          <w:p w14:paraId="5CB80512">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化学成分</w:t>
            </w:r>
          </w:p>
        </w:tc>
        <w:tc>
          <w:tcPr>
            <w:tcW w:w="2988" w:type="dxa"/>
            <w:vAlign w:val="center"/>
          </w:tcPr>
          <w:p w14:paraId="0D26CB7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1个/炉</w:t>
            </w:r>
          </w:p>
        </w:tc>
        <w:tc>
          <w:tcPr>
            <w:tcW w:w="1701" w:type="dxa"/>
            <w:vMerge w:val="restart"/>
            <w:vAlign w:val="center"/>
          </w:tcPr>
          <w:p w14:paraId="7E39015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见8.3.2</w:t>
            </w:r>
          </w:p>
        </w:tc>
        <w:tc>
          <w:tcPr>
            <w:tcW w:w="2698" w:type="dxa"/>
            <w:vAlign w:val="center"/>
          </w:tcPr>
          <w:p w14:paraId="51382B4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见7.1</w:t>
            </w:r>
          </w:p>
        </w:tc>
      </w:tr>
      <w:tr w14:paraId="185A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72C9512">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2</w:t>
            </w:r>
          </w:p>
        </w:tc>
        <w:tc>
          <w:tcPr>
            <w:tcW w:w="1337" w:type="dxa"/>
            <w:vAlign w:val="center"/>
          </w:tcPr>
          <w:p w14:paraId="7FA5500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氧含量</w:t>
            </w:r>
          </w:p>
        </w:tc>
        <w:tc>
          <w:tcPr>
            <w:tcW w:w="2988" w:type="dxa"/>
            <w:vAlign w:val="center"/>
          </w:tcPr>
          <w:p w14:paraId="414E0C5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1个/批</w:t>
            </w:r>
          </w:p>
        </w:tc>
        <w:tc>
          <w:tcPr>
            <w:tcW w:w="1701" w:type="dxa"/>
            <w:vMerge w:val="continue"/>
            <w:vAlign w:val="center"/>
          </w:tcPr>
          <w:p w14:paraId="5A021AA9">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p>
        </w:tc>
        <w:tc>
          <w:tcPr>
            <w:tcW w:w="2698" w:type="dxa"/>
            <w:vAlign w:val="center"/>
          </w:tcPr>
          <w:p w14:paraId="2F42981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GB/T 11261</w:t>
            </w:r>
          </w:p>
        </w:tc>
      </w:tr>
      <w:tr w14:paraId="6853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8DF371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3</w:t>
            </w:r>
          </w:p>
        </w:tc>
        <w:tc>
          <w:tcPr>
            <w:tcW w:w="1337" w:type="dxa"/>
            <w:vAlign w:val="center"/>
          </w:tcPr>
          <w:p w14:paraId="6F694E98">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硬度</w:t>
            </w:r>
          </w:p>
        </w:tc>
        <w:tc>
          <w:tcPr>
            <w:tcW w:w="2988" w:type="dxa"/>
            <w:vAlign w:val="center"/>
          </w:tcPr>
          <w:p w14:paraId="677796D5">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2个/批</w:t>
            </w:r>
          </w:p>
        </w:tc>
        <w:tc>
          <w:tcPr>
            <w:tcW w:w="1701" w:type="dxa"/>
            <w:vAlign w:val="center"/>
          </w:tcPr>
          <w:p w14:paraId="5CA04F3B">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不同支圆钢</w:t>
            </w:r>
          </w:p>
        </w:tc>
        <w:tc>
          <w:tcPr>
            <w:tcW w:w="2698" w:type="dxa"/>
            <w:vAlign w:val="center"/>
          </w:tcPr>
          <w:p w14:paraId="58B27A54">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GB/T 231.1</w:t>
            </w:r>
          </w:p>
        </w:tc>
      </w:tr>
      <w:tr w14:paraId="0AF2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DBD3593">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4</w:t>
            </w:r>
          </w:p>
        </w:tc>
        <w:tc>
          <w:tcPr>
            <w:tcW w:w="1337" w:type="dxa"/>
            <w:vAlign w:val="center"/>
          </w:tcPr>
          <w:p w14:paraId="5E9367A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低倍</w:t>
            </w:r>
          </w:p>
        </w:tc>
        <w:tc>
          <w:tcPr>
            <w:tcW w:w="2988" w:type="dxa"/>
            <w:vAlign w:val="center"/>
          </w:tcPr>
          <w:p w14:paraId="75D09FDA">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6个/批</w:t>
            </w:r>
          </w:p>
        </w:tc>
        <w:tc>
          <w:tcPr>
            <w:tcW w:w="1701" w:type="dxa"/>
            <w:vAlign w:val="center"/>
          </w:tcPr>
          <w:p w14:paraId="2E2198E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任意6支，任意一端</w:t>
            </w:r>
          </w:p>
        </w:tc>
        <w:tc>
          <w:tcPr>
            <w:tcW w:w="2698" w:type="dxa"/>
            <w:vAlign w:val="center"/>
          </w:tcPr>
          <w:p w14:paraId="7635C714">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GB/T 226,GB/T 18254—2016</w:t>
            </w:r>
          </w:p>
        </w:tc>
      </w:tr>
      <w:tr w14:paraId="5484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9CD89B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5</w:t>
            </w:r>
          </w:p>
        </w:tc>
        <w:tc>
          <w:tcPr>
            <w:tcW w:w="1337" w:type="dxa"/>
            <w:vAlign w:val="center"/>
          </w:tcPr>
          <w:p w14:paraId="0E2BE19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塔形发纹</w:t>
            </w:r>
          </w:p>
        </w:tc>
        <w:tc>
          <w:tcPr>
            <w:tcW w:w="2988" w:type="dxa"/>
            <w:vAlign w:val="center"/>
          </w:tcPr>
          <w:p w14:paraId="4B196DA5">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2个/批</w:t>
            </w:r>
          </w:p>
        </w:tc>
        <w:tc>
          <w:tcPr>
            <w:tcW w:w="1701" w:type="dxa"/>
            <w:vAlign w:val="center"/>
          </w:tcPr>
          <w:p w14:paraId="3C3224E7">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不同支圆钢</w:t>
            </w:r>
          </w:p>
        </w:tc>
        <w:tc>
          <w:tcPr>
            <w:tcW w:w="2698" w:type="dxa"/>
            <w:vAlign w:val="center"/>
          </w:tcPr>
          <w:p w14:paraId="41E14DB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lang w:val="en-US" w:eastAsia="zh-CN" w:bidi="ar-SA"/>
              </w:rPr>
              <w:t>GB/T 15711</w:t>
            </w:r>
          </w:p>
        </w:tc>
      </w:tr>
      <w:tr w14:paraId="61C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F8194E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6</w:t>
            </w:r>
          </w:p>
        </w:tc>
        <w:tc>
          <w:tcPr>
            <w:tcW w:w="1337" w:type="dxa"/>
            <w:vAlign w:val="center"/>
          </w:tcPr>
          <w:p w14:paraId="093988E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非金属夹杂物</w:t>
            </w:r>
          </w:p>
        </w:tc>
        <w:tc>
          <w:tcPr>
            <w:tcW w:w="2988" w:type="dxa"/>
            <w:vAlign w:val="center"/>
          </w:tcPr>
          <w:p w14:paraId="1AEE8C2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6个/批</w:t>
            </w:r>
          </w:p>
        </w:tc>
        <w:tc>
          <w:tcPr>
            <w:tcW w:w="1701" w:type="dxa"/>
            <w:vAlign w:val="center"/>
          </w:tcPr>
          <w:p w14:paraId="14DF7214">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宋体" w:eastAsia="宋体" w:cs="宋体"/>
                <w:sz w:val="18"/>
                <w:szCs w:val="18"/>
                <w:highlight w:val="none"/>
                <w:vertAlign w:val="baseline"/>
                <w:lang w:val="en-US" w:eastAsia="zh-CN" w:bidi="ar-SA"/>
              </w:rPr>
            </w:pPr>
            <w:r>
              <w:rPr>
                <w:rFonts w:hint="eastAsia" w:ascii="宋体" w:hAnsi="宋体" w:eastAsia="宋体" w:cs="宋体"/>
                <w:kern w:val="0"/>
                <w:sz w:val="18"/>
                <w:szCs w:val="18"/>
                <w:highlight w:val="none"/>
                <w:lang w:val="en-US" w:eastAsia="zh-CN" w:bidi="ar-SA"/>
              </w:rPr>
              <w:t>G</w:t>
            </w:r>
            <w:r>
              <w:rPr>
                <w:rFonts w:hint="default" w:ascii="宋体" w:hAnsi="宋体" w:eastAsia="宋体" w:cs="宋体"/>
                <w:kern w:val="0"/>
                <w:sz w:val="18"/>
                <w:szCs w:val="18"/>
                <w:highlight w:val="none"/>
                <w:lang w:val="en-US" w:eastAsia="zh-CN" w:bidi="ar-SA"/>
              </w:rPr>
              <w:t>B/T 18254</w:t>
            </w:r>
            <w:r>
              <w:rPr>
                <w:rFonts w:hint="eastAsia" w:ascii="宋体" w:hAnsi="宋体" w:eastAsia="宋体" w:cs="宋体"/>
                <w:kern w:val="0"/>
                <w:sz w:val="18"/>
                <w:szCs w:val="18"/>
                <w:highlight w:val="none"/>
                <w:lang w:val="en-US" w:eastAsia="zh-CN" w:bidi="ar-SA"/>
              </w:rPr>
              <w:t>—</w:t>
            </w:r>
            <w:r>
              <w:rPr>
                <w:rFonts w:hint="default" w:ascii="宋体" w:hAnsi="宋体" w:eastAsia="宋体" w:cs="宋体"/>
                <w:kern w:val="0"/>
                <w:sz w:val="18"/>
                <w:szCs w:val="18"/>
                <w:highlight w:val="none"/>
                <w:lang w:val="en-US" w:eastAsia="zh-CN" w:bidi="ar-SA"/>
              </w:rPr>
              <w:t>2016</w:t>
            </w:r>
          </w:p>
        </w:tc>
        <w:tc>
          <w:tcPr>
            <w:tcW w:w="2698" w:type="dxa"/>
            <w:vAlign w:val="center"/>
          </w:tcPr>
          <w:p w14:paraId="44F6CB05">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lang w:val="en-US" w:eastAsia="zh-CN" w:bidi="ar-SA"/>
              </w:rPr>
              <w:t>GB/T 10561</w:t>
            </w:r>
            <w:r>
              <w:rPr>
                <w:rFonts w:hint="eastAsia" w:ascii="宋体" w:hAnsi="宋体" w:eastAsia="宋体" w:cs="宋体"/>
                <w:sz w:val="18"/>
                <w:szCs w:val="18"/>
                <w:highlight w:val="none"/>
                <w:vertAlign w:val="baseline"/>
                <w:lang w:val="en-US" w:eastAsia="zh-CN" w:bidi="ar-SA"/>
              </w:rPr>
              <w:t>—</w:t>
            </w:r>
            <w:r>
              <w:rPr>
                <w:rFonts w:hint="eastAsia" w:ascii="宋体" w:hAnsi="宋体" w:eastAsia="宋体" w:cs="宋体"/>
                <w:sz w:val="18"/>
                <w:szCs w:val="18"/>
                <w:highlight w:val="none"/>
                <w:lang w:val="en-US" w:eastAsia="zh-CN" w:bidi="ar-SA"/>
              </w:rPr>
              <w:t>2023中A法</w:t>
            </w:r>
          </w:p>
        </w:tc>
      </w:tr>
      <w:tr w14:paraId="7B7F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B85463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7</w:t>
            </w:r>
          </w:p>
        </w:tc>
        <w:tc>
          <w:tcPr>
            <w:tcW w:w="1337" w:type="dxa"/>
            <w:vAlign w:val="center"/>
          </w:tcPr>
          <w:p w14:paraId="05CA402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脱碳层</w:t>
            </w:r>
          </w:p>
        </w:tc>
        <w:tc>
          <w:tcPr>
            <w:tcW w:w="2988" w:type="dxa"/>
            <w:vAlign w:val="center"/>
          </w:tcPr>
          <w:p w14:paraId="5ED198AE">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公称直径≤60 mm，取5个/批；</w:t>
            </w:r>
          </w:p>
          <w:p w14:paraId="543FF44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公称直径＞60 mm，取3个/批。</w:t>
            </w:r>
          </w:p>
        </w:tc>
        <w:tc>
          <w:tcPr>
            <w:tcW w:w="1701" w:type="dxa"/>
            <w:vAlign w:val="center"/>
          </w:tcPr>
          <w:p w14:paraId="43A1207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不同支圆钢</w:t>
            </w:r>
          </w:p>
        </w:tc>
        <w:tc>
          <w:tcPr>
            <w:tcW w:w="2698" w:type="dxa"/>
            <w:vAlign w:val="center"/>
          </w:tcPr>
          <w:p w14:paraId="387C2909">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lang w:val="en-US" w:eastAsia="zh-CN" w:bidi="ar-SA"/>
              </w:rPr>
              <w:t>GB/T 224</w:t>
            </w:r>
            <w:r>
              <w:rPr>
                <w:rFonts w:hint="eastAsia" w:ascii="宋体" w:hAnsi="宋体" w:eastAsia="宋体" w:cs="宋体"/>
                <w:sz w:val="18"/>
                <w:szCs w:val="18"/>
                <w:highlight w:val="none"/>
                <w:vertAlign w:val="baseline"/>
                <w:lang w:val="en-US" w:eastAsia="zh-CN" w:bidi="ar-SA"/>
              </w:rPr>
              <w:t>—</w:t>
            </w:r>
            <w:r>
              <w:rPr>
                <w:rFonts w:hint="eastAsia" w:ascii="宋体" w:hAnsi="宋体" w:eastAsia="宋体" w:cs="宋体"/>
                <w:sz w:val="18"/>
                <w:szCs w:val="18"/>
                <w:highlight w:val="none"/>
                <w:lang w:val="en-US" w:eastAsia="zh-CN" w:bidi="ar-SA"/>
              </w:rPr>
              <w:t>2019</w:t>
            </w:r>
          </w:p>
        </w:tc>
      </w:tr>
      <w:tr w14:paraId="3CDA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A064D2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8</w:t>
            </w:r>
          </w:p>
        </w:tc>
        <w:tc>
          <w:tcPr>
            <w:tcW w:w="1337" w:type="dxa"/>
            <w:vAlign w:val="center"/>
          </w:tcPr>
          <w:p w14:paraId="4BA61914">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碳化物网状</w:t>
            </w:r>
          </w:p>
        </w:tc>
        <w:tc>
          <w:tcPr>
            <w:tcW w:w="2988" w:type="dxa"/>
            <w:vMerge w:val="restart"/>
            <w:vAlign w:val="center"/>
          </w:tcPr>
          <w:p w14:paraId="38CDF30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公称直径≤60 mm，取5个/批；</w:t>
            </w:r>
          </w:p>
          <w:p w14:paraId="021B3AC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公称直径＞60 mm，取3个/批。</w:t>
            </w:r>
          </w:p>
        </w:tc>
        <w:tc>
          <w:tcPr>
            <w:tcW w:w="1701" w:type="dxa"/>
            <w:vMerge w:val="restart"/>
            <w:vAlign w:val="center"/>
          </w:tcPr>
          <w:p w14:paraId="0281303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lang w:val="en-US" w:eastAsia="zh-CN" w:bidi="ar-SA"/>
              </w:rPr>
              <w:t>GB/T 18254</w:t>
            </w:r>
            <w:r>
              <w:rPr>
                <w:rFonts w:hint="eastAsia" w:ascii="宋体" w:hAnsi="宋体" w:eastAsia="宋体" w:cs="宋体"/>
                <w:sz w:val="18"/>
                <w:szCs w:val="18"/>
                <w:highlight w:val="none"/>
                <w:vertAlign w:val="baseline"/>
                <w:lang w:val="en-US" w:eastAsia="zh-CN" w:bidi="ar-SA"/>
              </w:rPr>
              <w:t>—</w:t>
            </w:r>
            <w:r>
              <w:rPr>
                <w:rFonts w:hint="eastAsia" w:ascii="宋体" w:hAnsi="宋体" w:eastAsia="宋体" w:cs="宋体"/>
                <w:sz w:val="18"/>
                <w:szCs w:val="18"/>
                <w:highlight w:val="none"/>
                <w:lang w:val="en-US" w:eastAsia="zh-CN" w:bidi="ar-SA"/>
              </w:rPr>
              <w:t>2016</w:t>
            </w:r>
          </w:p>
        </w:tc>
        <w:tc>
          <w:tcPr>
            <w:tcW w:w="2698" w:type="dxa"/>
            <w:vMerge w:val="restart"/>
            <w:vAlign w:val="center"/>
          </w:tcPr>
          <w:p w14:paraId="367308B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bidi="ar-SA"/>
              </w:rPr>
              <w:t>GB/T 18254—2016</w:t>
            </w:r>
          </w:p>
        </w:tc>
      </w:tr>
      <w:tr w14:paraId="5DBA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2B607B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9</w:t>
            </w:r>
          </w:p>
        </w:tc>
        <w:tc>
          <w:tcPr>
            <w:tcW w:w="1337" w:type="dxa"/>
            <w:vAlign w:val="center"/>
          </w:tcPr>
          <w:p w14:paraId="6BCF373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碳化物带状</w:t>
            </w:r>
          </w:p>
        </w:tc>
        <w:tc>
          <w:tcPr>
            <w:tcW w:w="2988" w:type="dxa"/>
            <w:vMerge w:val="continue"/>
            <w:vAlign w:val="center"/>
          </w:tcPr>
          <w:p w14:paraId="14CC438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p>
        </w:tc>
        <w:tc>
          <w:tcPr>
            <w:tcW w:w="1701" w:type="dxa"/>
            <w:vMerge w:val="continue"/>
            <w:vAlign w:val="center"/>
          </w:tcPr>
          <w:p w14:paraId="113C92FB">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p>
        </w:tc>
        <w:tc>
          <w:tcPr>
            <w:tcW w:w="2698" w:type="dxa"/>
            <w:vMerge w:val="continue"/>
            <w:vAlign w:val="center"/>
          </w:tcPr>
          <w:p w14:paraId="14433DE2">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lang w:val="en-US" w:eastAsia="zh-CN" w:bidi="ar-SA"/>
              </w:rPr>
            </w:pPr>
          </w:p>
        </w:tc>
      </w:tr>
      <w:tr w14:paraId="1426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7020E7F">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10</w:t>
            </w:r>
          </w:p>
        </w:tc>
        <w:tc>
          <w:tcPr>
            <w:tcW w:w="1337" w:type="dxa"/>
            <w:vAlign w:val="center"/>
          </w:tcPr>
          <w:p w14:paraId="74A983F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碳化物液析</w:t>
            </w:r>
          </w:p>
        </w:tc>
        <w:tc>
          <w:tcPr>
            <w:tcW w:w="2988" w:type="dxa"/>
            <w:vMerge w:val="continue"/>
            <w:vAlign w:val="center"/>
          </w:tcPr>
          <w:p w14:paraId="72E0CED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p>
        </w:tc>
        <w:tc>
          <w:tcPr>
            <w:tcW w:w="1701" w:type="dxa"/>
            <w:vMerge w:val="continue"/>
            <w:vAlign w:val="center"/>
          </w:tcPr>
          <w:p w14:paraId="59F945FB">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p>
        </w:tc>
        <w:tc>
          <w:tcPr>
            <w:tcW w:w="2698" w:type="dxa"/>
            <w:vMerge w:val="continue"/>
            <w:vAlign w:val="center"/>
          </w:tcPr>
          <w:p w14:paraId="3B213D05">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lang w:val="en-US" w:eastAsia="zh-CN" w:bidi="ar-SA"/>
              </w:rPr>
            </w:pPr>
          </w:p>
        </w:tc>
      </w:tr>
    </w:tbl>
    <w:p w14:paraId="589A59F9">
      <w:pPr>
        <w:numPr>
          <w:ilvl w:val="0"/>
          <w:numId w:val="0"/>
        </w:numPr>
        <w:tabs>
          <w:tab w:val="left" w:pos="360"/>
        </w:tabs>
        <w:spacing w:before="156" w:beforeLines="50" w:after="156" w:afterLines="50"/>
        <w:ind w:left="420" w:leftChars="0"/>
        <w:jc w:val="center"/>
        <w:rPr>
          <w:rFonts w:hint="eastAsia" w:ascii="黑体" w:hAnsi="宋体" w:eastAsia="黑体" w:cs="宋体"/>
          <w:sz w:val="18"/>
          <w:szCs w:val="18"/>
          <w:highlight w:val="none"/>
          <w:vertAlign w:val="baseline"/>
          <w:lang w:val="en-US" w:eastAsia="zh-CN" w:bidi="ar-SA"/>
        </w:rPr>
      </w:pPr>
      <w:r>
        <w:rPr>
          <w:rFonts w:hint="eastAsia" w:ascii="黑体" w:hAnsi="宋体" w:eastAsia="黑体" w:cs="宋体"/>
          <w:sz w:val="18"/>
          <w:szCs w:val="18"/>
          <w:highlight w:val="none"/>
          <w:vertAlign w:val="baseline"/>
          <w:lang w:val="en-US" w:eastAsia="zh-CN" w:bidi="ar-SA"/>
        </w:rPr>
        <w:br w:type="page"/>
      </w:r>
      <w:r>
        <w:rPr>
          <w:rFonts w:hint="eastAsia" w:ascii="黑体" w:hAnsi="Times New Roman" w:eastAsia="黑体" w:cs="Times New Roman"/>
          <w:sz w:val="21"/>
          <w:lang w:val="en-US" w:eastAsia="zh-CN" w:bidi="ar-SA"/>
        </w:rPr>
        <w:t>表9（续）</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220"/>
        <w:gridCol w:w="2619"/>
        <w:gridCol w:w="1625"/>
        <w:gridCol w:w="2470"/>
      </w:tblGrid>
      <w:tr w14:paraId="0885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1" w:type="dxa"/>
            <w:vAlign w:val="center"/>
          </w:tcPr>
          <w:p w14:paraId="21368387">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序号</w:t>
            </w:r>
          </w:p>
        </w:tc>
        <w:tc>
          <w:tcPr>
            <w:tcW w:w="1337" w:type="dxa"/>
            <w:vAlign w:val="center"/>
          </w:tcPr>
          <w:p w14:paraId="3CBFAFA9">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检验项目</w:t>
            </w:r>
          </w:p>
        </w:tc>
        <w:tc>
          <w:tcPr>
            <w:tcW w:w="2988" w:type="dxa"/>
            <w:vAlign w:val="center"/>
          </w:tcPr>
          <w:p w14:paraId="5C1BAF52">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取样数量</w:t>
            </w:r>
            <w:r>
              <w:rPr>
                <w:rFonts w:hint="eastAsia" w:ascii="宋体" w:hAnsi="宋体" w:eastAsia="宋体" w:cs="宋体"/>
                <w:sz w:val="18"/>
                <w:szCs w:val="18"/>
                <w:highlight w:val="none"/>
                <w:vertAlign w:val="superscript"/>
                <w:lang w:val="en-US" w:eastAsia="zh-CN" w:bidi="ar-SA"/>
              </w:rPr>
              <w:t>a</w:t>
            </w:r>
          </w:p>
        </w:tc>
        <w:tc>
          <w:tcPr>
            <w:tcW w:w="1701" w:type="dxa"/>
            <w:vAlign w:val="center"/>
          </w:tcPr>
          <w:p w14:paraId="112CFC83">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取样部位</w:t>
            </w:r>
          </w:p>
        </w:tc>
        <w:tc>
          <w:tcPr>
            <w:tcW w:w="2698" w:type="dxa"/>
            <w:vAlign w:val="center"/>
          </w:tcPr>
          <w:p w14:paraId="764B10EE">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试验方法</w:t>
            </w:r>
          </w:p>
        </w:tc>
      </w:tr>
      <w:tr w14:paraId="7017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CEB87EB">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11</w:t>
            </w:r>
          </w:p>
        </w:tc>
        <w:tc>
          <w:tcPr>
            <w:tcW w:w="1337" w:type="dxa"/>
            <w:vAlign w:val="center"/>
          </w:tcPr>
          <w:p w14:paraId="59B6293B">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显微孔隙</w:t>
            </w:r>
          </w:p>
        </w:tc>
        <w:tc>
          <w:tcPr>
            <w:tcW w:w="2988" w:type="dxa"/>
            <w:vAlign w:val="center"/>
          </w:tcPr>
          <w:p w14:paraId="34C3910B">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公称直径≤60 mm，取5个/批；</w:t>
            </w:r>
          </w:p>
          <w:p w14:paraId="3A6FCDDC">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公称直径＞60 mm，取3个/批。</w:t>
            </w:r>
          </w:p>
        </w:tc>
        <w:tc>
          <w:tcPr>
            <w:tcW w:w="1701" w:type="dxa"/>
            <w:vAlign w:val="center"/>
          </w:tcPr>
          <w:p w14:paraId="7DBE34E9">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lang w:val="en-US" w:eastAsia="zh-CN" w:bidi="ar-SA"/>
              </w:rPr>
              <w:t>GB/T 18254</w:t>
            </w:r>
            <w:r>
              <w:rPr>
                <w:rFonts w:hint="eastAsia" w:ascii="宋体" w:hAnsi="宋体" w:eastAsia="宋体" w:cs="宋体"/>
                <w:sz w:val="18"/>
                <w:szCs w:val="18"/>
                <w:highlight w:val="none"/>
                <w:vertAlign w:val="baseline"/>
                <w:lang w:val="en-US" w:eastAsia="zh-CN" w:bidi="ar-SA"/>
              </w:rPr>
              <w:t>—</w:t>
            </w:r>
            <w:r>
              <w:rPr>
                <w:rFonts w:hint="eastAsia" w:ascii="宋体" w:hAnsi="宋体" w:eastAsia="宋体" w:cs="宋体"/>
                <w:sz w:val="18"/>
                <w:szCs w:val="18"/>
                <w:highlight w:val="none"/>
                <w:lang w:val="en-US" w:eastAsia="zh-CN" w:bidi="ar-SA"/>
              </w:rPr>
              <w:t>2016</w:t>
            </w:r>
          </w:p>
        </w:tc>
        <w:tc>
          <w:tcPr>
            <w:tcW w:w="2698" w:type="dxa"/>
            <w:vAlign w:val="center"/>
          </w:tcPr>
          <w:p w14:paraId="12D8B9F6">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bidi="ar-SA"/>
              </w:rPr>
              <w:t>GB/T 18254—2016</w:t>
            </w:r>
          </w:p>
        </w:tc>
      </w:tr>
      <w:tr w14:paraId="0E25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shd w:val="clear" w:color="auto" w:fill="auto"/>
            <w:vAlign w:val="center"/>
          </w:tcPr>
          <w:p w14:paraId="432E28A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12</w:t>
            </w:r>
          </w:p>
        </w:tc>
        <w:tc>
          <w:tcPr>
            <w:tcW w:w="1337" w:type="dxa"/>
            <w:shd w:val="clear" w:color="auto" w:fill="auto"/>
            <w:vAlign w:val="center"/>
          </w:tcPr>
          <w:p w14:paraId="50ED1A97">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超声检测</w:t>
            </w:r>
          </w:p>
        </w:tc>
        <w:tc>
          <w:tcPr>
            <w:tcW w:w="2988" w:type="dxa"/>
            <w:shd w:val="clear" w:color="auto" w:fill="auto"/>
            <w:vAlign w:val="center"/>
          </w:tcPr>
          <w:p w14:paraId="0C29D70E">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逐支</w:t>
            </w:r>
          </w:p>
        </w:tc>
        <w:tc>
          <w:tcPr>
            <w:tcW w:w="1701" w:type="dxa"/>
            <w:shd w:val="clear" w:color="auto" w:fill="auto"/>
            <w:vAlign w:val="center"/>
          </w:tcPr>
          <w:p w14:paraId="692E397E">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整支圆钢</w:t>
            </w:r>
          </w:p>
        </w:tc>
        <w:tc>
          <w:tcPr>
            <w:tcW w:w="2698" w:type="dxa"/>
            <w:vAlign w:val="center"/>
          </w:tcPr>
          <w:p w14:paraId="2C23D9A5">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lang w:val="en-US" w:eastAsia="zh-CN" w:bidi="ar-SA"/>
              </w:rPr>
              <w:t>GB/T 4162</w:t>
            </w:r>
            <w:r>
              <w:rPr>
                <w:rFonts w:hint="eastAsia" w:ascii="宋体" w:hAnsi="宋体" w:eastAsia="宋体" w:cs="宋体"/>
                <w:sz w:val="18"/>
                <w:szCs w:val="18"/>
                <w:highlight w:val="none"/>
                <w:vertAlign w:val="baseline"/>
                <w:lang w:val="en-US" w:eastAsia="zh-CN" w:bidi="ar-SA"/>
              </w:rPr>
              <w:t>—</w:t>
            </w:r>
            <w:r>
              <w:rPr>
                <w:rFonts w:hint="eastAsia" w:ascii="宋体" w:hAnsi="宋体" w:eastAsia="宋体" w:cs="宋体"/>
                <w:sz w:val="18"/>
                <w:szCs w:val="18"/>
                <w:highlight w:val="none"/>
                <w:lang w:val="en-US" w:eastAsia="zh-CN" w:bidi="ar-SA"/>
              </w:rPr>
              <w:t>2022</w:t>
            </w:r>
          </w:p>
        </w:tc>
      </w:tr>
      <w:tr w14:paraId="34DA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shd w:val="clear" w:color="auto" w:fill="auto"/>
            <w:vAlign w:val="center"/>
          </w:tcPr>
          <w:p w14:paraId="0A4C4F6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13</w:t>
            </w:r>
          </w:p>
        </w:tc>
        <w:tc>
          <w:tcPr>
            <w:tcW w:w="1337" w:type="dxa"/>
            <w:shd w:val="clear" w:color="auto" w:fill="auto"/>
            <w:vAlign w:val="center"/>
          </w:tcPr>
          <w:p w14:paraId="1EF11AA3">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表面质量</w:t>
            </w:r>
          </w:p>
        </w:tc>
        <w:tc>
          <w:tcPr>
            <w:tcW w:w="2988" w:type="dxa"/>
            <w:shd w:val="clear" w:color="auto" w:fill="auto"/>
            <w:vAlign w:val="center"/>
          </w:tcPr>
          <w:p w14:paraId="7C06256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逐支</w:t>
            </w:r>
          </w:p>
        </w:tc>
        <w:tc>
          <w:tcPr>
            <w:tcW w:w="1701" w:type="dxa"/>
            <w:shd w:val="clear" w:color="auto" w:fill="auto"/>
            <w:vAlign w:val="center"/>
          </w:tcPr>
          <w:p w14:paraId="144AA7F0">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整支圆钢</w:t>
            </w:r>
          </w:p>
        </w:tc>
        <w:tc>
          <w:tcPr>
            <w:tcW w:w="2698" w:type="dxa"/>
            <w:vAlign w:val="center"/>
          </w:tcPr>
          <w:p w14:paraId="4DF28431">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lang w:val="en-US" w:eastAsia="zh-CN" w:bidi="ar-SA"/>
              </w:rPr>
              <w:t>GB/T 32547</w:t>
            </w:r>
            <w:r>
              <w:rPr>
                <w:rFonts w:hint="eastAsia" w:ascii="宋体" w:hAnsi="宋体" w:eastAsia="宋体" w:cs="宋体"/>
                <w:sz w:val="18"/>
                <w:szCs w:val="18"/>
                <w:highlight w:val="none"/>
                <w:vertAlign w:val="baseline"/>
                <w:lang w:val="en-US" w:eastAsia="zh-CN" w:bidi="ar-SA"/>
              </w:rPr>
              <w:t>—</w:t>
            </w:r>
            <w:r>
              <w:rPr>
                <w:rFonts w:hint="eastAsia" w:ascii="宋体" w:hAnsi="宋体" w:eastAsia="宋体" w:cs="宋体"/>
                <w:sz w:val="18"/>
                <w:szCs w:val="18"/>
                <w:highlight w:val="none"/>
                <w:lang w:val="en-US" w:eastAsia="zh-CN" w:bidi="ar-SA"/>
              </w:rPr>
              <w:t>2016</w:t>
            </w:r>
          </w:p>
        </w:tc>
      </w:tr>
      <w:tr w14:paraId="1A05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shd w:val="clear" w:color="auto" w:fill="auto"/>
            <w:vAlign w:val="center"/>
          </w:tcPr>
          <w:p w14:paraId="26DA1443">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14</w:t>
            </w:r>
          </w:p>
        </w:tc>
        <w:tc>
          <w:tcPr>
            <w:tcW w:w="1337" w:type="dxa"/>
            <w:shd w:val="clear" w:color="auto" w:fill="auto"/>
            <w:vAlign w:val="center"/>
          </w:tcPr>
          <w:p w14:paraId="548C695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尺寸、外形</w:t>
            </w:r>
          </w:p>
        </w:tc>
        <w:tc>
          <w:tcPr>
            <w:tcW w:w="2988" w:type="dxa"/>
            <w:shd w:val="clear" w:color="auto" w:fill="auto"/>
            <w:vAlign w:val="center"/>
          </w:tcPr>
          <w:p w14:paraId="1F525D5D">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逐支</w:t>
            </w:r>
          </w:p>
        </w:tc>
        <w:tc>
          <w:tcPr>
            <w:tcW w:w="1701" w:type="dxa"/>
            <w:shd w:val="clear" w:color="auto" w:fill="auto"/>
            <w:vAlign w:val="center"/>
          </w:tcPr>
          <w:p w14:paraId="5C986F98">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bidi="ar-SA"/>
              </w:rPr>
              <w:t>整支圆钢</w:t>
            </w:r>
          </w:p>
        </w:tc>
        <w:tc>
          <w:tcPr>
            <w:tcW w:w="2698" w:type="dxa"/>
            <w:vAlign w:val="center"/>
          </w:tcPr>
          <w:p w14:paraId="0D8D7668">
            <w:pPr>
              <w:keepNext w:val="0"/>
              <w:keepLines w:val="0"/>
              <w:widowControl/>
              <w:numPr>
                <w:ilvl w:val="-1"/>
                <w:numId w:val="0"/>
              </w:numPr>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卡尺、千分尺、目视或其他等效方式</w:t>
            </w:r>
          </w:p>
        </w:tc>
      </w:tr>
      <w:tr w14:paraId="7238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5" w:type="dxa"/>
            <w:gridSpan w:val="5"/>
            <w:vAlign w:val="center"/>
          </w:tcPr>
          <w:p w14:paraId="0F8AA14E">
            <w:pPr>
              <w:keepNext w:val="0"/>
              <w:keepLines w:val="0"/>
              <w:pageBreakBefore w:val="0"/>
              <w:widowControl/>
              <w:numPr>
                <w:ilvl w:val="0"/>
                <w:numId w:val="0"/>
              </w:numPr>
              <w:suppressLineNumbers w:val="0"/>
              <w:tabs>
                <w:tab w:val="center" w:pos="4201"/>
                <w:tab w:val="right" w:leader="dot" w:pos="9298"/>
              </w:tabs>
              <w:kinsoku/>
              <w:wordWrap/>
              <w:overflowPunct/>
              <w:topLinePunct w:val="0"/>
              <w:autoSpaceDE w:val="0"/>
              <w:autoSpaceDN w:val="0"/>
              <w:bidi w:val="0"/>
              <w:adjustRightInd/>
              <w:snapToGrid/>
              <w:spacing w:before="0" w:beforeAutospacing="0" w:after="0" w:afterAutospacing="0"/>
              <w:ind w:left="0" w:leftChars="0" w:right="0" w:rightChars="0" w:firstLine="360" w:firstLineChars="200"/>
              <w:jc w:val="left"/>
              <w:textAlignment w:val="auto"/>
              <w:rPr>
                <w:rFonts w:hint="default"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superscript"/>
                <w:lang w:val="en-US" w:eastAsia="zh-CN" w:bidi="ar-SA"/>
              </w:rPr>
              <w:t xml:space="preserve">a  </w:t>
            </w:r>
            <w:r>
              <w:rPr>
                <w:rFonts w:hint="eastAsia" w:ascii="宋体" w:hAnsi="宋体" w:eastAsia="宋体" w:cs="宋体"/>
                <w:sz w:val="18"/>
                <w:szCs w:val="18"/>
                <w:highlight w:val="none"/>
                <w:vertAlign w:val="baseline"/>
                <w:lang w:val="en-US" w:eastAsia="zh-CN" w:bidi="ar-SA"/>
              </w:rPr>
              <w:t>取样数量达不到规定时，应逐支取样。</w:t>
            </w:r>
          </w:p>
        </w:tc>
      </w:tr>
    </w:tbl>
    <w:p w14:paraId="460F60E3">
      <w:pPr>
        <w:numPr>
          <w:ilvl w:val="0"/>
          <w:numId w:val="3"/>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检验规则</w:t>
      </w:r>
    </w:p>
    <w:p w14:paraId="254E62DA">
      <w:pPr>
        <w:numPr>
          <w:ilvl w:val="0"/>
          <w:numId w:val="5"/>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检查和验收</w:t>
      </w:r>
    </w:p>
    <w:p w14:paraId="64E86F80">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圆钢由供方质量技术监督部门进行质量检查与验收。</w:t>
      </w:r>
    </w:p>
    <w:p w14:paraId="151079D6">
      <w:pPr>
        <w:numPr>
          <w:ilvl w:val="0"/>
          <w:numId w:val="5"/>
        </w:numPr>
        <w:spacing w:line="360" w:lineRule="auto"/>
        <w:ind w:left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组批规则</w:t>
      </w:r>
    </w:p>
    <w:p w14:paraId="61AE466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圆钢应按批进行检查和验收，每批由同一炉号、同一牌号、同一尺寸、同一交货状态和同一热处理炉次的圆钢组成</w:t>
      </w:r>
      <w:r>
        <w:rPr>
          <w:rFonts w:hint="eastAsia" w:ascii="Times New Roman" w:hAnsi="Times New Roman" w:eastAsia="仿宋_GB2312" w:cs="Times New Roman"/>
          <w:sz w:val="28"/>
          <w:szCs w:val="28"/>
          <w:lang w:val="en-US" w:eastAsia="zh-CN"/>
        </w:rPr>
        <w:t>。</w:t>
      </w:r>
    </w:p>
    <w:p w14:paraId="4A19E2C8">
      <w:pPr>
        <w:numPr>
          <w:ilvl w:val="0"/>
          <w:numId w:val="5"/>
        </w:numPr>
        <w:spacing w:line="360" w:lineRule="auto"/>
        <w:ind w:left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取样数量及取样部位</w:t>
      </w:r>
    </w:p>
    <w:p w14:paraId="4178AC02">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圆钢的取样数量和取样部位应符合表9的规定</w:t>
      </w:r>
      <w:r>
        <w:rPr>
          <w:rFonts w:hint="eastAsia" w:ascii="Times New Roman" w:hAnsi="Times New Roman" w:eastAsia="仿宋_GB2312" w:cs="Times New Roman"/>
          <w:sz w:val="28"/>
          <w:szCs w:val="28"/>
          <w:lang w:val="en-US" w:eastAsia="zh-CN"/>
        </w:rPr>
        <w:t>。</w:t>
      </w:r>
    </w:p>
    <w:p w14:paraId="20BA166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化学分析用试样取样按GB/T 20066规定进行，氧含量在钢坯或圆钢上测定，其取样部位在圆钢半径二分之一处</w:t>
      </w:r>
      <w:r>
        <w:rPr>
          <w:rFonts w:hint="eastAsia" w:ascii="Times New Roman" w:hAnsi="Times New Roman" w:eastAsia="仿宋_GB2312" w:cs="Times New Roman"/>
          <w:sz w:val="28"/>
          <w:szCs w:val="28"/>
          <w:lang w:val="en-US" w:eastAsia="zh-CN"/>
        </w:rPr>
        <w:t>。</w:t>
      </w:r>
    </w:p>
    <w:p w14:paraId="7175B709">
      <w:pPr>
        <w:numPr>
          <w:ilvl w:val="0"/>
          <w:numId w:val="5"/>
        </w:numPr>
        <w:spacing w:line="360" w:lineRule="auto"/>
        <w:ind w:left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复验与判定规则</w:t>
      </w:r>
    </w:p>
    <w:p w14:paraId="006B505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若检验项目中有任一检验项目不合格时(非金属夹杂物除外)，可重新取样对不合格项目进行复验，取样数量与初验相同(氧含量除外)。复验合格则该批圆钢判定合格；复验仍不合格，则该批圆钢应判为不合格。</w:t>
      </w:r>
    </w:p>
    <w:p w14:paraId="5E7277E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氧含量不合格时，可在不同圆钢(钢坯)上任意取3个试样进行复验，其检验结果的平均值应不大于本文件的规定值，其中允许有1个试样超过本文件规定值，但不应超过本文件规定值加0.000 3%。</w:t>
      </w:r>
    </w:p>
    <w:p w14:paraId="397D8686">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若初验不合格的试样超过检验试样的一半时，说明该批圆钢质量较差，则不允许复验，但供方可以重新处理和组批，作为新的一批检查和验收</w:t>
      </w:r>
      <w:r>
        <w:rPr>
          <w:rFonts w:hint="eastAsia" w:ascii="Times New Roman" w:hAnsi="Times New Roman" w:eastAsia="仿宋_GB2312" w:cs="Times New Roman"/>
          <w:sz w:val="28"/>
          <w:szCs w:val="28"/>
          <w:lang w:val="en-US" w:eastAsia="zh-CN"/>
        </w:rPr>
        <w:t>。</w:t>
      </w:r>
    </w:p>
    <w:p w14:paraId="2D1B64DC">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对同一炉圆钢的低倍和非金属夹杂物，允许以坯代材，以大代小</w:t>
      </w:r>
      <w:r>
        <w:rPr>
          <w:rFonts w:hint="eastAsia" w:ascii="Times New Roman" w:hAnsi="Times New Roman" w:eastAsia="仿宋_GB2312" w:cs="Times New Roman"/>
          <w:sz w:val="28"/>
          <w:szCs w:val="28"/>
          <w:lang w:val="en-US" w:eastAsia="zh-CN"/>
        </w:rPr>
        <w:t>。</w:t>
      </w:r>
    </w:p>
    <w:p w14:paraId="1D0E77D2">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5.数值修约</w:t>
      </w:r>
    </w:p>
    <w:p w14:paraId="273255D0">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圆钢的各项检验及检查测量值的数值修约应符合GB/T 8170的规定</w:t>
      </w:r>
      <w:r>
        <w:rPr>
          <w:rFonts w:hint="eastAsia" w:ascii="Times New Roman" w:hAnsi="Times New Roman" w:eastAsia="仿宋_GB2312" w:cs="Times New Roman"/>
          <w:sz w:val="28"/>
          <w:szCs w:val="28"/>
          <w:lang w:val="en-US" w:eastAsia="zh-CN"/>
        </w:rPr>
        <w:t>。</w:t>
      </w:r>
    </w:p>
    <w:p w14:paraId="695FE7FE">
      <w:pPr>
        <w:numPr>
          <w:ilvl w:val="0"/>
          <w:numId w:val="3"/>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包装、标志和质量证明书</w:t>
      </w:r>
    </w:p>
    <w:p w14:paraId="6F827D2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圆钢的包装、标志及质量证明书应符合GB/T 2101的规定</w:t>
      </w:r>
      <w:r>
        <w:rPr>
          <w:rFonts w:hint="eastAsia" w:ascii="Times New Roman" w:hAnsi="Times New Roman" w:eastAsia="仿宋_GB2312" w:cs="Times New Roman"/>
          <w:sz w:val="28"/>
          <w:szCs w:val="28"/>
          <w:lang w:val="en-US" w:eastAsia="zh-CN"/>
        </w:rPr>
        <w:t>。</w:t>
      </w:r>
    </w:p>
    <w:p w14:paraId="16E4EDA7">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六、与国内其它法律、法规的关系</w:t>
      </w:r>
    </w:p>
    <w:p w14:paraId="677DD3B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制定本标准时依据并引用了国内有关现行有效的标准，也不违背国内其它行业标准、法律、法规及强制性标准的有关规定。</w:t>
      </w:r>
    </w:p>
    <w:p w14:paraId="61310314">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七、标准属性</w:t>
      </w:r>
    </w:p>
    <w:p w14:paraId="304FF50D">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本标准属于中国特钢企业协会</w:t>
      </w:r>
      <w:r>
        <w:rPr>
          <w:rFonts w:hint="eastAsia" w:ascii="Times New Roman" w:hAnsi="Times New Roman" w:eastAsia="仿宋_GB2312" w:cs="Times New Roman"/>
          <w:sz w:val="28"/>
          <w:szCs w:val="28"/>
          <w:highlight w:val="none"/>
          <w:lang w:val="en-US" w:eastAsia="zh-CN"/>
        </w:rPr>
        <w:t>及</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rPr>
        <w:t>团体标准。</w:t>
      </w:r>
    </w:p>
    <w:p w14:paraId="0678C4F3">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八、标准水平及预期效果</w:t>
      </w:r>
    </w:p>
    <w:p w14:paraId="62284DDB">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该标准的制定能有效规范</w:t>
      </w:r>
      <w:r>
        <w:rPr>
          <w:rFonts w:hint="eastAsia" w:ascii="Times New Roman" w:hAnsi="Times New Roman" w:eastAsia="仿宋_GB2312" w:cs="Times New Roman"/>
          <w:sz w:val="28"/>
          <w:szCs w:val="28"/>
          <w:lang w:eastAsia="zh-CN"/>
        </w:rPr>
        <w:t>机器人谐波传动减速器轴承用钢</w:t>
      </w:r>
      <w:r>
        <w:rPr>
          <w:rFonts w:hint="default" w:ascii="Times New Roman" w:hAnsi="Times New Roman" w:eastAsia="仿宋_GB2312" w:cs="Times New Roman"/>
          <w:sz w:val="28"/>
          <w:szCs w:val="28"/>
        </w:rPr>
        <w:t>的生产、销售和使用，对该产品的有序发展具有重要意义。同时该标准对该产品的技术创新具有较高的指导意义，有利于促进产品质量提升与推广应用，体现团体标准的引领作用。</w:t>
      </w:r>
    </w:p>
    <w:p w14:paraId="3F3FB183">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九、贯彻要求及建议</w:t>
      </w:r>
    </w:p>
    <w:p w14:paraId="0989B819">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本标准归口单位为中国特钢企业协会</w:t>
      </w:r>
      <w:r>
        <w:rPr>
          <w:rFonts w:hint="eastAsia" w:ascii="Times New Roman" w:hAnsi="Times New Roman" w:eastAsia="仿宋_GB2312" w:cs="Times New Roman"/>
          <w:sz w:val="28"/>
          <w:szCs w:val="28"/>
          <w:highlight w:val="none"/>
          <w:lang w:val="en-US" w:eastAsia="zh-CN"/>
        </w:rPr>
        <w:t>及中关村特种合金及</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rPr>
        <w:t>，经过审定报批后，由中国特钢企业协会发布。建议在</w:t>
      </w:r>
      <w:r>
        <w:rPr>
          <w:rFonts w:hint="eastAsia" w:ascii="Times New Roman" w:hAnsi="Times New Roman" w:eastAsia="仿宋_GB2312" w:cs="Times New Roman"/>
          <w:sz w:val="28"/>
          <w:szCs w:val="28"/>
          <w:lang w:eastAsia="zh-CN"/>
        </w:rPr>
        <w:t>机器人谐波传动减速器轴承用钢</w:t>
      </w:r>
      <w:r>
        <w:rPr>
          <w:rFonts w:hint="default" w:ascii="Times New Roman" w:hAnsi="Times New Roman" w:eastAsia="仿宋_GB2312" w:cs="Times New Roman"/>
          <w:sz w:val="28"/>
          <w:szCs w:val="28"/>
        </w:rPr>
        <w:t>的生产、贸易和使用等相关单位进行宣贯执行。</w:t>
      </w: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2089">
    <w:pPr>
      <w:pStyle w:val="5"/>
      <w:jc w:val="center"/>
    </w:pPr>
    <w:r>
      <w:fldChar w:fldCharType="begin"/>
    </w:r>
    <w:r>
      <w:instrText xml:space="preserve">PAGE   \* MERGEFORMAT</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8A8E">
    <w:pPr>
      <w:pStyle w:val="5"/>
      <w:jc w:val="center"/>
    </w:pPr>
    <w:r>
      <w:fldChar w:fldCharType="begin"/>
    </w:r>
    <w:r>
      <w:instrText xml:space="preserve">PAGE   \* MERGEFORMAT</w:instrText>
    </w:r>
    <w:r>
      <w:fldChar w:fldCharType="separate"/>
    </w:r>
    <w:r>
      <w:rPr>
        <w:lang w:val="zh-CN"/>
      </w:rPr>
      <w:t>6</w:t>
    </w:r>
    <w:r>
      <w:fldChar w:fldCharType="end"/>
    </w:r>
  </w:p>
  <w:p w14:paraId="756D372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0F260"/>
    <w:multiLevelType w:val="singleLevel"/>
    <w:tmpl w:val="83F0F260"/>
    <w:lvl w:ilvl="0" w:tentative="0">
      <w:start w:val="1"/>
      <w:numFmt w:val="decimal"/>
      <w:lvlText w:val="%1."/>
      <w:lvlJc w:val="left"/>
      <w:pPr>
        <w:tabs>
          <w:tab w:val="left" w:pos="312"/>
        </w:tabs>
      </w:pPr>
    </w:lvl>
  </w:abstractNum>
  <w:abstractNum w:abstractNumId="1">
    <w:nsid w:val="E4028FBF"/>
    <w:multiLevelType w:val="singleLevel"/>
    <w:tmpl w:val="E4028FBF"/>
    <w:lvl w:ilvl="0" w:tentative="0">
      <w:start w:val="3"/>
      <w:numFmt w:val="decimal"/>
      <w:lvlText w:val="%1."/>
      <w:lvlJc w:val="left"/>
      <w:pPr>
        <w:tabs>
          <w:tab w:val="left" w:pos="312"/>
        </w:tabs>
      </w:pPr>
    </w:lvl>
  </w:abstractNum>
  <w:abstractNum w:abstractNumId="2">
    <w:nsid w:val="00000002"/>
    <w:multiLevelType w:val="multilevel"/>
    <w:tmpl w:val="00000002"/>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556593D"/>
    <w:multiLevelType w:val="singleLevel"/>
    <w:tmpl w:val="5556593D"/>
    <w:lvl w:ilvl="0" w:tentative="0">
      <w:start w:val="4"/>
      <w:numFmt w:val="chineseCounting"/>
      <w:suff w:val="nothing"/>
      <w:lvlText w:val="（%1）"/>
      <w:lvlJc w:val="left"/>
      <w:rPr>
        <w:rFonts w:hint="eastAsia"/>
      </w:rPr>
    </w:lvl>
  </w:abstractNum>
  <w:abstractNum w:abstractNumId="4">
    <w:nsid w:val="646260FA"/>
    <w:multiLevelType w:val="multilevel"/>
    <w:tmpl w:val="646260FA"/>
    <w:lvl w:ilvl="0" w:tentative="0">
      <w:start w:val="1"/>
      <w:numFmt w:val="decimal"/>
      <w:pStyle w:val="17"/>
      <w:suff w:val="nothing"/>
      <w:lvlText w:val="表%1　"/>
      <w:lvlJc w:val="left"/>
      <w:pPr>
        <w:ind w:left="5387"/>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2269"/>
        </w:tabs>
        <w:ind w:left="-2269" w:hanging="567"/>
      </w:pPr>
      <w:rPr>
        <w:rFonts w:hint="eastAsia" w:cs="Times New Roman"/>
      </w:rPr>
    </w:lvl>
    <w:lvl w:ilvl="2" w:tentative="0">
      <w:start w:val="1"/>
      <w:numFmt w:val="decimal"/>
      <w:lvlText w:val="%1.%2.%3"/>
      <w:lvlJc w:val="left"/>
      <w:pPr>
        <w:tabs>
          <w:tab w:val="left" w:pos="-1843"/>
        </w:tabs>
        <w:ind w:left="-1843" w:hanging="567"/>
      </w:pPr>
      <w:rPr>
        <w:rFonts w:hint="eastAsia" w:cs="Times New Roman"/>
      </w:rPr>
    </w:lvl>
    <w:lvl w:ilvl="3" w:tentative="0">
      <w:start w:val="1"/>
      <w:numFmt w:val="decimal"/>
      <w:lvlText w:val="%1.%2.%3.%4"/>
      <w:lvlJc w:val="left"/>
      <w:pPr>
        <w:tabs>
          <w:tab w:val="left" w:pos="-1277"/>
        </w:tabs>
        <w:ind w:left="-1277" w:hanging="708"/>
      </w:pPr>
      <w:rPr>
        <w:rFonts w:hint="eastAsia" w:cs="Times New Roman"/>
      </w:rPr>
    </w:lvl>
    <w:lvl w:ilvl="4" w:tentative="0">
      <w:start w:val="1"/>
      <w:numFmt w:val="decimal"/>
      <w:lvlText w:val="%1.%2.%3.%4.%5"/>
      <w:lvlJc w:val="left"/>
      <w:pPr>
        <w:tabs>
          <w:tab w:val="left" w:pos="-710"/>
        </w:tabs>
        <w:ind w:left="-710" w:hanging="850"/>
      </w:pPr>
      <w:rPr>
        <w:rFonts w:hint="eastAsia" w:cs="Times New Roman"/>
      </w:rPr>
    </w:lvl>
    <w:lvl w:ilvl="5" w:tentative="0">
      <w:start w:val="1"/>
      <w:numFmt w:val="decimal"/>
      <w:lvlText w:val="%1.%2.%3.%4.%5.%6"/>
      <w:lvlJc w:val="left"/>
      <w:pPr>
        <w:tabs>
          <w:tab w:val="left" w:pos="-1"/>
        </w:tabs>
        <w:ind w:left="-1" w:hanging="1134"/>
      </w:pPr>
      <w:rPr>
        <w:rFonts w:hint="eastAsia" w:cs="Times New Roman"/>
      </w:rPr>
    </w:lvl>
    <w:lvl w:ilvl="6" w:tentative="0">
      <w:start w:val="1"/>
      <w:numFmt w:val="decimal"/>
      <w:lvlText w:val="%1.%2.%3.%4.%5.%6.%7"/>
      <w:lvlJc w:val="left"/>
      <w:pPr>
        <w:tabs>
          <w:tab w:val="left" w:pos="566"/>
        </w:tabs>
        <w:ind w:left="566" w:hanging="1276"/>
      </w:pPr>
      <w:rPr>
        <w:rFonts w:hint="eastAsia" w:cs="Times New Roman"/>
      </w:rPr>
    </w:lvl>
    <w:lvl w:ilvl="7" w:tentative="0">
      <w:start w:val="1"/>
      <w:numFmt w:val="decimal"/>
      <w:lvlText w:val="%1.%2.%3.%4.%5.%6.%7.%8"/>
      <w:lvlJc w:val="left"/>
      <w:pPr>
        <w:tabs>
          <w:tab w:val="left" w:pos="1133"/>
        </w:tabs>
        <w:ind w:left="1133" w:hanging="1418"/>
      </w:pPr>
      <w:rPr>
        <w:rFonts w:hint="eastAsia" w:cs="Times New Roman"/>
      </w:rPr>
    </w:lvl>
    <w:lvl w:ilvl="8" w:tentative="0">
      <w:start w:val="1"/>
      <w:numFmt w:val="decimal"/>
      <w:lvlText w:val="%1.%2.%3.%4.%5.%6.%7.%8.%9"/>
      <w:lvlJc w:val="left"/>
      <w:pPr>
        <w:tabs>
          <w:tab w:val="left" w:pos="1841"/>
        </w:tabs>
        <w:ind w:left="1841" w:hanging="1700"/>
      </w:pPr>
      <w:rPr>
        <w:rFonts w:hint="eastAsia"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9"/>
    <w:rsid w:val="00000006"/>
    <w:rsid w:val="000040F1"/>
    <w:rsid w:val="00004833"/>
    <w:rsid w:val="00012F01"/>
    <w:rsid w:val="00015BDD"/>
    <w:rsid w:val="0002127B"/>
    <w:rsid w:val="00027A9C"/>
    <w:rsid w:val="00031DBD"/>
    <w:rsid w:val="00032FE7"/>
    <w:rsid w:val="00033909"/>
    <w:rsid w:val="000355B2"/>
    <w:rsid w:val="00037363"/>
    <w:rsid w:val="00037D0A"/>
    <w:rsid w:val="00037D2E"/>
    <w:rsid w:val="000401F0"/>
    <w:rsid w:val="000415CF"/>
    <w:rsid w:val="000442B8"/>
    <w:rsid w:val="000454C2"/>
    <w:rsid w:val="00047514"/>
    <w:rsid w:val="00050447"/>
    <w:rsid w:val="000541E0"/>
    <w:rsid w:val="00054F7B"/>
    <w:rsid w:val="00056414"/>
    <w:rsid w:val="00080305"/>
    <w:rsid w:val="00081755"/>
    <w:rsid w:val="00084CA1"/>
    <w:rsid w:val="00086FC6"/>
    <w:rsid w:val="000878B0"/>
    <w:rsid w:val="000878C0"/>
    <w:rsid w:val="00093B3E"/>
    <w:rsid w:val="00094009"/>
    <w:rsid w:val="00094A1B"/>
    <w:rsid w:val="000A239E"/>
    <w:rsid w:val="000A29C0"/>
    <w:rsid w:val="000A4F69"/>
    <w:rsid w:val="000A5354"/>
    <w:rsid w:val="000A563E"/>
    <w:rsid w:val="000A7DE7"/>
    <w:rsid w:val="000A7F28"/>
    <w:rsid w:val="000B2457"/>
    <w:rsid w:val="000B376B"/>
    <w:rsid w:val="000D242C"/>
    <w:rsid w:val="000D34A8"/>
    <w:rsid w:val="000D38A0"/>
    <w:rsid w:val="000E764E"/>
    <w:rsid w:val="000F083F"/>
    <w:rsid w:val="000F19DC"/>
    <w:rsid w:val="000F3926"/>
    <w:rsid w:val="000F3A7F"/>
    <w:rsid w:val="000F3C69"/>
    <w:rsid w:val="000F4EDD"/>
    <w:rsid w:val="000F67DC"/>
    <w:rsid w:val="0010039C"/>
    <w:rsid w:val="00107511"/>
    <w:rsid w:val="0011293C"/>
    <w:rsid w:val="001149B5"/>
    <w:rsid w:val="00116EA3"/>
    <w:rsid w:val="00117F9D"/>
    <w:rsid w:val="001263DE"/>
    <w:rsid w:val="0013393F"/>
    <w:rsid w:val="001351BC"/>
    <w:rsid w:val="00137F95"/>
    <w:rsid w:val="001414E1"/>
    <w:rsid w:val="0014471A"/>
    <w:rsid w:val="0014735C"/>
    <w:rsid w:val="00150E81"/>
    <w:rsid w:val="00155A43"/>
    <w:rsid w:val="00163E34"/>
    <w:rsid w:val="00165FCC"/>
    <w:rsid w:val="001662ED"/>
    <w:rsid w:val="00172D0A"/>
    <w:rsid w:val="00176AEA"/>
    <w:rsid w:val="00182931"/>
    <w:rsid w:val="00182C54"/>
    <w:rsid w:val="001841D8"/>
    <w:rsid w:val="00184793"/>
    <w:rsid w:val="00185F5D"/>
    <w:rsid w:val="00187018"/>
    <w:rsid w:val="00187271"/>
    <w:rsid w:val="00191490"/>
    <w:rsid w:val="00192E1F"/>
    <w:rsid w:val="00194F37"/>
    <w:rsid w:val="0019503B"/>
    <w:rsid w:val="0019650E"/>
    <w:rsid w:val="0019755B"/>
    <w:rsid w:val="001A1B43"/>
    <w:rsid w:val="001A2A80"/>
    <w:rsid w:val="001A3676"/>
    <w:rsid w:val="001A4246"/>
    <w:rsid w:val="001A7DA7"/>
    <w:rsid w:val="001B2747"/>
    <w:rsid w:val="001B3F15"/>
    <w:rsid w:val="001B5AF3"/>
    <w:rsid w:val="001B6B26"/>
    <w:rsid w:val="001C04A2"/>
    <w:rsid w:val="001C2C8D"/>
    <w:rsid w:val="001C3C21"/>
    <w:rsid w:val="001C4FD7"/>
    <w:rsid w:val="001D02F9"/>
    <w:rsid w:val="001D1047"/>
    <w:rsid w:val="001D18A9"/>
    <w:rsid w:val="001D1C23"/>
    <w:rsid w:val="001D52B5"/>
    <w:rsid w:val="001E4FEA"/>
    <w:rsid w:val="001E74CC"/>
    <w:rsid w:val="001F235E"/>
    <w:rsid w:val="001F5134"/>
    <w:rsid w:val="00200450"/>
    <w:rsid w:val="00201A8E"/>
    <w:rsid w:val="002032D0"/>
    <w:rsid w:val="00203917"/>
    <w:rsid w:val="002042BF"/>
    <w:rsid w:val="00213C4C"/>
    <w:rsid w:val="00213FB2"/>
    <w:rsid w:val="00215DCD"/>
    <w:rsid w:val="00227024"/>
    <w:rsid w:val="00230D0B"/>
    <w:rsid w:val="00230D70"/>
    <w:rsid w:val="002359F9"/>
    <w:rsid w:val="00237497"/>
    <w:rsid w:val="00237B7B"/>
    <w:rsid w:val="002441F3"/>
    <w:rsid w:val="0025119F"/>
    <w:rsid w:val="00252B04"/>
    <w:rsid w:val="00257CE8"/>
    <w:rsid w:val="00262788"/>
    <w:rsid w:val="00262E8D"/>
    <w:rsid w:val="00263815"/>
    <w:rsid w:val="0027019D"/>
    <w:rsid w:val="0027200B"/>
    <w:rsid w:val="002731A6"/>
    <w:rsid w:val="00273A14"/>
    <w:rsid w:val="0028342A"/>
    <w:rsid w:val="002835ED"/>
    <w:rsid w:val="002871AE"/>
    <w:rsid w:val="0029042B"/>
    <w:rsid w:val="0029654A"/>
    <w:rsid w:val="00296E89"/>
    <w:rsid w:val="002A0B2B"/>
    <w:rsid w:val="002A4B7C"/>
    <w:rsid w:val="002B256C"/>
    <w:rsid w:val="002B4073"/>
    <w:rsid w:val="002B5927"/>
    <w:rsid w:val="002B6010"/>
    <w:rsid w:val="002B707D"/>
    <w:rsid w:val="002B7445"/>
    <w:rsid w:val="002C249F"/>
    <w:rsid w:val="002C2644"/>
    <w:rsid w:val="002C565F"/>
    <w:rsid w:val="002C5742"/>
    <w:rsid w:val="002C5C37"/>
    <w:rsid w:val="002D147D"/>
    <w:rsid w:val="002D2931"/>
    <w:rsid w:val="002D5D70"/>
    <w:rsid w:val="002E25FC"/>
    <w:rsid w:val="002F328A"/>
    <w:rsid w:val="002F7F1C"/>
    <w:rsid w:val="00303517"/>
    <w:rsid w:val="00303E4F"/>
    <w:rsid w:val="00307891"/>
    <w:rsid w:val="00312E15"/>
    <w:rsid w:val="0032091E"/>
    <w:rsid w:val="0032228A"/>
    <w:rsid w:val="003237B4"/>
    <w:rsid w:val="00324A70"/>
    <w:rsid w:val="00327318"/>
    <w:rsid w:val="00330C8C"/>
    <w:rsid w:val="00331ACD"/>
    <w:rsid w:val="00332A10"/>
    <w:rsid w:val="00333C1D"/>
    <w:rsid w:val="00334DCF"/>
    <w:rsid w:val="00340D65"/>
    <w:rsid w:val="003449A0"/>
    <w:rsid w:val="00355C82"/>
    <w:rsid w:val="00360F25"/>
    <w:rsid w:val="00362AEA"/>
    <w:rsid w:val="00363BAA"/>
    <w:rsid w:val="00365D0A"/>
    <w:rsid w:val="003663E5"/>
    <w:rsid w:val="0036697A"/>
    <w:rsid w:val="003715F1"/>
    <w:rsid w:val="003744FA"/>
    <w:rsid w:val="003755BE"/>
    <w:rsid w:val="00377225"/>
    <w:rsid w:val="00380A19"/>
    <w:rsid w:val="00381178"/>
    <w:rsid w:val="00381AC6"/>
    <w:rsid w:val="00381CC3"/>
    <w:rsid w:val="00381E03"/>
    <w:rsid w:val="00385BB5"/>
    <w:rsid w:val="00390749"/>
    <w:rsid w:val="00392F32"/>
    <w:rsid w:val="00395193"/>
    <w:rsid w:val="003951A1"/>
    <w:rsid w:val="003A1B45"/>
    <w:rsid w:val="003A1D33"/>
    <w:rsid w:val="003A389A"/>
    <w:rsid w:val="003B0CEF"/>
    <w:rsid w:val="003B352D"/>
    <w:rsid w:val="003B6B80"/>
    <w:rsid w:val="003C2393"/>
    <w:rsid w:val="003C7E56"/>
    <w:rsid w:val="003D452C"/>
    <w:rsid w:val="003D70A5"/>
    <w:rsid w:val="003D7CCA"/>
    <w:rsid w:val="003E0E85"/>
    <w:rsid w:val="003E1308"/>
    <w:rsid w:val="003E1D8B"/>
    <w:rsid w:val="003E3B6A"/>
    <w:rsid w:val="003E4BEE"/>
    <w:rsid w:val="003E6DAD"/>
    <w:rsid w:val="003E7A13"/>
    <w:rsid w:val="003F1FE4"/>
    <w:rsid w:val="003F57E6"/>
    <w:rsid w:val="00400E32"/>
    <w:rsid w:val="00402227"/>
    <w:rsid w:val="00405654"/>
    <w:rsid w:val="00421872"/>
    <w:rsid w:val="004221BC"/>
    <w:rsid w:val="004229BA"/>
    <w:rsid w:val="00425E2F"/>
    <w:rsid w:val="00432E80"/>
    <w:rsid w:val="00435EB2"/>
    <w:rsid w:val="004407BB"/>
    <w:rsid w:val="0044149A"/>
    <w:rsid w:val="00447F9E"/>
    <w:rsid w:val="00450CE9"/>
    <w:rsid w:val="004529F8"/>
    <w:rsid w:val="0046074A"/>
    <w:rsid w:val="00463F66"/>
    <w:rsid w:val="00465C28"/>
    <w:rsid w:val="0046652A"/>
    <w:rsid w:val="004820CA"/>
    <w:rsid w:val="00482943"/>
    <w:rsid w:val="0048347D"/>
    <w:rsid w:val="0048425A"/>
    <w:rsid w:val="0048740B"/>
    <w:rsid w:val="0049303E"/>
    <w:rsid w:val="00493F1E"/>
    <w:rsid w:val="004A069D"/>
    <w:rsid w:val="004A1539"/>
    <w:rsid w:val="004A1ED2"/>
    <w:rsid w:val="004A2108"/>
    <w:rsid w:val="004A2E49"/>
    <w:rsid w:val="004B0537"/>
    <w:rsid w:val="004B44D0"/>
    <w:rsid w:val="004B605A"/>
    <w:rsid w:val="004B7DC1"/>
    <w:rsid w:val="004C0884"/>
    <w:rsid w:val="004C16F6"/>
    <w:rsid w:val="004C4969"/>
    <w:rsid w:val="004C5EC7"/>
    <w:rsid w:val="004C703F"/>
    <w:rsid w:val="004E1E4E"/>
    <w:rsid w:val="004E3FA5"/>
    <w:rsid w:val="004F0631"/>
    <w:rsid w:val="004F341F"/>
    <w:rsid w:val="004F75C1"/>
    <w:rsid w:val="00504B04"/>
    <w:rsid w:val="0050569C"/>
    <w:rsid w:val="00510D95"/>
    <w:rsid w:val="00513DBC"/>
    <w:rsid w:val="00521702"/>
    <w:rsid w:val="00523DF2"/>
    <w:rsid w:val="00525AEF"/>
    <w:rsid w:val="005268CD"/>
    <w:rsid w:val="005302FD"/>
    <w:rsid w:val="0053262C"/>
    <w:rsid w:val="0053605D"/>
    <w:rsid w:val="00536EBC"/>
    <w:rsid w:val="00547C3F"/>
    <w:rsid w:val="0055323C"/>
    <w:rsid w:val="00555041"/>
    <w:rsid w:val="0055530C"/>
    <w:rsid w:val="00555EEF"/>
    <w:rsid w:val="00557B0B"/>
    <w:rsid w:val="00560ABA"/>
    <w:rsid w:val="005616F1"/>
    <w:rsid w:val="00566351"/>
    <w:rsid w:val="005754F7"/>
    <w:rsid w:val="00576F87"/>
    <w:rsid w:val="00580962"/>
    <w:rsid w:val="005822B7"/>
    <w:rsid w:val="00586D67"/>
    <w:rsid w:val="005872E9"/>
    <w:rsid w:val="00592096"/>
    <w:rsid w:val="005932D2"/>
    <w:rsid w:val="005939C1"/>
    <w:rsid w:val="00593FE3"/>
    <w:rsid w:val="005967B5"/>
    <w:rsid w:val="005A1A10"/>
    <w:rsid w:val="005A6F0A"/>
    <w:rsid w:val="005B1BC1"/>
    <w:rsid w:val="005B3EC5"/>
    <w:rsid w:val="005B53C3"/>
    <w:rsid w:val="005C2A1B"/>
    <w:rsid w:val="005C3EF8"/>
    <w:rsid w:val="005C40FA"/>
    <w:rsid w:val="005D1CB6"/>
    <w:rsid w:val="005D4A96"/>
    <w:rsid w:val="005D6C11"/>
    <w:rsid w:val="005D737B"/>
    <w:rsid w:val="005E0EE1"/>
    <w:rsid w:val="005E791D"/>
    <w:rsid w:val="005F0971"/>
    <w:rsid w:val="005F188C"/>
    <w:rsid w:val="005F20B3"/>
    <w:rsid w:val="005F5102"/>
    <w:rsid w:val="00600060"/>
    <w:rsid w:val="006010ED"/>
    <w:rsid w:val="00601C34"/>
    <w:rsid w:val="00601EB8"/>
    <w:rsid w:val="0060210E"/>
    <w:rsid w:val="006031B1"/>
    <w:rsid w:val="00606094"/>
    <w:rsid w:val="00606212"/>
    <w:rsid w:val="00607C81"/>
    <w:rsid w:val="00607EE4"/>
    <w:rsid w:val="00610406"/>
    <w:rsid w:val="00615BE7"/>
    <w:rsid w:val="00615DEF"/>
    <w:rsid w:val="00617908"/>
    <w:rsid w:val="0062057F"/>
    <w:rsid w:val="00624FCE"/>
    <w:rsid w:val="00625FD6"/>
    <w:rsid w:val="00630914"/>
    <w:rsid w:val="00630F6A"/>
    <w:rsid w:val="0063233B"/>
    <w:rsid w:val="00643105"/>
    <w:rsid w:val="0064582B"/>
    <w:rsid w:val="00646B1D"/>
    <w:rsid w:val="006476DA"/>
    <w:rsid w:val="00653703"/>
    <w:rsid w:val="006551AD"/>
    <w:rsid w:val="00656980"/>
    <w:rsid w:val="00661EC8"/>
    <w:rsid w:val="0066361E"/>
    <w:rsid w:val="00664650"/>
    <w:rsid w:val="0066771F"/>
    <w:rsid w:val="006771CA"/>
    <w:rsid w:val="00683FC0"/>
    <w:rsid w:val="00685CCF"/>
    <w:rsid w:val="00687A15"/>
    <w:rsid w:val="0069101B"/>
    <w:rsid w:val="006930DE"/>
    <w:rsid w:val="006971B9"/>
    <w:rsid w:val="006A7DD7"/>
    <w:rsid w:val="006B457C"/>
    <w:rsid w:val="006B63C6"/>
    <w:rsid w:val="006C0100"/>
    <w:rsid w:val="006C29AA"/>
    <w:rsid w:val="006C3E62"/>
    <w:rsid w:val="006C3EF8"/>
    <w:rsid w:val="006C4A0D"/>
    <w:rsid w:val="006C69EF"/>
    <w:rsid w:val="006C7FF6"/>
    <w:rsid w:val="006D27CF"/>
    <w:rsid w:val="006D3060"/>
    <w:rsid w:val="006E083B"/>
    <w:rsid w:val="006E5B3C"/>
    <w:rsid w:val="006E642F"/>
    <w:rsid w:val="006F064E"/>
    <w:rsid w:val="006F2EC1"/>
    <w:rsid w:val="006F75B1"/>
    <w:rsid w:val="00700FE1"/>
    <w:rsid w:val="00703493"/>
    <w:rsid w:val="007041A7"/>
    <w:rsid w:val="00704F6E"/>
    <w:rsid w:val="00705B3C"/>
    <w:rsid w:val="007144A2"/>
    <w:rsid w:val="0071792A"/>
    <w:rsid w:val="00717A82"/>
    <w:rsid w:val="007217CE"/>
    <w:rsid w:val="0072201A"/>
    <w:rsid w:val="007253F8"/>
    <w:rsid w:val="007262BC"/>
    <w:rsid w:val="00730B89"/>
    <w:rsid w:val="00730D8C"/>
    <w:rsid w:val="00732098"/>
    <w:rsid w:val="00733FB2"/>
    <w:rsid w:val="007342CB"/>
    <w:rsid w:val="00735034"/>
    <w:rsid w:val="00737826"/>
    <w:rsid w:val="00746135"/>
    <w:rsid w:val="0075173E"/>
    <w:rsid w:val="007546B5"/>
    <w:rsid w:val="00755089"/>
    <w:rsid w:val="0075561F"/>
    <w:rsid w:val="007565D9"/>
    <w:rsid w:val="00757398"/>
    <w:rsid w:val="007577DB"/>
    <w:rsid w:val="00757D06"/>
    <w:rsid w:val="0076079D"/>
    <w:rsid w:val="00761457"/>
    <w:rsid w:val="0076167B"/>
    <w:rsid w:val="0076681B"/>
    <w:rsid w:val="00770A8C"/>
    <w:rsid w:val="007718AD"/>
    <w:rsid w:val="00771DC1"/>
    <w:rsid w:val="00772A53"/>
    <w:rsid w:val="00773776"/>
    <w:rsid w:val="00775056"/>
    <w:rsid w:val="007753CB"/>
    <w:rsid w:val="00775A47"/>
    <w:rsid w:val="00781CB6"/>
    <w:rsid w:val="00783E38"/>
    <w:rsid w:val="00791D7A"/>
    <w:rsid w:val="00793E76"/>
    <w:rsid w:val="00796003"/>
    <w:rsid w:val="007A1179"/>
    <w:rsid w:val="007A1601"/>
    <w:rsid w:val="007B1579"/>
    <w:rsid w:val="007B1B3F"/>
    <w:rsid w:val="007B2D01"/>
    <w:rsid w:val="007B377E"/>
    <w:rsid w:val="007B5436"/>
    <w:rsid w:val="007D31AA"/>
    <w:rsid w:val="007D4501"/>
    <w:rsid w:val="007E115F"/>
    <w:rsid w:val="007E32F1"/>
    <w:rsid w:val="007E35B3"/>
    <w:rsid w:val="007F4889"/>
    <w:rsid w:val="007F7083"/>
    <w:rsid w:val="007F7ADD"/>
    <w:rsid w:val="00802637"/>
    <w:rsid w:val="00806C82"/>
    <w:rsid w:val="00807DEB"/>
    <w:rsid w:val="00810015"/>
    <w:rsid w:val="00810CC8"/>
    <w:rsid w:val="00814A0D"/>
    <w:rsid w:val="00815195"/>
    <w:rsid w:val="008166C0"/>
    <w:rsid w:val="00821B34"/>
    <w:rsid w:val="0082447F"/>
    <w:rsid w:val="00826789"/>
    <w:rsid w:val="0083049F"/>
    <w:rsid w:val="008309FE"/>
    <w:rsid w:val="008312A7"/>
    <w:rsid w:val="00834CBE"/>
    <w:rsid w:val="008360B8"/>
    <w:rsid w:val="00840DDC"/>
    <w:rsid w:val="008446C6"/>
    <w:rsid w:val="00844B23"/>
    <w:rsid w:val="00844BCB"/>
    <w:rsid w:val="00850135"/>
    <w:rsid w:val="00850561"/>
    <w:rsid w:val="008563E4"/>
    <w:rsid w:val="00863427"/>
    <w:rsid w:val="008646BE"/>
    <w:rsid w:val="00867432"/>
    <w:rsid w:val="0087707D"/>
    <w:rsid w:val="00881523"/>
    <w:rsid w:val="00882594"/>
    <w:rsid w:val="008846D4"/>
    <w:rsid w:val="00884CD1"/>
    <w:rsid w:val="0089189F"/>
    <w:rsid w:val="00891B9A"/>
    <w:rsid w:val="00892D4F"/>
    <w:rsid w:val="00894699"/>
    <w:rsid w:val="00896863"/>
    <w:rsid w:val="008A40DB"/>
    <w:rsid w:val="008A4713"/>
    <w:rsid w:val="008A666E"/>
    <w:rsid w:val="008B3D11"/>
    <w:rsid w:val="008B5D9D"/>
    <w:rsid w:val="008C3087"/>
    <w:rsid w:val="008C382C"/>
    <w:rsid w:val="008C6D72"/>
    <w:rsid w:val="008D1BA4"/>
    <w:rsid w:val="008D3BC6"/>
    <w:rsid w:val="008D4037"/>
    <w:rsid w:val="008D4D73"/>
    <w:rsid w:val="008D6B4C"/>
    <w:rsid w:val="008E266F"/>
    <w:rsid w:val="008E2C48"/>
    <w:rsid w:val="008E6036"/>
    <w:rsid w:val="00901CAE"/>
    <w:rsid w:val="00902A23"/>
    <w:rsid w:val="0090713F"/>
    <w:rsid w:val="00913B4A"/>
    <w:rsid w:val="0091577C"/>
    <w:rsid w:val="0091769D"/>
    <w:rsid w:val="00925468"/>
    <w:rsid w:val="00925F1E"/>
    <w:rsid w:val="00926006"/>
    <w:rsid w:val="00926E29"/>
    <w:rsid w:val="00930B4E"/>
    <w:rsid w:val="00933A3E"/>
    <w:rsid w:val="00935980"/>
    <w:rsid w:val="009406AC"/>
    <w:rsid w:val="00940942"/>
    <w:rsid w:val="00940E50"/>
    <w:rsid w:val="00941710"/>
    <w:rsid w:val="009453A1"/>
    <w:rsid w:val="0094698D"/>
    <w:rsid w:val="009567F6"/>
    <w:rsid w:val="0096623F"/>
    <w:rsid w:val="00973B9A"/>
    <w:rsid w:val="00981ACE"/>
    <w:rsid w:val="00985452"/>
    <w:rsid w:val="009912DE"/>
    <w:rsid w:val="00991D36"/>
    <w:rsid w:val="0099334E"/>
    <w:rsid w:val="009A349F"/>
    <w:rsid w:val="009B27EA"/>
    <w:rsid w:val="009B2872"/>
    <w:rsid w:val="009B3F24"/>
    <w:rsid w:val="009B3F93"/>
    <w:rsid w:val="009B5038"/>
    <w:rsid w:val="009B638E"/>
    <w:rsid w:val="009B7D4F"/>
    <w:rsid w:val="009C1649"/>
    <w:rsid w:val="009C26ED"/>
    <w:rsid w:val="009C3B47"/>
    <w:rsid w:val="009C54F8"/>
    <w:rsid w:val="009C723A"/>
    <w:rsid w:val="009C7329"/>
    <w:rsid w:val="009D049E"/>
    <w:rsid w:val="009D28F8"/>
    <w:rsid w:val="009D617A"/>
    <w:rsid w:val="009D62D7"/>
    <w:rsid w:val="009D652B"/>
    <w:rsid w:val="009E06D7"/>
    <w:rsid w:val="009E0705"/>
    <w:rsid w:val="009E15B1"/>
    <w:rsid w:val="009E3FCA"/>
    <w:rsid w:val="009E400B"/>
    <w:rsid w:val="009E4F4B"/>
    <w:rsid w:val="009E761B"/>
    <w:rsid w:val="009F53C0"/>
    <w:rsid w:val="009F59EB"/>
    <w:rsid w:val="00A0035C"/>
    <w:rsid w:val="00A02668"/>
    <w:rsid w:val="00A03D5C"/>
    <w:rsid w:val="00A06205"/>
    <w:rsid w:val="00A0726A"/>
    <w:rsid w:val="00A1067D"/>
    <w:rsid w:val="00A10BF0"/>
    <w:rsid w:val="00A24435"/>
    <w:rsid w:val="00A245CE"/>
    <w:rsid w:val="00A30BEE"/>
    <w:rsid w:val="00A339E3"/>
    <w:rsid w:val="00A4214F"/>
    <w:rsid w:val="00A43BCA"/>
    <w:rsid w:val="00A45465"/>
    <w:rsid w:val="00A50871"/>
    <w:rsid w:val="00A5277E"/>
    <w:rsid w:val="00A52CB0"/>
    <w:rsid w:val="00A531FF"/>
    <w:rsid w:val="00A53E54"/>
    <w:rsid w:val="00A54AB7"/>
    <w:rsid w:val="00A55277"/>
    <w:rsid w:val="00A62FBC"/>
    <w:rsid w:val="00A64DB6"/>
    <w:rsid w:val="00A663E5"/>
    <w:rsid w:val="00A7120A"/>
    <w:rsid w:val="00A72A7B"/>
    <w:rsid w:val="00A739D4"/>
    <w:rsid w:val="00A73F78"/>
    <w:rsid w:val="00A7514E"/>
    <w:rsid w:val="00A767B6"/>
    <w:rsid w:val="00A82A81"/>
    <w:rsid w:val="00A91E4D"/>
    <w:rsid w:val="00A92B02"/>
    <w:rsid w:val="00A9617E"/>
    <w:rsid w:val="00AA35C2"/>
    <w:rsid w:val="00AA603E"/>
    <w:rsid w:val="00AA69DD"/>
    <w:rsid w:val="00AA76F9"/>
    <w:rsid w:val="00AB494E"/>
    <w:rsid w:val="00AC1905"/>
    <w:rsid w:val="00AC2F36"/>
    <w:rsid w:val="00AC3F19"/>
    <w:rsid w:val="00AC56C4"/>
    <w:rsid w:val="00AC592D"/>
    <w:rsid w:val="00AC69DF"/>
    <w:rsid w:val="00AD4C12"/>
    <w:rsid w:val="00AD5381"/>
    <w:rsid w:val="00AE5235"/>
    <w:rsid w:val="00AE611F"/>
    <w:rsid w:val="00AF27A5"/>
    <w:rsid w:val="00AF30B3"/>
    <w:rsid w:val="00AF37F7"/>
    <w:rsid w:val="00AF4769"/>
    <w:rsid w:val="00AF6CC5"/>
    <w:rsid w:val="00AF743B"/>
    <w:rsid w:val="00B006B1"/>
    <w:rsid w:val="00B00731"/>
    <w:rsid w:val="00B03C70"/>
    <w:rsid w:val="00B04335"/>
    <w:rsid w:val="00B04701"/>
    <w:rsid w:val="00B0586C"/>
    <w:rsid w:val="00B105F8"/>
    <w:rsid w:val="00B11276"/>
    <w:rsid w:val="00B11D19"/>
    <w:rsid w:val="00B13638"/>
    <w:rsid w:val="00B13967"/>
    <w:rsid w:val="00B2116F"/>
    <w:rsid w:val="00B226EB"/>
    <w:rsid w:val="00B237E1"/>
    <w:rsid w:val="00B24AE1"/>
    <w:rsid w:val="00B266AD"/>
    <w:rsid w:val="00B2798A"/>
    <w:rsid w:val="00B27A3B"/>
    <w:rsid w:val="00B330E2"/>
    <w:rsid w:val="00B33F34"/>
    <w:rsid w:val="00B344DA"/>
    <w:rsid w:val="00B345EA"/>
    <w:rsid w:val="00B43DE3"/>
    <w:rsid w:val="00B46D27"/>
    <w:rsid w:val="00B55766"/>
    <w:rsid w:val="00B55E6F"/>
    <w:rsid w:val="00B612C7"/>
    <w:rsid w:val="00B626BB"/>
    <w:rsid w:val="00B648BB"/>
    <w:rsid w:val="00B648BC"/>
    <w:rsid w:val="00B70E46"/>
    <w:rsid w:val="00B72DAF"/>
    <w:rsid w:val="00B8721C"/>
    <w:rsid w:val="00B9123D"/>
    <w:rsid w:val="00B9762F"/>
    <w:rsid w:val="00B97659"/>
    <w:rsid w:val="00BA2944"/>
    <w:rsid w:val="00BA3F69"/>
    <w:rsid w:val="00BA59EF"/>
    <w:rsid w:val="00BA6495"/>
    <w:rsid w:val="00BC3FB4"/>
    <w:rsid w:val="00BC5152"/>
    <w:rsid w:val="00BC665E"/>
    <w:rsid w:val="00BC7B6F"/>
    <w:rsid w:val="00BC7C74"/>
    <w:rsid w:val="00BD082B"/>
    <w:rsid w:val="00BD0A27"/>
    <w:rsid w:val="00BD2B9D"/>
    <w:rsid w:val="00BD3F6E"/>
    <w:rsid w:val="00BD581D"/>
    <w:rsid w:val="00BE188E"/>
    <w:rsid w:val="00BE57D4"/>
    <w:rsid w:val="00BE6E5D"/>
    <w:rsid w:val="00BE77D5"/>
    <w:rsid w:val="00BF1CA7"/>
    <w:rsid w:val="00BF5CC6"/>
    <w:rsid w:val="00C01449"/>
    <w:rsid w:val="00C0437A"/>
    <w:rsid w:val="00C17196"/>
    <w:rsid w:val="00C20241"/>
    <w:rsid w:val="00C23A0D"/>
    <w:rsid w:val="00C242FF"/>
    <w:rsid w:val="00C274EF"/>
    <w:rsid w:val="00C32820"/>
    <w:rsid w:val="00C3294F"/>
    <w:rsid w:val="00C35F59"/>
    <w:rsid w:val="00C44E57"/>
    <w:rsid w:val="00C47C33"/>
    <w:rsid w:val="00C50154"/>
    <w:rsid w:val="00C529A9"/>
    <w:rsid w:val="00C61DDF"/>
    <w:rsid w:val="00C62787"/>
    <w:rsid w:val="00C65367"/>
    <w:rsid w:val="00C65E59"/>
    <w:rsid w:val="00C662BB"/>
    <w:rsid w:val="00C67707"/>
    <w:rsid w:val="00C710F5"/>
    <w:rsid w:val="00C7475B"/>
    <w:rsid w:val="00C773F5"/>
    <w:rsid w:val="00C774E3"/>
    <w:rsid w:val="00C77D8B"/>
    <w:rsid w:val="00C77E8D"/>
    <w:rsid w:val="00C82861"/>
    <w:rsid w:val="00C84628"/>
    <w:rsid w:val="00C87BCD"/>
    <w:rsid w:val="00C87C5E"/>
    <w:rsid w:val="00C91987"/>
    <w:rsid w:val="00C919ED"/>
    <w:rsid w:val="00C92479"/>
    <w:rsid w:val="00C9508A"/>
    <w:rsid w:val="00C950C9"/>
    <w:rsid w:val="00CA0ADB"/>
    <w:rsid w:val="00CA3493"/>
    <w:rsid w:val="00CA484E"/>
    <w:rsid w:val="00CB000F"/>
    <w:rsid w:val="00CB0404"/>
    <w:rsid w:val="00CB2944"/>
    <w:rsid w:val="00CB5552"/>
    <w:rsid w:val="00CB5719"/>
    <w:rsid w:val="00CC30F5"/>
    <w:rsid w:val="00CC4484"/>
    <w:rsid w:val="00CC4F70"/>
    <w:rsid w:val="00CC79E1"/>
    <w:rsid w:val="00CD0180"/>
    <w:rsid w:val="00CD0987"/>
    <w:rsid w:val="00CE0042"/>
    <w:rsid w:val="00CE3D93"/>
    <w:rsid w:val="00CE4AFE"/>
    <w:rsid w:val="00CF15E1"/>
    <w:rsid w:val="00CF32A2"/>
    <w:rsid w:val="00CF6504"/>
    <w:rsid w:val="00CF7B5F"/>
    <w:rsid w:val="00D01C88"/>
    <w:rsid w:val="00D01E04"/>
    <w:rsid w:val="00D023A0"/>
    <w:rsid w:val="00D02729"/>
    <w:rsid w:val="00D03102"/>
    <w:rsid w:val="00D040F7"/>
    <w:rsid w:val="00D050DE"/>
    <w:rsid w:val="00D06188"/>
    <w:rsid w:val="00D07D75"/>
    <w:rsid w:val="00D10ABD"/>
    <w:rsid w:val="00D11E81"/>
    <w:rsid w:val="00D144BD"/>
    <w:rsid w:val="00D16E4F"/>
    <w:rsid w:val="00D203E2"/>
    <w:rsid w:val="00D252EC"/>
    <w:rsid w:val="00D35BD8"/>
    <w:rsid w:val="00D4135B"/>
    <w:rsid w:val="00D42AE3"/>
    <w:rsid w:val="00D44724"/>
    <w:rsid w:val="00D44BBC"/>
    <w:rsid w:val="00D4675B"/>
    <w:rsid w:val="00D47C1D"/>
    <w:rsid w:val="00D51DF3"/>
    <w:rsid w:val="00D53921"/>
    <w:rsid w:val="00D57AB3"/>
    <w:rsid w:val="00D61CB4"/>
    <w:rsid w:val="00D6385D"/>
    <w:rsid w:val="00D677F6"/>
    <w:rsid w:val="00D71C8C"/>
    <w:rsid w:val="00D75BED"/>
    <w:rsid w:val="00D77D71"/>
    <w:rsid w:val="00D8029F"/>
    <w:rsid w:val="00D80936"/>
    <w:rsid w:val="00D81A36"/>
    <w:rsid w:val="00D82B31"/>
    <w:rsid w:val="00D83446"/>
    <w:rsid w:val="00D8355E"/>
    <w:rsid w:val="00D877C7"/>
    <w:rsid w:val="00D912FA"/>
    <w:rsid w:val="00D94265"/>
    <w:rsid w:val="00D9534D"/>
    <w:rsid w:val="00D972C4"/>
    <w:rsid w:val="00DA13AB"/>
    <w:rsid w:val="00DB0518"/>
    <w:rsid w:val="00DB10F3"/>
    <w:rsid w:val="00DB652B"/>
    <w:rsid w:val="00DB76B0"/>
    <w:rsid w:val="00DC447C"/>
    <w:rsid w:val="00DC5FC2"/>
    <w:rsid w:val="00DC638D"/>
    <w:rsid w:val="00DC7D54"/>
    <w:rsid w:val="00DD13F0"/>
    <w:rsid w:val="00DD20D3"/>
    <w:rsid w:val="00DD2F2F"/>
    <w:rsid w:val="00DD5451"/>
    <w:rsid w:val="00DE4649"/>
    <w:rsid w:val="00DE6F46"/>
    <w:rsid w:val="00DE7C11"/>
    <w:rsid w:val="00DF02C2"/>
    <w:rsid w:val="00DF0C4E"/>
    <w:rsid w:val="00DF0C98"/>
    <w:rsid w:val="00DF2501"/>
    <w:rsid w:val="00DF327B"/>
    <w:rsid w:val="00DF65A8"/>
    <w:rsid w:val="00DF677B"/>
    <w:rsid w:val="00DF7553"/>
    <w:rsid w:val="00E0003B"/>
    <w:rsid w:val="00E01075"/>
    <w:rsid w:val="00E05EB8"/>
    <w:rsid w:val="00E06AB6"/>
    <w:rsid w:val="00E1270A"/>
    <w:rsid w:val="00E12DF0"/>
    <w:rsid w:val="00E14F03"/>
    <w:rsid w:val="00E170B6"/>
    <w:rsid w:val="00E202AF"/>
    <w:rsid w:val="00E215F6"/>
    <w:rsid w:val="00E25130"/>
    <w:rsid w:val="00E26251"/>
    <w:rsid w:val="00E31A78"/>
    <w:rsid w:val="00E32FFD"/>
    <w:rsid w:val="00E3679F"/>
    <w:rsid w:val="00E42E99"/>
    <w:rsid w:val="00E509C7"/>
    <w:rsid w:val="00E560E4"/>
    <w:rsid w:val="00E6357A"/>
    <w:rsid w:val="00E70EC6"/>
    <w:rsid w:val="00E71BC2"/>
    <w:rsid w:val="00E728F8"/>
    <w:rsid w:val="00E76388"/>
    <w:rsid w:val="00E76749"/>
    <w:rsid w:val="00E806AC"/>
    <w:rsid w:val="00E82A08"/>
    <w:rsid w:val="00E83F23"/>
    <w:rsid w:val="00E9207B"/>
    <w:rsid w:val="00E92829"/>
    <w:rsid w:val="00E929FC"/>
    <w:rsid w:val="00E94923"/>
    <w:rsid w:val="00E95DB5"/>
    <w:rsid w:val="00EA061C"/>
    <w:rsid w:val="00EA69E4"/>
    <w:rsid w:val="00EB1085"/>
    <w:rsid w:val="00EB217B"/>
    <w:rsid w:val="00EB6BE2"/>
    <w:rsid w:val="00EC1471"/>
    <w:rsid w:val="00EC363A"/>
    <w:rsid w:val="00EC3E5F"/>
    <w:rsid w:val="00EC558B"/>
    <w:rsid w:val="00EC746F"/>
    <w:rsid w:val="00ED27C0"/>
    <w:rsid w:val="00ED6207"/>
    <w:rsid w:val="00EE0705"/>
    <w:rsid w:val="00EE64D6"/>
    <w:rsid w:val="00EE6C54"/>
    <w:rsid w:val="00EE6C7F"/>
    <w:rsid w:val="00EF0B48"/>
    <w:rsid w:val="00EF5AC2"/>
    <w:rsid w:val="00F00ED0"/>
    <w:rsid w:val="00F013CC"/>
    <w:rsid w:val="00F12418"/>
    <w:rsid w:val="00F125E6"/>
    <w:rsid w:val="00F12E41"/>
    <w:rsid w:val="00F214E1"/>
    <w:rsid w:val="00F2194E"/>
    <w:rsid w:val="00F21BEE"/>
    <w:rsid w:val="00F22789"/>
    <w:rsid w:val="00F2592B"/>
    <w:rsid w:val="00F41E6A"/>
    <w:rsid w:val="00F53748"/>
    <w:rsid w:val="00F57193"/>
    <w:rsid w:val="00F57C3A"/>
    <w:rsid w:val="00F62025"/>
    <w:rsid w:val="00F629D2"/>
    <w:rsid w:val="00F64A58"/>
    <w:rsid w:val="00F71DF4"/>
    <w:rsid w:val="00F74027"/>
    <w:rsid w:val="00F74E93"/>
    <w:rsid w:val="00F76FF8"/>
    <w:rsid w:val="00F77F7D"/>
    <w:rsid w:val="00F87619"/>
    <w:rsid w:val="00F97DA5"/>
    <w:rsid w:val="00FA067C"/>
    <w:rsid w:val="00FA2863"/>
    <w:rsid w:val="00FA2B2A"/>
    <w:rsid w:val="00FA2D03"/>
    <w:rsid w:val="00FA35B9"/>
    <w:rsid w:val="00FB0224"/>
    <w:rsid w:val="00FB0ADF"/>
    <w:rsid w:val="00FB602E"/>
    <w:rsid w:val="00FC08D3"/>
    <w:rsid w:val="00FC2AAE"/>
    <w:rsid w:val="00FC479D"/>
    <w:rsid w:val="00FC7BD6"/>
    <w:rsid w:val="00FD2C2C"/>
    <w:rsid w:val="00FD663F"/>
    <w:rsid w:val="00FD7628"/>
    <w:rsid w:val="00FD7A43"/>
    <w:rsid w:val="00FE027A"/>
    <w:rsid w:val="00FE103F"/>
    <w:rsid w:val="00FE1547"/>
    <w:rsid w:val="00FE2508"/>
    <w:rsid w:val="00FE6DE8"/>
    <w:rsid w:val="00FF02D4"/>
    <w:rsid w:val="00FF02EB"/>
    <w:rsid w:val="00FF1B12"/>
    <w:rsid w:val="00FF1EDD"/>
    <w:rsid w:val="00FF4DB0"/>
    <w:rsid w:val="00FF673A"/>
    <w:rsid w:val="010978F0"/>
    <w:rsid w:val="0A916992"/>
    <w:rsid w:val="280C2710"/>
    <w:rsid w:val="346959F8"/>
    <w:rsid w:val="35E12DFA"/>
    <w:rsid w:val="527C5C08"/>
    <w:rsid w:val="673E62FC"/>
    <w:rsid w:val="67A64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numPr>
        <w:ilvl w:val="1"/>
        <w:numId w:val="1"/>
      </w:numPr>
      <w:tabs>
        <w:tab w:val="right" w:leader="dot" w:pos="9241"/>
      </w:tabs>
      <w:ind w:firstLine="500" w:firstLineChars="500"/>
      <w:jc w:val="left"/>
    </w:pPr>
    <w:rPr>
      <w:rFonts w:ascii="宋体" w:hAnsi="Times New Roman" w:eastAsia="宋体" w:cs="Times New Roman"/>
      <w:szCs w:val="21"/>
    </w:rPr>
  </w:style>
  <w:style w:type="paragraph" w:styleId="3">
    <w:name w:val="index 8"/>
    <w:basedOn w:val="1"/>
    <w:next w:val="1"/>
    <w:qFormat/>
    <w:uiPriority w:val="0"/>
    <w:pPr>
      <w:numPr>
        <w:ilvl w:val="2"/>
        <w:numId w:val="1"/>
      </w:numPr>
      <w:ind w:left="1680" w:hanging="210"/>
      <w:jc w:val="left"/>
    </w:pPr>
    <w:rPr>
      <w:rFonts w:ascii="Calibri" w:hAnsi="Calibri" w:eastAsia="宋体" w:cs="Times New Roman"/>
      <w:sz w:val="20"/>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table" w:customStyle="1" w:styleId="12">
    <w:name w:val="网格型1"/>
    <w:basedOn w:val="7"/>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网格型2"/>
    <w:basedOn w:val="7"/>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网格型3"/>
    <w:basedOn w:val="7"/>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basedOn w:val="9"/>
    <w:link w:val="4"/>
    <w:semiHidden/>
    <w:qFormat/>
    <w:uiPriority w:val="99"/>
    <w:rPr>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paragraph" w:customStyle="1" w:styleId="17">
    <w:name w:val="正文表标题"/>
    <w:next w:val="1"/>
    <w:qFormat/>
    <w:uiPriority w:val="0"/>
    <w:pPr>
      <w:numPr>
        <w:ilvl w:val="0"/>
        <w:numId w:val="2"/>
      </w:numPr>
      <w:spacing w:beforeLines="50" w:afterLines="50"/>
      <w:jc w:val="center"/>
    </w:pPr>
    <w:rPr>
      <w:rFonts w:ascii="黑体" w:hAnsi="Times New Roman" w:eastAsia="黑体" w:cs="Times New Roman"/>
      <w:kern w:val="0"/>
      <w:sz w:val="21"/>
      <w:szCs w:val="20"/>
      <w:lang w:val="en-US" w:eastAsia="zh-CN" w:bidi="ar-SA"/>
    </w:rPr>
  </w:style>
  <w:style w:type="table" w:customStyle="1" w:styleId="18">
    <w:name w:val="网格型4"/>
    <w:basedOn w:val="7"/>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9">
    <w:name w:val="网格型5"/>
    <w:basedOn w:val="7"/>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
    <w:name w:val="网格型6"/>
    <w:basedOn w:val="7"/>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2228</Words>
  <Characters>2378</Characters>
  <Lines>37</Lines>
  <Paragraphs>10</Paragraphs>
  <TotalTime>3</TotalTime>
  <ScaleCrop>false</ScaleCrop>
  <LinksUpToDate>false</LinksUpToDate>
  <CharactersWithSpaces>2396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2024-04-07T06:49:00Z</dcterms:created>
  <dc:creator>wangzequn</dc:creator>
  <cp:lastModifiedBy>ma yuan</cp:lastModifiedBy>
  <dcterms:modified xsi:type="dcterms:W3CDTF">2025-07-24T01:33:16Z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eyJoZGlkIjoiODJmZDNmNmZiNjkzMGFiYzI4MGMwNDRjMjBjZDEyZGMiLCJ1c2VySWQiOiIzMzcyOTAwNTkifQ==</vt:lpwstr>
  </property>
  <property fmtid="{D5CDD505-2E9C-101B-9397-08002B2CF9AE}" pid="3" name="KSOProductBuildVer">
    <vt:lpwstr>2052-12.1.0.21915</vt:lpwstr>
  </property>
  <property fmtid="{D5CDD505-2E9C-101B-9397-08002B2CF9AE}" pid="4" name="ICV">
    <vt:lpwstr>292EFE0C195F4221B04D7E5599336390_13</vt:lpwstr>
  </property>
</Properties>
</file>