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BA8DD">
      <w:pPr>
        <w:pStyle w:val="69"/>
        <w:framePr w:wrap="around" w:x="1351" w:y="6261"/>
        <w:rPr>
          <w:rFonts w:hint="default" w:ascii="Times New Roman" w:hAnsi="Times New Roman" w:eastAsia="黑体" w:cs="Times New Roman"/>
          <w:lang w:val="en-US" w:eastAsia="zh-CN"/>
        </w:rPr>
      </w:pPr>
      <w:r>
        <w:rPr>
          <w:rFonts w:hint="default" w:ascii="Times New Roman" w:hAnsi="Times New Roman" w:cs="Times New Roman"/>
          <w:lang w:val="en-US" w:eastAsia="zh-CN"/>
        </w:rPr>
        <w:t>机器人谐波传动减速器轴承用</w:t>
      </w:r>
      <w:ins w:id="0" w:author="作者" w:date="2025-08-01T16:42:06Z">
        <w:r>
          <w:rPr>
            <w:rFonts w:hint="eastAsia" w:ascii="Times New Roman" w:cs="Times New Roman"/>
            <w:lang w:val="en-US" w:eastAsia="zh-CN"/>
          </w:rPr>
          <w:t>热轧</w:t>
        </w:r>
      </w:ins>
      <w:ins w:id="1" w:author="作者" w:date="2025-08-01T16:42:07Z">
        <w:r>
          <w:rPr>
            <w:rFonts w:hint="eastAsia" w:ascii="Times New Roman" w:cs="Times New Roman"/>
            <w:lang w:val="en-US" w:eastAsia="zh-CN"/>
          </w:rPr>
          <w:t>圆</w:t>
        </w:r>
      </w:ins>
      <w:r>
        <w:rPr>
          <w:rFonts w:hint="default" w:ascii="Times New Roman" w:hAnsi="Times New Roman" w:cs="Times New Roman"/>
          <w:lang w:val="en-US" w:eastAsia="zh-CN"/>
        </w:rPr>
        <w:t>钢</w:t>
      </w:r>
    </w:p>
    <w:p w14:paraId="7ACEA7E5">
      <w:pPr>
        <w:pStyle w:val="68"/>
        <w:framePr w:wrap="around" w:x="1351" w:y="6261"/>
        <w:rPr>
          <w:rFonts w:hint="eastAsia" w:ascii="黑体" w:hAnsi="黑体" w:eastAsia="黑体" w:cs="黑体"/>
          <w:lang w:val="en-US" w:eastAsia="zh-CN"/>
        </w:rPr>
      </w:pPr>
      <w:r>
        <w:rPr>
          <w:rFonts w:hint="eastAsia" w:ascii="黑体" w:hAnsi="黑体" w:eastAsia="黑体" w:cs="黑体"/>
          <w:lang w:val="en-US" w:eastAsia="zh-CN"/>
        </w:rPr>
        <w:t xml:space="preserve">Bearing steel for robot harmonic drive reducer </w:t>
      </w:r>
    </w:p>
    <w:p w14:paraId="3A0F8FCA">
      <w:pPr>
        <w:pStyle w:val="68"/>
        <w:framePr w:wrap="around" w:x="1351" w:y="6261"/>
        <w:rPr>
          <w:rFonts w:hint="default" w:ascii="Times New Roman" w:hAnsi="Times New Roman" w:eastAsia="仿宋_GB2312" w:cs="Times New Roman"/>
          <w:lang w:val="en-US" w:eastAsia="zh-CN"/>
        </w:rPr>
      </w:pPr>
    </w:p>
    <w:p w14:paraId="18AF6A50">
      <w:pPr>
        <w:pStyle w:val="110"/>
        <w:framePr w:wrap="around" w:hAnchor="page" w:x="1175" w:y="14086"/>
        <w:rPr>
          <w:rFonts w:hint="default" w:ascii="Times New Roman" w:hAnsi="Times New Roman" w:eastAsia="宋体" w:cs="Times New Roman"/>
        </w:rPr>
      </w:pPr>
      <w:bookmarkStart w:id="0" w:name="FM"/>
      <w:r>
        <w:rPr>
          <w:rFonts w:hint="default" w:ascii="Times New Roman" w:hAnsi="Times New Roman" w:cs="Times New Roman"/>
        </w:rPr>
        <mc:AlternateContent>
          <mc:Choice Requires="wps">
            <w:drawing>
              <wp:anchor distT="0" distB="0" distL="114300" distR="114300" simplePos="0" relativeHeight="251659264" behindDoc="1" locked="0" layoutInCell="1" allowOverlap="1">
                <wp:simplePos x="0" y="0"/>
                <wp:positionH relativeFrom="column">
                  <wp:posOffset>95885</wp:posOffset>
                </wp:positionH>
                <wp:positionV relativeFrom="paragraph">
                  <wp:posOffset>407035</wp:posOffset>
                </wp:positionV>
                <wp:extent cx="5948680" cy="0"/>
                <wp:effectExtent l="5080" t="11430" r="8890" b="7620"/>
                <wp:wrapTight wrapText="bothSides">
                  <wp:wrapPolygon>
                    <wp:start x="0" y="-2147483648"/>
                    <wp:lineTo x="0" y="-2147483648"/>
                    <wp:lineTo x="627" y="-2147483648"/>
                    <wp:lineTo x="627" y="-2147483648"/>
                    <wp:lineTo x="0" y="-2147483648"/>
                  </wp:wrapPolygon>
                </wp:wrapTight>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7.55pt;margin-top:32.05pt;height:0pt;width:468.4pt;mso-wrap-distance-left:9pt;mso-wrap-distance-right:9pt;z-index:-251657216;mso-width-relative:page;mso-height-relative:page;" filled="f" stroked="t" coordsize="21600,21600" wrapcoords="0 -2147483648 0 -2147483648 627 -2147483648 627 -2147483648 0 -2147483648" o:gfxdata="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t7w8vVAAAACAEAAA8AAAAAAAAAAQAgAAAAIgAAAGRycy9kb3du&#10;cmV2LnhtbFBLAQIUABQAAAAIAIdO4kA8CvUmyQEAAJ8DAAAOAAAAAAAAAAEAIAAAACQBAABkcnMv&#10;ZTJvRG9jLnhtbFBLBQYAAAAABgAGAFkBAABfBQAAAAA=&#10;">
                <v:fill on="f" focussize="0,0"/>
                <v:stroke color="#000000" joinstyle="round"/>
                <v:imagedata o:title=""/>
                <o:lock v:ext="edit" aspectratio="f"/>
                <w10:wrap type="tight"/>
              </v:line>
            </w:pict>
          </mc:Fallback>
        </mc:AlternateContent>
      </w:r>
      <w:r>
        <w:rPr>
          <w:rFonts w:hint="default" w:ascii="Times New Roman" w:hAnsi="Times New Roman" w:eastAsia="宋体" w:cs="Times New Roman"/>
        </w:rPr>
        <w:t>XXXX-</w:t>
      </w:r>
      <w:bookmarkEnd w:id="0"/>
      <w:r>
        <w:rPr>
          <w:rFonts w:hint="default" w:ascii="Times New Roman" w:hAnsi="Times New Roman" w:eastAsia="宋体" w:cs="Times New Roman"/>
        </w:rPr>
        <w:t>XX-XX</w:t>
      </w:r>
      <w:r>
        <w:rPr>
          <w:rFonts w:hint="default" w:ascii="Times New Roman" w:hAnsi="Times New Roman" w:cs="Times New Roman"/>
        </w:rPr>
        <w:t>发布</w:t>
      </w:r>
    </w:p>
    <w:p w14:paraId="4AAA6199">
      <w:pPr>
        <w:pStyle w:val="141"/>
        <w:framePr w:wrap="around" w:hAnchor="page" w:x="6661" w:y="14041"/>
        <w:rPr>
          <w:rFonts w:hint="default" w:ascii="Times New Roman" w:hAnsi="Times New Roman" w:cs="Times New Roman"/>
        </w:rPr>
      </w:pPr>
      <w:r>
        <w:rPr>
          <w:rFonts w:hint="default" w:ascii="Times New Roman" w:hAnsi="Times New Roman" w:eastAsia="宋体" w:cs="Times New Roman"/>
        </w:rPr>
        <w:t>XXXX-XX-XX</w:t>
      </w:r>
      <w:r>
        <w:rPr>
          <w:rFonts w:hint="default" w:ascii="Times New Roman" w:hAnsi="Times New Roman" w:cs="Times New Roman"/>
        </w:rPr>
        <w:t>实施</w:t>
      </w:r>
    </w:p>
    <w:p w14:paraId="7C0CDCAE">
      <w:pPr>
        <w:framePr w:hSpace="180" w:vSpace="180" w:wrap="around" w:vAnchor="page" w:hAnchor="margin" w:y="1171" w:anchorLock="1"/>
        <w:jc w:val="left"/>
        <w:textAlignment w:val="center"/>
        <w:rPr>
          <w:rFonts w:hint="eastAsia" w:ascii="黑体" w:hAnsi="黑体" w:eastAsia="黑体" w:cs="黑体"/>
          <w:kern w:val="0"/>
          <w:szCs w:val="21"/>
          <w:lang w:val="en-US" w:eastAsia="zh-CN"/>
        </w:rPr>
      </w:pPr>
      <w:r>
        <w:rPr>
          <w:rFonts w:hint="eastAsia" w:ascii="黑体" w:hAnsi="黑体" w:eastAsia="黑体" w:cs="黑体"/>
          <w:kern w:val="0"/>
          <w:szCs w:val="21"/>
        </w:rPr>
        <w:t>ICS 77.140.</w:t>
      </w:r>
      <w:r>
        <w:rPr>
          <w:rFonts w:hint="eastAsia" w:ascii="黑体" w:hAnsi="黑体" w:eastAsia="黑体" w:cs="黑体"/>
          <w:kern w:val="0"/>
          <w:szCs w:val="21"/>
          <w:lang w:val="en-US" w:eastAsia="zh-CN"/>
        </w:rPr>
        <w:t>10</w:t>
      </w:r>
    </w:p>
    <w:p w14:paraId="6082A997">
      <w:pPr>
        <w:framePr w:hSpace="180" w:vSpace="180" w:wrap="around" w:vAnchor="page" w:hAnchor="margin" w:y="1171" w:anchorLock="1"/>
        <w:jc w:val="left"/>
        <w:textAlignment w:val="center"/>
        <w:rPr>
          <w:rFonts w:hint="eastAsia" w:ascii="黑体" w:hAnsi="黑体" w:eastAsia="黑体" w:cs="黑体"/>
          <w:kern w:val="0"/>
          <w:szCs w:val="21"/>
          <w:lang w:val="en-US" w:eastAsia="zh-CN"/>
        </w:rPr>
      </w:pPr>
      <w:r>
        <w:rPr>
          <w:rFonts w:hint="eastAsia" w:ascii="黑体" w:hAnsi="黑体" w:eastAsia="黑体" w:cs="黑体"/>
          <w:kern w:val="0"/>
          <w:szCs w:val="21"/>
        </w:rPr>
        <w:t xml:space="preserve">CCS H </w:t>
      </w:r>
      <w:r>
        <w:rPr>
          <w:rFonts w:hint="eastAsia" w:ascii="黑体" w:hAnsi="黑体" w:eastAsia="黑体" w:cs="黑体"/>
          <w:kern w:val="0"/>
          <w:szCs w:val="21"/>
          <w:lang w:val="en-US" w:eastAsia="zh-CN"/>
        </w:rPr>
        <w:t>40</w:t>
      </w:r>
    </w:p>
    <w:p w14:paraId="0FD6E71D">
      <w:pPr>
        <w:pStyle w:val="23"/>
        <w:spacing w:line="340" w:lineRule="exact"/>
        <w:ind w:left="0" w:leftChars="0" w:firstLine="0" w:firstLineChars="0"/>
        <w:rPr>
          <w:rFonts w:hint="default" w:ascii="Times New Roman" w:hAnsi="Times New Roman" w:cs="Times New Roman"/>
          <w:kern w:val="2"/>
          <w:sz w:val="22"/>
          <w:szCs w:val="22"/>
        </w:rPr>
      </w:pPr>
    </w:p>
    <w:p w14:paraId="4AA9A526">
      <w:pPr>
        <w:keepNext w:val="0"/>
        <w:keepLines w:val="0"/>
        <w:pageBreakBefore w:val="0"/>
        <w:framePr w:wrap="around" w:vAnchor="page" w:hAnchor="page" w:x="1482" w:y="2348"/>
        <w:widowControl w:val="0"/>
        <w:kinsoku w:val="0"/>
        <w:wordWrap/>
        <w:overflowPunct w:val="0"/>
        <w:topLinePunct w:val="0"/>
        <w:autoSpaceDE w:val="0"/>
        <w:autoSpaceDN w:val="0"/>
        <w:bidi w:val="0"/>
        <w:adjustRightInd/>
        <w:snapToGrid/>
        <w:spacing w:line="0" w:lineRule="atLeast"/>
        <w:ind w:left="0" w:right="0"/>
        <w:jc w:val="distribute"/>
        <w:textAlignment w:val="auto"/>
        <w:rPr>
          <w:rFonts w:hint="default" w:ascii="Times New Roman" w:hAnsi="Times New Roman" w:eastAsia="宋体" w:cs="Times New Roman"/>
          <w:b/>
          <w:bCs/>
          <w:spacing w:val="20"/>
          <w:w w:val="148"/>
          <w:sz w:val="48"/>
          <w:lang w:val="en-US" w:eastAsia="zh-CN" w:bidi="ar-SA"/>
        </w:rPr>
      </w:pPr>
      <w:r>
        <w:rPr>
          <w:rFonts w:hint="default" w:ascii="Times New Roman" w:hAnsi="Times New Roman" w:eastAsia="宋体" w:cs="Times New Roman"/>
          <w:b/>
          <w:bCs/>
          <w:spacing w:val="20"/>
          <w:w w:val="148"/>
          <w:sz w:val="48"/>
          <w:lang w:val="en-US" w:eastAsia="zh-CN" w:bidi="ar-SA"/>
        </w:rPr>
        <w:t>团体标准</w:t>
      </w:r>
    </w:p>
    <w:p w14:paraId="21FB4236">
      <w:pPr>
        <w:framePr w:wrap="auto" w:vAnchor="page" w:hAnchor="page" w:x="1392" w:y="3058"/>
        <w:pBdr>
          <w:bottom w:val="single" w:color="auto" w:sz="4" w:space="1"/>
        </w:pBdr>
        <w:wordWrap w:val="0"/>
        <w:spacing w:before="357" w:line="280" w:lineRule="exact"/>
        <w:jc w:val="right"/>
        <w:rPr>
          <w:rFonts w:hint="default" w:ascii="Times New Roman" w:hAnsi="Times New Roman" w:eastAsia="宋体" w:cs="Times New Roman"/>
          <w:sz w:val="28"/>
          <w:szCs w:val="28"/>
          <w:lang w:val="en-US" w:eastAsia="zh-CN"/>
        </w:rPr>
      </w:pPr>
      <w:bookmarkStart w:id="1" w:name="_Hlk130281064"/>
      <w:r>
        <w:rPr>
          <w:rFonts w:ascii="Times New Roman" w:hAnsi="Times New Roman" w:eastAsia="宋体" w:cs="Times New Roman"/>
          <w:sz w:val="28"/>
          <w:szCs w:val="28"/>
        </w:rPr>
        <w:t xml:space="preserve">T/SSEA </w:t>
      </w:r>
      <w:r>
        <w:rPr>
          <w:rFonts w:hint="eastAsia" w:ascii="Times New Roman" w:hAnsi="Times New Roman" w:eastAsia="宋体" w:cs="Times New Roman"/>
          <w:sz w:val="28"/>
          <w:szCs w:val="28"/>
          <w:lang w:val="en-US" w:eastAsia="zh-CN"/>
        </w:rPr>
        <w:t>XXXX</w:t>
      </w:r>
      <w:r>
        <w:rPr>
          <w:rFonts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2025</w:t>
      </w:r>
    </w:p>
    <w:p w14:paraId="05B0EC71">
      <w:pPr>
        <w:framePr w:wrap="auto" w:vAnchor="page" w:hAnchor="page" w:x="1392" w:y="3058"/>
        <w:pBdr>
          <w:bottom w:val="single" w:color="auto" w:sz="4" w:space="1"/>
        </w:pBdr>
        <w:wordWrap w:val="0"/>
        <w:spacing w:before="120" w:line="280" w:lineRule="exact"/>
        <w:jc w:val="righ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T/CSTA </w:t>
      </w:r>
      <w:r>
        <w:rPr>
          <w:rFonts w:hint="eastAsia" w:ascii="Times New Roman" w:hAnsi="Times New Roman" w:eastAsia="宋体" w:cs="Times New Roman"/>
          <w:sz w:val="28"/>
          <w:szCs w:val="28"/>
          <w:lang w:val="en-US" w:eastAsia="zh-CN"/>
        </w:rPr>
        <w:t>XXXX</w:t>
      </w:r>
      <w:r>
        <w:rPr>
          <w:rFonts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2025</w:t>
      </w:r>
    </w:p>
    <w:p w14:paraId="52334B2F">
      <w:pPr>
        <w:framePr w:wrap="auto" w:vAnchor="page" w:hAnchor="page" w:x="1392" w:y="3058"/>
        <w:spacing w:before="357" w:line="280" w:lineRule="exact"/>
        <w:jc w:val="right"/>
        <w:rPr>
          <w:rFonts w:ascii="Times New Roman" w:hAnsi="Times New Roman" w:eastAsia="宋体" w:cs="Times New Roman"/>
          <w:sz w:val="28"/>
          <w:szCs w:val="28"/>
        </w:rPr>
      </w:pPr>
    </w:p>
    <w:p w14:paraId="7EE253B7">
      <w:pPr>
        <w:framePr w:wrap="auto" w:vAnchor="page" w:hAnchor="page" w:x="1392" w:y="3058"/>
        <w:spacing w:before="357" w:line="280" w:lineRule="exact"/>
        <w:jc w:val="right"/>
        <w:rPr>
          <w:rFonts w:ascii="Times New Roman" w:hAnsi="Times New Roman" w:eastAsia="宋体" w:cs="Times New Roman"/>
          <w:sz w:val="28"/>
          <w:szCs w:val="28"/>
        </w:rPr>
      </w:pPr>
    </w:p>
    <w:bookmarkEnd w:id="1"/>
    <w:p w14:paraId="4D755801">
      <w:pPr>
        <w:jc w:val="center"/>
        <w:rPr>
          <w:rFonts w:hint="default" w:ascii="Times New Roman" w:hAnsi="Times New Roman" w:cs="Times New Roman"/>
          <w:spacing w:val="20"/>
          <w:sz w:val="28"/>
          <w:szCs w:val="28"/>
        </w:rPr>
      </w:pPr>
    </w:p>
    <w:p w14:paraId="7CE9D71D">
      <w:pPr>
        <w:jc w:val="center"/>
        <w:rPr>
          <w:rFonts w:hint="default" w:ascii="Times New Roman" w:hAnsi="Times New Roman" w:cs="Times New Roman"/>
          <w:spacing w:val="20"/>
          <w:sz w:val="28"/>
          <w:szCs w:val="28"/>
        </w:rPr>
      </w:pPr>
    </w:p>
    <w:p w14:paraId="5AE2DA95">
      <w:pPr>
        <w:jc w:val="center"/>
        <w:rPr>
          <w:rFonts w:hint="default" w:ascii="Times New Roman" w:hAnsi="Times New Roman" w:cs="Times New Roman"/>
          <w:spacing w:val="20"/>
          <w:sz w:val="28"/>
          <w:szCs w:val="28"/>
        </w:rPr>
      </w:pPr>
    </w:p>
    <w:p w14:paraId="77F3119F">
      <w:pPr>
        <w:framePr w:w="10883" w:h="1876" w:hRule="exact" w:wrap="auto" w:vAnchor="page" w:hAnchor="page" w:x="233" w:y="14824"/>
        <w:spacing w:line="100" w:lineRule="atLeast"/>
        <w:ind w:left="1480" w:hanging="641"/>
        <w:jc w:val="center"/>
        <w:rPr>
          <w:rFonts w:ascii="Times New Roman" w:hAnsi="Times New Roman" w:eastAsia="宋体" w:cs="Times New Roman"/>
          <w:spacing w:val="20"/>
          <w:w w:val="135"/>
          <w:sz w:val="32"/>
          <w:szCs w:val="32"/>
        </w:rPr>
      </w:pPr>
      <w:r>
        <w:rPr>
          <w:rFonts w:ascii="Times New Roman" w:hAnsi="Times New Roman" w:eastAsia="宋体" w:cs="Times New Roman"/>
          <w:spacing w:val="20"/>
          <w:w w:val="135"/>
          <w:sz w:val="32"/>
          <w:szCs w:val="32"/>
        </w:rPr>
        <w:t>中国特钢企业协会</w:t>
      </w:r>
    </w:p>
    <w:p w14:paraId="23F167BE">
      <w:pPr>
        <w:framePr w:w="10883" w:h="1876" w:hRule="exact" w:wrap="auto" w:vAnchor="page" w:hAnchor="page" w:x="233" w:y="14824"/>
        <w:spacing w:line="100" w:lineRule="atLeast"/>
        <w:ind w:left="1480" w:hanging="641"/>
        <w:jc w:val="center"/>
        <w:rPr>
          <w:rFonts w:ascii="Times New Roman" w:hAnsi="Times New Roman" w:eastAsia="宋体" w:cs="Times New Roman"/>
          <w:spacing w:val="20"/>
          <w:w w:val="135"/>
          <w:sz w:val="32"/>
          <w:szCs w:val="32"/>
        </w:rPr>
      </w:pPr>
      <w:r>
        <w:rPr>
          <w:rFonts w:ascii="Times New Roman" w:hAnsi="Times New Roman" w:eastAsia="宋体" w:cs="Times New Roman"/>
          <w:spacing w:val="20"/>
          <w:w w:val="135"/>
          <w:sz w:val="32"/>
          <w:szCs w:val="32"/>
        </w:rPr>
        <w:t xml:space="preserve">      中关村不锈及特种合金新材料   </w:t>
      </w:r>
      <w:r>
        <w:rPr>
          <w:rFonts w:ascii="Times New Roman" w:hAnsi="Times New Roman" w:eastAsia="宋体" w:cs="Times New Roman"/>
          <w:spacing w:val="85"/>
          <w:position w:val="3"/>
          <w:sz w:val="28"/>
          <w:szCs w:val="28"/>
        </w:rPr>
        <w:t>发布</w:t>
      </w:r>
    </w:p>
    <w:p w14:paraId="2705A51E">
      <w:pPr>
        <w:framePr w:w="10883" w:h="1876" w:hRule="exact" w:wrap="auto" w:vAnchor="page" w:hAnchor="page" w:x="233" w:y="14824"/>
        <w:spacing w:line="100" w:lineRule="atLeast"/>
        <w:ind w:left="1480" w:hanging="641"/>
        <w:jc w:val="center"/>
        <w:rPr>
          <w:rFonts w:ascii="Times New Roman" w:hAnsi="Times New Roman" w:eastAsia="宋体" w:cs="Times New Roman"/>
          <w:spacing w:val="20"/>
          <w:w w:val="135"/>
          <w:sz w:val="28"/>
          <w:szCs w:val="28"/>
        </w:rPr>
      </w:pPr>
      <w:r>
        <w:rPr>
          <w:rFonts w:ascii="Times New Roman" w:hAnsi="Times New Roman" w:eastAsia="宋体" w:cs="Times New Roman"/>
          <w:spacing w:val="20"/>
          <w:w w:val="135"/>
          <w:sz w:val="32"/>
          <w:szCs w:val="32"/>
        </w:rPr>
        <w:t>产业技术创新联盟</w:t>
      </w:r>
    </w:p>
    <w:p w14:paraId="6D38C2CC">
      <w:pPr>
        <w:bidi w:val="0"/>
        <w:rPr>
          <w:rFonts w:hint="default" w:ascii="Times New Roman" w:hAnsi="Times New Roman" w:eastAsia="宋体" w:cs="Times New Roman"/>
          <w:kern w:val="2"/>
          <w:sz w:val="21"/>
          <w:szCs w:val="24"/>
          <w:lang w:val="en-US" w:eastAsia="zh-CN" w:bidi="ar-SA"/>
        </w:rPr>
      </w:pPr>
    </w:p>
    <w:p w14:paraId="507EAAFF">
      <w:pPr>
        <w:keepNext/>
        <w:pageBreakBefore/>
        <w:widowControl/>
        <w:shd w:val="clear" w:color="FFFFFF" w:fill="FFFFFF"/>
        <w:spacing w:before="640" w:after="560"/>
        <w:jc w:val="center"/>
        <w:outlineLvl w:val="9"/>
        <w:rPr>
          <w:rFonts w:hint="default" w:ascii="Times New Roman" w:hAnsi="Times New Roman" w:eastAsia="黑体" w:cs="Times New Roman"/>
          <w:kern w:val="0"/>
          <w:sz w:val="32"/>
          <w:szCs w:val="20"/>
        </w:rPr>
      </w:pPr>
      <w:bookmarkStart w:id="2" w:name="_Toc520380389"/>
    </w:p>
    <w:p w14:paraId="18159F13">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02B8A0C2">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7DB0FFCA">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2BE6F36E">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7818BB89">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7378BAA2">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23A6BA45">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039A62CD">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40B23FC7">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3A7ECDF4">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74FF616F">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61C5EDA6">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61A786D1">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4BC7DBF0">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3295675A">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70E659E1">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169F97DD">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2B9D3A37">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3CA19952">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50F93FC3">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3B46F0C8">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50A87A25">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268A858D">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279FC525">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0A195443">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6C0C5A31">
      <w:pPr>
        <w:widowControl/>
        <w:tabs>
          <w:tab w:val="center" w:pos="4201"/>
          <w:tab w:val="right" w:leader="dot" w:pos="9298"/>
        </w:tabs>
        <w:autoSpaceDE w:val="0"/>
        <w:autoSpaceDN w:val="0"/>
        <w:ind w:firstLine="400" w:firstLineChars="200"/>
        <w:rPr>
          <w:rFonts w:hint="default" w:ascii="Times New Roman" w:hAnsi="Times New Roman" w:cs="Times New Roman"/>
          <w:kern w:val="0"/>
          <w:sz w:val="20"/>
          <w:szCs w:val="20"/>
        </w:rPr>
      </w:pPr>
    </w:p>
    <w:p w14:paraId="37D758E5">
      <w:pPr>
        <w:rPr>
          <w:rFonts w:hint="default" w:ascii="Times New Roman" w:hAnsi="Times New Roman" w:cs="Times New Roman"/>
          <w:szCs w:val="21"/>
        </w:rPr>
      </w:pPr>
      <w:r>
        <w:rPr>
          <w:rFonts w:hint="default" w:ascii="Times New Roman" w:hAnsi="Times New Roman" w:cs="Times New Roman"/>
          <w:szCs w:val="21"/>
        </w:rPr>
        <w:drawing>
          <wp:inline distT="0" distB="0" distL="114300" distR="114300">
            <wp:extent cx="808990" cy="765175"/>
            <wp:effectExtent l="0" t="0" r="1016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808990" cy="765175"/>
                    </a:xfrm>
                    <a:prstGeom prst="rect">
                      <a:avLst/>
                    </a:prstGeom>
                    <a:noFill/>
                    <a:ln>
                      <a:noFill/>
                    </a:ln>
                  </pic:spPr>
                </pic:pic>
              </a:graphicData>
            </a:graphic>
          </wp:inline>
        </w:drawing>
      </w:r>
      <w:r>
        <w:rPr>
          <w:rFonts w:hint="default" w:ascii="Times New Roman" w:hAnsi="Times New Roman" w:cs="Times New Roman"/>
          <w:szCs w:val="21"/>
        </w:rPr>
        <w:t xml:space="preserve"> 版权保护文件</w:t>
      </w:r>
    </w:p>
    <w:p w14:paraId="3E78EDCA">
      <w:pPr>
        <w:spacing w:before="156" w:beforeLines="50" w:after="156" w:afterLines="50"/>
        <w:rPr>
          <w:rFonts w:hint="default" w:ascii="Times New Roman" w:hAnsi="Times New Roman" w:cs="Times New Roman"/>
          <w:szCs w:val="21"/>
        </w:rPr>
        <w:sectPr>
          <w:headerReference r:id="rId3" w:type="default"/>
          <w:footerReference r:id="rId4" w:type="default"/>
          <w:pgSz w:w="11906" w:h="16838"/>
          <w:pgMar w:top="1440" w:right="1466" w:bottom="1440" w:left="1620" w:header="851" w:footer="992" w:gutter="0"/>
          <w:pgNumType w:fmt="upperRoman" w:start="1"/>
          <w:cols w:space="425" w:num="1"/>
          <w:docGrid w:type="lines" w:linePitch="312" w:charSpace="0"/>
        </w:sectPr>
      </w:pPr>
      <w:r>
        <w:rPr>
          <w:rFonts w:hint="default" w:ascii="Times New Roman" w:hAnsi="Times New Roman" w:cs="Times New Roman"/>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0C65BD68">
      <w:pPr>
        <w:pStyle w:val="82"/>
        <w:rPr>
          <w:rFonts w:hint="default" w:ascii="Times New Roman" w:hAnsi="Times New Roman" w:cs="Times New Roman"/>
        </w:rPr>
      </w:pPr>
      <w:r>
        <w:rPr>
          <w:rFonts w:hint="default" w:ascii="Times New Roman" w:hAnsi="Times New Roman" w:cs="Times New Roman"/>
        </w:rPr>
        <w:t>前  言</w:t>
      </w:r>
      <w:bookmarkEnd w:id="2"/>
    </w:p>
    <w:p w14:paraId="3895BDAA">
      <w:pPr>
        <w:pStyle w:val="23"/>
        <w:rPr>
          <w:rFonts w:hint="eastAsia" w:ascii="宋体" w:hAnsi="宋体" w:eastAsia="宋体" w:cs="宋体"/>
        </w:rPr>
      </w:pPr>
      <w:r>
        <w:rPr>
          <w:rFonts w:hint="eastAsia" w:ascii="宋体" w:hAnsi="宋体" w:eastAsia="宋体" w:cs="宋体"/>
        </w:rPr>
        <w:t>本文件按照GB/T 1.1</w:t>
      </w:r>
      <w:r>
        <w:rPr>
          <w:rFonts w:hint="eastAsia" w:ascii="宋体" w:hAnsi="宋体" w:eastAsia="宋体" w:cs="宋体"/>
          <w:lang w:eastAsia="zh-CN"/>
        </w:rPr>
        <w:t>—</w:t>
      </w:r>
      <w:r>
        <w:rPr>
          <w:rFonts w:hint="eastAsia" w:ascii="宋体" w:hAnsi="宋体" w:eastAsia="宋体" w:cs="宋体"/>
        </w:rPr>
        <w:t>2020《标准化工作导则 第1部分：标准化文件的结构和起草规则》的规定起草。</w:t>
      </w:r>
    </w:p>
    <w:p w14:paraId="15CB9AE6">
      <w:pPr>
        <w:pStyle w:val="23"/>
        <w:rPr>
          <w:rFonts w:hint="eastAsia" w:ascii="宋体" w:hAnsi="宋体" w:eastAsia="宋体" w:cs="宋体"/>
        </w:rPr>
      </w:pPr>
      <w:r>
        <w:rPr>
          <w:rFonts w:hint="eastAsia" w:ascii="宋体" w:hAnsi="宋体" w:eastAsia="宋体" w:cs="宋体"/>
        </w:rPr>
        <w:t>请注意本文件的某些内容可能涉及专利。本文件的发布机构不承担识别专利的责任。</w:t>
      </w:r>
    </w:p>
    <w:p w14:paraId="49414465">
      <w:pPr>
        <w:pStyle w:val="23"/>
        <w:rPr>
          <w:rFonts w:hint="eastAsia" w:ascii="宋体" w:hAnsi="宋体" w:eastAsia="宋体" w:cs="宋体"/>
        </w:rPr>
      </w:pPr>
      <w:r>
        <w:rPr>
          <w:rFonts w:hint="eastAsia" w:ascii="宋体" w:hAnsi="宋体" w:eastAsia="宋体" w:cs="宋体"/>
        </w:rPr>
        <w:t>本</w:t>
      </w:r>
      <w:r>
        <w:rPr>
          <w:rFonts w:hint="eastAsia" w:ascii="宋体" w:hAnsi="宋体" w:eastAsia="宋体" w:cs="宋体"/>
          <w:lang w:eastAsia="zh-CN"/>
        </w:rPr>
        <w:t>文件</w:t>
      </w:r>
      <w:r>
        <w:rPr>
          <w:rFonts w:hint="eastAsia" w:ascii="宋体" w:hAnsi="宋体" w:eastAsia="宋体" w:cs="宋体"/>
        </w:rPr>
        <w:t>由中国特钢企业协会团体标准化工作委员会、中关村不锈及特种合金新材料产业技术创新联盟</w:t>
      </w:r>
      <w:r>
        <w:rPr>
          <w:rFonts w:hint="eastAsia" w:ascii="宋体" w:hAnsi="宋体" w:eastAsia="宋体" w:cs="宋体"/>
          <w:lang w:val="en-US" w:eastAsia="zh-CN"/>
        </w:rPr>
        <w:t>团体</w:t>
      </w:r>
      <w:r>
        <w:rPr>
          <w:rFonts w:hint="eastAsia" w:ascii="宋体" w:hAnsi="宋体" w:eastAsia="宋体" w:cs="宋体"/>
        </w:rPr>
        <w:t>标准化工作委员会联合提出并归口。</w:t>
      </w:r>
    </w:p>
    <w:p w14:paraId="6F019393">
      <w:pPr>
        <w:pStyle w:val="23"/>
        <w:rPr>
          <w:rFonts w:hint="eastAsia" w:ascii="宋体" w:hAnsi="宋体" w:eastAsia="宋体" w:cs="宋体"/>
        </w:rPr>
      </w:pPr>
      <w:r>
        <w:rPr>
          <w:rFonts w:hint="eastAsia" w:ascii="宋体" w:hAnsi="宋体" w:eastAsia="宋体" w:cs="宋体"/>
        </w:rPr>
        <w:t>本文件起草单位：</w:t>
      </w:r>
    </w:p>
    <w:p w14:paraId="5C8B547E">
      <w:pPr>
        <w:pStyle w:val="23"/>
        <w:rPr>
          <w:rFonts w:hint="eastAsia" w:ascii="宋体" w:hAnsi="宋体" w:eastAsia="宋体" w:cs="宋体"/>
        </w:rPr>
      </w:pPr>
      <w:r>
        <w:rPr>
          <w:rFonts w:hint="eastAsia" w:ascii="宋体" w:hAnsi="宋体" w:eastAsia="宋体" w:cs="宋体"/>
        </w:rPr>
        <w:t>本文件主要起草人：</w:t>
      </w:r>
    </w:p>
    <w:p w14:paraId="4B58610A">
      <w:pPr>
        <w:pStyle w:val="23"/>
        <w:rPr>
          <w:rFonts w:hint="default" w:ascii="Times New Roman" w:hAnsi="Times New Roman" w:cs="Times New Roman"/>
        </w:rPr>
      </w:pPr>
    </w:p>
    <w:p w14:paraId="4C3A5B9A">
      <w:pPr>
        <w:pStyle w:val="23"/>
        <w:rPr>
          <w:rFonts w:hint="default" w:ascii="Times New Roman" w:hAnsi="Times New Roman" w:cs="Times New Roman"/>
        </w:rPr>
      </w:pPr>
    </w:p>
    <w:p w14:paraId="26652E50">
      <w:pPr>
        <w:ind w:firstLine="420" w:firstLineChars="200"/>
        <w:rPr>
          <w:rFonts w:hint="default"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418" w:header="1418" w:footer="1134" w:gutter="0"/>
          <w:pgNumType w:fmt="upperRoman" w:start="1"/>
          <w:cols w:space="720" w:num="1"/>
          <w:formProt w:val="0"/>
          <w:docGrid w:type="lines" w:linePitch="312" w:charSpace="0"/>
        </w:sectPr>
      </w:pPr>
    </w:p>
    <w:p w14:paraId="2021B13B">
      <w:pPr>
        <w:pStyle w:val="59"/>
        <w:spacing w:after="624" w:afterLines="200"/>
        <w:rPr>
          <w:rFonts w:hint="default" w:ascii="Times New Roman" w:hAnsi="Times New Roman" w:eastAsia="黑体" w:cs="Times New Roman"/>
          <w:lang w:val="en-US" w:eastAsia="zh-CN"/>
        </w:rPr>
      </w:pPr>
      <w:r>
        <w:rPr>
          <w:rFonts w:hint="default" w:ascii="Times New Roman" w:hAnsi="Times New Roman" w:cs="Times New Roman"/>
          <w:lang w:val="en-US" w:eastAsia="zh-CN"/>
        </w:rPr>
        <w:t>机器人谐波传动减速器轴承用钢</w:t>
      </w:r>
    </w:p>
    <w:p w14:paraId="38864496">
      <w:pPr>
        <w:pStyle w:val="160"/>
        <w:spacing w:before="312" w:after="312"/>
        <w:rPr>
          <w:rFonts w:hint="eastAsia" w:hAnsi="Times New Roman" w:cs="Times New Roman"/>
        </w:rPr>
      </w:pPr>
      <w:bookmarkStart w:id="3" w:name="_Toc520380391"/>
      <w:r>
        <w:rPr>
          <w:rFonts w:hint="eastAsia" w:hAnsi="Times New Roman" w:cs="Times New Roman"/>
        </w:rPr>
        <w:t>范围</w:t>
      </w:r>
      <w:bookmarkEnd w:id="3"/>
    </w:p>
    <w:p w14:paraId="1D0F8AF4">
      <w:pPr>
        <w:pStyle w:val="23"/>
        <w:rPr>
          <w:rFonts w:hint="default" w:ascii="Times New Roman" w:hAnsi="Times New Roman" w:cs="Times New Roman"/>
        </w:rPr>
      </w:pPr>
      <w:bookmarkStart w:id="4" w:name="_Toc520380392"/>
      <w:r>
        <w:rPr>
          <w:rFonts w:hint="default" w:ascii="Times New Roman" w:hAnsi="Times New Roman" w:cs="Times New Roman"/>
        </w:rPr>
        <w:t>本文件规定了</w:t>
      </w:r>
      <w:r>
        <w:rPr>
          <w:rFonts w:hint="default" w:ascii="Times New Roman" w:hAnsi="Times New Roman" w:cs="Times New Roman"/>
          <w:lang w:val="en-US" w:eastAsia="zh-CN"/>
        </w:rPr>
        <w:t>机器人谐波传动减速器轴承用</w:t>
      </w:r>
      <w:r>
        <w:rPr>
          <w:rFonts w:hint="eastAsia" w:ascii="Times New Roman" w:cs="Times New Roman"/>
          <w:lang w:val="en-US" w:eastAsia="zh-CN"/>
        </w:rPr>
        <w:t>热轧圆钢</w:t>
      </w:r>
      <w:r>
        <w:rPr>
          <w:rFonts w:hint="default" w:ascii="Times New Roman" w:hAnsi="Times New Roman" w:cs="Times New Roman"/>
          <w:lang w:val="en-US" w:eastAsia="zh-CN"/>
        </w:rPr>
        <w:t>钢</w:t>
      </w:r>
      <w:r>
        <w:rPr>
          <w:rFonts w:hint="default" w:ascii="Times New Roman" w:hAnsi="Times New Roman" w:cs="Times New Roman"/>
        </w:rPr>
        <w:t>的订货内容、制造工艺、技术要求、试验方法、检验规则、包装、标志</w:t>
      </w:r>
      <w:r>
        <w:rPr>
          <w:rFonts w:hint="eastAsia" w:ascii="Times New Roman" w:cs="Times New Roman"/>
          <w:lang w:eastAsia="zh-CN"/>
        </w:rPr>
        <w:t>及</w:t>
      </w:r>
      <w:r>
        <w:rPr>
          <w:rFonts w:hint="default" w:ascii="Times New Roman" w:hAnsi="Times New Roman" w:cs="Times New Roman"/>
        </w:rPr>
        <w:t>质量证明书。</w:t>
      </w:r>
    </w:p>
    <w:p w14:paraId="4EA3558F">
      <w:pPr>
        <w:pStyle w:val="23"/>
        <w:rPr>
          <w:rFonts w:hint="default" w:ascii="Times New Roman" w:hAnsi="Times New Roman" w:cs="Times New Roman"/>
        </w:rPr>
      </w:pPr>
      <w:r>
        <w:rPr>
          <w:rFonts w:hint="default" w:ascii="Times New Roman" w:hAnsi="Times New Roman" w:cs="Times New Roman"/>
        </w:rPr>
        <w:t>本文件适用于</w:t>
      </w:r>
      <w:r>
        <w:rPr>
          <w:rFonts w:hint="eastAsia" w:ascii="Times New Roman" w:cs="Times New Roman"/>
          <w:lang w:val="en-US" w:eastAsia="zh-CN"/>
        </w:rPr>
        <w:t>制造</w:t>
      </w:r>
      <w:r>
        <w:rPr>
          <w:rFonts w:hint="default" w:ascii="Times New Roman" w:hAnsi="Times New Roman" w:cs="Times New Roman"/>
          <w:lang w:val="en-US" w:eastAsia="zh-CN"/>
        </w:rPr>
        <w:t>机器人谐波传动减速器轴承用</w:t>
      </w:r>
      <w:r>
        <w:rPr>
          <w:rFonts w:hint="eastAsia" w:ascii="Times New Roman" w:cs="Times New Roman"/>
          <w:lang w:val="en-US" w:eastAsia="zh-CN"/>
        </w:rPr>
        <w:t>公称直径为</w:t>
      </w:r>
      <w:ins w:id="2" w:author="作者" w:date="2025-07-30T13:56:07Z">
        <w:r>
          <w:rPr>
            <w:rFonts w:hint="eastAsia" w:hAnsi="宋体" w:cs="宋体"/>
            <w:lang w:val="en-US" w:eastAsia="zh-CN"/>
          </w:rPr>
          <w:t>1</w:t>
        </w:r>
      </w:ins>
      <w:ins w:id="3" w:author="作者" w:date="2025-07-30T13:56:08Z">
        <w:r>
          <w:rPr>
            <w:rFonts w:hint="eastAsia" w:hAnsi="宋体" w:cs="宋体"/>
            <w:lang w:val="en-US" w:eastAsia="zh-CN"/>
          </w:rPr>
          <w:t>6</w:t>
        </w:r>
      </w:ins>
      <w:r>
        <w:rPr>
          <w:rFonts w:hint="eastAsia" w:hAnsi="宋体" w:cs="宋体"/>
          <w:lang w:val="en-US" w:eastAsia="zh-CN"/>
        </w:rPr>
        <w:t xml:space="preserve"> </w:t>
      </w:r>
      <w:r>
        <w:rPr>
          <w:rFonts w:hint="eastAsia" w:ascii="宋体" w:hAnsi="宋体" w:cs="宋体"/>
          <w:lang w:val="en-US" w:eastAsia="zh-CN"/>
        </w:rPr>
        <w:t>mm</w:t>
      </w:r>
      <w:r>
        <w:rPr>
          <w:rFonts w:hint="eastAsia" w:ascii="宋体" w:hAnsi="宋体" w:eastAsia="宋体" w:cs="宋体"/>
          <w:lang w:val="en-US" w:eastAsia="zh-CN"/>
        </w:rPr>
        <w:t>～</w:t>
      </w:r>
      <w:r>
        <w:rPr>
          <w:rFonts w:hint="eastAsia" w:ascii="宋体" w:hAnsi="宋体" w:cs="宋体"/>
          <w:lang w:val="en-US" w:eastAsia="zh-CN"/>
        </w:rPr>
        <w:t>200</w:t>
      </w:r>
      <w:r>
        <w:rPr>
          <w:rFonts w:hint="eastAsia" w:hAnsi="宋体" w:cs="宋体"/>
          <w:lang w:val="en-US" w:eastAsia="zh-CN"/>
        </w:rPr>
        <w:t xml:space="preserve"> </w:t>
      </w:r>
      <w:r>
        <w:rPr>
          <w:rFonts w:hint="eastAsia" w:ascii="宋体" w:hAnsi="宋体" w:cs="宋体"/>
          <w:lang w:val="en-US" w:eastAsia="zh-CN"/>
        </w:rPr>
        <w:t>mm</w:t>
      </w:r>
      <w:r>
        <w:rPr>
          <w:rFonts w:hint="eastAsia" w:ascii="Times New Roman" w:cs="Times New Roman"/>
          <w:lang w:val="en-US" w:eastAsia="zh-CN"/>
        </w:rPr>
        <w:t>的</w:t>
      </w:r>
      <w:ins w:id="4" w:author="作者" w:date="2025-07-30T13:55:02Z">
        <w:r>
          <w:rPr>
            <w:rFonts w:hint="eastAsia" w:ascii="Times New Roman" w:cs="Times New Roman"/>
            <w:lang w:val="en-US" w:eastAsia="zh-CN"/>
          </w:rPr>
          <w:t>热轧</w:t>
        </w:r>
      </w:ins>
      <w:ins w:id="5" w:author="作者" w:date="2025-07-30T13:55:03Z">
        <w:r>
          <w:rPr>
            <w:rFonts w:hint="eastAsia" w:ascii="Times New Roman" w:cs="Times New Roman"/>
            <w:lang w:val="en-US" w:eastAsia="zh-CN"/>
          </w:rPr>
          <w:t>圆</w:t>
        </w:r>
      </w:ins>
      <w:r>
        <w:rPr>
          <w:rFonts w:hint="default" w:ascii="Times New Roman" w:hAnsi="Times New Roman" w:cs="Times New Roman"/>
          <w:lang w:val="en-US" w:eastAsia="zh-CN"/>
        </w:rPr>
        <w:t>钢</w:t>
      </w:r>
      <w:r>
        <w:rPr>
          <w:rFonts w:hint="default" w:ascii="Times New Roman" w:hAnsi="Times New Roman" w:cs="Times New Roman"/>
          <w:lang w:eastAsia="zh-CN"/>
        </w:rPr>
        <w:t>（</w:t>
      </w:r>
      <w:r>
        <w:rPr>
          <w:rFonts w:hint="default" w:ascii="Times New Roman" w:hAnsi="Times New Roman" w:cs="Times New Roman"/>
          <w:lang w:val="en-US" w:eastAsia="zh-CN"/>
        </w:rPr>
        <w:t>以下简称圆钢</w:t>
      </w:r>
      <w:r>
        <w:rPr>
          <w:rFonts w:hint="default" w:ascii="Times New Roman" w:hAnsi="Times New Roman" w:cs="Times New Roman"/>
          <w:lang w:eastAsia="zh-CN"/>
        </w:rPr>
        <w:t>）</w:t>
      </w:r>
      <w:r>
        <w:rPr>
          <w:rFonts w:hint="default" w:ascii="Times New Roman" w:hAnsi="Times New Roman" w:cs="Times New Roman"/>
        </w:rPr>
        <w:t>。</w:t>
      </w:r>
      <w:bookmarkEnd w:id="4"/>
    </w:p>
    <w:p w14:paraId="70FD9525">
      <w:pPr>
        <w:pStyle w:val="160"/>
        <w:spacing w:before="312" w:after="312"/>
        <w:rPr>
          <w:rFonts w:hint="eastAsia" w:hAnsi="Times New Roman" w:cs="Times New Roman"/>
        </w:rPr>
      </w:pPr>
      <w:bookmarkStart w:id="5" w:name="_Toc520380393"/>
      <w:r>
        <w:rPr>
          <w:rFonts w:hint="eastAsia" w:hAnsi="Times New Roman" w:cs="Times New Roman"/>
        </w:rPr>
        <w:t>规范性引用文件</w:t>
      </w:r>
    </w:p>
    <w:p w14:paraId="6BD3F929">
      <w:pPr>
        <w:ind w:firstLine="420" w:firstLineChars="200"/>
        <w:rPr>
          <w:rFonts w:hint="default" w:ascii="Times New Roman" w:hAnsi="Times New Roman" w:cs="Times New Roman"/>
        </w:rPr>
      </w:pPr>
      <w:r>
        <w:rPr>
          <w:rFonts w:hint="default" w:ascii="Times New Roman" w:hAnsi="Times New Roman" w:cs="Times New Roman"/>
        </w:rPr>
        <w:t>下列文件中的内容通过文中的规范性引用而成为本文件必不可少的条款。其中，注日期的引用文件，仅该日期对应的版本适用于本文件；不注日期的引用文件，其最新版本（包括所有的修改单）适用于本文件。</w:t>
      </w:r>
    </w:p>
    <w:bookmarkEnd w:id="5"/>
    <w:p w14:paraId="08CCFE2F">
      <w:pPr>
        <w:ind w:firstLine="420" w:firstLineChars="200"/>
        <w:rPr>
          <w:rFonts w:hint="eastAsia" w:ascii="Times New Roman" w:hAnsi="Times New Roman" w:cs="Times New Roman"/>
          <w:highlight w:val="none"/>
          <w:lang w:val="en-US" w:eastAsia="zh-CN"/>
        </w:rPr>
      </w:pPr>
      <w:bookmarkStart w:id="6" w:name="_Toc520380394"/>
      <w:r>
        <w:rPr>
          <w:rFonts w:hint="eastAsia" w:ascii="宋体" w:hAnsi="宋体" w:eastAsia="宋体" w:cs="宋体"/>
          <w:highlight w:val="none"/>
        </w:rPr>
        <w:t>GB/T 223</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所有部分</w:t>
      </w:r>
      <w:r>
        <w:rPr>
          <w:rFonts w:hint="eastAsia" w:ascii="宋体" w:hAnsi="宋体" w:eastAsia="宋体" w:cs="宋体"/>
          <w:highlight w:val="none"/>
          <w:lang w:eastAsia="zh-CN"/>
        </w:rPr>
        <w:t>）</w:t>
      </w:r>
      <w:r>
        <w:rPr>
          <w:rFonts w:hint="eastAsia" w:ascii="宋体" w:hAnsi="宋体" w:eastAsia="宋体" w:cs="宋体"/>
          <w:highlight w:val="none"/>
        </w:rPr>
        <w:t>钢铁</w:t>
      </w:r>
      <w:r>
        <w:rPr>
          <w:rFonts w:hint="eastAsia" w:ascii="宋体" w:hAnsi="宋体" w:eastAsia="宋体" w:cs="宋体"/>
          <w:highlight w:val="none"/>
          <w:lang w:val="en-US" w:eastAsia="zh-CN"/>
        </w:rPr>
        <w:t>及合金化学分析方法</w:t>
      </w:r>
    </w:p>
    <w:p w14:paraId="065E33C6">
      <w:pPr>
        <w:pStyle w:val="156"/>
        <w:ind w:firstLine="420"/>
        <w:rPr>
          <w:highlight w:val="none"/>
        </w:rPr>
      </w:pPr>
      <w:r>
        <w:rPr>
          <w:rFonts w:hint="eastAsia"/>
          <w:highlight w:val="none"/>
        </w:rPr>
        <w:t>GB/T 224</w:t>
      </w:r>
      <w:r>
        <w:rPr>
          <w:rFonts w:hint="eastAsia" w:hAnsi="宋体" w:cs="宋体"/>
          <w:color w:val="auto"/>
          <w:sz w:val="21"/>
          <w:szCs w:val="21"/>
          <w:highlight w:val="none"/>
          <w:lang w:val="en-US" w:eastAsia="zh-CN"/>
        </w:rPr>
        <w:t>—</w:t>
      </w:r>
      <w:r>
        <w:rPr>
          <w:rFonts w:hint="eastAsia"/>
          <w:highlight w:val="none"/>
          <w:lang w:val="en-US" w:eastAsia="zh-CN"/>
        </w:rPr>
        <w:t>2019</w:t>
      </w:r>
      <w:r>
        <w:rPr>
          <w:highlight w:val="none"/>
        </w:rPr>
        <w:t xml:space="preserve">  </w:t>
      </w:r>
      <w:r>
        <w:rPr>
          <w:rFonts w:hint="eastAsia"/>
          <w:highlight w:val="none"/>
        </w:rPr>
        <w:t>钢的脱碳层深度测定法</w:t>
      </w:r>
    </w:p>
    <w:p w14:paraId="62AE1DE7">
      <w:pPr>
        <w:pStyle w:val="156"/>
        <w:ind w:firstLine="420"/>
        <w:rPr>
          <w:rFonts w:hint="eastAsia"/>
          <w:highlight w:val="none"/>
        </w:rPr>
      </w:pPr>
      <w:r>
        <w:rPr>
          <w:rFonts w:hint="eastAsia"/>
          <w:highlight w:val="none"/>
        </w:rPr>
        <w:t>GB/T 226</w:t>
      </w:r>
      <w:r>
        <w:rPr>
          <w:highlight w:val="none"/>
        </w:rPr>
        <w:t xml:space="preserve">  </w:t>
      </w:r>
      <w:r>
        <w:rPr>
          <w:rFonts w:hint="eastAsia"/>
          <w:highlight w:val="none"/>
        </w:rPr>
        <w:t>钢的低倍组织及缺陷酸蚀检验法</w:t>
      </w:r>
    </w:p>
    <w:p w14:paraId="08D35011">
      <w:pPr>
        <w:pStyle w:val="156"/>
        <w:ind w:firstLine="420"/>
        <w:rPr>
          <w:highlight w:val="none"/>
        </w:rPr>
      </w:pPr>
      <w:r>
        <w:rPr>
          <w:rFonts w:hint="eastAsia"/>
          <w:highlight w:val="none"/>
        </w:rPr>
        <w:t>GB/T 231.1</w:t>
      </w:r>
      <w:r>
        <w:rPr>
          <w:highlight w:val="none"/>
        </w:rPr>
        <w:t xml:space="preserve">  </w:t>
      </w:r>
      <w:r>
        <w:rPr>
          <w:rFonts w:hint="eastAsia"/>
          <w:highlight w:val="none"/>
        </w:rPr>
        <w:t>金属材料 布氏硬度试验 第1部分：试验方法</w:t>
      </w:r>
    </w:p>
    <w:p w14:paraId="563372DF">
      <w:pPr>
        <w:pStyle w:val="156"/>
        <w:ind w:firstLine="420"/>
        <w:rPr>
          <w:rFonts w:hint="eastAsia"/>
          <w:highlight w:val="none"/>
        </w:rPr>
      </w:pPr>
      <w:r>
        <w:rPr>
          <w:rFonts w:hint="eastAsia"/>
          <w:highlight w:val="none"/>
        </w:rPr>
        <w:t>GB/T 702</w:t>
      </w:r>
      <w:r>
        <w:rPr>
          <w:rFonts w:hint="eastAsia" w:hAnsi="宋体" w:cs="宋体"/>
          <w:color w:val="auto"/>
          <w:sz w:val="21"/>
          <w:szCs w:val="21"/>
          <w:highlight w:val="none"/>
          <w:lang w:val="en-US" w:eastAsia="zh-CN"/>
        </w:rPr>
        <w:t>—</w:t>
      </w:r>
      <w:r>
        <w:rPr>
          <w:rFonts w:hint="eastAsia"/>
          <w:highlight w:val="none"/>
        </w:rPr>
        <w:t>20</w:t>
      </w:r>
      <w:r>
        <w:rPr>
          <w:highlight w:val="none"/>
        </w:rPr>
        <w:t>17</w:t>
      </w:r>
      <w:r>
        <w:rPr>
          <w:rFonts w:hint="eastAsia"/>
          <w:highlight w:val="none"/>
        </w:rPr>
        <w:t xml:space="preserve"> </w:t>
      </w:r>
      <w:r>
        <w:rPr>
          <w:rFonts w:hint="eastAsia"/>
          <w:highlight w:val="none"/>
          <w:lang w:val="en-US" w:eastAsia="zh-CN"/>
        </w:rPr>
        <w:t xml:space="preserve"> </w:t>
      </w:r>
      <w:r>
        <w:rPr>
          <w:rFonts w:hint="eastAsia"/>
          <w:highlight w:val="none"/>
        </w:rPr>
        <w:t>热轧钢棒尺寸、外形、重量及允许偏差</w:t>
      </w:r>
    </w:p>
    <w:p w14:paraId="5AB1EB10">
      <w:pPr>
        <w:pStyle w:val="156"/>
        <w:ind w:firstLine="420"/>
        <w:rPr>
          <w:highlight w:val="none"/>
        </w:rPr>
      </w:pPr>
      <w:r>
        <w:rPr>
          <w:rFonts w:hint="eastAsia"/>
          <w:highlight w:val="none"/>
        </w:rPr>
        <w:t>GB/T 2101</w:t>
      </w:r>
      <w:r>
        <w:rPr>
          <w:highlight w:val="none"/>
        </w:rPr>
        <w:t xml:space="preserve">  </w:t>
      </w:r>
      <w:r>
        <w:rPr>
          <w:rFonts w:hint="eastAsia"/>
          <w:highlight w:val="none"/>
        </w:rPr>
        <w:t>型钢验收、包装、标志及质量证明书的一般规定</w:t>
      </w:r>
    </w:p>
    <w:p w14:paraId="31744D8C">
      <w:pPr>
        <w:pStyle w:val="156"/>
        <w:ind w:firstLine="420"/>
        <w:rPr>
          <w:highlight w:val="none"/>
        </w:rPr>
      </w:pPr>
      <w:r>
        <w:rPr>
          <w:rFonts w:hint="eastAsia"/>
          <w:highlight w:val="none"/>
        </w:rPr>
        <w:t>GB/T 4162</w:t>
      </w:r>
      <w:r>
        <w:rPr>
          <w:rFonts w:hint="eastAsia" w:hAnsi="宋体" w:cs="宋体"/>
          <w:color w:val="auto"/>
          <w:sz w:val="21"/>
          <w:szCs w:val="21"/>
          <w:highlight w:val="none"/>
          <w:lang w:val="en-US" w:eastAsia="zh-CN"/>
        </w:rPr>
        <w:t>—</w:t>
      </w:r>
      <w:r>
        <w:rPr>
          <w:rFonts w:hint="eastAsia"/>
          <w:highlight w:val="none"/>
          <w:lang w:val="en-US" w:eastAsia="zh-CN"/>
        </w:rPr>
        <w:t>2022</w:t>
      </w:r>
      <w:r>
        <w:rPr>
          <w:highlight w:val="none"/>
        </w:rPr>
        <w:t xml:space="preserve">  </w:t>
      </w:r>
      <w:r>
        <w:rPr>
          <w:rFonts w:hint="eastAsia"/>
          <w:highlight w:val="none"/>
        </w:rPr>
        <w:t>锻轧钢棒超声检测方法</w:t>
      </w:r>
    </w:p>
    <w:p w14:paraId="4FD144A0">
      <w:pPr>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GB/T 4336  碳素钢和中低合金钢 多元素含量的测定 火花放电原子发射光谱法（常规法）</w:t>
      </w:r>
    </w:p>
    <w:p w14:paraId="268ECCA6">
      <w:pPr>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GB/T 8170</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数值修约规则与极限数值的表示和判定</w:t>
      </w:r>
    </w:p>
    <w:p w14:paraId="3D7695A0">
      <w:pPr>
        <w:pStyle w:val="156"/>
        <w:ind w:firstLine="420"/>
        <w:rPr>
          <w:highlight w:val="none"/>
        </w:rPr>
      </w:pPr>
      <w:r>
        <w:rPr>
          <w:rFonts w:hint="eastAsia"/>
          <w:highlight w:val="none"/>
        </w:rPr>
        <w:t>GB/T 10561</w:t>
      </w:r>
      <w:r>
        <w:rPr>
          <w:rFonts w:hint="eastAsia" w:hAnsi="宋体" w:cs="宋体"/>
          <w:color w:val="auto"/>
          <w:sz w:val="21"/>
          <w:szCs w:val="21"/>
          <w:highlight w:val="none"/>
          <w:lang w:val="en-US" w:eastAsia="zh-CN"/>
        </w:rPr>
        <w:t>—</w:t>
      </w:r>
      <w:r>
        <w:rPr>
          <w:highlight w:val="none"/>
        </w:rPr>
        <w:t xml:space="preserve">2023  </w:t>
      </w:r>
      <w:r>
        <w:rPr>
          <w:rFonts w:hint="eastAsia"/>
          <w:highlight w:val="none"/>
        </w:rPr>
        <w:t>钢中非金属夹杂物含量的测定 标准评级图显微检验法</w:t>
      </w:r>
    </w:p>
    <w:p w14:paraId="7E9683C2">
      <w:pPr>
        <w:pStyle w:val="156"/>
        <w:ind w:firstLine="420"/>
        <w:rPr>
          <w:rFonts w:hint="eastAsia"/>
          <w:highlight w:val="none"/>
        </w:rPr>
      </w:pPr>
      <w:r>
        <w:rPr>
          <w:rFonts w:hint="eastAsia"/>
          <w:highlight w:val="none"/>
        </w:rPr>
        <w:t>GB/T 11261  钢铁 氧含量的测定 脉冲加热惰气熔融-红外线吸收法</w:t>
      </w:r>
    </w:p>
    <w:p w14:paraId="7172D67B">
      <w:pPr>
        <w:pStyle w:val="12"/>
        <w:ind w:firstLine="435"/>
        <w:rPr>
          <w:rFonts w:hAnsi="Times New Roman"/>
          <w:color w:val="000000" w:themeColor="text1"/>
          <w:kern w:val="0"/>
          <w:highlight w:val="none"/>
          <w14:textFill>
            <w14:solidFill>
              <w14:schemeClr w14:val="tx1"/>
            </w14:solidFill>
          </w14:textFill>
        </w:rPr>
      </w:pPr>
      <w:r>
        <w:rPr>
          <w:rFonts w:hint="eastAsia" w:hAnsi="Times New Roman"/>
          <w:color w:val="000000" w:themeColor="text1"/>
          <w:kern w:val="0"/>
          <w:highlight w:val="none"/>
          <w14:textFill>
            <w14:solidFill>
              <w14:schemeClr w14:val="tx1"/>
            </w14:solidFill>
          </w14:textFill>
        </w:rPr>
        <w:t>GB</w:t>
      </w:r>
      <w:r>
        <w:rPr>
          <w:rFonts w:hAnsi="Times New Roman"/>
          <w:color w:val="000000" w:themeColor="text1"/>
          <w:kern w:val="0"/>
          <w:highlight w:val="none"/>
          <w14:textFill>
            <w14:solidFill>
              <w14:schemeClr w14:val="tx1"/>
            </w14:solidFill>
          </w14:textFill>
        </w:rPr>
        <w:t>/</w:t>
      </w:r>
      <w:r>
        <w:rPr>
          <w:rFonts w:hint="eastAsia" w:hAnsi="Times New Roman"/>
          <w:color w:val="000000" w:themeColor="text1"/>
          <w:kern w:val="0"/>
          <w:highlight w:val="none"/>
          <w14:textFill>
            <w14:solidFill>
              <w14:schemeClr w14:val="tx1"/>
            </w14:solidFill>
          </w14:textFill>
        </w:rPr>
        <w:t xml:space="preserve">T 15711 </w:t>
      </w:r>
      <w:r>
        <w:rPr>
          <w:rFonts w:hint="eastAsia" w:hAnsi="Times New Roman"/>
          <w:color w:val="000000" w:themeColor="text1"/>
          <w:kern w:val="0"/>
          <w:highlight w:val="none"/>
          <w:lang w:val="en-US" w:eastAsia="zh-CN"/>
          <w14:textFill>
            <w14:solidFill>
              <w14:schemeClr w14:val="tx1"/>
            </w14:solidFill>
          </w14:textFill>
        </w:rPr>
        <w:t xml:space="preserve"> </w:t>
      </w:r>
      <w:r>
        <w:rPr>
          <w:rFonts w:hint="eastAsia" w:hAnsi="Times New Roman"/>
          <w:color w:val="000000" w:themeColor="text1"/>
          <w:kern w:val="0"/>
          <w:highlight w:val="none"/>
          <w14:textFill>
            <w14:solidFill>
              <w14:schemeClr w14:val="tx1"/>
            </w14:solidFill>
          </w14:textFill>
        </w:rPr>
        <w:t>钢中非金属夹杂物的检验 塔形发纹酸浸法</w:t>
      </w:r>
    </w:p>
    <w:p w14:paraId="0608EB6E">
      <w:pPr>
        <w:pStyle w:val="156"/>
        <w:ind w:firstLine="420"/>
        <w:rPr>
          <w:rFonts w:hint="eastAsia"/>
          <w:highlight w:val="none"/>
        </w:rPr>
      </w:pPr>
      <w:r>
        <w:rPr>
          <w:rFonts w:hint="eastAsia"/>
          <w:highlight w:val="none"/>
        </w:rPr>
        <w:t>GB/T 18254</w:t>
      </w:r>
      <w:r>
        <w:rPr>
          <w:rFonts w:hint="eastAsia" w:hAnsi="宋体" w:cs="宋体"/>
          <w:color w:val="auto"/>
          <w:sz w:val="21"/>
          <w:szCs w:val="21"/>
          <w:highlight w:val="none"/>
          <w:lang w:val="en-US" w:eastAsia="zh-CN"/>
        </w:rPr>
        <w:t>—</w:t>
      </w:r>
      <w:r>
        <w:rPr>
          <w:highlight w:val="none"/>
        </w:rPr>
        <w:t xml:space="preserve">2016  </w:t>
      </w:r>
      <w:r>
        <w:rPr>
          <w:rFonts w:hint="eastAsia"/>
          <w:highlight w:val="none"/>
        </w:rPr>
        <w:t>高碳铬轴承钢</w:t>
      </w:r>
    </w:p>
    <w:p w14:paraId="75D050FE">
      <w:pPr>
        <w:ind w:firstLine="420" w:firstLineChars="200"/>
        <w:rPr>
          <w:rFonts w:hint="default" w:ascii="Times New Roman" w:hAnsi="Times New Roman" w:cs="Times New Roman"/>
          <w:highlight w:val="none"/>
        </w:rPr>
      </w:pPr>
      <w:r>
        <w:rPr>
          <w:rFonts w:hint="eastAsia" w:asciiTheme="minorEastAsia" w:hAnsiTheme="minorEastAsia" w:eastAsiaTheme="minorEastAsia" w:cstheme="minorEastAsia"/>
          <w:highlight w:val="none"/>
        </w:rPr>
        <w:t>GB/T 20066</w:t>
      </w:r>
      <w:r>
        <w:rPr>
          <w:rFonts w:hint="default" w:ascii="Times New Roman" w:hAnsi="Times New Roman" w:cs="Times New Roman"/>
          <w:highlight w:val="none"/>
        </w:rPr>
        <w:t xml:space="preserve">  钢和铁 化学成分测定用试样的取样和制样方法</w:t>
      </w:r>
    </w:p>
    <w:p w14:paraId="28DF2C4D">
      <w:pPr>
        <w:ind w:firstLine="420" w:firstLineChars="200"/>
        <w:rPr>
          <w:rFonts w:hint="default" w:ascii="Times New Roman" w:hAnsi="Times New Roman" w:cs="Times New Roman"/>
          <w:highlight w:val="none"/>
        </w:rPr>
      </w:pPr>
      <w:r>
        <w:rPr>
          <w:rFonts w:hint="eastAsia" w:asciiTheme="minorEastAsia" w:hAnsiTheme="minorEastAsia" w:eastAsiaTheme="minorEastAsia" w:cstheme="minorEastAsia"/>
          <w:highlight w:val="none"/>
        </w:rPr>
        <w:t>GB/T 20123</w:t>
      </w:r>
      <w:r>
        <w:rPr>
          <w:rFonts w:hint="default" w:ascii="Times New Roman" w:hAnsi="Times New Roman" w:cs="Times New Roman"/>
          <w:highlight w:val="none"/>
        </w:rPr>
        <w:t xml:space="preserve">  钢铁 总碳硫含量的测定 高频感应炉燃烧后红外吸收法（常规方法）</w:t>
      </w:r>
    </w:p>
    <w:p w14:paraId="4AEE14AB">
      <w:pPr>
        <w:pStyle w:val="156"/>
        <w:ind w:firstLine="420"/>
        <w:rPr>
          <w:highlight w:val="none"/>
        </w:rPr>
      </w:pPr>
      <w:r>
        <w:rPr>
          <w:rFonts w:hint="eastAsia"/>
          <w:highlight w:val="none"/>
        </w:rPr>
        <w:t>GB/T 32547</w:t>
      </w:r>
      <w:r>
        <w:rPr>
          <w:rFonts w:hint="eastAsia" w:hAnsi="宋体" w:cs="宋体"/>
          <w:color w:val="auto"/>
          <w:sz w:val="21"/>
          <w:szCs w:val="21"/>
          <w:highlight w:val="none"/>
          <w:lang w:val="en-US" w:eastAsia="zh-CN"/>
        </w:rPr>
        <w:t>—</w:t>
      </w:r>
      <w:r>
        <w:rPr>
          <w:rFonts w:hint="eastAsia"/>
          <w:highlight w:val="none"/>
          <w:lang w:val="en-US" w:eastAsia="zh-CN"/>
        </w:rPr>
        <w:t>2016</w:t>
      </w:r>
      <w:r>
        <w:rPr>
          <w:rFonts w:hint="eastAsia"/>
          <w:highlight w:val="none"/>
        </w:rPr>
        <w:t xml:space="preserve">  圆钢漏磁检测方法</w:t>
      </w:r>
    </w:p>
    <w:p w14:paraId="2C8837F6">
      <w:pPr>
        <w:pStyle w:val="160"/>
        <w:spacing w:before="312" w:after="312"/>
        <w:rPr>
          <w:rFonts w:hint="eastAsia" w:hAnsi="Times New Roman" w:cs="Times New Roman"/>
        </w:rPr>
      </w:pPr>
      <w:r>
        <w:rPr>
          <w:rFonts w:hint="eastAsia" w:hAnsi="Times New Roman" w:cs="Times New Roman"/>
        </w:rPr>
        <w:t>术语和定义</w:t>
      </w:r>
    </w:p>
    <w:p w14:paraId="4AE56B8F">
      <w:p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本文件没有需要界定的术语和定义</w:t>
      </w:r>
      <w:r>
        <w:rPr>
          <w:rFonts w:hint="default" w:ascii="Times New Roman" w:hAnsi="Times New Roman" w:eastAsia="宋体" w:cs="Times New Roman"/>
          <w:lang w:val="en-US" w:eastAsia="zh-CN"/>
        </w:rPr>
        <w:t>。</w:t>
      </w:r>
    </w:p>
    <w:bookmarkEnd w:id="6"/>
    <w:p w14:paraId="2084866B">
      <w:pPr>
        <w:pStyle w:val="160"/>
        <w:spacing w:before="312" w:after="312"/>
        <w:rPr>
          <w:rFonts w:hint="eastAsia" w:hAnsi="Times New Roman" w:cs="Times New Roman"/>
        </w:rPr>
      </w:pPr>
      <w:bookmarkStart w:id="7" w:name="_Toc520380395"/>
      <w:r>
        <w:rPr>
          <w:rFonts w:hint="eastAsia" w:hAnsi="Times New Roman" w:cs="Times New Roman"/>
        </w:rPr>
        <w:t>订货内容</w:t>
      </w:r>
    </w:p>
    <w:p w14:paraId="6D2533B9">
      <w:p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按本文件订货的合同或订单应包括下列内容：</w:t>
      </w:r>
    </w:p>
    <w:p w14:paraId="5E4E7E23">
      <w:pPr>
        <w:pStyle w:val="162"/>
        <w:numPr>
          <w:ilvl w:val="0"/>
          <w:numId w:val="6"/>
        </w:numPr>
        <w:rPr>
          <w:rFonts w:hint="default" w:hAnsi="Times New Roman" w:eastAsia="宋体" w:cs="Times New Roman"/>
        </w:rPr>
      </w:pPr>
      <w:r>
        <w:rPr>
          <w:rFonts w:hint="eastAsia" w:hAnsi="Times New Roman" w:eastAsia="宋体" w:cs="Times New Roman"/>
          <w:lang w:val="en-US" w:eastAsia="zh-CN"/>
        </w:rPr>
        <w:t>本文件</w:t>
      </w:r>
      <w:r>
        <w:rPr>
          <w:rFonts w:hint="default" w:hAnsi="Times New Roman" w:eastAsia="宋体" w:cs="Times New Roman"/>
          <w:lang w:val="en-US" w:eastAsia="zh-CN"/>
        </w:rPr>
        <w:t>编号</w:t>
      </w:r>
      <w:r>
        <w:rPr>
          <w:rFonts w:hint="default" w:hAnsi="Times New Roman" w:eastAsia="宋体" w:cs="Times New Roman"/>
        </w:rPr>
        <w:t>；</w:t>
      </w:r>
    </w:p>
    <w:p w14:paraId="2581E7DB">
      <w:pPr>
        <w:pStyle w:val="162"/>
        <w:numPr>
          <w:ilvl w:val="0"/>
          <w:numId w:val="6"/>
        </w:numPr>
        <w:rPr>
          <w:rFonts w:hint="default" w:hAnsi="Times New Roman" w:eastAsia="宋体" w:cs="Times New Roman"/>
        </w:rPr>
      </w:pPr>
      <w:r>
        <w:rPr>
          <w:rFonts w:hint="default" w:hAnsi="Times New Roman" w:eastAsia="宋体" w:cs="Times New Roman"/>
          <w:lang w:val="en-US" w:eastAsia="zh-CN"/>
        </w:rPr>
        <w:t>产品名称</w:t>
      </w:r>
      <w:r>
        <w:rPr>
          <w:rFonts w:hint="default" w:hAnsi="Times New Roman" w:eastAsia="宋体" w:cs="Times New Roman"/>
        </w:rPr>
        <w:t>；</w:t>
      </w:r>
    </w:p>
    <w:p w14:paraId="381ED692">
      <w:pPr>
        <w:pStyle w:val="162"/>
        <w:numPr>
          <w:ilvl w:val="0"/>
          <w:numId w:val="6"/>
        </w:numPr>
        <w:rPr>
          <w:rFonts w:hint="default" w:hAnsi="Times New Roman" w:eastAsia="宋体" w:cs="Times New Roman"/>
        </w:rPr>
      </w:pPr>
      <w:r>
        <w:rPr>
          <w:rFonts w:hint="default" w:hAnsi="Times New Roman" w:eastAsia="宋体" w:cs="Times New Roman"/>
          <w:lang w:val="en-US" w:eastAsia="zh-CN"/>
        </w:rPr>
        <w:t>牌号</w:t>
      </w:r>
      <w:r>
        <w:rPr>
          <w:rFonts w:hint="default" w:hAnsi="Times New Roman" w:eastAsia="宋体" w:cs="Times New Roman"/>
        </w:rPr>
        <w:t>；</w:t>
      </w:r>
    </w:p>
    <w:p w14:paraId="691EA5FB">
      <w:pPr>
        <w:pStyle w:val="162"/>
        <w:numPr>
          <w:ilvl w:val="0"/>
          <w:numId w:val="6"/>
        </w:numPr>
        <w:rPr>
          <w:rFonts w:hint="default" w:hAnsi="Times New Roman" w:eastAsia="宋体" w:cs="Times New Roman"/>
        </w:rPr>
      </w:pPr>
      <w:r>
        <w:rPr>
          <w:rFonts w:hint="default" w:hAnsi="Times New Roman" w:eastAsia="宋体" w:cs="Times New Roman"/>
          <w:lang w:val="en-US" w:eastAsia="zh-CN"/>
        </w:rPr>
        <w:t>规格</w:t>
      </w:r>
      <w:r>
        <w:rPr>
          <w:rFonts w:hint="default" w:hAnsi="Times New Roman" w:eastAsia="宋体" w:cs="Times New Roman"/>
        </w:rPr>
        <w:t>；</w:t>
      </w:r>
    </w:p>
    <w:p w14:paraId="7A74F758">
      <w:pPr>
        <w:pStyle w:val="162"/>
        <w:numPr>
          <w:ilvl w:val="0"/>
          <w:numId w:val="6"/>
        </w:numPr>
        <w:rPr>
          <w:rFonts w:hint="default" w:hAnsi="Times New Roman" w:eastAsia="宋体" w:cs="Times New Roman"/>
        </w:rPr>
      </w:pPr>
      <w:r>
        <w:rPr>
          <w:rFonts w:hint="default" w:hAnsi="Times New Roman" w:eastAsia="宋体" w:cs="Times New Roman"/>
          <w:lang w:val="en-US" w:eastAsia="zh-CN"/>
        </w:rPr>
        <w:t>重量</w:t>
      </w:r>
      <w:r>
        <w:rPr>
          <w:rFonts w:hint="eastAsia" w:hAnsi="Times New Roman" w:eastAsia="宋体" w:cs="Times New Roman"/>
          <w:lang w:val="en-US" w:eastAsia="zh-CN"/>
        </w:rPr>
        <w:t>（</w:t>
      </w:r>
      <w:r>
        <w:rPr>
          <w:rFonts w:hint="default" w:hAnsi="Times New Roman" w:eastAsia="宋体" w:cs="Times New Roman"/>
          <w:lang w:val="en-US" w:eastAsia="zh-CN"/>
        </w:rPr>
        <w:t>或数量</w:t>
      </w:r>
      <w:r>
        <w:rPr>
          <w:rFonts w:hint="eastAsia" w:hAnsi="Times New Roman" w:eastAsia="宋体" w:cs="Times New Roman"/>
          <w:lang w:val="en-US" w:eastAsia="zh-CN"/>
        </w:rPr>
        <w:t>）</w:t>
      </w:r>
      <w:r>
        <w:rPr>
          <w:rFonts w:hint="default" w:hAnsi="Times New Roman" w:eastAsia="宋体" w:cs="Times New Roman"/>
          <w:lang w:val="en-US" w:eastAsia="zh-CN"/>
        </w:rPr>
        <w:t>；</w:t>
      </w:r>
    </w:p>
    <w:p w14:paraId="50F5DC7E">
      <w:pPr>
        <w:pStyle w:val="162"/>
        <w:numPr>
          <w:ilvl w:val="0"/>
          <w:numId w:val="6"/>
        </w:numPr>
        <w:rPr>
          <w:rFonts w:hint="default" w:hAnsi="Times New Roman" w:eastAsia="宋体" w:cs="Times New Roman"/>
        </w:rPr>
      </w:pPr>
      <w:r>
        <w:rPr>
          <w:rFonts w:hint="default" w:hAnsi="Times New Roman" w:eastAsia="宋体" w:cs="Times New Roman"/>
          <w:lang w:val="en-US" w:eastAsia="zh-CN"/>
        </w:rPr>
        <w:t>交货状态；</w:t>
      </w:r>
    </w:p>
    <w:p w14:paraId="11E643FD">
      <w:pPr>
        <w:pStyle w:val="162"/>
        <w:numPr>
          <w:ilvl w:val="0"/>
          <w:numId w:val="6"/>
        </w:numPr>
        <w:rPr>
          <w:rFonts w:hint="default" w:hAnsi="Times New Roman" w:eastAsia="宋体" w:cs="Times New Roman"/>
        </w:rPr>
      </w:pPr>
      <w:r>
        <w:rPr>
          <w:rFonts w:hint="eastAsia" w:hAnsi="Times New Roman" w:eastAsia="宋体" w:cs="Times New Roman"/>
          <w:lang w:val="en-US" w:eastAsia="zh-CN"/>
        </w:rPr>
        <w:t>特殊要求。</w:t>
      </w:r>
    </w:p>
    <w:p w14:paraId="4B179AAC">
      <w:pPr>
        <w:pStyle w:val="160"/>
        <w:spacing w:before="312" w:after="312"/>
        <w:rPr>
          <w:rFonts w:hint="eastAsia" w:hAnsi="Times New Roman" w:cs="Times New Roman"/>
        </w:rPr>
      </w:pPr>
      <w:r>
        <w:rPr>
          <w:rFonts w:hint="eastAsia" w:hAnsi="Times New Roman" w:cs="Times New Roman"/>
        </w:rPr>
        <w:t>制造工艺</w:t>
      </w:r>
    </w:p>
    <w:p w14:paraId="348C357D">
      <w:pPr>
        <w:pStyle w:val="161"/>
        <w:numPr>
          <w:ilvl w:val="0"/>
          <w:numId w:val="0"/>
        </w:numPr>
        <w:spacing w:before="156" w:after="156"/>
        <w:ind w:leftChars="0"/>
        <w:rPr>
          <w:rFonts w:hint="eastAsia" w:hAnsi="Times New Roman" w:cs="Times New Roman"/>
          <w:lang w:val="en-US" w:eastAsia="zh-CN"/>
        </w:rPr>
      </w:pPr>
      <w:r>
        <w:rPr>
          <w:rFonts w:hint="eastAsia" w:hAnsi="Times New Roman" w:cs="Times New Roman"/>
          <w:lang w:val="en-US" w:eastAsia="zh-CN"/>
        </w:rPr>
        <w:t>5.1  冶炼方法</w:t>
      </w:r>
    </w:p>
    <w:p w14:paraId="69E6005A">
      <w:pPr>
        <w:pStyle w:val="48"/>
        <w:keepNext w:val="0"/>
        <w:keepLines w:val="0"/>
        <w:pageBreakBefore w:val="0"/>
        <w:widowControl/>
        <w:numPr>
          <w:ilvl w:val="1"/>
          <w:numId w:val="0"/>
        </w:numPr>
        <w:kinsoku/>
        <w:wordWrap/>
        <w:overflowPunct/>
        <w:topLinePunct w:val="0"/>
        <w:autoSpaceDE/>
        <w:autoSpaceDN/>
        <w:bidi w:val="0"/>
        <w:adjustRightInd/>
        <w:snapToGrid/>
        <w:ind w:leftChars="0" w:firstLine="420" w:firstLineChars="200"/>
        <w:jc w:val="both"/>
        <w:textAlignment w:val="auto"/>
        <w:rPr>
          <w:rFonts w:hint="default" w:ascii="Times New Roman" w:hAnsi="Times New Roman" w:eastAsia="宋体" w:cs="Times New Roman"/>
          <w:lang w:val="en-US" w:eastAsia="zh-CN"/>
        </w:rPr>
      </w:pPr>
      <w:r>
        <w:rPr>
          <w:rFonts w:hint="eastAsia" w:ascii="宋体" w:hAnsi="Times New Roman" w:eastAsia="宋体" w:cs="Times New Roman"/>
          <w:sz w:val="21"/>
          <w:szCs w:val="20"/>
          <w:lang w:val="en-US" w:eastAsia="zh-CN" w:bidi="ar-SA"/>
        </w:rPr>
        <w:t>钢由转炉或电炉冶炼，经炉外精炼及真空脱气处理。</w:t>
      </w:r>
    </w:p>
    <w:p w14:paraId="2AB18926">
      <w:pPr>
        <w:pStyle w:val="161"/>
        <w:numPr>
          <w:ilvl w:val="0"/>
          <w:numId w:val="0"/>
        </w:numPr>
        <w:spacing w:before="156" w:after="156"/>
        <w:rPr>
          <w:rFonts w:hint="eastAsia" w:ascii="黑体" w:hAnsi="Times New Roman" w:cs="Times New Roman"/>
        </w:rPr>
      </w:pPr>
      <w:r>
        <w:rPr>
          <w:rFonts w:hint="eastAsia" w:hAnsi="Times New Roman" w:cs="Times New Roman"/>
          <w:lang w:val="en-US" w:eastAsia="zh-CN"/>
        </w:rPr>
        <w:t xml:space="preserve">5.2  </w:t>
      </w:r>
      <w:r>
        <w:rPr>
          <w:rFonts w:hint="eastAsia" w:ascii="黑体" w:hAnsi="Times New Roman" w:cs="Times New Roman"/>
        </w:rPr>
        <w:t>交货状态</w:t>
      </w:r>
    </w:p>
    <w:p w14:paraId="588A7360">
      <w:pPr>
        <w:pStyle w:val="157"/>
        <w:numPr>
          <w:ilvl w:val="-1"/>
          <w:numId w:val="0"/>
        </w:numPr>
        <w:ind w:firstLine="420" w:firstLineChars="200"/>
        <w:rPr>
          <w:rFonts w:hint="eastAsia" w:ascii="宋体" w:hAnsi="Times New Roman" w:eastAsia="宋体" w:cs="Times New Roman"/>
          <w:sz w:val="21"/>
          <w:szCs w:val="20"/>
          <w:lang w:val="en-US" w:eastAsia="zh-CN" w:bidi="ar-SA"/>
        </w:rPr>
      </w:pPr>
      <w:r>
        <w:rPr>
          <w:rFonts w:hint="eastAsia" w:ascii="宋体" w:hAnsi="Times New Roman" w:eastAsia="宋体" w:cs="Times New Roman"/>
          <w:sz w:val="21"/>
          <w:szCs w:val="20"/>
          <w:lang w:val="en-US" w:eastAsia="zh-CN" w:bidi="ar-SA"/>
        </w:rPr>
        <w:t>圆钢以热轧、热轧软化退火或热轧球化退火状态交货。</w:t>
      </w:r>
    </w:p>
    <w:p w14:paraId="487EA3DA">
      <w:pPr>
        <w:pStyle w:val="160"/>
        <w:spacing w:before="312" w:after="312"/>
        <w:rPr>
          <w:rFonts w:hint="eastAsia" w:hAnsi="Times New Roman" w:cs="Times New Roman"/>
        </w:rPr>
      </w:pPr>
      <w:r>
        <w:rPr>
          <w:rFonts w:hint="eastAsia" w:hAnsi="Times New Roman" w:cs="Times New Roman"/>
          <w:lang w:val="en-US" w:eastAsia="zh-CN"/>
        </w:rPr>
        <w:t>技术要求</w:t>
      </w:r>
    </w:p>
    <w:bookmarkEnd w:id="7"/>
    <w:p w14:paraId="45EA4298">
      <w:pPr>
        <w:pStyle w:val="161"/>
        <w:numPr>
          <w:ilvl w:val="2"/>
          <w:numId w:val="5"/>
        </w:numPr>
        <w:spacing w:before="156" w:after="156"/>
        <w:rPr>
          <w:rFonts w:hint="eastAsia" w:ascii="黑体" w:hAnsi="Times New Roman" w:cs="Times New Roman"/>
          <w:lang w:val="en-US" w:eastAsia="zh-CN"/>
        </w:rPr>
      </w:pPr>
      <w:r>
        <w:rPr>
          <w:rFonts w:hint="eastAsia" w:hAnsi="Times New Roman" w:cs="Times New Roman"/>
          <w:lang w:val="en-US" w:eastAsia="zh-CN"/>
        </w:rPr>
        <w:t>牌号和</w:t>
      </w:r>
      <w:r>
        <w:rPr>
          <w:rFonts w:hint="eastAsia" w:ascii="黑体" w:hAnsi="Times New Roman" w:cs="Times New Roman"/>
          <w:lang w:val="en-US" w:eastAsia="zh-CN"/>
        </w:rPr>
        <w:t>化学成分</w:t>
      </w:r>
    </w:p>
    <w:p w14:paraId="65D7B4C0">
      <w:pPr>
        <w:pStyle w:val="1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jc w:val="both"/>
        <w:textAlignment w:val="auto"/>
        <w:outlineLvl w:val="2"/>
        <w:rPr>
          <w:rFonts w:hint="eastAsia" w:hAnsi="Times New Roman" w:cs="Times New Roman"/>
          <w:lang w:val="en-US" w:eastAsia="zh-CN"/>
        </w:rPr>
      </w:pPr>
      <w:r>
        <w:rPr>
          <w:rFonts w:hint="eastAsia" w:ascii="黑体" w:hAnsi="黑体" w:eastAsia="黑体" w:cs="黑体"/>
          <w:lang w:val="en-US" w:eastAsia="zh-CN"/>
        </w:rPr>
        <w:t xml:space="preserve">6.1.1  </w:t>
      </w:r>
      <w:r>
        <w:rPr>
          <w:rFonts w:hint="default" w:ascii="宋体" w:hAnsi="Times New Roman" w:eastAsia="宋体" w:cs="Times New Roman"/>
          <w:sz w:val="21"/>
          <w:szCs w:val="20"/>
          <w:lang w:val="en-US" w:eastAsia="zh-CN" w:bidi="ar-SA"/>
        </w:rPr>
        <w:t>钢的牌号</w:t>
      </w:r>
      <w:r>
        <w:rPr>
          <w:rFonts w:hint="eastAsia" w:ascii="宋体" w:hAnsi="Times New Roman" w:eastAsia="宋体" w:cs="Times New Roman"/>
          <w:sz w:val="21"/>
          <w:szCs w:val="20"/>
          <w:lang w:val="en-US" w:eastAsia="zh-CN" w:bidi="ar-SA"/>
        </w:rPr>
        <w:t>和</w:t>
      </w:r>
      <w:r>
        <w:rPr>
          <w:rFonts w:hint="default" w:ascii="宋体" w:hAnsi="Times New Roman" w:eastAsia="宋体" w:cs="Times New Roman"/>
          <w:sz w:val="21"/>
          <w:szCs w:val="20"/>
          <w:lang w:val="en-US" w:eastAsia="zh-CN" w:bidi="ar-SA"/>
        </w:rPr>
        <w:t>化学成分（熔炼分析）应符合表</w:t>
      </w:r>
      <w:r>
        <w:rPr>
          <w:rFonts w:hint="eastAsia" w:ascii="宋体" w:eastAsia="宋体" w:cs="Times New Roman"/>
          <w:sz w:val="21"/>
          <w:szCs w:val="20"/>
          <w:lang w:val="en-US" w:eastAsia="zh-CN" w:bidi="ar-SA"/>
        </w:rPr>
        <w:t>1</w:t>
      </w:r>
      <w:r>
        <w:rPr>
          <w:rFonts w:hint="default" w:ascii="宋体" w:hAnsi="Times New Roman" w:eastAsia="宋体" w:cs="Times New Roman"/>
          <w:sz w:val="21"/>
          <w:szCs w:val="20"/>
          <w:lang w:val="en-US" w:eastAsia="zh-CN" w:bidi="ar-SA"/>
        </w:rPr>
        <w:t>的规定</w:t>
      </w:r>
      <w:r>
        <w:rPr>
          <w:rFonts w:hint="eastAsia" w:ascii="宋体" w:hAnsi="Times New Roman" w:eastAsia="宋体" w:cs="Times New Roman"/>
          <w:sz w:val="21"/>
          <w:szCs w:val="20"/>
          <w:lang w:val="en-US" w:eastAsia="zh-CN" w:bidi="ar-SA"/>
        </w:rPr>
        <w:t>。</w:t>
      </w:r>
    </w:p>
    <w:p w14:paraId="1941A08C">
      <w:pPr>
        <w:pStyle w:val="159"/>
        <w:numPr>
          <w:ilvl w:val="0"/>
          <w:numId w:val="3"/>
        </w:numPr>
        <w:spacing w:before="156" w:after="156"/>
        <w:ind w:left="0"/>
        <w:rPr>
          <w:rFonts w:hint="default" w:hAnsi="Times New Roman" w:cs="Times New Roman"/>
          <w:lang w:val="en-US" w:eastAsia="zh-CN"/>
        </w:rPr>
      </w:pPr>
      <w:r>
        <w:rPr>
          <w:rFonts w:hint="eastAsia" w:hAnsi="Times New Roman" w:cs="Times New Roman"/>
          <w:lang w:val="en-US" w:eastAsia="zh-CN"/>
        </w:rPr>
        <w:t>牌号和化学成分</w:t>
      </w:r>
    </w:p>
    <w:tbl>
      <w:tblPr>
        <w:tblStyle w:val="32"/>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762"/>
        <w:gridCol w:w="760"/>
        <w:gridCol w:w="760"/>
        <w:gridCol w:w="760"/>
        <w:gridCol w:w="595"/>
        <w:gridCol w:w="625"/>
        <w:gridCol w:w="612"/>
        <w:gridCol w:w="675"/>
        <w:gridCol w:w="868"/>
        <w:gridCol w:w="1132"/>
        <w:gridCol w:w="813"/>
        <w:gridCol w:w="487"/>
        <w:gridCol w:w="361"/>
        <w:tblGridChange w:id="6">
          <w:tblGrid>
            <w:gridCol w:w="1026"/>
            <w:gridCol w:w="762"/>
            <w:gridCol w:w="760"/>
            <w:gridCol w:w="760"/>
            <w:gridCol w:w="760"/>
            <w:gridCol w:w="595"/>
            <w:gridCol w:w="625"/>
            <w:gridCol w:w="800"/>
            <w:gridCol w:w="762"/>
            <w:gridCol w:w="838"/>
            <w:gridCol w:w="887"/>
            <w:gridCol w:w="813"/>
            <w:gridCol w:w="608"/>
            <w:gridCol w:w="240"/>
            <w:gridCol w:w="3190"/>
          </w:tblGrid>
        </w:tblGridChange>
      </w:tblGrid>
      <w:tr w14:paraId="2D5C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26" w:type="dxa"/>
            <w:vMerge w:val="restart"/>
            <w:shd w:val="clear" w:color="auto" w:fill="auto"/>
            <w:vAlign w:val="center"/>
          </w:tcPr>
          <w:p w14:paraId="0563289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牌号</w:t>
            </w:r>
          </w:p>
        </w:tc>
        <w:tc>
          <w:tcPr>
            <w:tcW w:w="9210" w:type="dxa"/>
            <w:gridSpan w:val="13"/>
            <w:shd w:val="clear" w:color="auto" w:fill="auto"/>
            <w:vAlign w:val="center"/>
          </w:tcPr>
          <w:p w14:paraId="6404508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化学成分（质量分数）/%</w:t>
            </w:r>
          </w:p>
        </w:tc>
      </w:tr>
      <w:tr w14:paraId="7334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 w:author="作者" w:date="2025-08-01T16:4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9" w:hRule="atLeast"/>
          <w:jc w:val="center"/>
          <w:trPrChange w:id="7" w:author="作者" w:date="2025-08-01T16:43:23Z">
            <w:trPr>
              <w:trHeight w:val="309" w:hRule="atLeast"/>
              <w:jc w:val="center"/>
            </w:trPr>
          </w:trPrChange>
        </w:trPr>
        <w:tc>
          <w:tcPr>
            <w:tcW w:w="1026" w:type="dxa"/>
            <w:vMerge w:val="continue"/>
            <w:vAlign w:val="center"/>
            <w:tcPrChange w:id="8" w:author="作者" w:date="2025-08-01T16:43:23Z">
              <w:tcPr>
                <w:tcW w:w="1026" w:type="dxa"/>
                <w:vMerge w:val="continue"/>
                <w:vAlign w:val="center"/>
              </w:tcPr>
            </w:tcPrChange>
          </w:tcPr>
          <w:p w14:paraId="5D51AA8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highlight w:val="none"/>
              </w:rPr>
            </w:pPr>
          </w:p>
        </w:tc>
        <w:tc>
          <w:tcPr>
            <w:tcW w:w="762" w:type="dxa"/>
            <w:shd w:val="clear" w:color="auto" w:fill="auto"/>
            <w:vAlign w:val="center"/>
            <w:tcPrChange w:id="9" w:author="作者" w:date="2025-08-01T16:43:23Z">
              <w:tcPr>
                <w:tcW w:w="762" w:type="dxa"/>
                <w:shd w:val="clear" w:color="auto" w:fill="auto"/>
                <w:vAlign w:val="center"/>
              </w:tcPr>
            </w:tcPrChange>
          </w:tcPr>
          <w:p w14:paraId="5216CDDF">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C</w:t>
            </w:r>
          </w:p>
        </w:tc>
        <w:tc>
          <w:tcPr>
            <w:tcW w:w="760" w:type="dxa"/>
            <w:shd w:val="clear" w:color="auto" w:fill="auto"/>
            <w:vAlign w:val="center"/>
            <w:tcPrChange w:id="10" w:author="作者" w:date="2025-08-01T16:43:23Z">
              <w:tcPr>
                <w:tcW w:w="760" w:type="dxa"/>
                <w:shd w:val="clear" w:color="auto" w:fill="auto"/>
                <w:vAlign w:val="center"/>
              </w:tcPr>
            </w:tcPrChange>
          </w:tcPr>
          <w:p w14:paraId="5652EDE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Si</w:t>
            </w:r>
          </w:p>
        </w:tc>
        <w:tc>
          <w:tcPr>
            <w:tcW w:w="760" w:type="dxa"/>
            <w:shd w:val="clear" w:color="auto" w:fill="auto"/>
            <w:vAlign w:val="center"/>
            <w:tcPrChange w:id="11" w:author="作者" w:date="2025-08-01T16:43:23Z">
              <w:tcPr>
                <w:tcW w:w="760" w:type="dxa"/>
                <w:shd w:val="clear" w:color="auto" w:fill="auto"/>
                <w:vAlign w:val="center"/>
              </w:tcPr>
            </w:tcPrChange>
          </w:tcPr>
          <w:p w14:paraId="075CA407">
            <w:pPr>
              <w:keepNext w:val="0"/>
              <w:keepLines w:val="0"/>
              <w:widowControl/>
              <w:suppressLineNumbers w:val="0"/>
              <w:spacing w:before="0" w:beforeAutospacing="0" w:after="0" w:afterAutospacing="0"/>
              <w:ind w:left="0" w:right="0"/>
              <w:jc w:val="cente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Mn</w:t>
            </w:r>
          </w:p>
        </w:tc>
        <w:tc>
          <w:tcPr>
            <w:tcW w:w="760" w:type="dxa"/>
            <w:shd w:val="clear" w:color="auto" w:fill="auto"/>
            <w:vAlign w:val="center"/>
            <w:tcPrChange w:id="12" w:author="作者" w:date="2025-08-01T16:43:23Z">
              <w:tcPr>
                <w:tcW w:w="760" w:type="dxa"/>
                <w:shd w:val="clear" w:color="auto" w:fill="auto"/>
                <w:vAlign w:val="center"/>
              </w:tcPr>
            </w:tcPrChange>
          </w:tcPr>
          <w:p w14:paraId="40AA333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Cr</w:t>
            </w:r>
          </w:p>
        </w:tc>
        <w:tc>
          <w:tcPr>
            <w:tcW w:w="595" w:type="dxa"/>
            <w:shd w:val="clear" w:color="auto" w:fill="auto"/>
            <w:vAlign w:val="center"/>
            <w:tcPrChange w:id="13" w:author="作者" w:date="2025-08-01T16:43:23Z">
              <w:tcPr>
                <w:tcW w:w="595" w:type="dxa"/>
                <w:shd w:val="clear" w:color="auto" w:fill="auto"/>
                <w:vAlign w:val="center"/>
              </w:tcPr>
            </w:tcPrChange>
          </w:tcPr>
          <w:p w14:paraId="62D85BE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Cu</w:t>
            </w:r>
          </w:p>
        </w:tc>
        <w:tc>
          <w:tcPr>
            <w:tcW w:w="625" w:type="dxa"/>
            <w:shd w:val="clear" w:color="auto" w:fill="auto"/>
            <w:vAlign w:val="center"/>
            <w:tcPrChange w:id="14" w:author="作者" w:date="2025-08-01T16:43:23Z">
              <w:tcPr>
                <w:tcW w:w="625" w:type="dxa"/>
                <w:shd w:val="clear" w:color="auto" w:fill="auto"/>
                <w:vAlign w:val="center"/>
              </w:tcPr>
            </w:tcPrChange>
          </w:tcPr>
          <w:p w14:paraId="656AF97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Ni</w:t>
            </w:r>
          </w:p>
        </w:tc>
        <w:tc>
          <w:tcPr>
            <w:tcW w:w="612" w:type="dxa"/>
            <w:shd w:val="clear" w:color="auto" w:fill="auto"/>
            <w:vAlign w:val="center"/>
            <w:tcPrChange w:id="15" w:author="作者" w:date="2025-08-01T16:43:23Z">
              <w:tcPr>
                <w:tcW w:w="800" w:type="dxa"/>
                <w:shd w:val="clear" w:color="auto" w:fill="auto"/>
                <w:vAlign w:val="center"/>
              </w:tcPr>
            </w:tcPrChange>
          </w:tcPr>
          <w:p w14:paraId="1C33A08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Mo</w:t>
            </w:r>
          </w:p>
        </w:tc>
        <w:tc>
          <w:tcPr>
            <w:tcW w:w="675" w:type="dxa"/>
            <w:shd w:val="clear" w:color="auto" w:fill="auto"/>
            <w:vAlign w:val="center"/>
            <w:tcPrChange w:id="16" w:author="作者" w:date="2025-08-01T16:43:23Z">
              <w:tcPr>
                <w:tcW w:w="762" w:type="dxa"/>
                <w:shd w:val="clear" w:color="auto" w:fill="auto"/>
                <w:vAlign w:val="center"/>
              </w:tcPr>
            </w:tcPrChange>
          </w:tcPr>
          <w:p w14:paraId="3CC1D7C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Al</w:t>
            </w:r>
          </w:p>
        </w:tc>
        <w:tc>
          <w:tcPr>
            <w:tcW w:w="868" w:type="dxa"/>
            <w:shd w:val="clear" w:color="auto" w:fill="auto"/>
            <w:vAlign w:val="center"/>
            <w:tcPrChange w:id="17" w:author="作者" w:date="2025-08-01T16:43:23Z">
              <w:tcPr>
                <w:tcW w:w="838" w:type="dxa"/>
                <w:shd w:val="clear" w:color="auto" w:fill="auto"/>
                <w:vAlign w:val="center"/>
              </w:tcPr>
            </w:tcPrChange>
          </w:tcPr>
          <w:p w14:paraId="7BE159F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Ti</w:t>
            </w:r>
          </w:p>
        </w:tc>
        <w:tc>
          <w:tcPr>
            <w:tcW w:w="1132" w:type="dxa"/>
            <w:shd w:val="clear" w:color="auto" w:fill="auto"/>
            <w:vAlign w:val="center"/>
            <w:tcPrChange w:id="18" w:author="作者" w:date="2025-08-01T16:43:23Z">
              <w:tcPr>
                <w:tcW w:w="887" w:type="dxa"/>
                <w:shd w:val="clear" w:color="auto" w:fill="auto"/>
                <w:vAlign w:val="center"/>
              </w:tcPr>
            </w:tcPrChange>
          </w:tcPr>
          <w:p w14:paraId="11890E0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Ca</w:t>
            </w:r>
          </w:p>
        </w:tc>
        <w:tc>
          <w:tcPr>
            <w:tcW w:w="813" w:type="dxa"/>
            <w:shd w:val="clear" w:color="auto" w:fill="auto"/>
            <w:vAlign w:val="center"/>
            <w:tcPrChange w:id="19" w:author="作者" w:date="2025-08-01T16:43:23Z">
              <w:tcPr>
                <w:tcW w:w="813" w:type="dxa"/>
                <w:shd w:val="clear" w:color="auto" w:fill="auto"/>
                <w:vAlign w:val="center"/>
              </w:tcPr>
            </w:tcPrChange>
          </w:tcPr>
          <w:p w14:paraId="14423A95">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O</w:t>
            </w:r>
          </w:p>
        </w:tc>
        <w:tc>
          <w:tcPr>
            <w:tcW w:w="487" w:type="dxa"/>
            <w:shd w:val="clear" w:color="auto" w:fill="auto"/>
            <w:vAlign w:val="center"/>
            <w:tcPrChange w:id="20" w:author="作者" w:date="2025-08-01T16:43:23Z">
              <w:tcPr>
                <w:tcW w:w="608" w:type="dxa"/>
                <w:shd w:val="clear" w:color="auto" w:fill="auto"/>
                <w:vAlign w:val="center"/>
              </w:tcPr>
            </w:tcPrChange>
          </w:tcPr>
          <w:p w14:paraId="165DAAC4">
            <w:pPr>
              <w:keepNext w:val="0"/>
              <w:keepLines w:val="0"/>
              <w:widowControl/>
              <w:suppressLineNumbers w:val="0"/>
              <w:spacing w:before="0" w:beforeAutospacing="0" w:after="0" w:afterAutospacing="0"/>
              <w:ind w:left="0" w:right="0"/>
              <w:jc w:val="center"/>
              <w:rPr>
                <w:rFonts w:hint="default" w:ascii="宋体" w:hAnsi="宋体" w:cs="宋体"/>
                <w:kern w:val="0"/>
                <w:sz w:val="18"/>
                <w:szCs w:val="18"/>
                <w:highlight w:val="none"/>
                <w:lang w:val="en-US" w:eastAsia="zh-CN"/>
              </w:rPr>
            </w:pPr>
            <w:ins w:id="21" w:author="作者" w:date="2025-08-01T16:42:57Z">
              <w:r>
                <w:rPr>
                  <w:rFonts w:hint="eastAsia" w:ascii="宋体" w:hAnsi="宋体" w:cs="宋体"/>
                  <w:kern w:val="0"/>
                  <w:sz w:val="18"/>
                  <w:szCs w:val="18"/>
                  <w:highlight w:val="none"/>
                  <w:lang w:val="en-US" w:eastAsia="zh-CN"/>
                </w:rPr>
                <w:t>P</w:t>
              </w:r>
            </w:ins>
          </w:p>
        </w:tc>
        <w:tc>
          <w:tcPr>
            <w:tcW w:w="361" w:type="dxa"/>
            <w:shd w:val="clear" w:color="auto" w:fill="auto"/>
            <w:vAlign w:val="center"/>
            <w:tcPrChange w:id="22" w:author="作者" w:date="2025-08-01T16:43:23Z">
              <w:tcPr>
                <w:tcW w:w="3430" w:type="dxa"/>
                <w:gridSpan w:val="2"/>
                <w:shd w:val="clear" w:color="auto" w:fill="auto"/>
                <w:vAlign w:val="center"/>
              </w:tcPr>
            </w:tcPrChange>
          </w:tcPr>
          <w:p w14:paraId="333C2A55">
            <w:pPr>
              <w:keepNext w:val="0"/>
              <w:keepLines w:val="0"/>
              <w:widowControl/>
              <w:suppressLineNumbers w:val="0"/>
              <w:spacing w:before="0" w:beforeAutospacing="0" w:after="0" w:afterAutospacing="0"/>
              <w:ind w:left="0" w:right="0"/>
              <w:jc w:val="center"/>
              <w:rPr>
                <w:rFonts w:hint="default" w:ascii="宋体" w:hAnsi="宋体" w:cs="宋体"/>
                <w:kern w:val="0"/>
                <w:sz w:val="18"/>
                <w:szCs w:val="18"/>
                <w:highlight w:val="none"/>
                <w:lang w:val="en-US" w:eastAsia="zh-CN"/>
              </w:rPr>
            </w:pPr>
            <w:ins w:id="23" w:author="作者" w:date="2025-08-01T16:43:30Z">
              <w:r>
                <w:rPr>
                  <w:rFonts w:hint="eastAsia" w:ascii="宋体" w:hAnsi="宋体" w:cs="宋体"/>
                  <w:kern w:val="0"/>
                  <w:sz w:val="18"/>
                  <w:szCs w:val="18"/>
                  <w:highlight w:val="none"/>
                  <w:lang w:val="en-US" w:eastAsia="zh-CN"/>
                </w:rPr>
                <w:t>S</w:t>
              </w:r>
            </w:ins>
          </w:p>
        </w:tc>
      </w:tr>
      <w:tr w14:paraId="0427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 w:author="作者" w:date="2025-08-01T16:4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33" w:hRule="atLeast"/>
          <w:jc w:val="center"/>
          <w:trPrChange w:id="24" w:author="作者" w:date="2025-08-01T16:43:23Z">
            <w:trPr>
              <w:trHeight w:val="333" w:hRule="atLeast"/>
              <w:jc w:val="center"/>
            </w:trPr>
          </w:trPrChange>
        </w:trPr>
        <w:tc>
          <w:tcPr>
            <w:tcW w:w="1026" w:type="dxa"/>
            <w:vAlign w:val="center"/>
            <w:tcPrChange w:id="25" w:author="作者" w:date="2025-08-01T16:43:23Z">
              <w:tcPr>
                <w:tcW w:w="1026" w:type="dxa"/>
                <w:vAlign w:val="center"/>
              </w:tcPr>
            </w:tcPrChange>
          </w:tcPr>
          <w:p w14:paraId="62CAB46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GCr15</w:t>
            </w:r>
          </w:p>
        </w:tc>
        <w:tc>
          <w:tcPr>
            <w:tcW w:w="762" w:type="dxa"/>
            <w:shd w:val="clear" w:color="auto" w:fill="auto"/>
            <w:vAlign w:val="center"/>
            <w:tcPrChange w:id="26" w:author="作者" w:date="2025-08-01T16:43:23Z">
              <w:tcPr>
                <w:tcW w:w="762" w:type="dxa"/>
                <w:shd w:val="clear" w:color="auto" w:fill="auto"/>
                <w:vAlign w:val="center"/>
              </w:tcPr>
            </w:tcPrChange>
          </w:tcPr>
          <w:p w14:paraId="31DC4B0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0.93</w:t>
            </w:r>
            <w:r>
              <w:rPr>
                <w:rFonts w:hint="eastAsia" w:ascii="宋体" w:hAnsi="宋体" w:cs="宋体"/>
                <w:kern w:val="0"/>
                <w:sz w:val="18"/>
                <w:szCs w:val="18"/>
                <w:highlight w:val="none"/>
              </w:rPr>
              <w:t>～</w:t>
            </w:r>
            <w:r>
              <w:rPr>
                <w:rFonts w:hint="eastAsia" w:ascii="宋体" w:hAnsi="宋体" w:eastAsia="宋体" w:cs="宋体"/>
                <w:kern w:val="0"/>
                <w:sz w:val="18"/>
                <w:szCs w:val="18"/>
                <w:highlight w:val="none"/>
                <w:lang w:val="en-US" w:eastAsia="zh-CN"/>
              </w:rPr>
              <w:t>1.05</w:t>
            </w:r>
          </w:p>
        </w:tc>
        <w:tc>
          <w:tcPr>
            <w:tcW w:w="760" w:type="dxa"/>
            <w:shd w:val="clear" w:color="auto" w:fill="auto"/>
            <w:vAlign w:val="center"/>
            <w:tcPrChange w:id="27" w:author="作者" w:date="2025-08-01T16:43:23Z">
              <w:tcPr>
                <w:tcW w:w="760" w:type="dxa"/>
                <w:shd w:val="clear" w:color="auto" w:fill="auto"/>
                <w:vAlign w:val="center"/>
              </w:tcPr>
            </w:tcPrChange>
          </w:tcPr>
          <w:p w14:paraId="0AE0BA1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0.15</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0.35</w:t>
            </w:r>
          </w:p>
        </w:tc>
        <w:tc>
          <w:tcPr>
            <w:tcW w:w="760" w:type="dxa"/>
            <w:shd w:val="clear" w:color="auto" w:fill="auto"/>
            <w:vAlign w:val="center"/>
            <w:tcPrChange w:id="28" w:author="作者" w:date="2025-08-01T16:43:23Z">
              <w:tcPr>
                <w:tcW w:w="760" w:type="dxa"/>
                <w:shd w:val="clear" w:color="auto" w:fill="auto"/>
                <w:vAlign w:val="center"/>
              </w:tcPr>
            </w:tcPrChange>
          </w:tcPr>
          <w:p w14:paraId="509508A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0.25</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0.45</w:t>
            </w:r>
          </w:p>
        </w:tc>
        <w:tc>
          <w:tcPr>
            <w:tcW w:w="760" w:type="dxa"/>
            <w:shd w:val="clear" w:color="auto" w:fill="auto"/>
            <w:vAlign w:val="center"/>
            <w:tcPrChange w:id="29" w:author="作者" w:date="2025-08-01T16:43:23Z">
              <w:tcPr>
                <w:tcW w:w="760" w:type="dxa"/>
                <w:shd w:val="clear" w:color="auto" w:fill="auto"/>
                <w:vAlign w:val="center"/>
              </w:tcPr>
            </w:tcPrChange>
          </w:tcPr>
          <w:p w14:paraId="315C532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1.40</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1.65</w:t>
            </w:r>
          </w:p>
        </w:tc>
        <w:tc>
          <w:tcPr>
            <w:tcW w:w="595" w:type="dxa"/>
            <w:shd w:val="clear" w:color="auto" w:fill="auto"/>
            <w:vAlign w:val="center"/>
            <w:tcPrChange w:id="30" w:author="作者" w:date="2025-08-01T16:43:23Z">
              <w:tcPr>
                <w:tcW w:w="595" w:type="dxa"/>
                <w:shd w:val="clear" w:color="auto" w:fill="auto"/>
                <w:vAlign w:val="center"/>
              </w:tcPr>
            </w:tcPrChange>
          </w:tcPr>
          <w:p w14:paraId="6E14485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w:t>
            </w:r>
          </w:p>
          <w:p w14:paraId="7FE65C1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0.25</w:t>
            </w:r>
          </w:p>
        </w:tc>
        <w:tc>
          <w:tcPr>
            <w:tcW w:w="625" w:type="dxa"/>
            <w:shd w:val="clear" w:color="auto" w:fill="auto"/>
            <w:vAlign w:val="center"/>
            <w:tcPrChange w:id="31" w:author="作者" w:date="2025-08-01T16:43:23Z">
              <w:tcPr>
                <w:tcW w:w="625" w:type="dxa"/>
                <w:shd w:val="clear" w:color="auto" w:fill="auto"/>
                <w:vAlign w:val="center"/>
              </w:tcPr>
            </w:tcPrChange>
          </w:tcPr>
          <w:p w14:paraId="041FAF4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0.25</w:t>
            </w:r>
          </w:p>
        </w:tc>
        <w:tc>
          <w:tcPr>
            <w:tcW w:w="612" w:type="dxa"/>
            <w:shd w:val="clear" w:color="auto" w:fill="auto"/>
            <w:vAlign w:val="center"/>
            <w:tcPrChange w:id="32" w:author="作者" w:date="2025-08-01T16:43:23Z">
              <w:tcPr>
                <w:tcW w:w="800" w:type="dxa"/>
                <w:shd w:val="clear" w:color="auto" w:fill="auto"/>
                <w:vAlign w:val="center"/>
              </w:tcPr>
            </w:tcPrChange>
          </w:tcPr>
          <w:p w14:paraId="5C612E5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0.10</w:t>
            </w:r>
          </w:p>
        </w:tc>
        <w:tc>
          <w:tcPr>
            <w:tcW w:w="675" w:type="dxa"/>
            <w:shd w:val="clear" w:color="auto" w:fill="auto"/>
            <w:vAlign w:val="center"/>
            <w:tcPrChange w:id="33" w:author="作者" w:date="2025-08-01T16:43:23Z">
              <w:tcPr>
                <w:tcW w:w="762" w:type="dxa"/>
                <w:shd w:val="clear" w:color="auto" w:fill="auto"/>
                <w:vAlign w:val="center"/>
              </w:tcPr>
            </w:tcPrChange>
          </w:tcPr>
          <w:p w14:paraId="1C8C1C9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0.050</w:t>
            </w:r>
          </w:p>
        </w:tc>
        <w:tc>
          <w:tcPr>
            <w:tcW w:w="868" w:type="dxa"/>
            <w:shd w:val="clear" w:color="auto" w:fill="auto"/>
            <w:vAlign w:val="center"/>
            <w:tcPrChange w:id="34" w:author="作者" w:date="2025-08-01T16:43:23Z">
              <w:tcPr>
                <w:tcW w:w="838" w:type="dxa"/>
                <w:shd w:val="clear" w:color="auto" w:fill="auto"/>
                <w:vAlign w:val="center"/>
              </w:tcPr>
            </w:tcPrChange>
          </w:tcPr>
          <w:p w14:paraId="5FA4C38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6A89E0D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0.003</w:t>
            </w:r>
            <w:r>
              <w:rPr>
                <w:rFonts w:hint="eastAsia" w:ascii="宋体" w:hAnsi="宋体" w:cs="宋体"/>
                <w:kern w:val="0"/>
                <w:sz w:val="18"/>
                <w:szCs w:val="18"/>
                <w:highlight w:val="none"/>
                <w:lang w:val="en-US" w:eastAsia="zh-CN"/>
              </w:rPr>
              <w:t xml:space="preserve"> </w:t>
            </w:r>
            <w:r>
              <w:rPr>
                <w:rFonts w:hint="eastAsia" w:ascii="宋体" w:hAnsi="宋体" w:eastAsia="宋体" w:cs="宋体"/>
                <w:kern w:val="0"/>
                <w:sz w:val="18"/>
                <w:szCs w:val="18"/>
                <w:highlight w:val="none"/>
                <w:lang w:val="en-US" w:eastAsia="zh-CN"/>
              </w:rPr>
              <w:t>0</w:t>
            </w:r>
          </w:p>
        </w:tc>
        <w:tc>
          <w:tcPr>
            <w:tcW w:w="1132" w:type="dxa"/>
            <w:shd w:val="clear" w:color="auto" w:fill="auto"/>
            <w:vAlign w:val="center"/>
            <w:tcPrChange w:id="35" w:author="作者" w:date="2025-08-01T16:43:23Z">
              <w:tcPr>
                <w:tcW w:w="887" w:type="dxa"/>
                <w:shd w:val="clear" w:color="auto" w:fill="auto"/>
                <w:vAlign w:val="center"/>
              </w:tcPr>
            </w:tcPrChange>
          </w:tcPr>
          <w:p w14:paraId="16551A8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5459996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0.001</w:t>
            </w:r>
            <w:r>
              <w:rPr>
                <w:rFonts w:hint="eastAsia" w:ascii="宋体" w:hAnsi="宋体" w:cs="宋体"/>
                <w:kern w:val="0"/>
                <w:sz w:val="18"/>
                <w:szCs w:val="18"/>
                <w:highlight w:val="none"/>
                <w:lang w:val="en-US" w:eastAsia="zh-CN"/>
              </w:rPr>
              <w:t xml:space="preserve"> </w:t>
            </w:r>
            <w:r>
              <w:rPr>
                <w:rFonts w:hint="eastAsia" w:ascii="宋体" w:hAnsi="宋体" w:eastAsia="宋体" w:cs="宋体"/>
                <w:kern w:val="0"/>
                <w:sz w:val="18"/>
                <w:szCs w:val="18"/>
                <w:highlight w:val="none"/>
                <w:lang w:val="en-US" w:eastAsia="zh-CN"/>
              </w:rPr>
              <w:t>0</w:t>
            </w:r>
          </w:p>
        </w:tc>
        <w:tc>
          <w:tcPr>
            <w:tcW w:w="813" w:type="dxa"/>
            <w:shd w:val="clear" w:color="auto" w:fill="auto"/>
            <w:vAlign w:val="center"/>
            <w:tcPrChange w:id="36" w:author="作者" w:date="2025-08-01T16:43:23Z">
              <w:tcPr>
                <w:tcW w:w="813" w:type="dxa"/>
                <w:shd w:val="clear" w:color="auto" w:fill="auto"/>
                <w:vAlign w:val="center"/>
              </w:tcPr>
            </w:tcPrChange>
          </w:tcPr>
          <w:p w14:paraId="03FE0D0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0E00892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0.001</w:t>
            </w:r>
            <w:r>
              <w:rPr>
                <w:rFonts w:hint="eastAsia" w:ascii="宋体" w:hAnsi="宋体" w:cs="宋体"/>
                <w:kern w:val="0"/>
                <w:sz w:val="18"/>
                <w:szCs w:val="18"/>
                <w:highlight w:val="none"/>
                <w:lang w:val="en-US" w:eastAsia="zh-CN"/>
              </w:rPr>
              <w:t xml:space="preserve"> </w:t>
            </w:r>
            <w:r>
              <w:rPr>
                <w:rFonts w:hint="eastAsia" w:ascii="宋体" w:hAnsi="宋体" w:eastAsia="宋体" w:cs="宋体"/>
                <w:kern w:val="0"/>
                <w:sz w:val="18"/>
                <w:szCs w:val="18"/>
                <w:highlight w:val="none"/>
                <w:lang w:val="en-US" w:eastAsia="zh-CN"/>
              </w:rPr>
              <w:t>0</w:t>
            </w:r>
          </w:p>
        </w:tc>
        <w:tc>
          <w:tcPr>
            <w:tcW w:w="487" w:type="dxa"/>
            <w:shd w:val="clear" w:color="auto" w:fill="auto"/>
            <w:vAlign w:val="center"/>
            <w:tcPrChange w:id="37" w:author="作者" w:date="2025-08-01T16:43:23Z">
              <w:tcPr>
                <w:tcW w:w="608" w:type="dxa"/>
                <w:shd w:val="clear" w:color="auto" w:fill="auto"/>
                <w:vAlign w:val="center"/>
              </w:tcPr>
            </w:tcPrChange>
          </w:tcPr>
          <w:p w14:paraId="6C5B499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p>
        </w:tc>
        <w:tc>
          <w:tcPr>
            <w:tcW w:w="361" w:type="dxa"/>
            <w:shd w:val="clear" w:color="auto" w:fill="auto"/>
            <w:vAlign w:val="center"/>
            <w:tcPrChange w:id="38" w:author="作者" w:date="2025-08-01T16:43:23Z">
              <w:tcPr>
                <w:tcW w:w="3430" w:type="dxa"/>
                <w:gridSpan w:val="2"/>
                <w:shd w:val="clear" w:color="auto" w:fill="auto"/>
                <w:vAlign w:val="center"/>
              </w:tcPr>
            </w:tcPrChange>
          </w:tcPr>
          <w:p w14:paraId="4D11CF3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p>
        </w:tc>
      </w:tr>
      <w:tr w14:paraId="49F2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 w:author="作者" w:date="2025-08-01T16:43: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33" w:hRule="atLeast"/>
          <w:jc w:val="center"/>
          <w:trPrChange w:id="39" w:author="作者" w:date="2025-08-01T16:43:23Z">
            <w:trPr>
              <w:trHeight w:val="333" w:hRule="atLeast"/>
              <w:jc w:val="center"/>
            </w:trPr>
          </w:trPrChange>
        </w:trPr>
        <w:tc>
          <w:tcPr>
            <w:tcW w:w="1026" w:type="dxa"/>
            <w:vAlign w:val="center"/>
            <w:tcPrChange w:id="40" w:author="作者" w:date="2025-08-01T16:43:23Z">
              <w:tcPr>
                <w:tcW w:w="1026" w:type="dxa"/>
                <w:vAlign w:val="center"/>
              </w:tcPr>
            </w:tcPrChange>
          </w:tcPr>
          <w:p w14:paraId="507B125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GCr15SiMn</w:t>
            </w:r>
          </w:p>
        </w:tc>
        <w:tc>
          <w:tcPr>
            <w:tcW w:w="762" w:type="dxa"/>
            <w:shd w:val="clear" w:color="auto" w:fill="auto"/>
            <w:vAlign w:val="center"/>
            <w:tcPrChange w:id="41" w:author="作者" w:date="2025-08-01T16:43:23Z">
              <w:tcPr>
                <w:tcW w:w="762" w:type="dxa"/>
                <w:shd w:val="clear" w:color="auto" w:fill="auto"/>
                <w:vAlign w:val="center"/>
              </w:tcPr>
            </w:tcPrChange>
          </w:tcPr>
          <w:p w14:paraId="6F81658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0.93</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1.05</w:t>
            </w:r>
          </w:p>
        </w:tc>
        <w:tc>
          <w:tcPr>
            <w:tcW w:w="760" w:type="dxa"/>
            <w:shd w:val="clear" w:color="auto" w:fill="auto"/>
            <w:vAlign w:val="center"/>
            <w:tcPrChange w:id="42" w:author="作者" w:date="2025-08-01T16:43:23Z">
              <w:tcPr>
                <w:tcW w:w="760" w:type="dxa"/>
                <w:shd w:val="clear" w:color="auto" w:fill="auto"/>
                <w:vAlign w:val="center"/>
              </w:tcPr>
            </w:tcPrChange>
          </w:tcPr>
          <w:p w14:paraId="1AF3137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0.45</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0.75</w:t>
            </w:r>
          </w:p>
        </w:tc>
        <w:tc>
          <w:tcPr>
            <w:tcW w:w="760" w:type="dxa"/>
            <w:shd w:val="clear" w:color="auto" w:fill="auto"/>
            <w:vAlign w:val="center"/>
            <w:tcPrChange w:id="43" w:author="作者" w:date="2025-08-01T16:43:23Z">
              <w:tcPr>
                <w:tcW w:w="760" w:type="dxa"/>
                <w:shd w:val="clear" w:color="auto" w:fill="auto"/>
                <w:vAlign w:val="center"/>
              </w:tcPr>
            </w:tcPrChange>
          </w:tcPr>
          <w:p w14:paraId="6AD6962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0.95</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1.25</w:t>
            </w:r>
          </w:p>
        </w:tc>
        <w:tc>
          <w:tcPr>
            <w:tcW w:w="760" w:type="dxa"/>
            <w:shd w:val="clear" w:color="auto" w:fill="auto"/>
            <w:vAlign w:val="center"/>
            <w:tcPrChange w:id="44" w:author="作者" w:date="2025-08-01T16:43:23Z">
              <w:tcPr>
                <w:tcW w:w="760" w:type="dxa"/>
                <w:shd w:val="clear" w:color="auto" w:fill="auto"/>
                <w:vAlign w:val="center"/>
              </w:tcPr>
            </w:tcPrChange>
          </w:tcPr>
          <w:p w14:paraId="0CDC040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1.40</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1.65</w:t>
            </w:r>
          </w:p>
        </w:tc>
        <w:tc>
          <w:tcPr>
            <w:tcW w:w="595" w:type="dxa"/>
            <w:shd w:val="clear" w:color="auto" w:fill="auto"/>
            <w:vAlign w:val="center"/>
            <w:tcPrChange w:id="45" w:author="作者" w:date="2025-08-01T16:43:23Z">
              <w:tcPr>
                <w:tcW w:w="595" w:type="dxa"/>
                <w:shd w:val="clear" w:color="auto" w:fill="auto"/>
                <w:vAlign w:val="center"/>
              </w:tcPr>
            </w:tcPrChange>
          </w:tcPr>
          <w:p w14:paraId="041555B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2D13E4E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0.25</w:t>
            </w:r>
          </w:p>
        </w:tc>
        <w:tc>
          <w:tcPr>
            <w:tcW w:w="625" w:type="dxa"/>
            <w:shd w:val="clear" w:color="auto" w:fill="auto"/>
            <w:vAlign w:val="center"/>
            <w:tcPrChange w:id="46" w:author="作者" w:date="2025-08-01T16:43:23Z">
              <w:tcPr>
                <w:tcW w:w="625" w:type="dxa"/>
                <w:shd w:val="clear" w:color="auto" w:fill="auto"/>
                <w:vAlign w:val="center"/>
              </w:tcPr>
            </w:tcPrChange>
          </w:tcPr>
          <w:p w14:paraId="78A2F09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0.25</w:t>
            </w:r>
          </w:p>
        </w:tc>
        <w:tc>
          <w:tcPr>
            <w:tcW w:w="612" w:type="dxa"/>
            <w:shd w:val="clear" w:color="auto" w:fill="auto"/>
            <w:vAlign w:val="center"/>
            <w:tcPrChange w:id="47" w:author="作者" w:date="2025-08-01T16:43:23Z">
              <w:tcPr>
                <w:tcW w:w="800" w:type="dxa"/>
                <w:shd w:val="clear" w:color="auto" w:fill="auto"/>
                <w:vAlign w:val="center"/>
              </w:tcPr>
            </w:tcPrChange>
          </w:tcPr>
          <w:p w14:paraId="5CDA5B8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0.10</w:t>
            </w:r>
          </w:p>
        </w:tc>
        <w:tc>
          <w:tcPr>
            <w:tcW w:w="675" w:type="dxa"/>
            <w:shd w:val="clear" w:color="auto" w:fill="auto"/>
            <w:vAlign w:val="center"/>
            <w:tcPrChange w:id="48" w:author="作者" w:date="2025-08-01T16:43:23Z">
              <w:tcPr>
                <w:tcW w:w="762" w:type="dxa"/>
                <w:shd w:val="clear" w:color="auto" w:fill="auto"/>
                <w:vAlign w:val="center"/>
              </w:tcPr>
            </w:tcPrChange>
          </w:tcPr>
          <w:p w14:paraId="487DA72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0.050</w:t>
            </w:r>
          </w:p>
        </w:tc>
        <w:tc>
          <w:tcPr>
            <w:tcW w:w="868" w:type="dxa"/>
            <w:shd w:val="clear" w:color="auto" w:fill="auto"/>
            <w:vAlign w:val="center"/>
            <w:tcPrChange w:id="49" w:author="作者" w:date="2025-08-01T16:43:23Z">
              <w:tcPr>
                <w:tcW w:w="838" w:type="dxa"/>
                <w:shd w:val="clear" w:color="auto" w:fill="auto"/>
                <w:vAlign w:val="center"/>
              </w:tcPr>
            </w:tcPrChange>
          </w:tcPr>
          <w:p w14:paraId="13BB3FD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0058061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0.003</w:t>
            </w:r>
            <w:r>
              <w:rPr>
                <w:rFonts w:hint="eastAsia" w:ascii="宋体" w:hAnsi="宋体" w:cs="宋体"/>
                <w:kern w:val="0"/>
                <w:sz w:val="18"/>
                <w:szCs w:val="18"/>
                <w:highlight w:val="none"/>
                <w:lang w:val="en-US" w:eastAsia="zh-CN"/>
              </w:rPr>
              <w:t xml:space="preserve"> </w:t>
            </w:r>
            <w:r>
              <w:rPr>
                <w:rFonts w:hint="eastAsia" w:ascii="宋体" w:hAnsi="宋体" w:eastAsia="宋体" w:cs="宋体"/>
                <w:kern w:val="0"/>
                <w:sz w:val="18"/>
                <w:szCs w:val="18"/>
                <w:highlight w:val="none"/>
                <w:lang w:val="en-US" w:eastAsia="zh-CN"/>
              </w:rPr>
              <w:t>0</w:t>
            </w:r>
          </w:p>
        </w:tc>
        <w:tc>
          <w:tcPr>
            <w:tcW w:w="1132" w:type="dxa"/>
            <w:shd w:val="clear" w:color="auto" w:fill="auto"/>
            <w:vAlign w:val="center"/>
            <w:tcPrChange w:id="50" w:author="作者" w:date="2025-08-01T16:43:23Z">
              <w:tcPr>
                <w:tcW w:w="887" w:type="dxa"/>
                <w:shd w:val="clear" w:color="auto" w:fill="auto"/>
                <w:vAlign w:val="center"/>
              </w:tcPr>
            </w:tcPrChange>
          </w:tcPr>
          <w:p w14:paraId="3E3A26B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4AC0F46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0.001</w:t>
            </w:r>
            <w:r>
              <w:rPr>
                <w:rFonts w:hint="eastAsia" w:ascii="宋体" w:hAnsi="宋体" w:cs="宋体"/>
                <w:kern w:val="0"/>
                <w:sz w:val="18"/>
                <w:szCs w:val="18"/>
                <w:highlight w:val="none"/>
                <w:lang w:val="en-US" w:eastAsia="zh-CN"/>
              </w:rPr>
              <w:t xml:space="preserve"> </w:t>
            </w:r>
            <w:r>
              <w:rPr>
                <w:rFonts w:hint="eastAsia" w:ascii="宋体" w:hAnsi="宋体" w:eastAsia="宋体" w:cs="宋体"/>
                <w:kern w:val="0"/>
                <w:sz w:val="18"/>
                <w:szCs w:val="18"/>
                <w:highlight w:val="none"/>
                <w:lang w:val="en-US" w:eastAsia="zh-CN"/>
              </w:rPr>
              <w:t>0</w:t>
            </w:r>
          </w:p>
        </w:tc>
        <w:tc>
          <w:tcPr>
            <w:tcW w:w="813" w:type="dxa"/>
            <w:shd w:val="clear" w:color="auto" w:fill="auto"/>
            <w:vAlign w:val="center"/>
            <w:tcPrChange w:id="51" w:author="作者" w:date="2025-08-01T16:43:23Z">
              <w:tcPr>
                <w:tcW w:w="813" w:type="dxa"/>
                <w:shd w:val="clear" w:color="auto" w:fill="auto"/>
                <w:vAlign w:val="center"/>
              </w:tcPr>
            </w:tcPrChange>
          </w:tcPr>
          <w:p w14:paraId="67A784C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t>
            </w:r>
          </w:p>
          <w:p w14:paraId="39B7D1D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0.001</w:t>
            </w:r>
            <w:r>
              <w:rPr>
                <w:rFonts w:hint="eastAsia" w:ascii="宋体" w:hAnsi="宋体" w:cs="宋体"/>
                <w:kern w:val="0"/>
                <w:sz w:val="18"/>
                <w:szCs w:val="18"/>
                <w:highlight w:val="none"/>
                <w:lang w:val="en-US" w:eastAsia="zh-CN"/>
              </w:rPr>
              <w:t xml:space="preserve"> </w:t>
            </w:r>
            <w:r>
              <w:rPr>
                <w:rFonts w:hint="eastAsia" w:ascii="宋体" w:hAnsi="宋体" w:eastAsia="宋体" w:cs="宋体"/>
                <w:kern w:val="0"/>
                <w:sz w:val="18"/>
                <w:szCs w:val="18"/>
                <w:highlight w:val="none"/>
                <w:lang w:val="en-US" w:eastAsia="zh-CN"/>
              </w:rPr>
              <w:t>0</w:t>
            </w:r>
          </w:p>
        </w:tc>
        <w:tc>
          <w:tcPr>
            <w:tcW w:w="487" w:type="dxa"/>
            <w:shd w:val="clear" w:color="auto" w:fill="auto"/>
            <w:vAlign w:val="center"/>
            <w:tcPrChange w:id="52" w:author="作者" w:date="2025-08-01T16:43:23Z">
              <w:tcPr>
                <w:tcW w:w="608" w:type="dxa"/>
                <w:shd w:val="clear" w:color="auto" w:fill="auto"/>
                <w:vAlign w:val="center"/>
              </w:tcPr>
            </w:tcPrChange>
          </w:tcPr>
          <w:p w14:paraId="55C2FF1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p>
        </w:tc>
        <w:tc>
          <w:tcPr>
            <w:tcW w:w="361" w:type="dxa"/>
            <w:shd w:val="clear" w:color="auto" w:fill="auto"/>
            <w:vAlign w:val="center"/>
            <w:tcPrChange w:id="53" w:author="作者" w:date="2025-08-01T16:43:23Z">
              <w:tcPr>
                <w:tcW w:w="3430" w:type="dxa"/>
                <w:gridSpan w:val="2"/>
                <w:shd w:val="clear" w:color="auto" w:fill="auto"/>
                <w:vAlign w:val="center"/>
              </w:tcPr>
            </w:tcPrChange>
          </w:tcPr>
          <w:p w14:paraId="1BF3F2A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p>
        </w:tc>
      </w:tr>
    </w:tbl>
    <w:p w14:paraId="415432C1">
      <w:pPr>
        <w:pStyle w:val="157"/>
        <w:keepNext w:val="0"/>
        <w:keepLines w:val="0"/>
        <w:pageBreakBefore w:val="0"/>
        <w:widowControl w:val="0"/>
        <w:numPr>
          <w:ilvl w:val="3"/>
          <w:numId w:val="0"/>
        </w:numPr>
        <w:kinsoku/>
        <w:wordWrap/>
        <w:overflowPunct/>
        <w:topLinePunct w:val="0"/>
        <w:autoSpaceDE/>
        <w:autoSpaceDN/>
        <w:bidi w:val="0"/>
        <w:adjustRightInd/>
        <w:snapToGrid/>
        <w:ind w:left="0" w:leftChars="0" w:firstLine="0" w:firstLineChars="0"/>
        <w:textAlignment w:val="auto"/>
        <w:outlineLvl w:val="2"/>
        <w:rPr>
          <w:rFonts w:hint="default" w:ascii="宋体" w:hAnsi="Times New Roman" w:eastAsia="宋体" w:cs="Times New Roman"/>
        </w:rPr>
      </w:pPr>
      <w:bookmarkStart w:id="8" w:name="_Toc103246231"/>
      <w:r>
        <w:rPr>
          <w:rFonts w:hint="eastAsia" w:ascii="黑体" w:hAnsi="黑体" w:eastAsia="黑体" w:cs="黑体"/>
          <w:lang w:val="en-US" w:eastAsia="zh-CN"/>
        </w:rPr>
        <w:t>6.1.2</w:t>
      </w:r>
      <w:r>
        <w:rPr>
          <w:rFonts w:hint="eastAsia" w:ascii="宋体" w:hAnsi="Times New Roman" w:eastAsia="宋体" w:cs="Times New Roman"/>
          <w:lang w:val="en-US" w:eastAsia="zh-CN"/>
        </w:rPr>
        <w:t xml:space="preserve">  </w:t>
      </w:r>
      <w:r>
        <w:rPr>
          <w:rFonts w:hint="eastAsia" w:ascii="宋体" w:hAnsi="Times New Roman" w:eastAsia="宋体" w:cs="Times New Roman"/>
          <w:sz w:val="21"/>
          <w:szCs w:val="20"/>
          <w:lang w:val="en-US" w:eastAsia="zh-CN" w:bidi="ar-SA"/>
        </w:rPr>
        <w:t>钢的成品</w:t>
      </w:r>
      <w:r>
        <w:rPr>
          <w:rFonts w:hint="default" w:ascii="宋体" w:hAnsi="Times New Roman" w:eastAsia="宋体" w:cs="Times New Roman"/>
          <w:sz w:val="21"/>
          <w:szCs w:val="20"/>
          <w:lang w:val="en-US" w:eastAsia="zh-CN" w:bidi="ar-SA"/>
        </w:rPr>
        <w:t>化学成分允许偏差应符合表</w:t>
      </w:r>
      <w:r>
        <w:rPr>
          <w:rFonts w:hint="eastAsia" w:ascii="宋体" w:hAnsi="Times New Roman" w:eastAsia="宋体" w:cs="Times New Roman"/>
          <w:sz w:val="21"/>
          <w:szCs w:val="20"/>
          <w:lang w:val="en-US" w:eastAsia="zh-CN" w:bidi="ar-SA"/>
        </w:rPr>
        <w:t>2的</w:t>
      </w:r>
      <w:r>
        <w:rPr>
          <w:rFonts w:hint="default" w:ascii="宋体" w:hAnsi="Times New Roman" w:eastAsia="宋体" w:cs="Times New Roman"/>
          <w:sz w:val="21"/>
          <w:szCs w:val="20"/>
          <w:lang w:val="en-US" w:eastAsia="zh-CN" w:bidi="ar-SA"/>
        </w:rPr>
        <w:t>规定。</w:t>
      </w:r>
    </w:p>
    <w:p w14:paraId="7C46387A">
      <w:pPr>
        <w:pStyle w:val="159"/>
        <w:numPr>
          <w:ilvl w:val="0"/>
          <w:numId w:val="3"/>
        </w:numPr>
        <w:spacing w:before="156" w:after="156"/>
        <w:ind w:left="0"/>
        <w:rPr>
          <w:rFonts w:hint="default" w:hAnsi="Times New Roman" w:cs="Times New Roman"/>
          <w:lang w:val="en-US" w:eastAsia="zh-CN"/>
        </w:rPr>
      </w:pPr>
      <w:r>
        <w:rPr>
          <w:rFonts w:hint="eastAsia" w:hAnsi="Times New Roman" w:cs="Times New Roman"/>
          <w:lang w:val="en-US" w:eastAsia="zh-CN"/>
        </w:rPr>
        <w:t>成品</w:t>
      </w:r>
      <w:r>
        <w:rPr>
          <w:rFonts w:hint="default" w:hAnsi="Times New Roman" w:cs="Times New Roman"/>
          <w:lang w:val="en-US" w:eastAsia="zh-CN"/>
        </w:rPr>
        <w:t>化学成分允许偏差</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838"/>
        <w:gridCol w:w="775"/>
        <w:gridCol w:w="800"/>
        <w:gridCol w:w="1075"/>
        <w:gridCol w:w="887"/>
        <w:gridCol w:w="713"/>
        <w:gridCol w:w="850"/>
        <w:gridCol w:w="873"/>
        <w:gridCol w:w="756"/>
        <w:gridCol w:w="917"/>
      </w:tblGrid>
      <w:tr w14:paraId="1D6C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3" w:type="dxa"/>
            <w:shd w:val="clear" w:color="auto" w:fill="auto"/>
            <w:vAlign w:val="center"/>
          </w:tcPr>
          <w:p w14:paraId="7B2AE60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w:t>
            </w:r>
          </w:p>
        </w:tc>
        <w:tc>
          <w:tcPr>
            <w:tcW w:w="838" w:type="dxa"/>
            <w:shd w:val="clear" w:color="auto" w:fill="auto"/>
            <w:vAlign w:val="center"/>
          </w:tcPr>
          <w:p w14:paraId="5CC1DB7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Si</w:t>
            </w:r>
          </w:p>
        </w:tc>
        <w:tc>
          <w:tcPr>
            <w:tcW w:w="775" w:type="dxa"/>
            <w:vAlign w:val="center"/>
          </w:tcPr>
          <w:p w14:paraId="4D9FE56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Mn</w:t>
            </w:r>
          </w:p>
        </w:tc>
        <w:tc>
          <w:tcPr>
            <w:tcW w:w="800" w:type="dxa"/>
            <w:vAlign w:val="center"/>
          </w:tcPr>
          <w:p w14:paraId="1883DFE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Cr</w:t>
            </w:r>
          </w:p>
        </w:tc>
        <w:tc>
          <w:tcPr>
            <w:tcW w:w="1075" w:type="dxa"/>
            <w:vAlign w:val="center"/>
          </w:tcPr>
          <w:p w14:paraId="6F514E2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P</w:t>
            </w:r>
          </w:p>
        </w:tc>
        <w:tc>
          <w:tcPr>
            <w:tcW w:w="887" w:type="dxa"/>
            <w:vAlign w:val="center"/>
          </w:tcPr>
          <w:p w14:paraId="3382624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S</w:t>
            </w:r>
          </w:p>
        </w:tc>
        <w:tc>
          <w:tcPr>
            <w:tcW w:w="713" w:type="dxa"/>
            <w:vAlign w:val="center"/>
          </w:tcPr>
          <w:p w14:paraId="006B97B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Ni</w:t>
            </w:r>
          </w:p>
        </w:tc>
        <w:tc>
          <w:tcPr>
            <w:tcW w:w="850" w:type="dxa"/>
            <w:vAlign w:val="center"/>
          </w:tcPr>
          <w:p w14:paraId="78102B3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Cu</w:t>
            </w:r>
          </w:p>
        </w:tc>
        <w:tc>
          <w:tcPr>
            <w:tcW w:w="873" w:type="dxa"/>
            <w:vAlign w:val="center"/>
          </w:tcPr>
          <w:p w14:paraId="702D6C1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Ti</w:t>
            </w:r>
          </w:p>
        </w:tc>
        <w:tc>
          <w:tcPr>
            <w:tcW w:w="756" w:type="dxa"/>
            <w:vAlign w:val="center"/>
          </w:tcPr>
          <w:p w14:paraId="58C99EA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Al</w:t>
            </w:r>
          </w:p>
        </w:tc>
        <w:tc>
          <w:tcPr>
            <w:tcW w:w="917" w:type="dxa"/>
            <w:vAlign w:val="center"/>
          </w:tcPr>
          <w:p w14:paraId="133A8F0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Mo</w:t>
            </w:r>
          </w:p>
        </w:tc>
      </w:tr>
      <w:tr w14:paraId="0958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3" w:type="dxa"/>
            <w:shd w:val="clear" w:color="auto" w:fill="auto"/>
            <w:vAlign w:val="center"/>
          </w:tcPr>
          <w:p w14:paraId="28F9307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±0.03</w:t>
            </w:r>
          </w:p>
        </w:tc>
        <w:tc>
          <w:tcPr>
            <w:tcW w:w="838" w:type="dxa"/>
            <w:shd w:val="clear" w:color="auto" w:fill="auto"/>
            <w:vAlign w:val="center"/>
          </w:tcPr>
          <w:p w14:paraId="401A474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±0.02</w:t>
            </w:r>
          </w:p>
        </w:tc>
        <w:tc>
          <w:tcPr>
            <w:tcW w:w="775" w:type="dxa"/>
            <w:vAlign w:val="center"/>
          </w:tcPr>
          <w:p w14:paraId="084D7CE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±0.03</w:t>
            </w:r>
          </w:p>
        </w:tc>
        <w:tc>
          <w:tcPr>
            <w:tcW w:w="800" w:type="dxa"/>
            <w:vAlign w:val="center"/>
          </w:tcPr>
          <w:p w14:paraId="29D2CC6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±0.05</w:t>
            </w:r>
          </w:p>
        </w:tc>
        <w:tc>
          <w:tcPr>
            <w:tcW w:w="1075" w:type="dxa"/>
            <w:vAlign w:val="center"/>
          </w:tcPr>
          <w:p w14:paraId="2FCB1B3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+0.005</w:t>
            </w:r>
          </w:p>
          <w:p w14:paraId="2898550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 xml:space="preserve"> </w:t>
            </w:r>
            <w:r>
              <w:rPr>
                <w:rFonts w:hint="eastAsia" w:ascii="宋体" w:hAnsi="宋体" w:eastAsia="宋体" w:cs="宋体"/>
                <w:kern w:val="0"/>
                <w:sz w:val="18"/>
                <w:szCs w:val="18"/>
                <w:highlight w:val="none"/>
                <w:lang w:val="en-US" w:eastAsia="zh-CN"/>
              </w:rPr>
              <w:t>0</w:t>
            </w:r>
          </w:p>
        </w:tc>
        <w:tc>
          <w:tcPr>
            <w:tcW w:w="887" w:type="dxa"/>
            <w:vAlign w:val="center"/>
          </w:tcPr>
          <w:p w14:paraId="61BCF44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+0.005</w:t>
            </w:r>
            <w:r>
              <w:rPr>
                <w:rFonts w:hint="eastAsia" w:ascii="宋体" w:hAnsi="宋体" w:cs="宋体"/>
                <w:kern w:val="0"/>
                <w:sz w:val="18"/>
                <w:szCs w:val="18"/>
                <w:highlight w:val="none"/>
                <w:lang w:val="en-US" w:eastAsia="zh-CN"/>
              </w:rPr>
              <w:t xml:space="preserve"> </w:t>
            </w:r>
            <w:r>
              <w:rPr>
                <w:rFonts w:hint="eastAsia" w:ascii="宋体" w:hAnsi="宋体" w:eastAsia="宋体" w:cs="宋体"/>
                <w:kern w:val="0"/>
                <w:sz w:val="18"/>
                <w:szCs w:val="18"/>
                <w:highlight w:val="none"/>
                <w:lang w:val="en-US" w:eastAsia="zh-CN"/>
              </w:rPr>
              <w:t>0</w:t>
            </w:r>
          </w:p>
        </w:tc>
        <w:tc>
          <w:tcPr>
            <w:tcW w:w="713" w:type="dxa"/>
            <w:vAlign w:val="center"/>
          </w:tcPr>
          <w:p w14:paraId="5D4AE20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+0.030</w:t>
            </w:r>
          </w:p>
        </w:tc>
        <w:tc>
          <w:tcPr>
            <w:tcW w:w="850" w:type="dxa"/>
            <w:vAlign w:val="center"/>
          </w:tcPr>
          <w:p w14:paraId="03DB782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+0.02</w:t>
            </w:r>
          </w:p>
          <w:p w14:paraId="3B22C57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w:t>
            </w:r>
          </w:p>
        </w:tc>
        <w:tc>
          <w:tcPr>
            <w:tcW w:w="873" w:type="dxa"/>
            <w:vAlign w:val="center"/>
          </w:tcPr>
          <w:p w14:paraId="3229DAF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+0.0005</w:t>
            </w:r>
            <w:r>
              <w:rPr>
                <w:rFonts w:hint="eastAsia" w:ascii="宋体" w:hAnsi="宋体" w:cs="宋体"/>
                <w:kern w:val="0"/>
                <w:sz w:val="18"/>
                <w:szCs w:val="18"/>
                <w:highlight w:val="none"/>
                <w:lang w:val="en-US" w:eastAsia="zh-CN"/>
              </w:rPr>
              <w:t xml:space="preserve"> </w:t>
            </w:r>
            <w:r>
              <w:rPr>
                <w:rFonts w:hint="eastAsia" w:ascii="宋体" w:hAnsi="宋体" w:eastAsia="宋体" w:cs="宋体"/>
                <w:kern w:val="0"/>
                <w:sz w:val="18"/>
                <w:szCs w:val="18"/>
                <w:highlight w:val="none"/>
                <w:lang w:val="en-US" w:eastAsia="zh-CN"/>
              </w:rPr>
              <w:t>0</w:t>
            </w:r>
          </w:p>
        </w:tc>
        <w:tc>
          <w:tcPr>
            <w:tcW w:w="756" w:type="dxa"/>
            <w:vAlign w:val="center"/>
          </w:tcPr>
          <w:p w14:paraId="0886A07A">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+0.010</w:t>
            </w:r>
            <w:r>
              <w:rPr>
                <w:rFonts w:hint="eastAsia" w:ascii="宋体" w:hAnsi="宋体" w:cs="宋体"/>
                <w:kern w:val="0"/>
                <w:sz w:val="18"/>
                <w:szCs w:val="18"/>
                <w:highlight w:val="none"/>
                <w:lang w:val="en-US" w:eastAsia="zh-CN"/>
              </w:rPr>
              <w:t>0</w:t>
            </w:r>
          </w:p>
        </w:tc>
        <w:tc>
          <w:tcPr>
            <w:tcW w:w="917" w:type="dxa"/>
            <w:vAlign w:val="center"/>
          </w:tcPr>
          <w:p w14:paraId="3B3CB21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+0.01</w:t>
            </w:r>
          </w:p>
        </w:tc>
      </w:tr>
    </w:tbl>
    <w:p w14:paraId="0F95A931">
      <w:pPr>
        <w:pStyle w:val="161"/>
        <w:numPr>
          <w:ilvl w:val="2"/>
          <w:numId w:val="5"/>
        </w:numPr>
        <w:spacing w:before="156" w:after="156"/>
        <w:rPr>
          <w:rFonts w:hint="default" w:hAnsi="Times New Roman" w:cs="Times New Roman"/>
          <w:lang w:val="en-US" w:eastAsia="zh-CN"/>
        </w:rPr>
      </w:pPr>
      <w:r>
        <w:rPr>
          <w:rFonts w:hint="eastAsia" w:hAnsi="Times New Roman" w:cs="Times New Roman"/>
          <w:lang w:val="en-US" w:eastAsia="zh-CN"/>
        </w:rPr>
        <w:t>硬度</w:t>
      </w:r>
    </w:p>
    <w:p w14:paraId="58FAAD2C">
      <w:pPr>
        <w:pStyle w:val="1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jc w:val="both"/>
        <w:textAlignment w:val="auto"/>
        <w:rPr>
          <w:rFonts w:hint="default" w:asciiTheme="minorEastAsia" w:hAnsiTheme="minorEastAsia" w:eastAsiaTheme="minorEastAsia" w:cstheme="minorEastAsia"/>
          <w:lang w:val="en-US" w:eastAsia="zh-CN"/>
        </w:rPr>
      </w:pPr>
      <w:r>
        <w:rPr>
          <w:rFonts w:hint="eastAsia" w:ascii="黑体" w:hAnsi="黑体" w:eastAsia="黑体" w:cs="黑体"/>
          <w:lang w:val="en-US" w:eastAsia="zh-CN"/>
        </w:rPr>
        <w:t xml:space="preserve">6.2.1  </w:t>
      </w:r>
      <w:r>
        <w:rPr>
          <w:rFonts w:hint="eastAsia" w:asciiTheme="minorEastAsia" w:hAnsiTheme="minorEastAsia" w:eastAsiaTheme="minorEastAsia" w:cstheme="minorEastAsia"/>
          <w:lang w:val="en-US" w:eastAsia="zh-CN"/>
        </w:rPr>
        <w:t>圆钢的硬度应符合表3的规定。</w:t>
      </w:r>
    </w:p>
    <w:p w14:paraId="12C4DA3A">
      <w:pPr>
        <w:pStyle w:val="159"/>
        <w:numPr>
          <w:ilvl w:val="0"/>
          <w:numId w:val="3"/>
        </w:numPr>
        <w:spacing w:before="156" w:after="156"/>
        <w:ind w:left="0"/>
        <w:rPr>
          <w:rFonts w:hint="eastAsia" w:hAnsi="Times New Roman" w:cs="Times New Roman"/>
          <w:lang w:val="en-US" w:eastAsia="zh-CN"/>
        </w:rPr>
      </w:pPr>
      <w:r>
        <w:rPr>
          <w:rFonts w:hint="eastAsia" w:hAnsi="Times New Roman" w:cs="Times New Roman"/>
          <w:lang w:val="en-US" w:eastAsia="zh-CN"/>
        </w:rPr>
        <w:t>硬度</w:t>
      </w:r>
    </w:p>
    <w:tbl>
      <w:tblPr>
        <w:tblStyle w:val="32"/>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3173"/>
        <w:gridCol w:w="3598"/>
      </w:tblGrid>
      <w:tr w14:paraId="68237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547" w:type="dxa"/>
            <w:tcBorders>
              <w:left w:val="single" w:color="auto" w:sz="4" w:space="0"/>
            </w:tcBorders>
            <w:noWrap w:val="0"/>
            <w:vAlign w:val="center"/>
          </w:tcPr>
          <w:p w14:paraId="08E08A0B">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牌号</w:t>
            </w:r>
          </w:p>
        </w:tc>
        <w:tc>
          <w:tcPr>
            <w:tcW w:w="3173" w:type="dxa"/>
            <w:noWrap w:val="0"/>
            <w:vAlign w:val="center"/>
          </w:tcPr>
          <w:p w14:paraId="755DCB2F">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软化退火</w:t>
            </w:r>
            <w:r>
              <w:rPr>
                <w:rFonts w:hint="eastAsia" w:ascii="宋体" w:hAnsi="宋体" w:cs="宋体"/>
                <w:sz w:val="18"/>
                <w:szCs w:val="18"/>
                <w:highlight w:val="none"/>
                <w:lang w:eastAsia="zh-CN"/>
              </w:rPr>
              <w:t>硬度</w:t>
            </w:r>
            <w:r>
              <w:rPr>
                <w:rFonts w:hint="eastAsia" w:ascii="宋体" w:hAnsi="宋体" w:cs="宋体"/>
                <w:sz w:val="18"/>
                <w:szCs w:val="18"/>
                <w:highlight w:val="none"/>
                <w:lang w:val="en-US" w:eastAsia="zh-CN"/>
              </w:rPr>
              <w:t>/</w:t>
            </w:r>
            <w:r>
              <w:rPr>
                <w:rFonts w:hint="eastAsia" w:ascii="宋体" w:hAnsi="宋体" w:eastAsia="宋体" w:cs="宋体"/>
                <w:sz w:val="18"/>
                <w:szCs w:val="18"/>
                <w:highlight w:val="none"/>
              </w:rPr>
              <w:t>HBW</w:t>
            </w:r>
            <w:r>
              <w:rPr>
                <w:rFonts w:hint="eastAsia" w:ascii="宋体" w:hAnsi="宋体" w:cs="宋体"/>
                <w:sz w:val="18"/>
                <w:szCs w:val="18"/>
                <w:highlight w:val="none"/>
                <w:lang w:eastAsia="zh-CN"/>
              </w:rPr>
              <w:t>，不大于</w:t>
            </w:r>
          </w:p>
        </w:tc>
        <w:tc>
          <w:tcPr>
            <w:tcW w:w="3598" w:type="dxa"/>
            <w:noWrap w:val="0"/>
            <w:vAlign w:val="center"/>
          </w:tcPr>
          <w:p w14:paraId="75E1F5F0">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rPr>
            </w:pPr>
            <w:r>
              <w:rPr>
                <w:rFonts w:hint="eastAsia" w:ascii="宋体" w:hAnsi="宋体" w:cs="宋体"/>
                <w:sz w:val="18"/>
                <w:szCs w:val="18"/>
                <w:highlight w:val="none"/>
                <w:lang w:eastAsia="zh-CN"/>
              </w:rPr>
              <w:t>球</w:t>
            </w:r>
            <w:r>
              <w:rPr>
                <w:rFonts w:hint="eastAsia" w:ascii="宋体" w:hAnsi="宋体" w:eastAsia="宋体" w:cs="宋体"/>
                <w:sz w:val="18"/>
                <w:szCs w:val="18"/>
                <w:highlight w:val="none"/>
              </w:rPr>
              <w:t>化退火硬度</w:t>
            </w:r>
            <w:r>
              <w:rPr>
                <w:rFonts w:hint="eastAsia" w:ascii="宋体" w:hAnsi="宋体" w:cs="宋体"/>
                <w:sz w:val="18"/>
                <w:szCs w:val="18"/>
                <w:highlight w:val="none"/>
                <w:lang w:val="en-US" w:eastAsia="zh-CN"/>
              </w:rPr>
              <w:t>/</w:t>
            </w:r>
            <w:r>
              <w:rPr>
                <w:rFonts w:hint="eastAsia" w:ascii="宋体" w:hAnsi="宋体" w:eastAsia="宋体" w:cs="宋体"/>
                <w:sz w:val="18"/>
                <w:szCs w:val="18"/>
                <w:highlight w:val="none"/>
              </w:rPr>
              <w:t>HBW</w:t>
            </w:r>
          </w:p>
        </w:tc>
      </w:tr>
      <w:tr w14:paraId="6DA2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547" w:type="dxa"/>
            <w:tcBorders>
              <w:left w:val="single" w:color="auto" w:sz="4" w:space="0"/>
            </w:tcBorders>
            <w:noWrap w:val="0"/>
            <w:vAlign w:val="center"/>
          </w:tcPr>
          <w:p w14:paraId="142AF839">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color w:val="auto"/>
                <w:sz w:val="18"/>
                <w:szCs w:val="18"/>
                <w:highlight w:val="none"/>
              </w:rPr>
              <w:t>GCr15</w:t>
            </w:r>
          </w:p>
        </w:tc>
        <w:tc>
          <w:tcPr>
            <w:tcW w:w="3173" w:type="dxa"/>
            <w:noWrap w:val="0"/>
            <w:vAlign w:val="center"/>
          </w:tcPr>
          <w:p w14:paraId="02271CC1">
            <w:pPr>
              <w:keepNext w:val="0"/>
              <w:keepLines w:val="0"/>
              <w:suppressLineNumbers w:val="0"/>
              <w:spacing w:before="0" w:beforeAutospacing="0" w:after="0" w:afterAutospacing="0"/>
              <w:ind w:left="0" w:right="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245</w:t>
            </w:r>
          </w:p>
        </w:tc>
        <w:tc>
          <w:tcPr>
            <w:tcW w:w="3598" w:type="dxa"/>
            <w:noWrap w:val="0"/>
            <w:vAlign w:val="center"/>
          </w:tcPr>
          <w:p w14:paraId="1C90B311">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179～2</w:t>
            </w: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7</w:t>
            </w:r>
          </w:p>
        </w:tc>
      </w:tr>
      <w:tr w14:paraId="1ACCE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2547" w:type="dxa"/>
            <w:tcBorders>
              <w:left w:val="single" w:color="auto" w:sz="4" w:space="0"/>
            </w:tcBorders>
            <w:noWrap w:val="0"/>
            <w:vAlign w:val="center"/>
          </w:tcPr>
          <w:p w14:paraId="02F709EE">
            <w:pPr>
              <w:keepNext w:val="0"/>
              <w:keepLines w:val="0"/>
              <w:suppressLineNumbers w:val="0"/>
              <w:spacing w:before="0" w:beforeAutospacing="0" w:after="0" w:afterAutospacing="0"/>
              <w:ind w:left="0" w:right="0"/>
              <w:jc w:val="center"/>
              <w:rPr>
                <w:rFonts w:hint="eastAsia" w:ascii="宋体" w:hAnsi="宋体" w:eastAsia="宋体" w:cs="宋体"/>
                <w:sz w:val="18"/>
                <w:szCs w:val="18"/>
                <w:highlight w:val="none"/>
              </w:rPr>
            </w:pPr>
            <w:r>
              <w:rPr>
                <w:rFonts w:hint="eastAsia" w:ascii="宋体" w:hAnsi="宋体" w:eastAsia="宋体" w:cs="宋体"/>
                <w:color w:val="auto"/>
                <w:sz w:val="18"/>
                <w:szCs w:val="18"/>
                <w:highlight w:val="none"/>
              </w:rPr>
              <w:t>GCr15SiMn</w:t>
            </w:r>
          </w:p>
        </w:tc>
        <w:tc>
          <w:tcPr>
            <w:tcW w:w="3173" w:type="dxa"/>
            <w:noWrap w:val="0"/>
            <w:vAlign w:val="center"/>
          </w:tcPr>
          <w:p w14:paraId="1F8D03C4">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245</w:t>
            </w:r>
          </w:p>
        </w:tc>
        <w:tc>
          <w:tcPr>
            <w:tcW w:w="3598" w:type="dxa"/>
            <w:noWrap w:val="0"/>
            <w:vAlign w:val="center"/>
          </w:tcPr>
          <w:p w14:paraId="75C210A6">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179～217</w:t>
            </w:r>
          </w:p>
        </w:tc>
      </w:tr>
    </w:tbl>
    <w:p w14:paraId="6E21B947">
      <w:pPr>
        <w:pStyle w:val="161"/>
        <w:numPr>
          <w:ilvl w:val="2"/>
          <w:numId w:val="5"/>
        </w:numPr>
        <w:spacing w:before="156" w:after="156"/>
        <w:rPr>
          <w:rFonts w:hint="default" w:hAnsi="Times New Roman" w:cs="Times New Roman"/>
          <w:lang w:val="en-US" w:eastAsia="zh-CN"/>
        </w:rPr>
      </w:pPr>
      <w:r>
        <w:rPr>
          <w:rFonts w:hint="default" w:hAnsi="Times New Roman" w:cs="Times New Roman"/>
          <w:lang w:val="en-US" w:eastAsia="zh-CN"/>
        </w:rPr>
        <w:t>低倍</w:t>
      </w:r>
    </w:p>
    <w:p w14:paraId="62189D7C">
      <w:pPr>
        <w:keepNext w:val="0"/>
        <w:keepLines w:val="0"/>
        <w:pageBreakBefore w:val="0"/>
        <w:widowControl w:val="0"/>
        <w:numPr>
          <w:ilvl w:val="0"/>
          <w:numId w:val="0"/>
        </w:numPr>
        <w:tabs>
          <w:tab w:val="center" w:pos="4620"/>
          <w:tab w:val="right" w:pos="9460"/>
        </w:tabs>
        <w:kinsoku/>
        <w:wordWrap/>
        <w:overflowPunct/>
        <w:topLinePunct w:val="0"/>
        <w:autoSpaceDE/>
        <w:autoSpaceDN/>
        <w:bidi w:val="0"/>
        <w:adjustRightInd/>
        <w:snapToGrid/>
        <w:spacing w:before="0" w:beforeLines="0" w:after="0" w:afterLines="0"/>
        <w:ind w:leftChars="0" w:firstLine="420" w:firstLineChars="200"/>
        <w:jc w:val="left"/>
        <w:textAlignment w:val="auto"/>
        <w:outlineLvl w:val="3"/>
        <w:rPr>
          <w:rFonts w:hint="eastAsia" w:ascii="宋体" w:hAnsi="宋体" w:eastAsia="宋体" w:cs="宋体"/>
          <w:highlight w:val="none"/>
          <w:lang w:val="en-US" w:eastAsia="zh-CN"/>
        </w:rPr>
      </w:pPr>
      <w:r>
        <w:rPr>
          <w:rFonts w:hint="eastAsia" w:ascii="宋体" w:hAnsi="宋体" w:eastAsia="宋体" w:cs="宋体"/>
          <w:highlight w:val="none"/>
          <w:lang w:val="en-US" w:eastAsia="zh-CN"/>
        </w:rPr>
        <w:t>圆钢应按GB/T 18254—2016进行酸浸低倍检验，其横向低倍酸浸试片上不应有残余缩孔、气泡、裂纹、过烧和白点等有害缺陷。中心</w:t>
      </w:r>
      <w:ins w:id="54" w:author="作者" w:date="2025-07-30T14:02:30Z">
        <w:r>
          <w:rPr>
            <w:rFonts w:hint="eastAsia" w:ascii="宋体" w:hAnsi="宋体" w:cs="宋体"/>
            <w:highlight w:val="none"/>
            <w:lang w:val="en-US" w:eastAsia="zh-CN"/>
          </w:rPr>
          <w:t>疏松</w:t>
        </w:r>
      </w:ins>
      <w:r>
        <w:rPr>
          <w:rFonts w:hint="eastAsia" w:ascii="宋体" w:hAnsi="宋体" w:eastAsia="宋体" w:cs="宋体"/>
          <w:highlight w:val="none"/>
          <w:lang w:val="en-US" w:eastAsia="zh-CN"/>
        </w:rPr>
        <w:t>、一般疏松、</w:t>
      </w:r>
      <w:ins w:id="55" w:author="作者" w:date="2025-07-30T14:02:36Z">
        <w:r>
          <w:rPr>
            <w:rFonts w:hint="eastAsia" w:ascii="宋体" w:hAnsi="宋体" w:cs="宋体"/>
            <w:highlight w:val="none"/>
            <w:lang w:val="en-US" w:eastAsia="zh-CN"/>
          </w:rPr>
          <w:t>中心</w:t>
        </w:r>
      </w:ins>
      <w:ins w:id="56" w:author="作者" w:date="2025-07-30T14:02:38Z">
        <w:r>
          <w:rPr>
            <w:rFonts w:hint="eastAsia" w:ascii="宋体" w:hAnsi="宋体" w:cs="宋体"/>
            <w:highlight w:val="none"/>
            <w:lang w:val="en-US" w:eastAsia="zh-CN"/>
          </w:rPr>
          <w:t>偏析、</w:t>
        </w:r>
      </w:ins>
      <w:r>
        <w:rPr>
          <w:rFonts w:hint="eastAsia" w:ascii="宋体" w:hAnsi="宋体" w:eastAsia="宋体" w:cs="宋体"/>
          <w:highlight w:val="none"/>
          <w:lang w:val="en-US" w:eastAsia="zh-CN"/>
        </w:rPr>
        <w:t>锭型偏析的合格级别应符合表4的规定。</w:t>
      </w:r>
    </w:p>
    <w:p w14:paraId="0AC35279">
      <w:pPr>
        <w:pStyle w:val="159"/>
        <w:numPr>
          <w:ilvl w:val="0"/>
          <w:numId w:val="3"/>
        </w:numPr>
        <w:spacing w:before="156" w:after="156"/>
        <w:ind w:left="0"/>
        <w:rPr>
          <w:rFonts w:hint="default" w:hAnsi="Times New Roman" w:cs="Times New Roman"/>
          <w:lang w:val="en-US" w:eastAsia="zh-CN"/>
        </w:rPr>
      </w:pPr>
      <w:r>
        <w:rPr>
          <w:rFonts w:hint="default" w:hAnsi="Times New Roman" w:cs="Times New Roman"/>
          <w:lang w:val="en-US" w:eastAsia="zh-CN"/>
        </w:rPr>
        <w:t>低倍</w:t>
      </w:r>
      <w:r>
        <w:rPr>
          <w:rFonts w:hint="eastAsia" w:hAnsi="Times New Roman" w:cs="Times New Roman"/>
          <w:lang w:val="en-US" w:eastAsia="zh-CN"/>
        </w:rPr>
        <w:t>组织</w:t>
      </w:r>
      <w:r>
        <w:rPr>
          <w:rFonts w:hint="eastAsia" w:cs="Times New Roman"/>
          <w:lang w:val="en-US" w:eastAsia="zh-CN"/>
        </w:rPr>
        <w:t>合格级别</w:t>
      </w:r>
    </w:p>
    <w:tbl>
      <w:tblPr>
        <w:tblStyle w:val="3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39"/>
        <w:gridCol w:w="3897"/>
        <w:gridCol w:w="3120"/>
      </w:tblGrid>
      <w:tr w14:paraId="1821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jc w:val="center"/>
        </w:trPr>
        <w:tc>
          <w:tcPr>
            <w:tcW w:w="2339" w:type="dxa"/>
            <w:noWrap w:val="0"/>
            <w:vAlign w:val="center"/>
          </w:tcPr>
          <w:p w14:paraId="324F6D2D">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缺陷类型</w:t>
            </w:r>
          </w:p>
        </w:tc>
        <w:tc>
          <w:tcPr>
            <w:tcW w:w="3897" w:type="dxa"/>
            <w:noWrap w:val="0"/>
            <w:vAlign w:val="center"/>
          </w:tcPr>
          <w:p w14:paraId="595A434F">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GB/T 18254</w:t>
            </w:r>
            <w:r>
              <w:rPr>
                <w:rFonts w:hint="eastAsia" w:hAnsi="宋体" w:cs="宋体"/>
                <w:sz w:val="18"/>
                <w:szCs w:val="18"/>
                <w:highlight w:val="none"/>
                <w:vertAlign w:val="baseline"/>
                <w:lang w:val="en-US" w:eastAsia="zh-CN"/>
              </w:rPr>
              <w:t>—</w:t>
            </w:r>
            <w:r>
              <w:rPr>
                <w:rFonts w:hint="eastAsia" w:ascii="宋体" w:hAnsi="宋体" w:eastAsia="宋体" w:cs="宋体"/>
                <w:kern w:val="2"/>
                <w:sz w:val="18"/>
                <w:szCs w:val="18"/>
              </w:rPr>
              <w:t>2016</w:t>
            </w:r>
          </w:p>
          <w:p w14:paraId="567D35E7">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附录A中评级图</w:t>
            </w:r>
          </w:p>
        </w:tc>
        <w:tc>
          <w:tcPr>
            <w:tcW w:w="3120" w:type="dxa"/>
            <w:noWrap w:val="0"/>
            <w:vAlign w:val="center"/>
          </w:tcPr>
          <w:p w14:paraId="51A495E9">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合格级别/级，不大于</w:t>
            </w:r>
          </w:p>
        </w:tc>
      </w:tr>
      <w:tr w14:paraId="755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339" w:type="dxa"/>
            <w:noWrap w:val="0"/>
            <w:vAlign w:val="center"/>
          </w:tcPr>
          <w:p w14:paraId="14E000AF">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中心疏松</w:t>
            </w:r>
          </w:p>
        </w:tc>
        <w:tc>
          <w:tcPr>
            <w:tcW w:w="3897" w:type="dxa"/>
            <w:noWrap w:val="0"/>
            <w:vAlign w:val="center"/>
          </w:tcPr>
          <w:p w14:paraId="3F5AF9AB">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第1级别图</w:t>
            </w:r>
          </w:p>
        </w:tc>
        <w:tc>
          <w:tcPr>
            <w:tcW w:w="3120" w:type="dxa"/>
            <w:noWrap w:val="0"/>
            <w:vAlign w:val="center"/>
          </w:tcPr>
          <w:p w14:paraId="26F175E2">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1.5</w:t>
            </w:r>
          </w:p>
        </w:tc>
      </w:tr>
      <w:tr w14:paraId="3D04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339" w:type="dxa"/>
            <w:noWrap w:val="0"/>
            <w:vAlign w:val="center"/>
          </w:tcPr>
          <w:p w14:paraId="0E502D25">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一般疏松</w:t>
            </w:r>
          </w:p>
        </w:tc>
        <w:tc>
          <w:tcPr>
            <w:tcW w:w="3897" w:type="dxa"/>
            <w:noWrap w:val="0"/>
            <w:vAlign w:val="center"/>
          </w:tcPr>
          <w:p w14:paraId="70C7D0FC">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第2级别图</w:t>
            </w:r>
          </w:p>
        </w:tc>
        <w:tc>
          <w:tcPr>
            <w:tcW w:w="3120" w:type="dxa"/>
            <w:noWrap w:val="0"/>
            <w:vAlign w:val="center"/>
          </w:tcPr>
          <w:p w14:paraId="282CC6E9">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1.0</w:t>
            </w:r>
          </w:p>
        </w:tc>
      </w:tr>
      <w:tr w14:paraId="4AC0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339" w:type="dxa"/>
            <w:noWrap w:val="0"/>
            <w:vAlign w:val="center"/>
          </w:tcPr>
          <w:p w14:paraId="75BFF16E">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锭型偏析</w:t>
            </w:r>
          </w:p>
        </w:tc>
        <w:tc>
          <w:tcPr>
            <w:tcW w:w="3897" w:type="dxa"/>
            <w:noWrap w:val="0"/>
            <w:vAlign w:val="center"/>
          </w:tcPr>
          <w:p w14:paraId="2F5F598A">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第3级别图</w:t>
            </w:r>
          </w:p>
        </w:tc>
        <w:tc>
          <w:tcPr>
            <w:tcW w:w="3120" w:type="dxa"/>
            <w:noWrap w:val="0"/>
            <w:vAlign w:val="center"/>
          </w:tcPr>
          <w:p w14:paraId="4BCDB7AE">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1.0</w:t>
            </w:r>
          </w:p>
        </w:tc>
      </w:tr>
      <w:tr w14:paraId="7073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ins w:id="57" w:author="作者" w:date="2025-07-30T14:02:40Z"/>
        </w:trPr>
        <w:tc>
          <w:tcPr>
            <w:tcW w:w="2339" w:type="dxa"/>
            <w:noWrap w:val="0"/>
            <w:vAlign w:val="center"/>
          </w:tcPr>
          <w:p w14:paraId="2905D1CC">
            <w:pPr>
              <w:keepNext w:val="0"/>
              <w:keepLines w:val="0"/>
              <w:suppressLineNumbers w:val="0"/>
              <w:spacing w:before="0" w:beforeAutospacing="0" w:after="0" w:afterAutospacing="0" w:line="300" w:lineRule="auto"/>
              <w:ind w:left="0" w:right="0"/>
              <w:jc w:val="center"/>
              <w:rPr>
                <w:ins w:id="58" w:author="作者" w:date="2025-07-30T14:02:40Z"/>
                <w:rFonts w:hint="eastAsia" w:ascii="宋体" w:hAnsi="宋体" w:eastAsia="宋体" w:cs="宋体"/>
                <w:kern w:val="2"/>
                <w:sz w:val="18"/>
                <w:szCs w:val="18"/>
                <w:lang w:val="en-US" w:eastAsia="zh-CN"/>
              </w:rPr>
            </w:pPr>
            <w:ins w:id="59" w:author="作者" w:date="2025-07-30T14:02:44Z">
              <w:r>
                <w:rPr>
                  <w:rFonts w:hint="eastAsia" w:ascii="宋体" w:hAnsi="宋体" w:cs="宋体"/>
                  <w:kern w:val="2"/>
                  <w:sz w:val="18"/>
                  <w:szCs w:val="18"/>
                  <w:lang w:val="en-US" w:eastAsia="zh-CN"/>
                </w:rPr>
                <w:t>中心偏析</w:t>
              </w:r>
            </w:ins>
          </w:p>
        </w:tc>
        <w:tc>
          <w:tcPr>
            <w:tcW w:w="3897" w:type="dxa"/>
            <w:noWrap w:val="0"/>
            <w:vAlign w:val="center"/>
          </w:tcPr>
          <w:p w14:paraId="64165DB1">
            <w:pPr>
              <w:keepNext w:val="0"/>
              <w:keepLines w:val="0"/>
              <w:suppressLineNumbers w:val="0"/>
              <w:spacing w:before="0" w:beforeAutospacing="0" w:after="0" w:afterAutospacing="0" w:line="300" w:lineRule="auto"/>
              <w:ind w:left="0" w:right="0"/>
              <w:jc w:val="center"/>
              <w:rPr>
                <w:ins w:id="60" w:author="作者" w:date="2025-07-30T14:02:40Z"/>
                <w:rFonts w:hint="eastAsia" w:ascii="宋体" w:hAnsi="宋体" w:eastAsia="宋体" w:cs="宋体"/>
                <w:kern w:val="2"/>
                <w:sz w:val="18"/>
                <w:szCs w:val="18"/>
              </w:rPr>
            </w:pPr>
          </w:p>
        </w:tc>
        <w:tc>
          <w:tcPr>
            <w:tcW w:w="3120" w:type="dxa"/>
            <w:noWrap w:val="0"/>
            <w:vAlign w:val="center"/>
          </w:tcPr>
          <w:p w14:paraId="58E96CD9">
            <w:pPr>
              <w:keepNext w:val="0"/>
              <w:keepLines w:val="0"/>
              <w:suppressLineNumbers w:val="0"/>
              <w:spacing w:before="0" w:beforeAutospacing="0" w:after="0" w:afterAutospacing="0" w:line="300" w:lineRule="auto"/>
              <w:ind w:left="0" w:right="0"/>
              <w:jc w:val="center"/>
              <w:rPr>
                <w:ins w:id="61" w:author="作者" w:date="2025-07-30T14:02:40Z"/>
                <w:rFonts w:hint="eastAsia" w:ascii="宋体" w:hAnsi="宋体" w:eastAsia="宋体" w:cs="宋体"/>
                <w:kern w:val="2"/>
                <w:sz w:val="18"/>
                <w:szCs w:val="18"/>
              </w:rPr>
            </w:pPr>
          </w:p>
        </w:tc>
      </w:tr>
    </w:tbl>
    <w:p w14:paraId="4FA2FA10">
      <w:pPr>
        <w:pStyle w:val="161"/>
        <w:numPr>
          <w:ilvl w:val="2"/>
          <w:numId w:val="5"/>
        </w:numPr>
        <w:spacing w:before="156" w:after="156"/>
        <w:rPr>
          <w:rFonts w:hint="default" w:hAnsi="Times New Roman" w:cs="Times New Roman"/>
          <w:lang w:val="en-US" w:eastAsia="zh-CN"/>
        </w:rPr>
      </w:pPr>
      <w:r>
        <w:rPr>
          <w:rFonts w:hint="eastAsia" w:hAnsi="Times New Roman" w:cs="Times New Roman"/>
          <w:lang w:val="en-US" w:eastAsia="zh-CN"/>
        </w:rPr>
        <w:t>塔形发纹</w:t>
      </w:r>
    </w:p>
    <w:p w14:paraId="0A1F9D58">
      <w:pPr>
        <w:keepNext w:val="0"/>
        <w:keepLines w:val="0"/>
        <w:pageBreakBefore w:val="0"/>
        <w:widowControl w:val="0"/>
        <w:numPr>
          <w:ilvl w:val="0"/>
          <w:numId w:val="0"/>
        </w:numPr>
        <w:tabs>
          <w:tab w:val="center" w:pos="4620"/>
          <w:tab w:val="right" w:pos="9460"/>
        </w:tabs>
        <w:kinsoku/>
        <w:wordWrap/>
        <w:overflowPunct/>
        <w:topLinePunct w:val="0"/>
        <w:autoSpaceDE/>
        <w:autoSpaceDN/>
        <w:bidi w:val="0"/>
        <w:adjustRightInd/>
        <w:snapToGrid/>
        <w:spacing w:before="0" w:beforeLines="0" w:after="0" w:afterLines="0"/>
        <w:ind w:leftChars="0" w:firstLine="420" w:firstLineChars="200"/>
        <w:jc w:val="left"/>
        <w:textAlignment w:val="auto"/>
        <w:outlineLvl w:val="3"/>
        <w:rPr>
          <w:rFonts w:hint="eastAsia" w:ascii="宋体" w:hAnsi="宋体" w:eastAsia="宋体" w:cs="宋体"/>
          <w:highlight w:val="none"/>
          <w:lang w:val="en-US" w:eastAsia="zh-CN"/>
        </w:rPr>
      </w:pPr>
      <w:r>
        <w:rPr>
          <w:rFonts w:hint="eastAsia" w:ascii="宋体" w:hAnsi="宋体" w:eastAsia="宋体" w:cs="宋体"/>
          <w:highlight w:val="none"/>
          <w:lang w:val="en-US" w:eastAsia="zh-CN"/>
        </w:rPr>
        <w:t>圆钢应按GB/T 15711</w:t>
      </w:r>
      <w:r>
        <w:rPr>
          <w:rFonts w:hint="eastAsia" w:ascii="宋体" w:hAnsi="宋体" w:cs="宋体"/>
          <w:highlight w:val="none"/>
          <w:lang w:val="en-US" w:eastAsia="zh-CN"/>
        </w:rPr>
        <w:t>进行</w:t>
      </w:r>
      <w:r>
        <w:rPr>
          <w:rFonts w:hint="eastAsia" w:ascii="宋体" w:hAnsi="宋体" w:eastAsia="宋体" w:cs="宋体"/>
          <w:highlight w:val="none"/>
          <w:lang w:val="en-US" w:eastAsia="zh-CN"/>
        </w:rPr>
        <w:t>塔形发纹</w:t>
      </w:r>
      <w:r>
        <w:rPr>
          <w:rFonts w:hint="eastAsia" w:ascii="宋体" w:hAnsi="宋体" w:cs="宋体"/>
          <w:highlight w:val="none"/>
          <w:lang w:val="en-US" w:eastAsia="zh-CN"/>
        </w:rPr>
        <w:t>检验</w:t>
      </w:r>
      <w:r>
        <w:rPr>
          <w:rFonts w:hint="eastAsia" w:ascii="宋体" w:hAnsi="宋体" w:eastAsia="宋体" w:cs="宋体"/>
          <w:highlight w:val="none"/>
          <w:lang w:val="en-US" w:eastAsia="zh-CN"/>
        </w:rPr>
        <w:t>，其合格级别</w:t>
      </w:r>
      <w:r>
        <w:rPr>
          <w:rFonts w:hint="default" w:ascii="宋体" w:hAnsi="宋体" w:eastAsia="宋体" w:cs="宋体"/>
          <w:highlight w:val="none"/>
          <w:lang w:val="en-US" w:eastAsia="zh-CN"/>
        </w:rPr>
        <w:t>应符合表</w:t>
      </w:r>
      <w:r>
        <w:rPr>
          <w:rFonts w:hint="eastAsia" w:ascii="宋体" w:hAnsi="宋体" w:eastAsia="宋体" w:cs="宋体"/>
          <w:highlight w:val="none"/>
          <w:lang w:val="en-US" w:eastAsia="zh-CN"/>
        </w:rPr>
        <w:t>5的</w:t>
      </w:r>
      <w:r>
        <w:rPr>
          <w:rFonts w:hint="default" w:ascii="宋体" w:hAnsi="宋体" w:eastAsia="宋体" w:cs="宋体"/>
          <w:highlight w:val="none"/>
          <w:lang w:val="en-US" w:eastAsia="zh-CN"/>
        </w:rPr>
        <w:t>规定。</w:t>
      </w:r>
    </w:p>
    <w:p w14:paraId="7E65F402">
      <w:pPr>
        <w:pStyle w:val="78"/>
        <w:spacing w:before="156" w:after="156"/>
        <w:ind w:left="0"/>
        <w:rPr>
          <w:rFonts w:hint="default" w:ascii="Times New Roman" w:hAnsi="Times New Roman" w:cs="Times New Roman"/>
          <w:highlight w:val="none"/>
          <w:lang w:val="en-US" w:eastAsia="zh-CN"/>
        </w:rPr>
      </w:pPr>
      <w:r>
        <w:rPr>
          <w:rFonts w:hint="eastAsia" w:ascii="Times New Roman" w:cs="Times New Roman"/>
          <w:highlight w:val="none"/>
          <w:lang w:val="en-US" w:eastAsia="zh-CN"/>
        </w:rPr>
        <w:t>塔形发纹合格级别</w:t>
      </w:r>
    </w:p>
    <w:tbl>
      <w:tblPr>
        <w:tblStyle w:val="32"/>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7"/>
        <w:gridCol w:w="4237"/>
      </w:tblGrid>
      <w:tr w14:paraId="04F9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5" w:type="pct"/>
            <w:tcBorders>
              <w:top w:val="single" w:color="auto" w:sz="4" w:space="0"/>
              <w:left w:val="single" w:color="auto" w:sz="4" w:space="0"/>
              <w:bottom w:val="single" w:color="auto" w:sz="4" w:space="0"/>
              <w:right w:val="single" w:color="auto" w:sz="4" w:space="0"/>
            </w:tcBorders>
            <w:noWrap w:val="0"/>
            <w:vAlign w:val="center"/>
          </w:tcPr>
          <w:p w14:paraId="75023597">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bookmarkStart w:id="9" w:name="OLE_LINK18"/>
            <w:bookmarkStart w:id="10" w:name="OLE_LINK19"/>
            <w:bookmarkStart w:id="11" w:name="OLE_LINK17"/>
            <w:bookmarkStart w:id="12" w:name="OLE_LINK20"/>
            <w:bookmarkStart w:id="13" w:name="OLE_LINK16"/>
            <w:bookmarkStart w:id="14" w:name="OLE_LINK15"/>
            <w:bookmarkStart w:id="15" w:name="OLE_LINK14"/>
            <w:r>
              <w:rPr>
                <w:rFonts w:hint="eastAsia" w:ascii="宋体" w:hAnsi="宋体" w:eastAsia="宋体" w:cs="宋体"/>
                <w:kern w:val="2"/>
                <w:sz w:val="18"/>
                <w:szCs w:val="18"/>
              </w:rPr>
              <w:t>发纹总条数</w:t>
            </w:r>
          </w:p>
        </w:tc>
        <w:tc>
          <w:tcPr>
            <w:tcW w:w="2254" w:type="pct"/>
            <w:tcBorders>
              <w:top w:val="single" w:color="auto" w:sz="4" w:space="0"/>
              <w:left w:val="single" w:color="auto" w:sz="4" w:space="0"/>
              <w:bottom w:val="single" w:color="auto" w:sz="4" w:space="0"/>
              <w:right w:val="single" w:color="auto" w:sz="4" w:space="0"/>
            </w:tcBorders>
            <w:noWrap w:val="0"/>
            <w:vAlign w:val="center"/>
          </w:tcPr>
          <w:p w14:paraId="46424020">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≤5条</w:t>
            </w:r>
          </w:p>
        </w:tc>
      </w:tr>
      <w:tr w14:paraId="4574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5" w:type="pct"/>
            <w:tcBorders>
              <w:top w:val="single" w:color="auto" w:sz="4" w:space="0"/>
              <w:left w:val="single" w:color="auto" w:sz="4" w:space="0"/>
              <w:bottom w:val="single" w:color="auto" w:sz="4" w:space="0"/>
              <w:right w:val="single" w:color="auto" w:sz="4" w:space="0"/>
            </w:tcBorders>
            <w:noWrap w:val="0"/>
            <w:vAlign w:val="center"/>
          </w:tcPr>
          <w:p w14:paraId="59707C15">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发纹总长度</w:t>
            </w:r>
          </w:p>
        </w:tc>
        <w:tc>
          <w:tcPr>
            <w:tcW w:w="2254" w:type="pct"/>
            <w:tcBorders>
              <w:top w:val="single" w:color="auto" w:sz="4" w:space="0"/>
              <w:left w:val="single" w:color="auto" w:sz="4" w:space="0"/>
              <w:bottom w:val="single" w:color="auto" w:sz="4" w:space="0"/>
              <w:right w:val="single" w:color="auto" w:sz="4" w:space="0"/>
            </w:tcBorders>
            <w:noWrap w:val="0"/>
            <w:vAlign w:val="center"/>
          </w:tcPr>
          <w:p w14:paraId="164B64C8">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≤10</w:t>
            </w:r>
            <w:r>
              <w:rPr>
                <w:rFonts w:hint="eastAsia" w:ascii="宋体" w:hAnsi="宋体" w:eastAsia="宋体" w:cs="宋体"/>
                <w:kern w:val="2"/>
                <w:sz w:val="18"/>
                <w:szCs w:val="18"/>
                <w:lang w:val="en-US" w:eastAsia="zh-CN"/>
              </w:rPr>
              <w:t xml:space="preserve"> </w:t>
            </w:r>
            <w:r>
              <w:rPr>
                <w:rFonts w:hint="eastAsia" w:ascii="宋体" w:hAnsi="宋体" w:eastAsia="宋体" w:cs="宋体"/>
                <w:kern w:val="2"/>
                <w:sz w:val="18"/>
                <w:szCs w:val="18"/>
              </w:rPr>
              <w:t>mm</w:t>
            </w:r>
          </w:p>
        </w:tc>
      </w:tr>
      <w:tr w14:paraId="7792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5" w:type="pct"/>
            <w:tcBorders>
              <w:top w:val="single" w:color="auto" w:sz="4" w:space="0"/>
              <w:left w:val="single" w:color="auto" w:sz="4" w:space="0"/>
              <w:bottom w:val="single" w:color="auto" w:sz="4" w:space="0"/>
              <w:right w:val="single" w:color="auto" w:sz="4" w:space="0"/>
            </w:tcBorders>
            <w:noWrap w:val="0"/>
            <w:vAlign w:val="center"/>
          </w:tcPr>
          <w:p w14:paraId="5FFB4CF6">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每阶上发纹最多条数</w:t>
            </w:r>
          </w:p>
        </w:tc>
        <w:tc>
          <w:tcPr>
            <w:tcW w:w="2254" w:type="pct"/>
            <w:tcBorders>
              <w:top w:val="single" w:color="auto" w:sz="4" w:space="0"/>
              <w:left w:val="single" w:color="auto" w:sz="4" w:space="0"/>
              <w:bottom w:val="single" w:color="auto" w:sz="4" w:space="0"/>
              <w:right w:val="single" w:color="auto" w:sz="4" w:space="0"/>
            </w:tcBorders>
            <w:noWrap w:val="0"/>
            <w:vAlign w:val="center"/>
          </w:tcPr>
          <w:p w14:paraId="13C258E1">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≤3条</w:t>
            </w:r>
          </w:p>
        </w:tc>
      </w:tr>
      <w:tr w14:paraId="2541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45" w:type="pct"/>
            <w:tcBorders>
              <w:top w:val="single" w:color="auto" w:sz="4" w:space="0"/>
              <w:left w:val="single" w:color="auto" w:sz="4" w:space="0"/>
              <w:bottom w:val="single" w:color="auto" w:sz="4" w:space="0"/>
              <w:right w:val="single" w:color="auto" w:sz="4" w:space="0"/>
            </w:tcBorders>
            <w:noWrap w:val="0"/>
            <w:vAlign w:val="center"/>
          </w:tcPr>
          <w:p w14:paraId="5E7BE9BF">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发纹起算长度</w:t>
            </w:r>
          </w:p>
        </w:tc>
        <w:tc>
          <w:tcPr>
            <w:tcW w:w="2254" w:type="pct"/>
            <w:tcBorders>
              <w:top w:val="single" w:color="auto" w:sz="4" w:space="0"/>
              <w:left w:val="single" w:color="auto" w:sz="4" w:space="0"/>
              <w:bottom w:val="single" w:color="auto" w:sz="4" w:space="0"/>
              <w:right w:val="single" w:color="auto" w:sz="4" w:space="0"/>
            </w:tcBorders>
            <w:noWrap w:val="0"/>
            <w:vAlign w:val="center"/>
          </w:tcPr>
          <w:p w14:paraId="3D15D6E2">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rPr>
              <w:t>0.6</w:t>
            </w:r>
            <w:r>
              <w:rPr>
                <w:rFonts w:hint="eastAsia" w:ascii="宋体" w:hAnsi="宋体" w:eastAsia="宋体" w:cs="宋体"/>
                <w:kern w:val="2"/>
                <w:sz w:val="18"/>
                <w:szCs w:val="18"/>
                <w:lang w:val="en-US" w:eastAsia="zh-CN"/>
              </w:rPr>
              <w:t xml:space="preserve"> </w:t>
            </w:r>
            <w:r>
              <w:rPr>
                <w:rFonts w:hint="eastAsia" w:ascii="宋体" w:hAnsi="宋体" w:eastAsia="宋体" w:cs="宋体"/>
                <w:kern w:val="2"/>
                <w:sz w:val="18"/>
                <w:szCs w:val="18"/>
              </w:rPr>
              <w:t>mm</w:t>
            </w:r>
          </w:p>
        </w:tc>
      </w:tr>
      <w:tr w14:paraId="79DD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1BBACBA5">
            <w:pPr>
              <w:keepNext w:val="0"/>
              <w:keepLines w:val="0"/>
              <w:suppressLineNumbers w:val="0"/>
              <w:spacing w:before="0" w:beforeAutospacing="0" w:after="0" w:afterAutospacing="0" w:line="300" w:lineRule="auto"/>
              <w:ind w:left="0" w:right="0"/>
              <w:jc w:val="left"/>
              <w:rPr>
                <w:rFonts w:hint="eastAsia" w:ascii="宋体" w:hAnsi="宋体" w:eastAsia="宋体" w:cs="宋体"/>
                <w:kern w:val="2"/>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黑体" w:hAnsi="黑体" w:eastAsia="黑体" w:cs="黑体"/>
                <w:sz w:val="18"/>
                <w:szCs w:val="18"/>
              </w:rPr>
              <w:t>注：</w:t>
            </w:r>
            <w:r>
              <w:rPr>
                <w:rFonts w:hint="eastAsia" w:ascii="宋体" w:hAnsi="宋体" w:eastAsia="宋体" w:cs="宋体"/>
                <w:sz w:val="18"/>
                <w:szCs w:val="18"/>
              </w:rPr>
              <w:t>同一母线上，间距小于2</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mm的发纹计为一条。</w:t>
            </w:r>
          </w:p>
        </w:tc>
      </w:tr>
      <w:bookmarkEnd w:id="9"/>
      <w:bookmarkEnd w:id="10"/>
      <w:bookmarkEnd w:id="11"/>
      <w:bookmarkEnd w:id="12"/>
      <w:bookmarkEnd w:id="13"/>
      <w:bookmarkEnd w:id="14"/>
      <w:bookmarkEnd w:id="15"/>
    </w:tbl>
    <w:p w14:paraId="3F26F952">
      <w:pPr>
        <w:pStyle w:val="161"/>
        <w:numPr>
          <w:ilvl w:val="2"/>
          <w:numId w:val="5"/>
        </w:numPr>
        <w:spacing w:before="156" w:after="156"/>
        <w:rPr>
          <w:rFonts w:hint="default" w:hAnsi="Times New Roman" w:cs="Times New Roman"/>
          <w:lang w:val="en-US" w:eastAsia="zh-CN"/>
        </w:rPr>
      </w:pPr>
      <w:r>
        <w:rPr>
          <w:rFonts w:hint="eastAsia" w:hAnsi="Times New Roman" w:cs="Times New Roman"/>
          <w:lang w:val="en-US" w:eastAsia="zh-CN"/>
        </w:rPr>
        <w:t>非金属夹杂物</w:t>
      </w:r>
    </w:p>
    <w:p w14:paraId="05626E33">
      <w:pPr>
        <w:keepNext w:val="0"/>
        <w:keepLines w:val="0"/>
        <w:pageBreakBefore w:val="0"/>
        <w:widowControl w:val="0"/>
        <w:numPr>
          <w:ilvl w:val="0"/>
          <w:numId w:val="0"/>
        </w:numPr>
        <w:tabs>
          <w:tab w:val="center" w:pos="4620"/>
          <w:tab w:val="right" w:pos="9460"/>
        </w:tabs>
        <w:kinsoku/>
        <w:wordWrap/>
        <w:overflowPunct/>
        <w:topLinePunct w:val="0"/>
        <w:autoSpaceDE/>
        <w:autoSpaceDN/>
        <w:bidi w:val="0"/>
        <w:adjustRightInd/>
        <w:snapToGrid/>
        <w:spacing w:before="0" w:beforeLines="0" w:after="0" w:afterLines="0"/>
        <w:ind w:leftChars="0" w:firstLine="420" w:firstLineChars="200"/>
        <w:jc w:val="left"/>
        <w:textAlignment w:val="auto"/>
        <w:outlineLvl w:val="3"/>
        <w:rPr>
          <w:rFonts w:hint="default" w:ascii="宋体" w:hAnsi="宋体" w:eastAsia="宋体" w:cs="宋体"/>
          <w:highlight w:val="none"/>
          <w:lang w:val="en-US" w:eastAsia="zh-CN"/>
        </w:rPr>
      </w:pPr>
      <w:r>
        <w:rPr>
          <w:rFonts w:hint="eastAsia" w:ascii="宋体" w:hAnsi="宋体" w:eastAsia="宋体" w:cs="宋体"/>
          <w:highlight w:val="none"/>
          <w:lang w:val="en-US" w:eastAsia="zh-CN"/>
        </w:rPr>
        <w:t>圆钢应</w:t>
      </w:r>
      <w:r>
        <w:rPr>
          <w:rFonts w:hint="default" w:ascii="宋体" w:hAnsi="宋体" w:eastAsia="宋体" w:cs="宋体"/>
          <w:highlight w:val="none"/>
          <w:lang w:val="en-US" w:eastAsia="zh-CN"/>
        </w:rPr>
        <w:t>按GB/T 10561</w:t>
      </w:r>
      <w:r>
        <w:rPr>
          <w:rFonts w:hint="eastAsia" w:ascii="宋体" w:hAnsi="宋体" w:cs="宋体"/>
          <w:highlight w:val="none"/>
          <w:lang w:val="en-US" w:eastAsia="zh-CN"/>
        </w:rPr>
        <w:t>—</w:t>
      </w:r>
      <w:r>
        <w:rPr>
          <w:rFonts w:hint="default" w:ascii="宋体" w:hAnsi="宋体" w:eastAsia="宋体" w:cs="宋体"/>
          <w:highlight w:val="none"/>
          <w:lang w:val="en-US" w:eastAsia="zh-CN"/>
        </w:rPr>
        <w:t>20</w:t>
      </w:r>
      <w:r>
        <w:rPr>
          <w:rFonts w:hint="eastAsia" w:ascii="宋体" w:hAnsi="宋体" w:eastAsia="宋体" w:cs="宋体"/>
          <w:highlight w:val="none"/>
          <w:lang w:val="en-US" w:eastAsia="zh-CN"/>
        </w:rPr>
        <w:t>23</w:t>
      </w:r>
      <w:r>
        <w:rPr>
          <w:rFonts w:hint="default" w:ascii="宋体" w:hAnsi="宋体" w:eastAsia="宋体" w:cs="宋体"/>
          <w:highlight w:val="none"/>
          <w:lang w:val="en-US" w:eastAsia="zh-CN"/>
        </w:rPr>
        <w:t>中A法</w:t>
      </w:r>
      <w:r>
        <w:rPr>
          <w:rFonts w:hint="eastAsia" w:ascii="宋体" w:hAnsi="宋体" w:cs="宋体"/>
          <w:highlight w:val="none"/>
          <w:lang w:val="en-US" w:eastAsia="zh-CN"/>
        </w:rPr>
        <w:t>进行</w:t>
      </w:r>
      <w:r>
        <w:rPr>
          <w:rFonts w:hint="default" w:ascii="宋体" w:hAnsi="宋体" w:eastAsia="宋体" w:cs="宋体"/>
          <w:highlight w:val="none"/>
          <w:lang w:val="en-US" w:eastAsia="zh-CN"/>
        </w:rPr>
        <w:t>非金属夹杂物</w:t>
      </w:r>
      <w:r>
        <w:rPr>
          <w:rFonts w:hint="eastAsia" w:ascii="宋体" w:hAnsi="宋体" w:cs="宋体"/>
          <w:highlight w:val="none"/>
          <w:lang w:val="en-US" w:eastAsia="zh-CN"/>
        </w:rPr>
        <w:t>检验</w:t>
      </w:r>
      <w:r>
        <w:rPr>
          <w:rFonts w:hint="default" w:ascii="宋体" w:hAnsi="宋体" w:eastAsia="宋体" w:cs="宋体"/>
          <w:highlight w:val="none"/>
          <w:lang w:val="en-US" w:eastAsia="zh-CN"/>
        </w:rPr>
        <w:t>，</w:t>
      </w:r>
      <w:r>
        <w:rPr>
          <w:rFonts w:hint="eastAsia" w:ascii="宋体" w:hAnsi="宋体" w:eastAsia="宋体" w:cs="宋体"/>
          <w:highlight w:val="none"/>
          <w:lang w:val="en-US" w:eastAsia="zh-CN"/>
        </w:rPr>
        <w:t>其合格级别</w:t>
      </w:r>
      <w:r>
        <w:rPr>
          <w:rFonts w:hint="default" w:ascii="宋体" w:hAnsi="宋体" w:eastAsia="宋体" w:cs="宋体"/>
          <w:highlight w:val="none"/>
          <w:lang w:val="en-US" w:eastAsia="zh-CN"/>
        </w:rPr>
        <w:t>应符合表</w:t>
      </w:r>
      <w:r>
        <w:rPr>
          <w:rFonts w:hint="eastAsia" w:ascii="宋体" w:hAnsi="宋体" w:cs="宋体"/>
          <w:highlight w:val="none"/>
          <w:lang w:val="en-US" w:eastAsia="zh-CN"/>
        </w:rPr>
        <w:t>6</w:t>
      </w:r>
      <w:r>
        <w:rPr>
          <w:rFonts w:hint="default" w:ascii="宋体" w:hAnsi="宋体" w:eastAsia="宋体" w:cs="宋体"/>
          <w:highlight w:val="none"/>
          <w:lang w:val="en-US" w:eastAsia="zh-CN"/>
        </w:rPr>
        <w:t>的</w:t>
      </w:r>
      <w:r>
        <w:rPr>
          <w:rFonts w:hint="eastAsia" w:ascii="宋体" w:hAnsi="宋体" w:eastAsia="宋体" w:cs="宋体"/>
          <w:highlight w:val="none"/>
          <w:lang w:val="en-US" w:eastAsia="zh-CN"/>
        </w:rPr>
        <w:t>规定。</w:t>
      </w:r>
    </w:p>
    <w:p w14:paraId="29BDCFDE">
      <w:pPr>
        <w:pStyle w:val="78"/>
        <w:spacing w:before="156" w:after="156"/>
        <w:ind w:left="0"/>
        <w:rPr>
          <w:rFonts w:hint="default" w:ascii="Times New Roman" w:hAnsi="Times New Roman" w:cs="Times New Roman"/>
          <w:lang w:val="en-US" w:eastAsia="zh-CN"/>
        </w:rPr>
      </w:pPr>
      <w:r>
        <w:rPr>
          <w:rFonts w:hint="default" w:ascii="Times New Roman" w:hAnsi="Times New Roman" w:cs="Times New Roman"/>
          <w:lang w:val="en-US" w:eastAsia="zh-CN"/>
        </w:rPr>
        <w:t>非金属夹杂物合格级别</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701"/>
        <w:gridCol w:w="702"/>
        <w:gridCol w:w="701"/>
        <w:gridCol w:w="702"/>
        <w:gridCol w:w="701"/>
        <w:gridCol w:w="702"/>
        <w:gridCol w:w="701"/>
        <w:gridCol w:w="707"/>
        <w:gridCol w:w="1255"/>
      </w:tblGrid>
      <w:tr w14:paraId="0E45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53" w:type="dxa"/>
          </w:tcPr>
          <w:p w14:paraId="213CFA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非金属夹杂物类型</w:t>
            </w:r>
          </w:p>
        </w:tc>
        <w:tc>
          <w:tcPr>
            <w:tcW w:w="1403" w:type="dxa"/>
            <w:gridSpan w:val="2"/>
            <w:vAlign w:val="center"/>
          </w:tcPr>
          <w:p w14:paraId="4F97A0E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A类</w:t>
            </w:r>
          </w:p>
        </w:tc>
        <w:tc>
          <w:tcPr>
            <w:tcW w:w="1403" w:type="dxa"/>
            <w:gridSpan w:val="2"/>
            <w:vAlign w:val="center"/>
          </w:tcPr>
          <w:p w14:paraId="4C58F9A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B类</w:t>
            </w:r>
          </w:p>
        </w:tc>
        <w:tc>
          <w:tcPr>
            <w:tcW w:w="1403" w:type="dxa"/>
            <w:gridSpan w:val="2"/>
            <w:vAlign w:val="center"/>
          </w:tcPr>
          <w:p w14:paraId="049287B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C类</w:t>
            </w:r>
          </w:p>
        </w:tc>
        <w:tc>
          <w:tcPr>
            <w:tcW w:w="1405" w:type="dxa"/>
            <w:gridSpan w:val="2"/>
            <w:vAlign w:val="center"/>
          </w:tcPr>
          <w:p w14:paraId="1DA517C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D类</w:t>
            </w:r>
          </w:p>
        </w:tc>
        <w:tc>
          <w:tcPr>
            <w:tcW w:w="1255" w:type="dxa"/>
            <w:vMerge w:val="restart"/>
            <w:vAlign w:val="center"/>
          </w:tcPr>
          <w:p w14:paraId="7117670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DS类</w:t>
            </w:r>
          </w:p>
        </w:tc>
      </w:tr>
      <w:tr w14:paraId="469E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53" w:type="dxa"/>
            <w:vMerge w:val="restart"/>
            <w:vAlign w:val="center"/>
          </w:tcPr>
          <w:p w14:paraId="2D2EC54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合格级别/级，不大于</w:t>
            </w:r>
          </w:p>
        </w:tc>
        <w:tc>
          <w:tcPr>
            <w:tcW w:w="701" w:type="dxa"/>
            <w:vAlign w:val="center"/>
          </w:tcPr>
          <w:p w14:paraId="7F1AD7A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细系</w:t>
            </w:r>
          </w:p>
        </w:tc>
        <w:tc>
          <w:tcPr>
            <w:tcW w:w="701" w:type="dxa"/>
            <w:vAlign w:val="center"/>
          </w:tcPr>
          <w:p w14:paraId="69D34A3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粗系</w:t>
            </w:r>
          </w:p>
        </w:tc>
        <w:tc>
          <w:tcPr>
            <w:tcW w:w="701" w:type="dxa"/>
            <w:vAlign w:val="center"/>
          </w:tcPr>
          <w:p w14:paraId="11EF26F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细系</w:t>
            </w:r>
          </w:p>
        </w:tc>
        <w:tc>
          <w:tcPr>
            <w:tcW w:w="701" w:type="dxa"/>
            <w:vAlign w:val="center"/>
          </w:tcPr>
          <w:p w14:paraId="21B2AEA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粗系</w:t>
            </w:r>
          </w:p>
        </w:tc>
        <w:tc>
          <w:tcPr>
            <w:tcW w:w="701" w:type="dxa"/>
            <w:vAlign w:val="center"/>
          </w:tcPr>
          <w:p w14:paraId="5C10D68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细系</w:t>
            </w:r>
          </w:p>
        </w:tc>
        <w:tc>
          <w:tcPr>
            <w:tcW w:w="701" w:type="dxa"/>
            <w:vAlign w:val="center"/>
          </w:tcPr>
          <w:p w14:paraId="4DE16FE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粗系</w:t>
            </w:r>
          </w:p>
        </w:tc>
        <w:tc>
          <w:tcPr>
            <w:tcW w:w="701" w:type="dxa"/>
            <w:vAlign w:val="center"/>
          </w:tcPr>
          <w:p w14:paraId="326E8B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细系</w:t>
            </w:r>
          </w:p>
        </w:tc>
        <w:tc>
          <w:tcPr>
            <w:tcW w:w="707" w:type="dxa"/>
            <w:vAlign w:val="center"/>
          </w:tcPr>
          <w:p w14:paraId="3A9DB5D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粗系</w:t>
            </w:r>
          </w:p>
        </w:tc>
        <w:tc>
          <w:tcPr>
            <w:tcW w:w="1255" w:type="dxa"/>
            <w:vMerge w:val="continue"/>
            <w:vAlign w:val="center"/>
          </w:tcPr>
          <w:p w14:paraId="45EC2AB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p>
        </w:tc>
      </w:tr>
      <w:tr w14:paraId="192A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53" w:type="dxa"/>
            <w:vMerge w:val="continue"/>
          </w:tcPr>
          <w:p w14:paraId="6EEC4C2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p>
        </w:tc>
        <w:tc>
          <w:tcPr>
            <w:tcW w:w="701" w:type="dxa"/>
            <w:vAlign w:val="center"/>
          </w:tcPr>
          <w:p w14:paraId="3A35569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c>
          <w:tcPr>
            <w:tcW w:w="701" w:type="dxa"/>
            <w:vAlign w:val="center"/>
          </w:tcPr>
          <w:p w14:paraId="710EE88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0</w:t>
            </w:r>
          </w:p>
        </w:tc>
        <w:tc>
          <w:tcPr>
            <w:tcW w:w="701" w:type="dxa"/>
            <w:vAlign w:val="center"/>
          </w:tcPr>
          <w:p w14:paraId="72C5642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.0</w:t>
            </w:r>
          </w:p>
        </w:tc>
        <w:tc>
          <w:tcPr>
            <w:tcW w:w="701" w:type="dxa"/>
            <w:vAlign w:val="center"/>
          </w:tcPr>
          <w:p w14:paraId="2E2A256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.5</w:t>
            </w:r>
          </w:p>
        </w:tc>
        <w:tc>
          <w:tcPr>
            <w:tcW w:w="701" w:type="dxa"/>
            <w:vAlign w:val="center"/>
          </w:tcPr>
          <w:p w14:paraId="333AB73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701" w:type="dxa"/>
            <w:vAlign w:val="center"/>
          </w:tcPr>
          <w:p w14:paraId="7480FA7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701" w:type="dxa"/>
            <w:vAlign w:val="center"/>
          </w:tcPr>
          <w:p w14:paraId="288BAB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0</w:t>
            </w:r>
          </w:p>
        </w:tc>
        <w:tc>
          <w:tcPr>
            <w:tcW w:w="707" w:type="dxa"/>
            <w:vAlign w:val="center"/>
          </w:tcPr>
          <w:p w14:paraId="19B8E02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.5</w:t>
            </w:r>
          </w:p>
        </w:tc>
        <w:tc>
          <w:tcPr>
            <w:tcW w:w="1255" w:type="dxa"/>
            <w:vAlign w:val="center"/>
          </w:tcPr>
          <w:p w14:paraId="6496921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18"/>
                <w:szCs w:val="18"/>
              </w:rPr>
            </w:pPr>
            <w:r>
              <w:rPr>
                <w:rFonts w:hint="eastAsia" w:ascii="宋体" w:hAnsi="宋体" w:eastAsia="宋体" w:cs="宋体"/>
                <w:color w:val="auto"/>
                <w:sz w:val="18"/>
                <w:szCs w:val="18"/>
                <w:u w:val="none"/>
              </w:rPr>
              <w:t>1.5</w:t>
            </w:r>
          </w:p>
        </w:tc>
      </w:tr>
    </w:tbl>
    <w:p w14:paraId="11178A21">
      <w:pPr>
        <w:pStyle w:val="161"/>
        <w:numPr>
          <w:ilvl w:val="2"/>
          <w:numId w:val="5"/>
        </w:numPr>
        <w:spacing w:before="156" w:after="156"/>
        <w:rPr>
          <w:rFonts w:hint="default" w:hAnsi="Times New Roman" w:cs="Times New Roman"/>
          <w:lang w:val="en-US" w:eastAsia="zh-CN"/>
        </w:rPr>
      </w:pPr>
      <w:r>
        <w:rPr>
          <w:rFonts w:hint="eastAsia" w:hAnsi="Times New Roman" w:cs="Times New Roman"/>
          <w:lang w:val="en-US" w:eastAsia="zh-CN"/>
        </w:rPr>
        <w:t>脱碳层</w:t>
      </w:r>
    </w:p>
    <w:p w14:paraId="71007A5C">
      <w:pPr>
        <w:pStyle w:val="163"/>
        <w:numPr>
          <w:ilvl w:val="4"/>
          <w:numId w:val="0"/>
        </w:numPr>
        <w:ind w:leftChars="0"/>
        <w:rPr>
          <w:rFonts w:hint="eastAsia" w:hAnsi="Times New Roman" w:cs="Times New Roman"/>
          <w:lang w:val="en-US" w:eastAsia="zh-CN"/>
        </w:rPr>
      </w:pPr>
      <w:r>
        <w:rPr>
          <w:rFonts w:hint="eastAsia" w:ascii="黑体" w:hAnsi="黑体" w:eastAsia="黑体" w:cs="黑体"/>
          <w:sz w:val="21"/>
          <w:highlight w:val="none"/>
          <w:lang w:val="en-US" w:eastAsia="zh-CN" w:bidi="ar-SA"/>
        </w:rPr>
        <w:t>6.6.1</w:t>
      </w:r>
      <w:r>
        <w:rPr>
          <w:rFonts w:hint="eastAsia" w:hAnsi="Times New Roman" w:cs="Times New Roman"/>
          <w:lang w:val="en-US" w:eastAsia="zh-CN"/>
        </w:rPr>
        <w:t xml:space="preserve">  热轧圆钢的表面每边总脱碳层深度应不超过公称直径的1.0%。</w:t>
      </w:r>
    </w:p>
    <w:p w14:paraId="110355BA">
      <w:pPr>
        <w:pStyle w:val="163"/>
        <w:numPr>
          <w:ilvl w:val="4"/>
          <w:numId w:val="0"/>
        </w:numPr>
        <w:ind w:leftChars="0"/>
        <w:rPr>
          <w:rFonts w:hint="default"/>
          <w:lang w:val="en-US" w:eastAsia="zh-CN"/>
        </w:rPr>
      </w:pPr>
      <w:r>
        <w:rPr>
          <w:rFonts w:hint="eastAsia" w:ascii="黑体" w:hAnsi="黑体" w:eastAsia="黑体" w:cs="黑体"/>
          <w:lang w:val="en-US" w:eastAsia="zh-CN"/>
        </w:rPr>
        <w:t>6.6.2</w:t>
      </w:r>
      <w:r>
        <w:rPr>
          <w:rFonts w:hint="eastAsia" w:hAnsi="Times New Roman" w:cs="Times New Roman"/>
          <w:lang w:val="en-US" w:eastAsia="zh-CN"/>
        </w:rPr>
        <w:t xml:space="preserve">  软化退火和球化退火圆钢的表面每边总脱碳层深度应不超过公称直径的1.0%</w:t>
      </w:r>
      <w:r>
        <w:rPr>
          <w:rFonts w:hint="eastAsia" w:cs="Times New Roman"/>
          <w:lang w:val="en-US" w:eastAsia="zh-CN"/>
        </w:rPr>
        <w:t>+</w:t>
      </w:r>
      <w:r>
        <w:rPr>
          <w:rFonts w:hint="eastAsia" w:hAnsi="Times New Roman" w:cs="Times New Roman"/>
          <w:lang w:val="en-US" w:eastAsia="zh-CN"/>
        </w:rPr>
        <w:t>0.15 mm。</w:t>
      </w:r>
    </w:p>
    <w:p w14:paraId="133E2649">
      <w:pPr>
        <w:pStyle w:val="161"/>
        <w:numPr>
          <w:ilvl w:val="2"/>
          <w:numId w:val="5"/>
        </w:numPr>
        <w:spacing w:before="156" w:after="156"/>
        <w:rPr>
          <w:rFonts w:hint="default" w:hAnsi="Times New Roman" w:cs="Times New Roman"/>
          <w:lang w:val="en-US" w:eastAsia="zh-CN"/>
        </w:rPr>
      </w:pPr>
      <w:r>
        <w:rPr>
          <w:rFonts w:hint="default" w:hAnsi="Times New Roman" w:cs="Times New Roman"/>
          <w:lang w:val="en-US" w:eastAsia="zh-CN"/>
        </w:rPr>
        <w:t>碳化物不均匀性</w:t>
      </w:r>
    </w:p>
    <w:p w14:paraId="2B67BA6A">
      <w:pPr>
        <w:pStyle w:val="23"/>
        <w:spacing w:before="156" w:after="156"/>
        <w:ind w:firstLine="0" w:firstLineChars="0"/>
        <w:outlineLvl w:val="2"/>
        <w:rPr>
          <w:rFonts w:hint="default" w:ascii="宋体" w:hAnsi="Times New Roman" w:eastAsia="宋体" w:cs="Times New Roman"/>
          <w:sz w:val="21"/>
          <w:lang w:val="en-US" w:eastAsia="zh-CN" w:bidi="ar-SA"/>
        </w:rPr>
      </w:pPr>
      <w:r>
        <w:rPr>
          <w:rFonts w:hint="eastAsia" w:ascii="黑体" w:hAnsi="黑体" w:eastAsia="黑体" w:cs="黑体"/>
          <w:highlight w:val="none"/>
          <w:lang w:val="en-US" w:eastAsia="zh-CN"/>
        </w:rPr>
        <w:t xml:space="preserve">6.7.1 </w:t>
      </w:r>
      <w:r>
        <w:rPr>
          <w:rFonts w:hint="eastAsia" w:ascii="宋体" w:hAnsi="宋体" w:eastAsia="宋体" w:cs="宋体"/>
          <w:kern w:val="2"/>
          <w:sz w:val="21"/>
          <w:szCs w:val="24"/>
          <w:highlight w:val="none"/>
          <w:lang w:val="en-US" w:eastAsia="zh-CN" w:bidi="ar-SA"/>
        </w:rPr>
        <w:t xml:space="preserve"> </w:t>
      </w:r>
      <w:r>
        <w:rPr>
          <w:rFonts w:hint="eastAsia" w:ascii="宋体" w:hAnsi="Times New Roman" w:eastAsia="宋体" w:cs="Times New Roman"/>
          <w:sz w:val="21"/>
          <w:lang w:val="en-US" w:eastAsia="zh-CN" w:bidi="ar-SA"/>
        </w:rPr>
        <w:t>圆钢的</w:t>
      </w:r>
      <w:r>
        <w:rPr>
          <w:rFonts w:hint="default" w:ascii="宋体" w:hAnsi="Times New Roman" w:eastAsia="宋体" w:cs="Times New Roman"/>
          <w:sz w:val="21"/>
          <w:lang w:val="en-US" w:eastAsia="zh-CN" w:bidi="ar-SA"/>
        </w:rPr>
        <w:t>碳化物网状合格级别应符合表</w:t>
      </w:r>
      <w:r>
        <w:rPr>
          <w:rFonts w:hint="eastAsia" w:ascii="宋体" w:hAnsi="Times New Roman" w:eastAsia="宋体" w:cs="Times New Roman"/>
          <w:sz w:val="21"/>
          <w:lang w:val="en-US" w:eastAsia="zh-CN" w:bidi="ar-SA"/>
        </w:rPr>
        <w:t>7的</w:t>
      </w:r>
      <w:r>
        <w:rPr>
          <w:rFonts w:hint="default" w:ascii="宋体" w:hAnsi="Times New Roman" w:eastAsia="宋体" w:cs="Times New Roman"/>
          <w:sz w:val="21"/>
          <w:lang w:val="en-US" w:eastAsia="zh-CN" w:bidi="ar-SA"/>
        </w:rPr>
        <w:t>规定。</w:t>
      </w:r>
    </w:p>
    <w:p w14:paraId="27186641">
      <w:pPr>
        <w:pStyle w:val="78"/>
        <w:spacing w:before="156" w:after="156"/>
        <w:ind w:left="0"/>
        <w:rPr>
          <w:rFonts w:hint="default" w:ascii="Times New Roman" w:hAnsi="Times New Roman" w:cs="Times New Roman"/>
          <w:highlight w:val="none"/>
          <w:lang w:val="en-US" w:eastAsia="zh-CN"/>
        </w:rPr>
      </w:pPr>
      <w:r>
        <w:rPr>
          <w:rFonts w:hint="eastAsia" w:ascii="Times New Roman" w:cs="Times New Roman"/>
          <w:highlight w:val="none"/>
          <w:lang w:val="en-US" w:eastAsia="zh-CN"/>
        </w:rPr>
        <w:t>碳化物网状</w:t>
      </w:r>
      <w:r>
        <w:rPr>
          <w:rFonts w:hint="default" w:ascii="Times New Roman" w:hAnsi="Times New Roman" w:cs="Times New Roman"/>
          <w:highlight w:val="none"/>
          <w:lang w:val="en-US" w:eastAsia="zh-CN"/>
        </w:rPr>
        <w:t>合格级别</w:t>
      </w:r>
    </w:p>
    <w:tbl>
      <w:tblPr>
        <w:tblStyle w:val="32"/>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537"/>
        <w:gridCol w:w="2657"/>
        <w:gridCol w:w="2777"/>
      </w:tblGrid>
      <w:tr w14:paraId="63FD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258FAA01">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交货状态</w:t>
            </w:r>
          </w:p>
        </w:tc>
        <w:tc>
          <w:tcPr>
            <w:tcW w:w="819" w:type="pct"/>
            <w:shd w:val="clear" w:color="auto" w:fill="auto"/>
            <w:vAlign w:val="center"/>
          </w:tcPr>
          <w:p w14:paraId="3735FD60">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hAnsi="宋体" w:cs="宋体"/>
                <w:sz w:val="18"/>
                <w:szCs w:val="18"/>
                <w:highlight w:val="none"/>
                <w:vertAlign w:val="baseline"/>
                <w:lang w:val="en-US" w:eastAsia="zh-CN"/>
              </w:rPr>
              <w:t>公称直径/mm</w:t>
            </w:r>
          </w:p>
        </w:tc>
        <w:tc>
          <w:tcPr>
            <w:tcW w:w="1416" w:type="pct"/>
            <w:vAlign w:val="center"/>
          </w:tcPr>
          <w:p w14:paraId="108016E4">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合格级别/级，不大于</w:t>
            </w:r>
          </w:p>
        </w:tc>
        <w:tc>
          <w:tcPr>
            <w:tcW w:w="1480" w:type="pct"/>
            <w:vAlign w:val="center"/>
          </w:tcPr>
          <w:p w14:paraId="78C92EF2">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
            <w:r>
              <w:rPr>
                <w:rFonts w:hint="eastAsia" w:hAnsi="宋体" w:cs="宋体"/>
                <w:sz w:val="18"/>
                <w:szCs w:val="18"/>
                <w:highlight w:val="none"/>
                <w:vertAlign w:val="baseline"/>
                <w:lang w:val="en-US" w:eastAsia="zh-CN"/>
              </w:rPr>
              <w:t>评定</w:t>
            </w:r>
          </w:p>
        </w:tc>
      </w:tr>
      <w:tr w14:paraId="70C2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64EEF311">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热轧</w:t>
            </w:r>
          </w:p>
        </w:tc>
        <w:tc>
          <w:tcPr>
            <w:tcW w:w="819" w:type="pct"/>
            <w:shd w:val="clear" w:color="auto" w:fill="auto"/>
            <w:vAlign w:val="center"/>
          </w:tcPr>
          <w:p w14:paraId="225BCD08">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sz w:val="18"/>
                <w:szCs w:val="18"/>
                <w:highlight w:val="none"/>
                <w:vertAlign w:val="baseline"/>
                <w:lang w:val="en-US" w:eastAsia="zh-CN"/>
              </w:rPr>
              <w:t>—</w:t>
            </w:r>
          </w:p>
        </w:tc>
        <w:tc>
          <w:tcPr>
            <w:tcW w:w="1416" w:type="pct"/>
            <w:vMerge w:val="restart"/>
            <w:vAlign w:val="center"/>
          </w:tcPr>
          <w:p w14:paraId="0BDC894D">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不超过附录A中第7评级图</w:t>
            </w:r>
          </w:p>
        </w:tc>
        <w:tc>
          <w:tcPr>
            <w:tcW w:w="1480" w:type="pct"/>
            <w:vMerge w:val="restart"/>
            <w:vAlign w:val="center"/>
          </w:tcPr>
          <w:p w14:paraId="2BFC150C">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hAnsi="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GB/T 18254—2016附录A中</w:t>
            </w:r>
          </w:p>
          <w:p w14:paraId="0E00D8C9">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第7评级图</w:t>
            </w:r>
          </w:p>
        </w:tc>
      </w:tr>
      <w:tr w14:paraId="5678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60AD212E">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Change w:id="62" w:author="作者" w:date="2025-07-30T14:08:27Z">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pPr>
              </w:pPrChange>
            </w:pPr>
            <w:r>
              <w:rPr>
                <w:rFonts w:hint="eastAsia"/>
                <w:sz w:val="18"/>
                <w:szCs w:val="18"/>
                <w:highlight w:val="none"/>
                <w:vertAlign w:val="baseline"/>
                <w:lang w:val="en-US" w:eastAsia="zh-CN"/>
              </w:rPr>
              <w:t>软化退火</w:t>
            </w:r>
          </w:p>
        </w:tc>
        <w:tc>
          <w:tcPr>
            <w:tcW w:w="819" w:type="pct"/>
            <w:shd w:val="clear" w:color="auto" w:fill="auto"/>
            <w:vAlign w:val="center"/>
          </w:tcPr>
          <w:p w14:paraId="362F78F3">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sz w:val="18"/>
                <w:szCs w:val="18"/>
                <w:highlight w:val="none"/>
                <w:vertAlign w:val="baseline"/>
                <w:lang w:val="en-US" w:eastAsia="zh-CN"/>
              </w:rPr>
              <w:t>—</w:t>
            </w:r>
          </w:p>
        </w:tc>
        <w:tc>
          <w:tcPr>
            <w:tcW w:w="1416" w:type="pct"/>
            <w:vMerge w:val="continue"/>
            <w:vAlign w:val="center"/>
          </w:tcPr>
          <w:p w14:paraId="4D02963F">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
          </w:p>
        </w:tc>
        <w:tc>
          <w:tcPr>
            <w:tcW w:w="1480" w:type="pct"/>
            <w:vMerge w:val="continue"/>
            <w:vAlign w:val="center"/>
          </w:tcPr>
          <w:p w14:paraId="373DE5E4">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sz w:val="18"/>
                <w:szCs w:val="18"/>
                <w:highlight w:val="none"/>
                <w:vertAlign w:val="baseline"/>
                <w:lang w:val="en-US" w:eastAsia="zh-CN"/>
              </w:rPr>
            </w:pPr>
          </w:p>
        </w:tc>
      </w:tr>
      <w:tr w14:paraId="43F2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Merge w:val="restart"/>
            <w:vAlign w:val="center"/>
          </w:tcPr>
          <w:p w14:paraId="054BF7E0">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球化退火</w:t>
            </w:r>
          </w:p>
        </w:tc>
        <w:tc>
          <w:tcPr>
            <w:tcW w:w="819" w:type="pct"/>
            <w:shd w:val="clear" w:color="auto" w:fill="auto"/>
            <w:vAlign w:val="center"/>
          </w:tcPr>
          <w:p w14:paraId="2BC6DCAF">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ascii="宋体" w:hAnsi="Times New Roman" w:eastAsia="宋体" w:cs="Times New Roman"/>
                <w:sz w:val="18"/>
                <w:szCs w:val="18"/>
                <w:highlight w:val="none"/>
                <w:vertAlign w:val="baseline"/>
                <w:lang w:val="en-US" w:eastAsia="zh-CN" w:bidi="ar-SA"/>
              </w:rPr>
            </w:pPr>
            <w:r>
              <w:rPr>
                <w:rFonts w:hint="eastAsia"/>
                <w:sz w:val="18"/>
                <w:szCs w:val="18"/>
                <w:highlight w:val="none"/>
                <w:vertAlign w:val="baseline"/>
                <w:lang w:val="en-US" w:eastAsia="zh-CN"/>
              </w:rPr>
              <w:t>20</w:t>
            </w:r>
            <w:r>
              <w:rPr>
                <w:rFonts w:hint="eastAsia" w:ascii="宋体" w:hAnsi="宋体" w:eastAsia="宋体" w:cs="宋体"/>
                <w:sz w:val="18"/>
                <w:szCs w:val="18"/>
                <w:highlight w:val="none"/>
                <w:vertAlign w:val="baseline"/>
                <w:lang w:val="en-US" w:eastAsia="zh-CN"/>
              </w:rPr>
              <w:t>～</w:t>
            </w:r>
            <w:r>
              <w:rPr>
                <w:rFonts w:hint="eastAsia"/>
                <w:sz w:val="18"/>
                <w:szCs w:val="18"/>
                <w:highlight w:val="none"/>
                <w:vertAlign w:val="baseline"/>
                <w:lang w:val="en-US" w:eastAsia="zh-CN"/>
              </w:rPr>
              <w:t>60</w:t>
            </w:r>
          </w:p>
        </w:tc>
        <w:tc>
          <w:tcPr>
            <w:tcW w:w="1416" w:type="pct"/>
            <w:vAlign w:val="center"/>
          </w:tcPr>
          <w:p w14:paraId="42B00E77">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2.5</w:t>
            </w:r>
          </w:p>
        </w:tc>
        <w:tc>
          <w:tcPr>
            <w:tcW w:w="1480" w:type="pct"/>
            <w:vMerge w:val="continue"/>
            <w:vAlign w:val="center"/>
          </w:tcPr>
          <w:p w14:paraId="2C35748F">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sz w:val="18"/>
                <w:szCs w:val="18"/>
                <w:highlight w:val="none"/>
                <w:vertAlign w:val="baseline"/>
                <w:lang w:val="en-US" w:eastAsia="zh-CN"/>
              </w:rPr>
            </w:pPr>
          </w:p>
        </w:tc>
      </w:tr>
      <w:tr w14:paraId="3B0C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Merge w:val="continue"/>
            <w:vAlign w:val="center"/>
          </w:tcPr>
          <w:p w14:paraId="4FD533B0">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default"/>
                <w:sz w:val="18"/>
                <w:szCs w:val="18"/>
                <w:highlight w:val="none"/>
                <w:vertAlign w:val="baseline"/>
                <w:lang w:val="en-US" w:eastAsia="zh-CN"/>
              </w:rPr>
            </w:pPr>
          </w:p>
        </w:tc>
        <w:tc>
          <w:tcPr>
            <w:tcW w:w="819" w:type="pct"/>
            <w:shd w:val="clear" w:color="auto" w:fill="auto"/>
            <w:vAlign w:val="center"/>
          </w:tcPr>
          <w:p w14:paraId="2C811F79">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＞60～200</w:t>
            </w:r>
          </w:p>
        </w:tc>
        <w:tc>
          <w:tcPr>
            <w:tcW w:w="1416" w:type="pct"/>
            <w:vAlign w:val="center"/>
          </w:tcPr>
          <w:p w14:paraId="5CAF923C">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供需双方协议</w:t>
            </w:r>
          </w:p>
        </w:tc>
        <w:tc>
          <w:tcPr>
            <w:tcW w:w="1480" w:type="pct"/>
            <w:vAlign w:val="center"/>
          </w:tcPr>
          <w:p w14:paraId="0008E46B">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hAnsi="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GB/T 18254—2016附录A中</w:t>
            </w:r>
          </w:p>
          <w:p w14:paraId="2BADDDD7">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jc w:val="center"/>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第6评级图</w:t>
            </w:r>
          </w:p>
        </w:tc>
      </w:tr>
    </w:tbl>
    <w:p w14:paraId="381856F8">
      <w:pPr>
        <w:pStyle w:val="23"/>
        <w:spacing w:before="156" w:after="156"/>
        <w:ind w:firstLine="0" w:firstLineChars="0"/>
        <w:outlineLvl w:val="2"/>
        <w:rPr>
          <w:rFonts w:hint="eastAsia" w:ascii="宋体" w:hAnsi="宋体" w:eastAsia="宋体" w:cs="宋体"/>
          <w:highlight w:val="none"/>
          <w:lang w:val="en-US" w:eastAsia="zh-CN"/>
        </w:rPr>
      </w:pPr>
      <w:r>
        <w:rPr>
          <w:rFonts w:hint="eastAsia" w:ascii="黑体" w:hAnsi="黑体" w:eastAsia="黑体" w:cs="黑体"/>
          <w:highlight w:val="none"/>
          <w:lang w:val="en-US" w:eastAsia="zh-CN"/>
        </w:rPr>
        <w:t xml:space="preserve">6.7.2 </w:t>
      </w:r>
      <w:r>
        <w:rPr>
          <w:rFonts w:hint="eastAsia" w:hAnsi="宋体" w:cs="宋体"/>
          <w:highlight w:val="none"/>
          <w:lang w:val="en-US" w:eastAsia="zh-CN"/>
        </w:rPr>
        <w:t xml:space="preserve"> </w:t>
      </w:r>
      <w:r>
        <w:rPr>
          <w:rFonts w:hint="eastAsia" w:ascii="宋体" w:hAnsi="Times New Roman" w:eastAsia="宋体" w:cs="Times New Roman"/>
          <w:sz w:val="21"/>
          <w:szCs w:val="20"/>
          <w:lang w:val="en-US" w:eastAsia="zh-CN" w:bidi="ar-SA"/>
        </w:rPr>
        <w:t>圆钢的</w:t>
      </w:r>
      <w:r>
        <w:rPr>
          <w:rFonts w:hint="default" w:ascii="宋体" w:hAnsi="Times New Roman" w:eastAsia="宋体" w:cs="Times New Roman"/>
          <w:sz w:val="21"/>
          <w:szCs w:val="20"/>
          <w:lang w:val="en-US" w:eastAsia="zh-CN" w:bidi="ar-SA"/>
        </w:rPr>
        <w:t>碳化物带状合格级别应符合表</w:t>
      </w:r>
      <w:r>
        <w:rPr>
          <w:rFonts w:hint="eastAsia" w:ascii="宋体" w:hAnsi="Times New Roman" w:eastAsia="宋体" w:cs="Times New Roman"/>
          <w:sz w:val="21"/>
          <w:szCs w:val="20"/>
          <w:lang w:val="en-US" w:eastAsia="zh-CN" w:bidi="ar-SA"/>
        </w:rPr>
        <w:t>8</w:t>
      </w:r>
      <w:r>
        <w:rPr>
          <w:rFonts w:hint="default" w:ascii="宋体" w:hAnsi="Times New Roman" w:eastAsia="宋体" w:cs="Times New Roman"/>
          <w:sz w:val="21"/>
          <w:szCs w:val="20"/>
          <w:lang w:val="en-US" w:eastAsia="zh-CN" w:bidi="ar-SA"/>
        </w:rPr>
        <w:t>的规定。</w:t>
      </w:r>
    </w:p>
    <w:p w14:paraId="0D4E4BAF">
      <w:pPr>
        <w:pStyle w:val="78"/>
        <w:spacing w:before="156" w:after="156"/>
        <w:ind w:left="0"/>
        <w:rPr>
          <w:rFonts w:hint="default" w:ascii="Times New Roman" w:hAnsi="Times New Roman" w:cs="Times New Roman"/>
          <w:highlight w:val="none"/>
          <w:lang w:val="en-US" w:eastAsia="zh-CN"/>
        </w:rPr>
      </w:pPr>
      <w:r>
        <w:rPr>
          <w:rFonts w:hint="eastAsia" w:ascii="Times New Roman" w:cs="Times New Roman"/>
          <w:highlight w:val="none"/>
          <w:lang w:val="en-US" w:eastAsia="zh-CN"/>
        </w:rPr>
        <w:t>碳化物带状</w:t>
      </w:r>
      <w:r>
        <w:rPr>
          <w:rFonts w:hint="default" w:ascii="Times New Roman" w:hAnsi="Times New Roman" w:cs="Times New Roman"/>
          <w:highlight w:val="none"/>
          <w:lang w:val="en-US" w:eastAsia="zh-CN"/>
        </w:rPr>
        <w:t>合格级别</w:t>
      </w:r>
    </w:p>
    <w:tbl>
      <w:tblPr>
        <w:tblStyle w:val="32"/>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537"/>
        <w:gridCol w:w="2657"/>
        <w:gridCol w:w="2777"/>
      </w:tblGrid>
      <w:tr w14:paraId="0F77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pct"/>
            <w:vAlign w:val="center"/>
          </w:tcPr>
          <w:p w14:paraId="7572EC6D">
            <w:pPr>
              <w:pStyle w:val="23"/>
              <w:keepNext w:val="0"/>
              <w:keepLines w:val="0"/>
              <w:widowControl/>
              <w:numPr>
                <w:ilvl w:val="0"/>
                <w:numId w:val="0"/>
              </w:numPr>
              <w:suppressLineNumbers w:val="0"/>
              <w:spacing w:before="0" w:beforeAutospacing="0" w:after="0" w:afterAutospacing="0"/>
              <w:ind w:left="0" w:right="0" w:right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交货状态</w:t>
            </w:r>
          </w:p>
        </w:tc>
        <w:tc>
          <w:tcPr>
            <w:tcW w:w="819" w:type="pct"/>
            <w:shd w:val="clear" w:color="auto" w:fill="auto"/>
            <w:vAlign w:val="center"/>
          </w:tcPr>
          <w:p w14:paraId="4DDA6261">
            <w:pPr>
              <w:pStyle w:val="23"/>
              <w:keepNext w:val="0"/>
              <w:keepLines w:val="0"/>
              <w:widowControl/>
              <w:numPr>
                <w:ilvl w:val="0"/>
                <w:numId w:val="0"/>
              </w:numPr>
              <w:suppressLineNumbers w:val="0"/>
              <w:spacing w:before="0" w:beforeAutospacing="0" w:after="0" w:afterAutospacing="0"/>
              <w:ind w:left="0" w:right="0" w:rightChars="0"/>
              <w:jc w:val="center"/>
              <w:rPr>
                <w:rFonts w:hint="eastAsia" w:ascii="宋体" w:hAnsi="Times New Roman" w:eastAsia="宋体" w:cs="Times New Roman"/>
                <w:sz w:val="18"/>
                <w:szCs w:val="18"/>
                <w:highlight w:val="none"/>
                <w:vertAlign w:val="baseline"/>
                <w:lang w:val="en-US" w:eastAsia="zh-CN" w:bidi="ar-SA"/>
              </w:rPr>
            </w:pPr>
            <w:r>
              <w:rPr>
                <w:rFonts w:hint="eastAsia" w:hAnsi="宋体" w:cs="宋体"/>
                <w:sz w:val="18"/>
                <w:szCs w:val="18"/>
                <w:highlight w:val="none"/>
                <w:vertAlign w:val="baseline"/>
                <w:lang w:val="en-US" w:eastAsia="zh-CN"/>
              </w:rPr>
              <w:t>公称直径/mm</w:t>
            </w:r>
          </w:p>
        </w:tc>
        <w:tc>
          <w:tcPr>
            <w:tcW w:w="1416" w:type="pct"/>
            <w:vAlign w:val="center"/>
          </w:tcPr>
          <w:p w14:paraId="0DEFE540">
            <w:pPr>
              <w:pStyle w:val="23"/>
              <w:keepNext w:val="0"/>
              <w:keepLines w:val="0"/>
              <w:widowControl/>
              <w:numPr>
                <w:ilvl w:val="0"/>
                <w:numId w:val="0"/>
              </w:numPr>
              <w:suppressLineNumbers w:val="0"/>
              <w:spacing w:before="0" w:beforeAutospacing="0" w:after="0" w:afterAutospacing="0"/>
              <w:ind w:left="0" w:right="0" w:right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合格级别/级，不大于</w:t>
            </w:r>
          </w:p>
        </w:tc>
        <w:tc>
          <w:tcPr>
            <w:tcW w:w="1479" w:type="pct"/>
            <w:vAlign w:val="center"/>
          </w:tcPr>
          <w:p w14:paraId="4B0C0115">
            <w:pPr>
              <w:pStyle w:val="23"/>
              <w:keepNext w:val="0"/>
              <w:keepLines w:val="0"/>
              <w:widowControl/>
              <w:numPr>
                <w:ilvl w:val="0"/>
                <w:numId w:val="0"/>
              </w:numPr>
              <w:suppressLineNumbers w:val="0"/>
              <w:spacing w:before="0" w:beforeAutospacing="0" w:after="0" w:afterAutospacing="0"/>
              <w:ind w:left="0" w:right="0" w:rightChars="0"/>
              <w:jc w:val="center"/>
              <w:rPr>
                <w:rFonts w:hint="default"/>
                <w:sz w:val="18"/>
                <w:szCs w:val="18"/>
                <w:highlight w:val="none"/>
                <w:vertAlign w:val="baseline"/>
                <w:lang w:val="en-US" w:eastAsia="zh-CN"/>
              </w:rPr>
            </w:pPr>
            <w:r>
              <w:rPr>
                <w:rFonts w:hint="eastAsia" w:hAnsi="宋体" w:cs="宋体"/>
                <w:sz w:val="18"/>
                <w:szCs w:val="18"/>
                <w:highlight w:val="none"/>
                <w:vertAlign w:val="baseline"/>
                <w:lang w:val="en-US" w:eastAsia="zh-CN"/>
              </w:rPr>
              <w:t>评定</w:t>
            </w:r>
          </w:p>
        </w:tc>
      </w:tr>
      <w:tr w14:paraId="5E0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pct"/>
            <w:vMerge w:val="restart"/>
            <w:vAlign w:val="center"/>
          </w:tcPr>
          <w:p w14:paraId="71943817">
            <w:pPr>
              <w:pStyle w:val="23"/>
              <w:keepNext w:val="0"/>
              <w:keepLines w:val="0"/>
              <w:widowControl/>
              <w:numPr>
                <w:ilvl w:val="0"/>
                <w:numId w:val="0"/>
              </w:numPr>
              <w:suppressLineNumbers w:val="0"/>
              <w:spacing w:before="0" w:beforeAutospacing="0" w:after="0" w:afterAutospacing="0"/>
              <w:ind w:left="0" w:right="0" w:rightChars="0"/>
              <w:jc w:val="center"/>
              <w:rPr>
                <w:rFonts w:hint="eastAsia"/>
                <w:sz w:val="18"/>
                <w:szCs w:val="18"/>
                <w:highlight w:val="none"/>
                <w:vertAlign w:val="baseline"/>
                <w:lang w:val="en-US" w:eastAsia="zh-CN"/>
              </w:rPr>
            </w:pPr>
            <w:r>
              <w:rPr>
                <w:rFonts w:hint="eastAsia"/>
                <w:sz w:val="18"/>
                <w:szCs w:val="18"/>
                <w:highlight w:val="none"/>
                <w:vertAlign w:val="baseline"/>
                <w:lang w:val="en-US" w:eastAsia="zh-CN"/>
              </w:rPr>
              <w:t>热轧、热轧软化退火</w:t>
            </w:r>
          </w:p>
          <w:p w14:paraId="1612DF51">
            <w:pPr>
              <w:pStyle w:val="23"/>
              <w:keepNext w:val="0"/>
              <w:keepLines w:val="0"/>
              <w:widowControl/>
              <w:numPr>
                <w:ilvl w:val="0"/>
                <w:numId w:val="0"/>
              </w:numPr>
              <w:suppressLineNumbers w:val="0"/>
              <w:spacing w:before="0" w:beforeAutospacing="0" w:after="0" w:afterAutospacing="0"/>
              <w:ind w:left="0" w:right="0" w:right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或热轧球化退火</w:t>
            </w:r>
          </w:p>
        </w:tc>
        <w:tc>
          <w:tcPr>
            <w:tcW w:w="819" w:type="pct"/>
            <w:shd w:val="clear" w:color="auto" w:fill="auto"/>
            <w:vAlign w:val="center"/>
          </w:tcPr>
          <w:p w14:paraId="2CB6D858">
            <w:pPr>
              <w:pStyle w:val="23"/>
              <w:keepNext w:val="0"/>
              <w:keepLines w:val="0"/>
              <w:widowControl/>
              <w:numPr>
                <w:ilvl w:val="0"/>
                <w:numId w:val="0"/>
              </w:numPr>
              <w:suppressLineNumbers w:val="0"/>
              <w:spacing w:before="0" w:beforeAutospacing="0" w:after="0" w:afterAutospacing="0"/>
              <w:ind w:left="0" w:right="0" w:rightChars="0"/>
              <w:jc w:val="center"/>
              <w:rPr>
                <w:rFonts w:hint="eastAsia" w:ascii="宋体" w:hAnsi="Times New Roman" w:eastAsia="宋体" w:cs="Times New Roman"/>
                <w:sz w:val="18"/>
                <w:szCs w:val="18"/>
                <w:highlight w:val="none"/>
                <w:vertAlign w:val="baseline"/>
                <w:lang w:val="en-US" w:eastAsia="zh-CN" w:bidi="ar-SA"/>
              </w:rPr>
            </w:pPr>
            <w:r>
              <w:rPr>
                <w:rFonts w:hint="eastAsia"/>
                <w:sz w:val="18"/>
                <w:szCs w:val="18"/>
                <w:highlight w:val="none"/>
                <w:vertAlign w:val="baseline"/>
                <w:lang w:val="en-US" w:eastAsia="zh-CN"/>
              </w:rPr>
              <w:t>20</w:t>
            </w:r>
            <w:r>
              <w:rPr>
                <w:rFonts w:hint="eastAsia" w:ascii="宋体" w:hAnsi="宋体" w:eastAsia="宋体" w:cs="宋体"/>
                <w:sz w:val="18"/>
                <w:szCs w:val="18"/>
                <w:highlight w:val="none"/>
                <w:vertAlign w:val="baseline"/>
                <w:lang w:val="en-US" w:eastAsia="zh-CN"/>
              </w:rPr>
              <w:t>～</w:t>
            </w:r>
            <w:r>
              <w:rPr>
                <w:rFonts w:hint="eastAsia"/>
                <w:sz w:val="18"/>
                <w:szCs w:val="18"/>
                <w:highlight w:val="none"/>
                <w:vertAlign w:val="baseline"/>
                <w:lang w:val="en-US" w:eastAsia="zh-CN"/>
              </w:rPr>
              <w:t>30</w:t>
            </w:r>
          </w:p>
        </w:tc>
        <w:tc>
          <w:tcPr>
            <w:tcW w:w="1416" w:type="pct"/>
            <w:vAlign w:val="center"/>
          </w:tcPr>
          <w:p w14:paraId="73B6F4D3">
            <w:pPr>
              <w:pStyle w:val="23"/>
              <w:keepNext w:val="0"/>
              <w:keepLines w:val="0"/>
              <w:widowControl/>
              <w:numPr>
                <w:ilvl w:val="0"/>
                <w:numId w:val="0"/>
              </w:numPr>
              <w:suppressLineNumbers w:val="0"/>
              <w:spacing w:before="0" w:beforeAutospacing="0" w:after="0" w:afterAutospacing="0"/>
              <w:ind w:left="0" w:right="0" w:right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2.0</w:t>
            </w:r>
          </w:p>
        </w:tc>
        <w:tc>
          <w:tcPr>
            <w:tcW w:w="1479" w:type="pct"/>
            <w:vMerge w:val="restart"/>
            <w:vAlign w:val="center"/>
          </w:tcPr>
          <w:p w14:paraId="60A31621">
            <w:pPr>
              <w:pStyle w:val="23"/>
              <w:keepNext w:val="0"/>
              <w:keepLines w:val="0"/>
              <w:widowControl/>
              <w:numPr>
                <w:ilvl w:val="0"/>
                <w:numId w:val="0"/>
              </w:numPr>
              <w:suppressLineNumbers w:val="0"/>
              <w:spacing w:before="0" w:beforeAutospacing="0" w:after="0" w:afterAutospacing="0"/>
              <w:ind w:left="0" w:right="0" w:rightChars="0"/>
              <w:jc w:val="center"/>
              <w:rPr>
                <w:rFonts w:hint="eastAsia" w:hAnsi="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GB/T 18254—2016附录A中</w:t>
            </w:r>
          </w:p>
          <w:p w14:paraId="2B52C75F">
            <w:pPr>
              <w:pStyle w:val="23"/>
              <w:keepNext w:val="0"/>
              <w:keepLines w:val="0"/>
              <w:widowControl/>
              <w:numPr>
                <w:ilvl w:val="0"/>
                <w:numId w:val="0"/>
              </w:numPr>
              <w:suppressLineNumbers w:val="0"/>
              <w:spacing w:before="0" w:beforeAutospacing="0" w:after="0" w:afterAutospacing="0"/>
              <w:ind w:left="0" w:right="0" w:right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第8评级图</w:t>
            </w:r>
          </w:p>
        </w:tc>
      </w:tr>
      <w:tr w14:paraId="0964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pct"/>
            <w:vMerge w:val="continue"/>
            <w:vAlign w:val="center"/>
          </w:tcPr>
          <w:p w14:paraId="5AA3FCE6">
            <w:pPr>
              <w:pStyle w:val="23"/>
              <w:keepNext w:val="0"/>
              <w:keepLines w:val="0"/>
              <w:widowControl/>
              <w:numPr>
                <w:ilvl w:val="0"/>
                <w:numId w:val="0"/>
              </w:numPr>
              <w:suppressLineNumbers w:val="0"/>
              <w:spacing w:before="0" w:beforeAutospacing="0" w:after="0" w:afterAutospacing="0"/>
              <w:ind w:left="420" w:leftChars="200" w:right="0" w:rightChars="0"/>
              <w:jc w:val="center"/>
              <w:rPr>
                <w:rFonts w:hint="default"/>
                <w:sz w:val="18"/>
                <w:szCs w:val="18"/>
                <w:highlight w:val="none"/>
                <w:vertAlign w:val="baseline"/>
                <w:lang w:val="en-US" w:eastAsia="zh-CN"/>
              </w:rPr>
            </w:pPr>
          </w:p>
        </w:tc>
        <w:tc>
          <w:tcPr>
            <w:tcW w:w="819" w:type="pct"/>
            <w:shd w:val="clear" w:color="auto" w:fill="auto"/>
            <w:vAlign w:val="center"/>
          </w:tcPr>
          <w:p w14:paraId="4B3AF589">
            <w:pPr>
              <w:pStyle w:val="23"/>
              <w:keepNext w:val="0"/>
              <w:keepLines w:val="0"/>
              <w:widowControl/>
              <w:numPr>
                <w:ilvl w:val="0"/>
                <w:numId w:val="0"/>
              </w:numPr>
              <w:suppressLineNumbers w:val="0"/>
              <w:spacing w:before="0" w:beforeAutospacing="0" w:after="0" w:afterAutospacing="0"/>
              <w:ind w:left="0" w:right="0" w:rightChars="0"/>
              <w:jc w:val="center"/>
              <w:rPr>
                <w:rFonts w:hint="eastAsia" w:ascii="宋体" w:hAnsi="Times New Roman" w:eastAsia="宋体" w:cs="Times New Roman"/>
                <w:sz w:val="18"/>
                <w:szCs w:val="18"/>
                <w:highlight w:val="none"/>
                <w:vertAlign w:val="baseline"/>
                <w:lang w:val="en-US" w:eastAsia="zh-CN" w:bidi="ar-SA"/>
              </w:rPr>
            </w:pPr>
            <w:r>
              <w:rPr>
                <w:rFonts w:hint="eastAsia"/>
                <w:sz w:val="18"/>
                <w:szCs w:val="18"/>
                <w:highlight w:val="none"/>
                <w:vertAlign w:val="baseline"/>
                <w:lang w:val="en-US" w:eastAsia="zh-CN"/>
              </w:rPr>
              <w:t>＞30</w:t>
            </w:r>
            <w:r>
              <w:rPr>
                <w:rFonts w:hint="eastAsia" w:ascii="宋体" w:hAnsi="宋体" w:eastAsia="宋体" w:cs="宋体"/>
                <w:sz w:val="18"/>
                <w:szCs w:val="18"/>
                <w:highlight w:val="none"/>
                <w:vertAlign w:val="baseline"/>
                <w:lang w:val="en-US" w:eastAsia="zh-CN"/>
              </w:rPr>
              <w:t>～</w:t>
            </w:r>
            <w:r>
              <w:rPr>
                <w:rFonts w:hint="eastAsia"/>
                <w:sz w:val="18"/>
                <w:szCs w:val="18"/>
                <w:highlight w:val="none"/>
                <w:vertAlign w:val="baseline"/>
                <w:lang w:val="en-US" w:eastAsia="zh-CN"/>
              </w:rPr>
              <w:t>60</w:t>
            </w:r>
          </w:p>
        </w:tc>
        <w:tc>
          <w:tcPr>
            <w:tcW w:w="1416" w:type="pct"/>
            <w:vAlign w:val="center"/>
          </w:tcPr>
          <w:p w14:paraId="3D901EC8">
            <w:pPr>
              <w:pStyle w:val="23"/>
              <w:keepNext w:val="0"/>
              <w:keepLines w:val="0"/>
              <w:widowControl/>
              <w:numPr>
                <w:ilvl w:val="0"/>
                <w:numId w:val="0"/>
              </w:numPr>
              <w:suppressLineNumbers w:val="0"/>
              <w:spacing w:before="0" w:beforeAutospacing="0" w:after="0" w:afterAutospacing="0"/>
              <w:ind w:left="0" w:right="0" w:right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2.5</w:t>
            </w:r>
          </w:p>
        </w:tc>
        <w:tc>
          <w:tcPr>
            <w:tcW w:w="1479" w:type="pct"/>
            <w:vMerge w:val="continue"/>
            <w:vAlign w:val="center"/>
          </w:tcPr>
          <w:p w14:paraId="6BE76553">
            <w:pPr>
              <w:pStyle w:val="23"/>
              <w:keepNext w:val="0"/>
              <w:keepLines w:val="0"/>
              <w:widowControl/>
              <w:numPr>
                <w:ilvl w:val="0"/>
                <w:numId w:val="0"/>
              </w:numPr>
              <w:suppressLineNumbers w:val="0"/>
              <w:spacing w:before="0" w:beforeAutospacing="0" w:after="0" w:afterAutospacing="0"/>
              <w:ind w:left="420" w:leftChars="200" w:right="0" w:rightChars="0"/>
              <w:jc w:val="center"/>
              <w:rPr>
                <w:rFonts w:hint="eastAsia"/>
                <w:sz w:val="18"/>
                <w:szCs w:val="18"/>
                <w:highlight w:val="none"/>
                <w:vertAlign w:val="baseline"/>
                <w:lang w:val="en-US" w:eastAsia="zh-CN"/>
              </w:rPr>
            </w:pPr>
          </w:p>
        </w:tc>
      </w:tr>
      <w:tr w14:paraId="5754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pct"/>
            <w:vMerge w:val="continue"/>
            <w:vAlign w:val="center"/>
          </w:tcPr>
          <w:p w14:paraId="1498DEFA">
            <w:pPr>
              <w:pStyle w:val="23"/>
              <w:keepNext w:val="0"/>
              <w:keepLines w:val="0"/>
              <w:widowControl/>
              <w:numPr>
                <w:ilvl w:val="0"/>
                <w:numId w:val="0"/>
              </w:numPr>
              <w:suppressLineNumbers w:val="0"/>
              <w:spacing w:before="0" w:beforeAutospacing="0" w:after="0" w:afterAutospacing="0"/>
              <w:ind w:left="420" w:leftChars="200" w:right="0" w:rightChars="0"/>
              <w:jc w:val="center"/>
              <w:rPr>
                <w:rFonts w:hint="default"/>
                <w:sz w:val="18"/>
                <w:szCs w:val="18"/>
                <w:highlight w:val="none"/>
                <w:vertAlign w:val="baseline"/>
                <w:lang w:val="en-US" w:eastAsia="zh-CN"/>
              </w:rPr>
            </w:pPr>
          </w:p>
        </w:tc>
        <w:tc>
          <w:tcPr>
            <w:tcW w:w="819" w:type="pct"/>
            <w:shd w:val="clear" w:color="auto" w:fill="auto"/>
            <w:vAlign w:val="center"/>
          </w:tcPr>
          <w:p w14:paraId="500AADA1">
            <w:pPr>
              <w:pStyle w:val="23"/>
              <w:keepNext w:val="0"/>
              <w:keepLines w:val="0"/>
              <w:widowControl/>
              <w:numPr>
                <w:ilvl w:val="0"/>
                <w:numId w:val="0"/>
              </w:numPr>
              <w:suppressLineNumbers w:val="0"/>
              <w:spacing w:before="0" w:beforeAutospacing="0" w:after="0" w:afterAutospacing="0"/>
              <w:ind w:left="0" w:right="0" w:rightChars="0"/>
              <w:jc w:val="center"/>
              <w:rPr>
                <w:rFonts w:hint="eastAsia" w:ascii="宋体" w:hAnsi="Times New Roman" w:eastAsia="宋体" w:cs="Times New Roman"/>
                <w:sz w:val="18"/>
                <w:szCs w:val="18"/>
                <w:highlight w:val="none"/>
                <w:vertAlign w:val="baseline"/>
                <w:lang w:val="en-US" w:eastAsia="zh-CN" w:bidi="ar-SA"/>
              </w:rPr>
            </w:pPr>
            <w:r>
              <w:rPr>
                <w:rFonts w:hint="eastAsia"/>
                <w:sz w:val="18"/>
                <w:szCs w:val="18"/>
                <w:highlight w:val="none"/>
                <w:vertAlign w:val="baseline"/>
                <w:lang w:val="en-US" w:eastAsia="zh-CN"/>
              </w:rPr>
              <w:t>＞60</w:t>
            </w:r>
            <w:r>
              <w:rPr>
                <w:rFonts w:hint="eastAsia" w:ascii="宋体" w:hAnsi="宋体" w:eastAsia="宋体" w:cs="宋体"/>
                <w:sz w:val="18"/>
                <w:szCs w:val="18"/>
                <w:highlight w:val="none"/>
                <w:vertAlign w:val="baseline"/>
                <w:lang w:val="en-US" w:eastAsia="zh-CN"/>
              </w:rPr>
              <w:t>～</w:t>
            </w:r>
            <w:r>
              <w:rPr>
                <w:rFonts w:hint="eastAsia"/>
                <w:sz w:val="18"/>
                <w:szCs w:val="18"/>
                <w:highlight w:val="none"/>
                <w:vertAlign w:val="baseline"/>
                <w:lang w:val="en-US" w:eastAsia="zh-CN"/>
              </w:rPr>
              <w:t>150</w:t>
            </w:r>
            <w:bookmarkStart w:id="18" w:name="_GoBack"/>
            <w:bookmarkEnd w:id="18"/>
          </w:p>
        </w:tc>
        <w:tc>
          <w:tcPr>
            <w:tcW w:w="1416" w:type="pct"/>
            <w:vAlign w:val="center"/>
          </w:tcPr>
          <w:p w14:paraId="320A06AA">
            <w:pPr>
              <w:pStyle w:val="23"/>
              <w:keepNext w:val="0"/>
              <w:keepLines w:val="0"/>
              <w:widowControl/>
              <w:numPr>
                <w:ilvl w:val="0"/>
                <w:numId w:val="0"/>
              </w:numPr>
              <w:suppressLineNumbers w:val="0"/>
              <w:spacing w:before="0" w:beforeAutospacing="0" w:after="0" w:afterAutospacing="0"/>
              <w:ind w:left="0" w:right="0" w:right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3.0</w:t>
            </w:r>
          </w:p>
        </w:tc>
        <w:tc>
          <w:tcPr>
            <w:tcW w:w="1479" w:type="pct"/>
            <w:vMerge w:val="continue"/>
            <w:vAlign w:val="center"/>
          </w:tcPr>
          <w:p w14:paraId="6E25D434">
            <w:pPr>
              <w:pStyle w:val="23"/>
              <w:keepNext w:val="0"/>
              <w:keepLines w:val="0"/>
              <w:widowControl/>
              <w:numPr>
                <w:ilvl w:val="0"/>
                <w:numId w:val="0"/>
              </w:numPr>
              <w:suppressLineNumbers w:val="0"/>
              <w:spacing w:before="0" w:beforeAutospacing="0" w:after="0" w:afterAutospacing="0"/>
              <w:ind w:left="420" w:leftChars="200" w:right="0" w:rightChars="0"/>
              <w:jc w:val="center"/>
              <w:rPr>
                <w:rFonts w:hint="eastAsia"/>
                <w:sz w:val="18"/>
                <w:szCs w:val="18"/>
                <w:highlight w:val="none"/>
                <w:vertAlign w:val="baseline"/>
                <w:lang w:val="en-US" w:eastAsia="zh-CN"/>
              </w:rPr>
            </w:pPr>
          </w:p>
        </w:tc>
      </w:tr>
      <w:tr w14:paraId="3D2D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5FAB6B7B">
            <w:pPr>
              <w:pStyle w:val="23"/>
              <w:keepNext w:val="0"/>
              <w:keepLines w:val="0"/>
              <w:widowControl/>
              <w:numPr>
                <w:ilvl w:val="0"/>
                <w:numId w:val="0"/>
              </w:numPr>
              <w:suppressLineNumbers w:val="0"/>
              <w:spacing w:before="0" w:beforeAutospacing="0" w:after="0" w:afterAutospacing="0"/>
              <w:ind w:left="420" w:leftChars="200" w:right="0" w:rightChars="0"/>
              <w:jc w:val="both"/>
              <w:rPr>
                <w:rFonts w:hint="eastAsia" w:ascii="黑体" w:hAnsi="黑体" w:eastAsia="黑体" w:cs="黑体"/>
                <w:sz w:val="18"/>
                <w:szCs w:val="18"/>
                <w:highlight w:val="none"/>
                <w:vertAlign w:val="baseline"/>
                <w:lang w:val="en-US" w:eastAsia="zh-CN"/>
              </w:rPr>
            </w:pPr>
            <w:r>
              <w:rPr>
                <w:rFonts w:hint="eastAsia" w:ascii="黑体" w:hAnsi="黑体" w:eastAsia="黑体" w:cs="黑体"/>
                <w:sz w:val="18"/>
                <w:szCs w:val="18"/>
                <w:highlight w:val="none"/>
                <w:vertAlign w:val="baseline"/>
                <w:lang w:val="en-US" w:eastAsia="zh-CN"/>
              </w:rPr>
              <w:t>注：</w:t>
            </w:r>
            <w:r>
              <w:rPr>
                <w:rFonts w:hint="eastAsia"/>
                <w:sz w:val="18"/>
                <w:szCs w:val="18"/>
                <w:highlight w:val="none"/>
                <w:vertAlign w:val="baseline"/>
                <w:lang w:val="en-US" w:eastAsia="zh-CN"/>
              </w:rPr>
              <w:t>公称直径＞150</w:t>
            </w:r>
            <w:r>
              <w:rPr>
                <w:rFonts w:hint="eastAsia" w:ascii="宋体" w:hAnsi="宋体" w:eastAsia="宋体" w:cs="宋体"/>
                <w:sz w:val="18"/>
                <w:szCs w:val="18"/>
                <w:highlight w:val="none"/>
                <w:vertAlign w:val="baseline"/>
                <w:lang w:val="en-US" w:eastAsia="zh-CN"/>
              </w:rPr>
              <w:t>～</w:t>
            </w:r>
            <w:r>
              <w:rPr>
                <w:rFonts w:hint="eastAsia" w:hAnsi="宋体" w:cs="宋体"/>
                <w:sz w:val="18"/>
                <w:szCs w:val="18"/>
                <w:highlight w:val="none"/>
                <w:vertAlign w:val="baseline"/>
                <w:lang w:val="en-US" w:eastAsia="zh-CN"/>
              </w:rPr>
              <w:t>200 mm的圆钢，由供需双方协议。</w:t>
            </w:r>
          </w:p>
        </w:tc>
      </w:tr>
    </w:tbl>
    <w:p w14:paraId="66632456">
      <w:pPr>
        <w:pStyle w:val="23"/>
        <w:spacing w:before="156" w:after="156"/>
        <w:ind w:firstLine="0" w:firstLineChars="0"/>
        <w:outlineLvl w:val="2"/>
        <w:rPr>
          <w:rFonts w:hint="eastAsia" w:ascii="宋体" w:hAnsi="Times New Roman" w:eastAsia="宋体" w:cs="Times New Roman"/>
          <w:sz w:val="21"/>
          <w:highlight w:val="none"/>
          <w:lang w:val="en-US" w:eastAsia="zh-CN" w:bidi="ar-SA"/>
        </w:rPr>
      </w:pPr>
      <w:r>
        <w:rPr>
          <w:rFonts w:hint="eastAsia" w:ascii="黑体" w:hAnsi="黑体" w:eastAsia="黑体" w:cs="黑体"/>
          <w:sz w:val="21"/>
          <w:highlight w:val="none"/>
          <w:lang w:val="en-US" w:eastAsia="zh-CN" w:bidi="ar-SA"/>
        </w:rPr>
        <w:t>6.7.3</w:t>
      </w:r>
      <w:r>
        <w:rPr>
          <w:rFonts w:hint="eastAsia" w:ascii="宋体" w:hAnsi="Times New Roman" w:eastAsia="宋体" w:cs="Times New Roman"/>
          <w:sz w:val="21"/>
          <w:highlight w:val="none"/>
          <w:lang w:val="en-US" w:eastAsia="zh-CN" w:bidi="ar-SA"/>
        </w:rPr>
        <w:t xml:space="preserve">  圆钢的碳化物液析应不超过GB/T 18254</w:t>
      </w:r>
      <w:r>
        <w:rPr>
          <w:rFonts w:hint="eastAsia" w:hAnsi="宋体" w:cs="宋体"/>
          <w:sz w:val="18"/>
          <w:szCs w:val="18"/>
          <w:highlight w:val="none"/>
          <w:vertAlign w:val="baseline"/>
          <w:lang w:val="en-US" w:eastAsia="zh-CN"/>
        </w:rPr>
        <w:t>—</w:t>
      </w:r>
      <w:r>
        <w:rPr>
          <w:rFonts w:hint="eastAsia" w:ascii="宋体" w:hAnsi="Times New Roman" w:eastAsia="宋体" w:cs="Times New Roman"/>
          <w:sz w:val="21"/>
          <w:highlight w:val="none"/>
          <w:lang w:val="en-US" w:eastAsia="zh-CN" w:bidi="ar-SA"/>
        </w:rPr>
        <w:t>2016附录A中</w:t>
      </w:r>
      <w:r>
        <w:rPr>
          <w:rFonts w:hint="eastAsia" w:cs="Times New Roman"/>
          <w:sz w:val="21"/>
          <w:highlight w:val="none"/>
          <w:lang w:val="en-US" w:eastAsia="zh-CN" w:bidi="ar-SA"/>
        </w:rPr>
        <w:t>第9评级图的</w:t>
      </w:r>
      <w:r>
        <w:rPr>
          <w:rFonts w:hint="eastAsia" w:ascii="宋体" w:hAnsi="Times New Roman" w:eastAsia="宋体" w:cs="Times New Roman"/>
          <w:sz w:val="21"/>
          <w:highlight w:val="none"/>
          <w:lang w:val="en-US" w:eastAsia="zh-CN" w:bidi="ar-SA"/>
        </w:rPr>
        <w:t>1.0级。</w:t>
      </w:r>
    </w:p>
    <w:p w14:paraId="6914E97D">
      <w:pPr>
        <w:pStyle w:val="161"/>
        <w:numPr>
          <w:ilvl w:val="2"/>
          <w:numId w:val="5"/>
        </w:numPr>
        <w:spacing w:before="156" w:after="156"/>
        <w:rPr>
          <w:rFonts w:hint="default" w:hAnsi="Times New Roman" w:cs="Times New Roman"/>
          <w:lang w:val="en-US" w:eastAsia="zh-CN"/>
        </w:rPr>
      </w:pPr>
      <w:r>
        <w:rPr>
          <w:rFonts w:hint="default" w:hAnsi="Times New Roman" w:cs="Times New Roman"/>
          <w:lang w:val="en-US" w:eastAsia="zh-CN"/>
        </w:rPr>
        <w:t>显微</w:t>
      </w:r>
      <w:r>
        <w:rPr>
          <w:rFonts w:hint="eastAsia" w:hAnsi="Times New Roman" w:cs="Times New Roman"/>
          <w:lang w:val="en-US" w:eastAsia="zh-CN"/>
        </w:rPr>
        <w:t>孔隙</w:t>
      </w:r>
    </w:p>
    <w:p w14:paraId="6BBB2F7A">
      <w:pPr>
        <w:pStyle w:val="161"/>
        <w:numPr>
          <w:ilvl w:val="0"/>
          <w:numId w:val="0"/>
        </w:numPr>
        <w:spacing w:before="156" w:after="156"/>
        <w:ind w:leftChars="0" w:firstLine="420" w:firstLineChars="200"/>
        <w:rPr>
          <w:rFonts w:hint="default" w:hAnsi="Times New Roman" w:cs="Times New Roman"/>
          <w:lang w:val="en-US" w:eastAsia="zh-CN"/>
        </w:rPr>
      </w:pPr>
      <w:r>
        <w:rPr>
          <w:rFonts w:hint="eastAsia" w:ascii="宋体" w:hAnsi="宋体" w:eastAsia="宋体" w:cs="宋体"/>
          <w:highlight w:val="none"/>
          <w:lang w:val="en-US" w:eastAsia="zh-CN"/>
        </w:rPr>
        <w:t>公称直径不大于60</w:t>
      </w:r>
      <w:r>
        <w:rPr>
          <w:rFonts w:hint="eastAsia" w:ascii="宋体" w:hAnsi="宋体" w:cs="宋体"/>
          <w:highlight w:val="none"/>
          <w:lang w:val="en-US" w:eastAsia="zh-CN"/>
        </w:rPr>
        <w:t xml:space="preserve"> </w:t>
      </w:r>
      <w:r>
        <w:rPr>
          <w:rFonts w:hint="eastAsia" w:ascii="宋体" w:hAnsi="宋体" w:eastAsia="宋体" w:cs="宋体"/>
          <w:highlight w:val="none"/>
          <w:lang w:val="en-US" w:eastAsia="zh-CN"/>
        </w:rPr>
        <w:t>mm的圆钢不应有显微孔隙。公称直径大于60</w:t>
      </w:r>
      <w:r>
        <w:rPr>
          <w:rFonts w:hint="eastAsia" w:ascii="宋体" w:hAnsi="宋体" w:cs="宋体"/>
          <w:highlight w:val="none"/>
          <w:lang w:val="en-US" w:eastAsia="zh-CN"/>
        </w:rPr>
        <w:t xml:space="preserve"> </w:t>
      </w:r>
      <w:r>
        <w:rPr>
          <w:rFonts w:hint="eastAsia" w:ascii="宋体" w:hAnsi="宋体" w:eastAsia="宋体" w:cs="宋体"/>
          <w:highlight w:val="none"/>
          <w:lang w:val="en-US" w:eastAsia="zh-CN"/>
        </w:rPr>
        <w:t>mm的圆钢，其显微孔隙应不超过GB/T 18254</w:t>
      </w:r>
      <w:r>
        <w:rPr>
          <w:rFonts w:hint="eastAsia" w:hAnsi="宋体" w:cs="宋体"/>
          <w:sz w:val="18"/>
          <w:szCs w:val="18"/>
          <w:highlight w:val="none"/>
          <w:vertAlign w:val="baseline"/>
          <w:lang w:val="en-US" w:eastAsia="zh-CN"/>
        </w:rPr>
        <w:t>—</w:t>
      </w:r>
      <w:r>
        <w:rPr>
          <w:rFonts w:hint="eastAsia" w:ascii="宋体" w:hAnsi="宋体" w:eastAsia="宋体" w:cs="宋体"/>
          <w:highlight w:val="none"/>
          <w:lang w:val="en-US" w:eastAsia="zh-CN"/>
        </w:rPr>
        <w:t>2016附录A中第10评级图的规定。</w:t>
      </w:r>
    </w:p>
    <w:p w14:paraId="14E5B82A">
      <w:pPr>
        <w:pStyle w:val="161"/>
        <w:numPr>
          <w:ilvl w:val="2"/>
          <w:numId w:val="5"/>
        </w:numPr>
        <w:spacing w:before="156" w:after="156"/>
        <w:rPr>
          <w:rFonts w:hint="default" w:hAnsi="Times New Roman" w:cs="Times New Roman"/>
          <w:lang w:val="en-US" w:eastAsia="zh-CN"/>
        </w:rPr>
      </w:pPr>
      <w:r>
        <w:rPr>
          <w:rFonts w:hint="eastAsia" w:hAnsi="Times New Roman" w:cs="Times New Roman"/>
          <w:lang w:val="en-US" w:eastAsia="zh-CN"/>
        </w:rPr>
        <w:t>超声检测</w:t>
      </w:r>
    </w:p>
    <w:p w14:paraId="496DB1F4">
      <w:pPr>
        <w:pStyle w:val="23"/>
        <w:rPr>
          <w:rFonts w:hint="default" w:ascii="宋体" w:hAnsi="Times New Roman" w:eastAsia="宋体" w:cs="Times New Roman"/>
          <w:sz w:val="21"/>
          <w:lang w:val="en-US" w:eastAsia="zh-CN" w:bidi="ar-SA"/>
        </w:rPr>
      </w:pPr>
      <w:r>
        <w:rPr>
          <w:rFonts w:hint="default"/>
          <w:lang w:val="en-US" w:eastAsia="zh-CN"/>
        </w:rPr>
        <w:t>圆钢应进行超声检</w:t>
      </w:r>
      <w:r>
        <w:rPr>
          <w:rFonts w:hint="eastAsia"/>
          <w:lang w:val="en-US" w:eastAsia="zh-CN"/>
        </w:rPr>
        <w:t>测</w:t>
      </w:r>
      <w:r>
        <w:rPr>
          <w:rFonts w:hint="default"/>
          <w:lang w:val="en-US" w:eastAsia="zh-CN"/>
        </w:rPr>
        <w:t>，其合格级别</w:t>
      </w:r>
      <w:r>
        <w:rPr>
          <w:rFonts w:hint="eastAsia"/>
          <w:lang w:val="en-US" w:eastAsia="zh-CN"/>
        </w:rPr>
        <w:t>应符合</w:t>
      </w:r>
      <w:r>
        <w:rPr>
          <w:rFonts w:hint="default"/>
          <w:lang w:val="en-US" w:eastAsia="zh-CN"/>
        </w:rPr>
        <w:t>GB/T 4162</w:t>
      </w:r>
      <w:r>
        <w:rPr>
          <w:rFonts w:hint="eastAsia" w:ascii="宋体" w:hAnsi="宋体" w:cs="宋体"/>
          <w:highlight w:val="none"/>
          <w:lang w:val="en-US" w:eastAsia="zh-CN"/>
        </w:rPr>
        <w:t>—</w:t>
      </w:r>
      <w:r>
        <w:rPr>
          <w:rFonts w:hint="eastAsia"/>
          <w:lang w:val="en-US" w:eastAsia="zh-CN"/>
        </w:rPr>
        <w:t>2022中</w:t>
      </w:r>
      <w:r>
        <w:rPr>
          <w:rFonts w:hint="default"/>
          <w:lang w:val="en-US" w:eastAsia="zh-CN"/>
        </w:rPr>
        <w:t>A级</w:t>
      </w:r>
      <w:r>
        <w:rPr>
          <w:rFonts w:hint="eastAsia"/>
          <w:lang w:val="en-US" w:eastAsia="zh-CN"/>
        </w:rPr>
        <w:t>的规定</w:t>
      </w:r>
      <w:r>
        <w:rPr>
          <w:rFonts w:hint="default"/>
          <w:lang w:val="en-US" w:eastAsia="zh-CN"/>
        </w:rPr>
        <w:t>。</w:t>
      </w:r>
    </w:p>
    <w:p w14:paraId="215661A9">
      <w:pPr>
        <w:pStyle w:val="161"/>
        <w:numPr>
          <w:ilvl w:val="2"/>
          <w:numId w:val="5"/>
        </w:numPr>
        <w:spacing w:before="156" w:after="156"/>
        <w:rPr>
          <w:rFonts w:hint="default" w:hAnsi="Times New Roman" w:cs="Times New Roman"/>
          <w:lang w:val="en-US" w:eastAsia="zh-CN"/>
        </w:rPr>
      </w:pPr>
      <w:r>
        <w:rPr>
          <w:rFonts w:hint="default" w:hAnsi="Times New Roman" w:cs="Times New Roman"/>
          <w:lang w:val="en-US" w:eastAsia="zh-CN"/>
        </w:rPr>
        <w:t>表面质量</w:t>
      </w:r>
    </w:p>
    <w:p w14:paraId="22A1A5A2">
      <w:pPr>
        <w:pStyle w:val="23"/>
        <w:ind w:left="0" w:leftChars="0" w:firstLine="0" w:firstLineChars="0"/>
        <w:rPr>
          <w:rFonts w:hint="eastAsia" w:ascii="Times New Roman" w:hAnsi="Times New Roman" w:cs="Times New Roman"/>
          <w:lang w:val="en-US" w:eastAsia="zh-CN"/>
        </w:rPr>
      </w:pPr>
      <w:r>
        <w:rPr>
          <w:rFonts w:hint="eastAsia" w:ascii="黑体" w:hAnsi="黑体" w:eastAsia="黑体" w:cs="黑体"/>
          <w:sz w:val="21"/>
          <w:lang w:val="en-US" w:eastAsia="zh-CN" w:bidi="ar-SA"/>
        </w:rPr>
        <w:t xml:space="preserve">6.10.1 </w:t>
      </w:r>
      <w:r>
        <w:rPr>
          <w:rFonts w:hint="eastAsia" w:ascii="Times New Roman" w:cs="Times New Roman"/>
          <w:lang w:val="en-US" w:eastAsia="zh-CN"/>
        </w:rPr>
        <w:t xml:space="preserve"> </w:t>
      </w:r>
      <w:r>
        <w:rPr>
          <w:rFonts w:hint="eastAsia" w:ascii="宋体" w:hAnsi="Times New Roman" w:eastAsia="宋体" w:cs="Times New Roman"/>
          <w:sz w:val="21"/>
          <w:lang w:val="en-US" w:eastAsia="zh-CN" w:bidi="ar-SA"/>
        </w:rPr>
        <w:t>圆钢应加工良好，表面不应有裂纹、折叠、拉裂、结疤和夹杂物及其他对使用有害的缺陷。如有上述缺陷应清除，清除深度从圆钢实际尺寸算起，应不超过公称尺寸公差之半。</w:t>
      </w:r>
    </w:p>
    <w:p w14:paraId="4166B44B">
      <w:pPr>
        <w:pStyle w:val="158"/>
        <w:keepNext w:val="0"/>
        <w:keepLines w:val="0"/>
        <w:pageBreakBefore w:val="0"/>
        <w:widowControl w:val="0"/>
        <w:numPr>
          <w:ilvl w:val="3"/>
          <w:numId w:val="0"/>
        </w:numPr>
        <w:kinsoku/>
        <w:wordWrap/>
        <w:overflowPunct/>
        <w:topLinePunct w:val="0"/>
        <w:autoSpaceDE/>
        <w:autoSpaceDN/>
        <w:bidi w:val="0"/>
        <w:adjustRightInd/>
        <w:snapToGrid/>
        <w:spacing w:before="0" w:beforeLines="0" w:after="0" w:afterLines="0"/>
        <w:ind w:leftChars="0"/>
        <w:textAlignment w:val="auto"/>
        <w:rPr>
          <w:rFonts w:hint="eastAsia" w:ascii="宋体" w:hAnsi="宋体" w:eastAsia="宋体" w:cs="宋体"/>
          <w:lang w:val="en-US" w:eastAsia="zh-CN"/>
        </w:rPr>
      </w:pPr>
      <w:r>
        <w:rPr>
          <w:rFonts w:hint="eastAsia" w:ascii="黑体" w:hAnsi="黑体" w:eastAsia="黑体" w:cs="黑体"/>
          <w:sz w:val="21"/>
          <w:lang w:val="en-US" w:eastAsia="zh-CN" w:bidi="ar-SA"/>
        </w:rPr>
        <w:t xml:space="preserve">6.10.2  </w:t>
      </w:r>
      <w:r>
        <w:rPr>
          <w:rFonts w:hint="eastAsia" w:ascii="宋体" w:hAnsi="Times New Roman" w:eastAsia="宋体" w:cs="Times New Roman"/>
          <w:sz w:val="21"/>
          <w:lang w:val="en-US" w:eastAsia="zh-CN" w:bidi="ar-SA"/>
        </w:rPr>
        <w:t>圆钢应</w:t>
      </w:r>
      <w:r>
        <w:rPr>
          <w:rFonts w:hint="eastAsia" w:ascii="宋体" w:eastAsia="宋体" w:cs="Times New Roman"/>
          <w:sz w:val="21"/>
          <w:lang w:val="en-US" w:eastAsia="zh-CN" w:bidi="ar-SA"/>
        </w:rPr>
        <w:t>进行表面质量检测</w:t>
      </w:r>
      <w:r>
        <w:rPr>
          <w:rFonts w:hint="eastAsia" w:ascii="宋体" w:hAnsi="Times New Roman" w:eastAsia="宋体" w:cs="Times New Roman"/>
          <w:sz w:val="21"/>
          <w:lang w:val="en-US" w:eastAsia="zh-CN" w:bidi="ar-SA"/>
        </w:rPr>
        <w:t>，表面缺陷深度</w:t>
      </w:r>
      <w:r>
        <w:rPr>
          <w:rFonts w:hint="eastAsia" w:ascii="宋体" w:eastAsia="宋体" w:cs="Times New Roman"/>
          <w:sz w:val="21"/>
          <w:lang w:val="en-US" w:eastAsia="zh-CN" w:bidi="ar-SA"/>
        </w:rPr>
        <w:t>应不</w:t>
      </w:r>
      <w:r>
        <w:rPr>
          <w:rFonts w:hint="eastAsia" w:ascii="宋体" w:hAnsi="Times New Roman" w:eastAsia="宋体" w:cs="Times New Roman"/>
          <w:sz w:val="21"/>
          <w:lang w:val="en-US" w:eastAsia="zh-CN" w:bidi="ar-SA"/>
        </w:rPr>
        <w:t>超过0.3 mm。</w:t>
      </w:r>
    </w:p>
    <w:p w14:paraId="6CB14545">
      <w:pPr>
        <w:pStyle w:val="161"/>
        <w:numPr>
          <w:ilvl w:val="2"/>
          <w:numId w:val="5"/>
        </w:numPr>
        <w:spacing w:before="156" w:after="156"/>
        <w:rPr>
          <w:rFonts w:hint="default" w:hAnsi="Times New Roman" w:cs="Times New Roman"/>
          <w:lang w:val="en-US" w:eastAsia="zh-CN"/>
        </w:rPr>
      </w:pPr>
      <w:r>
        <w:rPr>
          <w:rFonts w:hint="default" w:hAnsi="Times New Roman" w:cs="Times New Roman"/>
          <w:lang w:val="en-US" w:eastAsia="zh-CN"/>
        </w:rPr>
        <w:t>尺寸、外形、重量</w:t>
      </w:r>
    </w:p>
    <w:p w14:paraId="16F8B298">
      <w:pPr>
        <w:pStyle w:val="158"/>
        <w:spacing w:before="156" w:after="156"/>
        <w:ind w:left="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尺寸及其允许偏差</w:t>
      </w:r>
    </w:p>
    <w:p w14:paraId="3D263F7D">
      <w:pPr>
        <w:pStyle w:val="23"/>
        <w:rPr>
          <w:rFonts w:hint="default" w:ascii="Times New Roman" w:hAnsi="Times New Roman" w:cs="Times New Roman"/>
          <w:lang w:val="en-US" w:eastAsia="zh-CN"/>
        </w:rPr>
      </w:pPr>
      <w:r>
        <w:rPr>
          <w:rFonts w:hint="eastAsia" w:ascii="Times New Roman" w:hAnsi="Times New Roman" w:cs="Times New Roman"/>
          <w:lang w:val="en-US" w:eastAsia="zh-CN"/>
        </w:rPr>
        <w:t>圆钢的尺寸及其允许偏差</w:t>
      </w:r>
      <w:r>
        <w:rPr>
          <w:rFonts w:hint="eastAsia" w:ascii="Times New Roman" w:cs="Times New Roman"/>
          <w:lang w:val="en-US" w:eastAsia="zh-CN"/>
        </w:rPr>
        <w:t>应符合</w:t>
      </w:r>
      <w:r>
        <w:rPr>
          <w:rFonts w:hint="eastAsia" w:ascii="宋体" w:hAnsi="宋体" w:eastAsia="宋体" w:cs="宋体"/>
          <w:lang w:val="en-US" w:eastAsia="zh-CN"/>
        </w:rPr>
        <w:t>GB/T 702</w:t>
      </w:r>
      <w:r>
        <w:rPr>
          <w:rFonts w:hint="eastAsia" w:ascii="宋体" w:hAnsi="宋体" w:cs="宋体"/>
          <w:highlight w:val="none"/>
          <w:lang w:val="en-US" w:eastAsia="zh-CN"/>
        </w:rPr>
        <w:t>—</w:t>
      </w:r>
      <w:r>
        <w:rPr>
          <w:rFonts w:hint="eastAsia" w:ascii="宋体" w:hAnsi="宋体" w:eastAsia="宋体" w:cs="宋体"/>
          <w:lang w:val="en-US" w:eastAsia="zh-CN"/>
        </w:rPr>
        <w:t>2017</w:t>
      </w:r>
      <w:r>
        <w:rPr>
          <w:rFonts w:hint="eastAsia" w:ascii="Times New Roman" w:cs="Times New Roman"/>
          <w:lang w:val="en-US" w:eastAsia="zh-CN"/>
        </w:rPr>
        <w:t>中第</w:t>
      </w:r>
      <w:r>
        <w:rPr>
          <w:rFonts w:hint="eastAsia" w:ascii="宋体" w:hAnsi="宋体" w:eastAsia="宋体" w:cs="宋体"/>
          <w:lang w:val="en-US" w:eastAsia="zh-CN"/>
        </w:rPr>
        <w:t>1</w:t>
      </w:r>
      <w:r>
        <w:rPr>
          <w:rFonts w:hint="eastAsia" w:ascii="Times New Roman" w:cs="Times New Roman"/>
          <w:lang w:val="en-US" w:eastAsia="zh-CN"/>
        </w:rPr>
        <w:t>组的规定。</w:t>
      </w:r>
    </w:p>
    <w:p w14:paraId="47FA77B9">
      <w:pPr>
        <w:pStyle w:val="158"/>
        <w:spacing w:before="156" w:after="156"/>
        <w:ind w:left="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长度</w:t>
      </w:r>
    </w:p>
    <w:p w14:paraId="0D57D41F">
      <w:pPr>
        <w:pStyle w:val="163"/>
        <w:ind w:left="0"/>
        <w:rPr>
          <w:rFonts w:hint="default" w:ascii="Times New Roman" w:hAnsi="Times New Roman" w:cs="Times New Roman"/>
          <w:lang w:val="en-US" w:eastAsia="zh-CN"/>
        </w:rPr>
      </w:pPr>
      <w:r>
        <w:rPr>
          <w:rFonts w:hint="default" w:ascii="Times New Roman" w:hAnsi="Times New Roman" w:cs="Times New Roman"/>
          <w:lang w:val="en-US" w:eastAsia="zh-CN"/>
        </w:rPr>
        <w:t>圆钢的</w:t>
      </w:r>
      <w:r>
        <w:rPr>
          <w:rFonts w:hint="eastAsia" w:cs="Times New Roman"/>
          <w:lang w:val="en-US" w:eastAsia="zh-CN"/>
        </w:rPr>
        <w:t>通常交货</w:t>
      </w:r>
      <w:r>
        <w:rPr>
          <w:rFonts w:hint="default" w:ascii="Times New Roman" w:hAnsi="Times New Roman" w:cs="Times New Roman"/>
          <w:lang w:val="en-US" w:eastAsia="zh-CN"/>
        </w:rPr>
        <w:t>长度为</w:t>
      </w:r>
      <w:r>
        <w:rPr>
          <w:rFonts w:hint="eastAsia" w:ascii="宋体" w:hAnsi="宋体" w:eastAsia="宋体" w:cs="宋体"/>
          <w:lang w:val="en-US" w:eastAsia="zh-CN"/>
        </w:rPr>
        <w:t>3 000 mm～8 000 mm</w:t>
      </w:r>
      <w:r>
        <w:rPr>
          <w:rFonts w:hint="eastAsia" w:cs="Times New Roman"/>
          <w:lang w:val="en-US" w:eastAsia="zh-CN"/>
        </w:rPr>
        <w:t>。</w:t>
      </w:r>
    </w:p>
    <w:p w14:paraId="70C690BA">
      <w:pPr>
        <w:pStyle w:val="163"/>
        <w:ind w:left="0"/>
        <w:rPr>
          <w:rFonts w:hint="default" w:ascii="Times New Roman" w:hAnsi="Times New Roman" w:cs="Times New Roman"/>
          <w:lang w:val="en-US" w:eastAsia="zh-CN"/>
        </w:rPr>
      </w:pPr>
      <w:r>
        <w:rPr>
          <w:rFonts w:hint="eastAsia" w:cs="Times New Roman"/>
          <w:lang w:val="en-US" w:eastAsia="zh-CN"/>
        </w:rPr>
        <w:t>圆钢</w:t>
      </w:r>
      <w:r>
        <w:rPr>
          <w:rFonts w:hint="default" w:ascii="Times New Roman" w:hAnsi="Times New Roman" w:cs="Times New Roman"/>
          <w:lang w:val="en-US" w:eastAsia="zh-CN"/>
        </w:rPr>
        <w:t>应在规定长度范围内以齐尺长度交货，每捆中最长与最短钢材的长度差应不大于</w:t>
      </w:r>
      <w:r>
        <w:rPr>
          <w:rFonts w:hint="eastAsia" w:ascii="宋体" w:hAnsi="宋体" w:eastAsia="宋体" w:cs="宋体"/>
          <w:lang w:val="en-US" w:eastAsia="zh-CN"/>
        </w:rPr>
        <w:t>1 000 mm</w:t>
      </w:r>
      <w:r>
        <w:rPr>
          <w:rFonts w:hint="default" w:ascii="Times New Roman" w:hAnsi="Times New Roman" w:cs="Times New Roman"/>
          <w:lang w:val="en-US" w:eastAsia="zh-CN"/>
        </w:rPr>
        <w:t>。</w:t>
      </w:r>
    </w:p>
    <w:p w14:paraId="4F327C08">
      <w:pPr>
        <w:pStyle w:val="163"/>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cs="Times New Roman"/>
          <w:lang w:val="en-US" w:eastAsia="zh-CN"/>
        </w:rPr>
      </w:pPr>
      <w:r>
        <w:rPr>
          <w:rFonts w:hint="eastAsia" w:ascii="宋体" w:hAnsi="宋体" w:eastAsia="宋体" w:cs="宋体"/>
          <w:szCs w:val="21"/>
          <w:lang w:val="en-US" w:eastAsia="zh-CN"/>
        </w:rPr>
        <w:t>按定尺或倍尺交货的圆钢，其长度允许偏差应不超过</w:t>
      </w:r>
      <w:r>
        <w:rPr>
          <w:rFonts w:hint="eastAsia" w:ascii="宋体" w:hAnsi="宋体" w:eastAsia="宋体" w:cs="宋体"/>
          <w:sz w:val="21"/>
          <w:szCs w:val="21"/>
          <w:highlight w:val="none"/>
          <w:lang w:val="en-US" w:eastAsia="zh-CN"/>
          <w:eastAsianLayout w:id="4" w:combine="1"/>
        </w:rPr>
        <w:t>+50   0</w:t>
      </w:r>
      <w:r>
        <w:rPr>
          <w:rFonts w:hint="eastAsia" w:ascii="宋体" w:hAnsi="宋体" w:eastAsia="宋体" w:cs="宋体"/>
          <w:sz w:val="21"/>
          <w:szCs w:val="21"/>
          <w:lang w:val="en-US" w:eastAsia="zh-CN"/>
        </w:rPr>
        <w:t xml:space="preserve"> mm</w:t>
      </w:r>
      <w:r>
        <w:rPr>
          <w:rFonts w:hint="default" w:ascii="Times New Roman" w:hAnsi="Times New Roman" w:cs="Times New Roman"/>
          <w:sz w:val="21"/>
          <w:szCs w:val="21"/>
          <w:lang w:val="en-US" w:eastAsia="zh-CN"/>
        </w:rPr>
        <w:t>。</w:t>
      </w:r>
    </w:p>
    <w:p w14:paraId="14A65BA6">
      <w:pPr>
        <w:pStyle w:val="158"/>
        <w:spacing w:before="156" w:after="156"/>
        <w:ind w:left="0"/>
        <w:rPr>
          <w:rFonts w:hint="default" w:ascii="Times New Roman" w:hAnsi="Times New Roman" w:eastAsia="黑体" w:cs="Times New Roman"/>
        </w:rPr>
      </w:pPr>
      <w:r>
        <w:rPr>
          <w:rFonts w:hint="default" w:ascii="Times New Roman" w:hAnsi="Times New Roman" w:eastAsia="黑体" w:cs="Times New Roman"/>
          <w:lang w:val="en-US" w:eastAsia="zh-CN"/>
        </w:rPr>
        <w:t>外形</w:t>
      </w:r>
    </w:p>
    <w:p w14:paraId="7CCB7250">
      <w:pPr>
        <w:pStyle w:val="163"/>
        <w:keepNext w:val="0"/>
        <w:keepLines w:val="0"/>
        <w:pageBreakBefore w:val="0"/>
        <w:widowControl/>
        <w:kinsoku/>
        <w:wordWrap/>
        <w:overflowPunct/>
        <w:topLinePunct w:val="0"/>
        <w:autoSpaceDE/>
        <w:autoSpaceDN/>
        <w:bidi w:val="0"/>
        <w:adjustRightInd/>
        <w:snapToGrid/>
        <w:ind w:left="0"/>
        <w:textAlignment w:val="auto"/>
        <w:rPr>
          <w:rFonts w:hint="eastAsia" w:ascii="黑体" w:hAnsi="黑体" w:eastAsia="黑体" w:cs="黑体"/>
        </w:rPr>
      </w:pPr>
      <w:r>
        <w:rPr>
          <w:rFonts w:hint="eastAsia" w:ascii="黑体" w:hAnsi="黑体" w:eastAsia="黑体" w:cs="黑体"/>
          <w:lang w:val="en-US" w:eastAsia="zh-CN"/>
        </w:rPr>
        <w:t>不圆度</w:t>
      </w:r>
    </w:p>
    <w:p w14:paraId="6E6C4CCF">
      <w:pPr>
        <w:pStyle w:val="163"/>
        <w:keepNext w:val="0"/>
        <w:keepLines w:val="0"/>
        <w:pageBreakBefore w:val="0"/>
        <w:widowControl/>
        <w:numPr>
          <w:ilvl w:val="4"/>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圆钢</w:t>
      </w:r>
      <w:r>
        <w:rPr>
          <w:rFonts w:hint="default" w:ascii="宋体" w:hAnsi="宋体" w:eastAsia="宋体" w:cs="宋体"/>
          <w:szCs w:val="21"/>
          <w:lang w:val="en-US" w:eastAsia="zh-CN"/>
        </w:rPr>
        <w:t>的不圆度应符合</w:t>
      </w:r>
      <w:r>
        <w:rPr>
          <w:rFonts w:hint="eastAsia" w:ascii="宋体" w:hAnsi="宋体" w:eastAsia="宋体" w:cs="宋体"/>
          <w:szCs w:val="21"/>
          <w:lang w:val="en-US" w:eastAsia="zh-CN"/>
        </w:rPr>
        <w:t>GB/T 702</w:t>
      </w:r>
      <w:r>
        <w:rPr>
          <w:rFonts w:hint="eastAsia" w:hAnsi="宋体" w:cs="宋体"/>
          <w:sz w:val="18"/>
          <w:szCs w:val="18"/>
          <w:highlight w:val="none"/>
          <w:vertAlign w:val="baseline"/>
          <w:lang w:val="en-US" w:eastAsia="zh-CN"/>
        </w:rPr>
        <w:t>—</w:t>
      </w:r>
      <w:r>
        <w:rPr>
          <w:rFonts w:hint="eastAsia" w:ascii="宋体" w:hAnsi="宋体" w:eastAsia="宋体" w:cs="宋体"/>
          <w:szCs w:val="21"/>
          <w:lang w:val="en-US" w:eastAsia="zh-CN"/>
        </w:rPr>
        <w:t>2017的</w:t>
      </w:r>
      <w:r>
        <w:rPr>
          <w:rFonts w:hint="default" w:ascii="宋体" w:hAnsi="宋体" w:eastAsia="宋体" w:cs="宋体"/>
          <w:szCs w:val="21"/>
          <w:lang w:val="en-US" w:eastAsia="zh-CN"/>
        </w:rPr>
        <w:t>规定。</w:t>
      </w:r>
    </w:p>
    <w:p w14:paraId="4399B20D">
      <w:pPr>
        <w:pStyle w:val="163"/>
        <w:keepNext w:val="0"/>
        <w:keepLines w:val="0"/>
        <w:pageBreakBefore w:val="0"/>
        <w:widowControl/>
        <w:kinsoku/>
        <w:wordWrap/>
        <w:overflowPunct/>
        <w:topLinePunct w:val="0"/>
        <w:autoSpaceDE/>
        <w:autoSpaceDN/>
        <w:bidi w:val="0"/>
        <w:adjustRightInd/>
        <w:snapToGrid/>
        <w:ind w:left="0"/>
        <w:textAlignment w:val="auto"/>
        <w:rPr>
          <w:rFonts w:hint="default" w:ascii="Times New Roman" w:hAnsi="Times New Roman" w:eastAsia="黑体" w:cs="Times New Roman"/>
        </w:rPr>
      </w:pPr>
      <w:r>
        <w:rPr>
          <w:rFonts w:hint="default" w:ascii="Times New Roman" w:hAnsi="Times New Roman" w:eastAsia="黑体" w:cs="Times New Roman"/>
          <w:lang w:val="en-US" w:eastAsia="zh-CN"/>
        </w:rPr>
        <w:t>弯曲度</w:t>
      </w:r>
    </w:p>
    <w:p w14:paraId="0827D0EA">
      <w:pPr>
        <w:pStyle w:val="23"/>
        <w:rPr>
          <w:rFonts w:hint="eastAsia" w:ascii="宋体" w:hAnsi="宋体" w:eastAsia="宋体" w:cs="宋体"/>
          <w:lang w:val="en-US" w:eastAsia="zh-CN"/>
        </w:rPr>
      </w:pPr>
      <w:r>
        <w:rPr>
          <w:rFonts w:hint="eastAsia" w:ascii="宋体" w:hAnsi="宋体" w:eastAsia="宋体" w:cs="宋体"/>
          <w:lang w:val="en-US" w:eastAsia="zh-CN"/>
        </w:rPr>
        <w:t>圆钢的每米弯曲度应不大于3.0 mm，总弯曲度应不大于圆钢长度的0.3%。</w:t>
      </w:r>
    </w:p>
    <w:p w14:paraId="4D3BF93D">
      <w:pPr>
        <w:pStyle w:val="158"/>
        <w:spacing w:before="156" w:after="156"/>
        <w:ind w:left="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扭</w:t>
      </w:r>
      <w:r>
        <w:rPr>
          <w:rFonts w:hint="eastAsia" w:eastAsia="黑体" w:cs="Times New Roman"/>
          <w:lang w:val="en-US" w:eastAsia="zh-CN"/>
        </w:rPr>
        <w:t>转</w:t>
      </w:r>
    </w:p>
    <w:p w14:paraId="1B5932E2">
      <w:pPr>
        <w:pStyle w:val="23"/>
        <w:rPr>
          <w:rFonts w:hint="default" w:ascii="Times New Roman" w:hAnsi="Times New Roman" w:eastAsia="宋体" w:cs="Times New Roman"/>
          <w:lang w:val="en-US" w:eastAsia="zh-CN"/>
        </w:rPr>
      </w:pPr>
      <w:r>
        <w:rPr>
          <w:rFonts w:hint="eastAsia" w:ascii="Times New Roman" w:cs="Times New Roman"/>
          <w:lang w:val="en-US" w:eastAsia="zh-CN"/>
        </w:rPr>
        <w:t>圆钢</w:t>
      </w:r>
      <w:r>
        <w:rPr>
          <w:rFonts w:hint="default" w:ascii="Times New Roman" w:hAnsi="Times New Roman" w:eastAsia="宋体" w:cs="Times New Roman"/>
          <w:lang w:val="en-US" w:eastAsia="zh-CN"/>
        </w:rPr>
        <w:t>不应有显著扭转。</w:t>
      </w:r>
    </w:p>
    <w:p w14:paraId="3624A40C">
      <w:pPr>
        <w:pStyle w:val="158"/>
        <w:spacing w:before="156" w:after="156"/>
        <w:ind w:left="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端头形状</w:t>
      </w:r>
    </w:p>
    <w:p w14:paraId="5F71E21A">
      <w:pPr>
        <w:keepNext w:val="0"/>
        <w:keepLines w:val="0"/>
        <w:pageBreakBefore w:val="0"/>
        <w:widowControl/>
        <w:numPr>
          <w:ilvl w:val="-1"/>
          <w:numId w:val="0"/>
        </w:numPr>
        <w:tabs>
          <w:tab w:val="center" w:pos="4620"/>
          <w:tab w:val="right" w:pos="9460"/>
        </w:tabs>
        <w:kinsoku/>
        <w:wordWrap/>
        <w:overflowPunct/>
        <w:topLinePunct w:val="0"/>
        <w:autoSpaceDE/>
        <w:autoSpaceDN/>
        <w:bidi w:val="0"/>
        <w:adjustRightInd/>
        <w:snapToGrid/>
        <w:spacing w:before="157" w:beforeLines="50" w:after="157" w:afterLines="50"/>
        <w:ind w:left="0" w:leftChars="0" w:firstLine="420" w:firstLineChars="200"/>
        <w:jc w:val="left"/>
        <w:textAlignment w:val="auto"/>
        <w:outlineLvl w:val="3"/>
        <w:rPr>
          <w:rFonts w:hint="default" w:ascii="Times New Roman" w:hAnsi="Times New Roman" w:cs="Times New Roman"/>
          <w:lang w:val="en-US" w:eastAsia="zh-CN"/>
        </w:rPr>
      </w:pPr>
      <w:r>
        <w:rPr>
          <w:rFonts w:hint="eastAsia" w:cs="Times New Roman"/>
          <w:lang w:val="en-US" w:eastAsia="zh-CN"/>
        </w:rPr>
        <w:t>圆钢</w:t>
      </w:r>
      <w:r>
        <w:rPr>
          <w:rFonts w:hint="default" w:ascii="Times New Roman" w:hAnsi="Times New Roman" w:cs="Times New Roman"/>
          <w:lang w:val="en-US" w:eastAsia="zh-CN"/>
        </w:rPr>
        <w:t>端头应锯切或剪切整齐，不应有飞边、毛刺及影响使用的切斜和压扁。</w:t>
      </w:r>
    </w:p>
    <w:p w14:paraId="4744ED03">
      <w:pPr>
        <w:pStyle w:val="158"/>
        <w:spacing w:before="156" w:after="156"/>
        <w:ind w:left="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重量</w:t>
      </w:r>
    </w:p>
    <w:p w14:paraId="0A94C693">
      <w:pPr>
        <w:pStyle w:val="23"/>
        <w:rPr>
          <w:rFonts w:hint="default"/>
          <w:lang w:val="en-US" w:eastAsia="zh-CN"/>
        </w:rPr>
      </w:pPr>
      <w:r>
        <w:rPr>
          <w:rFonts w:hint="eastAsia" w:ascii="Times New Roman" w:cs="Times New Roman"/>
          <w:lang w:val="en-US" w:eastAsia="zh-CN"/>
        </w:rPr>
        <w:t>圆钢</w:t>
      </w:r>
      <w:r>
        <w:rPr>
          <w:rFonts w:hint="default" w:ascii="Times New Roman" w:hAnsi="Times New Roman" w:eastAsia="宋体" w:cs="Times New Roman"/>
          <w:lang w:val="en-US" w:eastAsia="zh-CN"/>
        </w:rPr>
        <w:t>按实际重量交货</w:t>
      </w:r>
      <w:r>
        <w:rPr>
          <w:rFonts w:hint="default" w:ascii="Times New Roman" w:hAnsi="Times New Roman" w:cs="Times New Roman"/>
          <w:lang w:val="en-US" w:eastAsia="zh-CN"/>
        </w:rPr>
        <w:t>。</w:t>
      </w:r>
    </w:p>
    <w:p w14:paraId="5C62A15B">
      <w:pPr>
        <w:pStyle w:val="158"/>
        <w:numPr>
          <w:ilvl w:val="2"/>
          <w:numId w:val="5"/>
        </w:numPr>
        <w:spacing w:before="156" w:after="156"/>
        <w:ind w:left="0" w:leftChars="0" w:firstLine="0" w:firstLineChars="0"/>
        <w:outlineLvl w:val="1"/>
        <w:rPr>
          <w:rFonts w:hint="default" w:ascii="Times New Roman" w:hAnsi="Times New Roman" w:cs="Times New Roman"/>
          <w:lang w:val="en-US" w:eastAsia="zh-CN"/>
        </w:rPr>
      </w:pPr>
      <w:r>
        <w:rPr>
          <w:rFonts w:hint="default" w:ascii="Times New Roman" w:hAnsi="Times New Roman" w:cs="Times New Roman"/>
          <w:lang w:val="en-US" w:eastAsia="zh-CN"/>
        </w:rPr>
        <w:t>特殊要求</w:t>
      </w:r>
    </w:p>
    <w:p w14:paraId="3D5B7464">
      <w:pPr>
        <w:pStyle w:val="23"/>
        <w:rPr>
          <w:rFonts w:hint="default" w:ascii="Times New Roman" w:hAnsi="Times New Roman" w:cs="Times New Roman"/>
          <w:lang w:val="en-US" w:eastAsia="zh-CN"/>
        </w:rPr>
      </w:pPr>
      <w:r>
        <w:rPr>
          <w:rFonts w:hint="default" w:ascii="Times New Roman" w:hAnsi="Times New Roman" w:cs="Times New Roman"/>
          <w:lang w:val="en-US" w:eastAsia="zh-CN"/>
        </w:rPr>
        <w:t>根据需方要求，经供需双方协商，并在合同中注明，可提出下列特殊要求：</w:t>
      </w:r>
    </w:p>
    <w:p w14:paraId="5186F949">
      <w:pPr>
        <w:pStyle w:val="23"/>
        <w:numPr>
          <w:ilvl w:val="0"/>
          <w:numId w:val="7"/>
        </w:numPr>
        <w:tabs>
          <w:tab w:val="left" w:pos="840"/>
        </w:tabs>
        <w:rPr>
          <w:rFonts w:hint="default" w:ascii="Times New Roman" w:hAnsi="Times New Roman" w:cs="Times New Roman"/>
          <w:lang w:val="en-US" w:eastAsia="zh-CN"/>
        </w:rPr>
      </w:pPr>
      <w:r>
        <w:rPr>
          <w:rFonts w:hint="default" w:ascii="Times New Roman" w:hAnsi="Times New Roman" w:cs="Times New Roman"/>
          <w:lang w:val="en-US" w:eastAsia="zh-CN"/>
        </w:rPr>
        <w:t>淬火断口检测；</w:t>
      </w:r>
    </w:p>
    <w:p w14:paraId="7EABB1CB">
      <w:pPr>
        <w:pStyle w:val="23"/>
        <w:numPr>
          <w:ilvl w:val="0"/>
          <w:numId w:val="7"/>
        </w:numPr>
        <w:tabs>
          <w:tab w:val="left" w:pos="840"/>
        </w:tabs>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高频超声检测；</w:t>
      </w:r>
    </w:p>
    <w:p w14:paraId="006A224D">
      <w:pPr>
        <w:pStyle w:val="23"/>
        <w:numPr>
          <w:ilvl w:val="0"/>
          <w:numId w:val="7"/>
        </w:numPr>
        <w:tabs>
          <w:tab w:val="left" w:pos="840"/>
        </w:tabs>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加严表面质量；</w:t>
      </w:r>
    </w:p>
    <w:p w14:paraId="6619746A">
      <w:pPr>
        <w:pStyle w:val="23"/>
        <w:numPr>
          <w:ilvl w:val="0"/>
          <w:numId w:val="7"/>
        </w:numPr>
        <w:tabs>
          <w:tab w:val="left" w:pos="840"/>
        </w:tabs>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其他特殊要求。</w:t>
      </w:r>
    </w:p>
    <w:p w14:paraId="713AEA54">
      <w:pPr>
        <w:pStyle w:val="160"/>
        <w:spacing w:before="312" w:after="312"/>
        <w:rPr>
          <w:rFonts w:hint="default" w:hAnsi="Times New Roman" w:cs="Times New Roman"/>
          <w:lang w:val="en-US" w:eastAsia="zh-CN"/>
        </w:rPr>
      </w:pPr>
      <w:r>
        <w:rPr>
          <w:rFonts w:hint="default" w:hAnsi="Times New Roman" w:cs="Times New Roman"/>
          <w:lang w:val="en-US" w:eastAsia="zh-CN"/>
        </w:rPr>
        <w:t>试验方法</w:t>
      </w:r>
      <w:bookmarkEnd w:id="8"/>
    </w:p>
    <w:p w14:paraId="14430967">
      <w:pPr>
        <w:pStyle w:val="158"/>
        <w:numPr>
          <w:ilvl w:val="2"/>
          <w:numId w:val="5"/>
        </w:numPr>
        <w:spacing w:before="156" w:after="156"/>
        <w:ind w:left="0" w:leftChars="0" w:firstLine="0" w:firstLineChars="0"/>
        <w:rPr>
          <w:rFonts w:hint="eastAsia" w:ascii="黑体" w:hAnsi="黑体" w:eastAsia="黑体" w:cs="黑体"/>
        </w:rPr>
      </w:pPr>
      <w:bookmarkStart w:id="16" w:name="_Toc103246232"/>
      <w:bookmarkStart w:id="17" w:name="_Toc24955"/>
      <w:r>
        <w:rPr>
          <w:rFonts w:hint="eastAsia" w:ascii="黑体" w:hAnsi="黑体" w:eastAsia="黑体" w:cs="黑体"/>
          <w:lang w:val="en-US" w:eastAsia="zh-CN"/>
        </w:rPr>
        <w:t>化学成分</w:t>
      </w:r>
    </w:p>
    <w:p w14:paraId="16A9DD9B">
      <w:pPr>
        <w:pStyle w:val="158"/>
        <w:keepNext w:val="0"/>
        <w:keepLines w:val="0"/>
        <w:pageBreakBefore w:val="0"/>
        <w:widowControl w:val="0"/>
        <w:kinsoku/>
        <w:wordWrap/>
        <w:overflowPunct/>
        <w:topLinePunct w:val="0"/>
        <w:autoSpaceDE/>
        <w:autoSpaceDN/>
        <w:bidi w:val="0"/>
        <w:adjustRightInd/>
        <w:snapToGrid/>
        <w:spacing w:before="0" w:beforeLines="0" w:after="0" w:afterLines="0"/>
        <w:ind w:lef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钢的化学成分分析按GB/T 223(所有部分)、</w:t>
      </w:r>
      <w:r>
        <w:rPr>
          <w:rFonts w:hint="eastAsia" w:asciiTheme="minorEastAsia" w:hAnsiTheme="minorEastAsia" w:eastAsiaTheme="minorEastAsia" w:cstheme="minorEastAsia"/>
        </w:rPr>
        <w:t>GB/T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4336、GB/T 20123</w:t>
      </w:r>
      <w:r>
        <w:rPr>
          <w:rFonts w:hint="eastAsia" w:asciiTheme="minorEastAsia" w:hAnsiTheme="minorEastAsia" w:eastAsiaTheme="minorEastAsia" w:cstheme="minorEastAsia"/>
          <w:lang w:eastAsia="zh-CN"/>
        </w:rPr>
        <w:t>等</w:t>
      </w:r>
      <w:r>
        <w:rPr>
          <w:rFonts w:hint="eastAsia" w:asciiTheme="minorEastAsia" w:hAnsiTheme="minorEastAsia" w:eastAsiaTheme="minorEastAsia" w:cstheme="minorEastAsia"/>
        </w:rPr>
        <w:t>通用方法进行，</w:t>
      </w:r>
      <w:r>
        <w:rPr>
          <w:rFonts w:hint="eastAsia" w:asciiTheme="minorEastAsia" w:hAnsiTheme="minorEastAsia" w:eastAsiaTheme="minorEastAsia" w:cstheme="minorEastAsia"/>
          <w:lang w:val="en-US" w:eastAsia="zh-CN"/>
        </w:rPr>
        <w:t>仲裁时由供需双方协商确定</w:t>
      </w:r>
      <w:r>
        <w:rPr>
          <w:rFonts w:hint="eastAsia" w:asciiTheme="minorEastAsia" w:hAnsiTheme="minorEastAsia" w:eastAsiaTheme="minorEastAsia" w:cstheme="minorEastAsia"/>
        </w:rPr>
        <w:t>。</w:t>
      </w:r>
    </w:p>
    <w:p w14:paraId="534CF406">
      <w:pPr>
        <w:pStyle w:val="158"/>
        <w:keepNext w:val="0"/>
        <w:keepLines w:val="0"/>
        <w:pageBreakBefore w:val="0"/>
        <w:widowControl w:val="0"/>
        <w:kinsoku/>
        <w:wordWrap/>
        <w:overflowPunct/>
        <w:topLinePunct w:val="0"/>
        <w:autoSpaceDE/>
        <w:autoSpaceDN/>
        <w:bidi w:val="0"/>
        <w:adjustRightInd/>
        <w:snapToGrid/>
        <w:spacing w:before="0" w:beforeLines="0" w:after="0" w:afterLines="0"/>
        <w:ind w:left="0"/>
        <w:textAlignment w:val="auto"/>
        <w:rPr>
          <w:rFonts w:hint="eastAsia"/>
          <w:lang w:val="en-US" w:eastAsia="zh-CN"/>
        </w:rPr>
      </w:pPr>
      <w:r>
        <w:rPr>
          <w:rFonts w:hint="eastAsia" w:ascii="宋体" w:hAnsi="宋体" w:eastAsia="宋体" w:cs="宋体"/>
          <w:lang w:val="en-US" w:eastAsia="zh-CN"/>
        </w:rPr>
        <w:t>圆钢的检验项目及试验方法应符合表9的规定。</w:t>
      </w:r>
    </w:p>
    <w:p w14:paraId="07699E5E">
      <w:pPr>
        <w:pStyle w:val="78"/>
        <w:spacing w:before="156" w:after="156"/>
        <w:ind w:left="420"/>
        <w:jc w:val="center"/>
        <w:rPr>
          <w:rFonts w:hint="eastAsia"/>
        </w:rPr>
      </w:pPr>
      <w:r>
        <w:rPr>
          <w:rFonts w:hint="eastAsia"/>
          <w:lang w:val="en-US" w:eastAsia="zh-CN"/>
        </w:rPr>
        <w:t>检验项目、取样数量、取样部位及试验方法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337"/>
        <w:gridCol w:w="2988"/>
        <w:gridCol w:w="1701"/>
        <w:gridCol w:w="2698"/>
      </w:tblGrid>
      <w:tr w14:paraId="0EA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0B19F953">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序号</w:t>
            </w:r>
          </w:p>
        </w:tc>
        <w:tc>
          <w:tcPr>
            <w:tcW w:w="1337" w:type="dxa"/>
            <w:vAlign w:val="center"/>
          </w:tcPr>
          <w:p w14:paraId="7ED2659C">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检验项目</w:t>
            </w:r>
          </w:p>
        </w:tc>
        <w:tc>
          <w:tcPr>
            <w:tcW w:w="2988" w:type="dxa"/>
            <w:vAlign w:val="center"/>
          </w:tcPr>
          <w:p w14:paraId="4F8D2AE1">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取样数量</w:t>
            </w:r>
            <w:r>
              <w:rPr>
                <w:rFonts w:hint="eastAsia" w:ascii="宋体" w:hAnsi="宋体" w:eastAsia="宋体" w:cs="宋体"/>
                <w:sz w:val="18"/>
                <w:szCs w:val="18"/>
                <w:highlight w:val="none"/>
                <w:vertAlign w:val="superscript"/>
                <w:lang w:val="en-US" w:eastAsia="zh-CN"/>
              </w:rPr>
              <w:t>a</w:t>
            </w:r>
          </w:p>
        </w:tc>
        <w:tc>
          <w:tcPr>
            <w:tcW w:w="1701" w:type="dxa"/>
            <w:vAlign w:val="center"/>
          </w:tcPr>
          <w:p w14:paraId="330997D5">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取样部位</w:t>
            </w:r>
          </w:p>
        </w:tc>
        <w:tc>
          <w:tcPr>
            <w:tcW w:w="2698" w:type="dxa"/>
            <w:vAlign w:val="center"/>
          </w:tcPr>
          <w:p w14:paraId="352838E6">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试验方法</w:t>
            </w:r>
          </w:p>
        </w:tc>
      </w:tr>
      <w:tr w14:paraId="3287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01A81E12">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w:t>
            </w:r>
          </w:p>
        </w:tc>
        <w:tc>
          <w:tcPr>
            <w:tcW w:w="1337" w:type="dxa"/>
            <w:vAlign w:val="center"/>
          </w:tcPr>
          <w:p w14:paraId="5CB80512">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化学成分</w:t>
            </w:r>
          </w:p>
        </w:tc>
        <w:tc>
          <w:tcPr>
            <w:tcW w:w="2988" w:type="dxa"/>
            <w:vAlign w:val="center"/>
          </w:tcPr>
          <w:p w14:paraId="0D26CB7C">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1个/炉</w:t>
            </w:r>
          </w:p>
        </w:tc>
        <w:tc>
          <w:tcPr>
            <w:tcW w:w="1701" w:type="dxa"/>
            <w:vMerge w:val="restart"/>
            <w:vAlign w:val="center"/>
          </w:tcPr>
          <w:p w14:paraId="7E390156">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见</w:t>
            </w:r>
            <w:r>
              <w:rPr>
                <w:rFonts w:hint="eastAsia" w:hAnsi="宋体" w:cs="宋体"/>
                <w:sz w:val="18"/>
                <w:szCs w:val="18"/>
                <w:highlight w:val="none"/>
                <w:vertAlign w:val="baseline"/>
                <w:lang w:val="en-US" w:eastAsia="zh-CN"/>
              </w:rPr>
              <w:t>8.3.2</w:t>
            </w:r>
          </w:p>
        </w:tc>
        <w:tc>
          <w:tcPr>
            <w:tcW w:w="2698" w:type="dxa"/>
            <w:vAlign w:val="center"/>
          </w:tcPr>
          <w:p w14:paraId="51382B4D">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见7.1</w:t>
            </w:r>
          </w:p>
        </w:tc>
      </w:tr>
      <w:tr w14:paraId="185A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72C9512">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w:t>
            </w:r>
          </w:p>
        </w:tc>
        <w:tc>
          <w:tcPr>
            <w:tcW w:w="1337" w:type="dxa"/>
            <w:vAlign w:val="center"/>
          </w:tcPr>
          <w:p w14:paraId="7FA55006">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氧含量</w:t>
            </w:r>
          </w:p>
        </w:tc>
        <w:tc>
          <w:tcPr>
            <w:tcW w:w="2988" w:type="dxa"/>
            <w:vAlign w:val="center"/>
          </w:tcPr>
          <w:p w14:paraId="414E0C5C">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1个/</w:t>
            </w:r>
            <w:r>
              <w:rPr>
                <w:rFonts w:hint="eastAsia" w:hAnsi="宋体" w:cs="宋体"/>
                <w:sz w:val="18"/>
                <w:szCs w:val="18"/>
                <w:highlight w:val="none"/>
                <w:vertAlign w:val="baseline"/>
                <w:lang w:val="en-US" w:eastAsia="zh-CN"/>
              </w:rPr>
              <w:t>批</w:t>
            </w:r>
          </w:p>
        </w:tc>
        <w:tc>
          <w:tcPr>
            <w:tcW w:w="1701" w:type="dxa"/>
            <w:vMerge w:val="continue"/>
            <w:vAlign w:val="center"/>
          </w:tcPr>
          <w:p w14:paraId="5A021AA9">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p>
        </w:tc>
        <w:tc>
          <w:tcPr>
            <w:tcW w:w="2698" w:type="dxa"/>
            <w:vAlign w:val="center"/>
          </w:tcPr>
          <w:p w14:paraId="2F42981F">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GB/T 11261</w:t>
            </w:r>
          </w:p>
        </w:tc>
      </w:tr>
      <w:tr w14:paraId="6853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8DF3716">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3</w:t>
            </w:r>
          </w:p>
        </w:tc>
        <w:tc>
          <w:tcPr>
            <w:tcW w:w="1337" w:type="dxa"/>
            <w:vAlign w:val="center"/>
          </w:tcPr>
          <w:p w14:paraId="6F694E98">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硬度</w:t>
            </w:r>
          </w:p>
        </w:tc>
        <w:tc>
          <w:tcPr>
            <w:tcW w:w="2988" w:type="dxa"/>
            <w:vAlign w:val="center"/>
          </w:tcPr>
          <w:p w14:paraId="677796D5">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2个/批</w:t>
            </w:r>
          </w:p>
        </w:tc>
        <w:tc>
          <w:tcPr>
            <w:tcW w:w="1701" w:type="dxa"/>
            <w:vAlign w:val="center"/>
          </w:tcPr>
          <w:p w14:paraId="5CA04F3B">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不同支</w:t>
            </w:r>
            <w:r>
              <w:rPr>
                <w:rFonts w:hint="eastAsia" w:hAnsi="宋体" w:cs="宋体"/>
                <w:sz w:val="18"/>
                <w:szCs w:val="18"/>
                <w:highlight w:val="none"/>
                <w:vertAlign w:val="baseline"/>
                <w:lang w:val="en-US" w:eastAsia="zh-CN"/>
              </w:rPr>
              <w:t>圆钢</w:t>
            </w:r>
          </w:p>
        </w:tc>
        <w:tc>
          <w:tcPr>
            <w:tcW w:w="2698" w:type="dxa"/>
            <w:vAlign w:val="center"/>
          </w:tcPr>
          <w:p w14:paraId="58B27A54">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GB/T 231.1</w:t>
            </w:r>
          </w:p>
        </w:tc>
      </w:tr>
      <w:tr w14:paraId="0AF2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DBD3593">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4</w:t>
            </w:r>
          </w:p>
        </w:tc>
        <w:tc>
          <w:tcPr>
            <w:tcW w:w="1337" w:type="dxa"/>
            <w:vAlign w:val="center"/>
          </w:tcPr>
          <w:p w14:paraId="5E9367AC">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低倍</w:t>
            </w:r>
          </w:p>
        </w:tc>
        <w:tc>
          <w:tcPr>
            <w:tcW w:w="2988" w:type="dxa"/>
            <w:vAlign w:val="center"/>
          </w:tcPr>
          <w:p w14:paraId="75D09FDA">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6个/批</w:t>
            </w:r>
          </w:p>
        </w:tc>
        <w:tc>
          <w:tcPr>
            <w:tcW w:w="1701" w:type="dxa"/>
            <w:vAlign w:val="center"/>
          </w:tcPr>
          <w:p w14:paraId="2E2198E0">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任意6支，任意一端</w:t>
            </w:r>
          </w:p>
        </w:tc>
        <w:tc>
          <w:tcPr>
            <w:tcW w:w="2698" w:type="dxa"/>
            <w:vAlign w:val="center"/>
          </w:tcPr>
          <w:p w14:paraId="7635C714">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GB/T 226,GB/T 18254</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vertAlign w:val="baseline"/>
                <w:lang w:val="en-US" w:eastAsia="zh-CN"/>
              </w:rPr>
              <w:t>2016</w:t>
            </w:r>
          </w:p>
        </w:tc>
      </w:tr>
      <w:tr w14:paraId="5484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09CD89BF">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5</w:t>
            </w:r>
          </w:p>
        </w:tc>
        <w:tc>
          <w:tcPr>
            <w:tcW w:w="1337" w:type="dxa"/>
            <w:vAlign w:val="center"/>
          </w:tcPr>
          <w:p w14:paraId="0E2BE19F">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塔形发纹</w:t>
            </w:r>
          </w:p>
        </w:tc>
        <w:tc>
          <w:tcPr>
            <w:tcW w:w="2988" w:type="dxa"/>
            <w:vAlign w:val="center"/>
          </w:tcPr>
          <w:p w14:paraId="4B196DA5">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2个/批</w:t>
            </w:r>
          </w:p>
        </w:tc>
        <w:tc>
          <w:tcPr>
            <w:tcW w:w="1701" w:type="dxa"/>
            <w:vAlign w:val="center"/>
          </w:tcPr>
          <w:p w14:paraId="3C3224E7">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不同支</w:t>
            </w:r>
            <w:r>
              <w:rPr>
                <w:rFonts w:hint="eastAsia" w:hAnsi="宋体" w:cs="宋体"/>
                <w:sz w:val="18"/>
                <w:szCs w:val="18"/>
                <w:highlight w:val="none"/>
                <w:vertAlign w:val="baseline"/>
                <w:lang w:val="en-US" w:eastAsia="zh-CN"/>
              </w:rPr>
              <w:t>圆钢</w:t>
            </w:r>
          </w:p>
        </w:tc>
        <w:tc>
          <w:tcPr>
            <w:tcW w:w="2698" w:type="dxa"/>
            <w:vAlign w:val="center"/>
          </w:tcPr>
          <w:p w14:paraId="41E14DB1">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rPr>
              <w:t>GB/T 15711</w:t>
            </w:r>
          </w:p>
        </w:tc>
      </w:tr>
      <w:tr w14:paraId="61CA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F8194EF">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6</w:t>
            </w:r>
          </w:p>
        </w:tc>
        <w:tc>
          <w:tcPr>
            <w:tcW w:w="1337" w:type="dxa"/>
            <w:vAlign w:val="center"/>
          </w:tcPr>
          <w:p w14:paraId="093988E0">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非金属夹杂物</w:t>
            </w:r>
          </w:p>
        </w:tc>
        <w:tc>
          <w:tcPr>
            <w:tcW w:w="2988" w:type="dxa"/>
            <w:vAlign w:val="center"/>
          </w:tcPr>
          <w:p w14:paraId="1AEE8C20">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6个/批</w:t>
            </w:r>
          </w:p>
        </w:tc>
        <w:tc>
          <w:tcPr>
            <w:tcW w:w="1701" w:type="dxa"/>
            <w:vAlign w:val="center"/>
          </w:tcPr>
          <w:p w14:paraId="14DF7214">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宋体" w:eastAsia="宋体" w:cs="宋体"/>
                <w:sz w:val="18"/>
                <w:szCs w:val="18"/>
                <w:highlight w:val="none"/>
                <w:vertAlign w:val="baseline"/>
                <w:lang w:val="en-US" w:eastAsia="zh-CN"/>
              </w:rPr>
            </w:pPr>
            <w:r>
              <w:rPr>
                <w:rFonts w:hint="eastAsia" w:ascii="宋体" w:hAnsi="宋体" w:cs="宋体"/>
                <w:kern w:val="0"/>
                <w:sz w:val="18"/>
                <w:szCs w:val="18"/>
                <w:highlight w:val="none"/>
              </w:rPr>
              <w:t>G</w:t>
            </w:r>
            <w:r>
              <w:rPr>
                <w:rFonts w:hint="default" w:ascii="宋体" w:hAnsi="宋体" w:cs="宋体"/>
                <w:kern w:val="0"/>
                <w:sz w:val="18"/>
                <w:szCs w:val="18"/>
                <w:highlight w:val="none"/>
              </w:rPr>
              <w:t>B/T 18254</w:t>
            </w:r>
            <w:r>
              <w:rPr>
                <w:rFonts w:hint="eastAsia" w:ascii="宋体" w:hAnsi="宋体" w:cs="宋体"/>
                <w:kern w:val="0"/>
                <w:sz w:val="18"/>
                <w:szCs w:val="18"/>
                <w:highlight w:val="none"/>
              </w:rPr>
              <w:t>—</w:t>
            </w:r>
            <w:r>
              <w:rPr>
                <w:rFonts w:hint="default" w:ascii="宋体" w:hAnsi="宋体" w:cs="宋体"/>
                <w:kern w:val="0"/>
                <w:sz w:val="18"/>
                <w:szCs w:val="18"/>
                <w:highlight w:val="none"/>
              </w:rPr>
              <w:t>2016</w:t>
            </w:r>
          </w:p>
        </w:tc>
        <w:tc>
          <w:tcPr>
            <w:tcW w:w="2698" w:type="dxa"/>
            <w:vAlign w:val="center"/>
          </w:tcPr>
          <w:p w14:paraId="44F6CB05">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rPr>
              <w:t>GB/T 10561</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rPr>
              <w:t>2023中A法</w:t>
            </w:r>
          </w:p>
        </w:tc>
      </w:tr>
      <w:tr w14:paraId="7B7F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B85463D">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hAnsi="宋体" w:cs="宋体"/>
                <w:sz w:val="18"/>
                <w:szCs w:val="18"/>
                <w:highlight w:val="none"/>
                <w:vertAlign w:val="baseline"/>
                <w:lang w:val="en-US" w:eastAsia="zh-CN"/>
              </w:rPr>
              <w:t>7</w:t>
            </w:r>
          </w:p>
        </w:tc>
        <w:tc>
          <w:tcPr>
            <w:tcW w:w="1337" w:type="dxa"/>
            <w:vAlign w:val="center"/>
          </w:tcPr>
          <w:p w14:paraId="05CA402C">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脱碳层</w:t>
            </w:r>
          </w:p>
        </w:tc>
        <w:tc>
          <w:tcPr>
            <w:tcW w:w="2988" w:type="dxa"/>
            <w:vAlign w:val="center"/>
          </w:tcPr>
          <w:p w14:paraId="5ED198AE">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hAnsi="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公称直径</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vertAlign w:val="baseline"/>
                <w:lang w:val="en-US" w:eastAsia="zh-CN"/>
              </w:rPr>
              <w:t>60 mm，取5个</w:t>
            </w:r>
            <w:r>
              <w:rPr>
                <w:rFonts w:hint="eastAsia" w:hAnsi="宋体" w:cs="宋体"/>
                <w:sz w:val="18"/>
                <w:szCs w:val="18"/>
                <w:highlight w:val="none"/>
                <w:vertAlign w:val="baseline"/>
                <w:lang w:val="en-US" w:eastAsia="zh-CN"/>
              </w:rPr>
              <w:t>/批；</w:t>
            </w:r>
          </w:p>
          <w:p w14:paraId="543FF44D">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公称直径</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vertAlign w:val="baseline"/>
                <w:lang w:val="en-US" w:eastAsia="zh-CN"/>
              </w:rPr>
              <w:t>60 mm，取3个</w:t>
            </w:r>
            <w:r>
              <w:rPr>
                <w:rFonts w:hint="eastAsia" w:hAnsi="宋体" w:cs="宋体"/>
                <w:sz w:val="18"/>
                <w:szCs w:val="18"/>
                <w:highlight w:val="none"/>
                <w:vertAlign w:val="baseline"/>
                <w:lang w:val="en-US" w:eastAsia="zh-CN"/>
              </w:rPr>
              <w:t>/批。</w:t>
            </w:r>
          </w:p>
        </w:tc>
        <w:tc>
          <w:tcPr>
            <w:tcW w:w="1701" w:type="dxa"/>
            <w:vAlign w:val="center"/>
          </w:tcPr>
          <w:p w14:paraId="43A1207F">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不同支</w:t>
            </w:r>
            <w:r>
              <w:rPr>
                <w:rFonts w:hint="eastAsia" w:hAnsi="宋体" w:cs="宋体"/>
                <w:sz w:val="18"/>
                <w:szCs w:val="18"/>
                <w:highlight w:val="none"/>
                <w:vertAlign w:val="baseline"/>
                <w:lang w:val="en-US" w:eastAsia="zh-CN"/>
              </w:rPr>
              <w:t>圆钢</w:t>
            </w:r>
          </w:p>
        </w:tc>
        <w:tc>
          <w:tcPr>
            <w:tcW w:w="2698" w:type="dxa"/>
            <w:vAlign w:val="center"/>
          </w:tcPr>
          <w:p w14:paraId="387C2909">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rPr>
              <w:t>GB/T 224</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rPr>
              <w:t>20</w:t>
            </w:r>
            <w:r>
              <w:rPr>
                <w:rFonts w:hint="eastAsia" w:ascii="宋体" w:hAnsi="宋体" w:eastAsia="宋体" w:cs="宋体"/>
                <w:sz w:val="18"/>
                <w:szCs w:val="18"/>
                <w:highlight w:val="none"/>
                <w:lang w:val="en-US" w:eastAsia="zh-CN"/>
              </w:rPr>
              <w:t>19</w:t>
            </w:r>
          </w:p>
        </w:tc>
      </w:tr>
      <w:tr w14:paraId="3CDA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A064D26">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hAnsi="宋体" w:cs="宋体"/>
                <w:sz w:val="18"/>
                <w:szCs w:val="18"/>
                <w:highlight w:val="none"/>
                <w:vertAlign w:val="baseline"/>
                <w:lang w:val="en-US" w:eastAsia="zh-CN"/>
              </w:rPr>
              <w:t>8</w:t>
            </w:r>
          </w:p>
        </w:tc>
        <w:tc>
          <w:tcPr>
            <w:tcW w:w="1337" w:type="dxa"/>
            <w:vAlign w:val="center"/>
          </w:tcPr>
          <w:p w14:paraId="4BA61914">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碳化物网状</w:t>
            </w:r>
          </w:p>
        </w:tc>
        <w:tc>
          <w:tcPr>
            <w:tcW w:w="2988" w:type="dxa"/>
            <w:vMerge w:val="restart"/>
            <w:vAlign w:val="center"/>
          </w:tcPr>
          <w:p w14:paraId="38CDF306">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hAnsi="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公称直径</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vertAlign w:val="baseline"/>
                <w:lang w:val="en-US" w:eastAsia="zh-CN"/>
              </w:rPr>
              <w:t>60 mm，取5个</w:t>
            </w:r>
            <w:r>
              <w:rPr>
                <w:rFonts w:hint="eastAsia" w:hAnsi="宋体" w:cs="宋体"/>
                <w:sz w:val="18"/>
                <w:szCs w:val="18"/>
                <w:highlight w:val="none"/>
                <w:vertAlign w:val="baseline"/>
                <w:lang w:val="en-US" w:eastAsia="zh-CN"/>
              </w:rPr>
              <w:t>/批；</w:t>
            </w:r>
          </w:p>
          <w:p w14:paraId="021B3ACD">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公称直径</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vertAlign w:val="baseline"/>
                <w:lang w:val="en-US" w:eastAsia="zh-CN"/>
              </w:rPr>
              <w:t>60 mm，取3个</w:t>
            </w:r>
            <w:r>
              <w:rPr>
                <w:rFonts w:hint="eastAsia" w:hAnsi="宋体" w:cs="宋体"/>
                <w:sz w:val="18"/>
                <w:szCs w:val="18"/>
                <w:highlight w:val="none"/>
                <w:vertAlign w:val="baseline"/>
                <w:lang w:val="en-US" w:eastAsia="zh-CN"/>
              </w:rPr>
              <w:t>/批。</w:t>
            </w:r>
          </w:p>
        </w:tc>
        <w:tc>
          <w:tcPr>
            <w:tcW w:w="1701" w:type="dxa"/>
            <w:vMerge w:val="restart"/>
            <w:vAlign w:val="center"/>
          </w:tcPr>
          <w:p w14:paraId="0281303F">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rPr>
              <w:t>GB/T 18254</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rPr>
              <w:t>2016</w:t>
            </w:r>
          </w:p>
        </w:tc>
        <w:tc>
          <w:tcPr>
            <w:tcW w:w="2698" w:type="dxa"/>
            <w:vMerge w:val="restart"/>
            <w:vAlign w:val="center"/>
          </w:tcPr>
          <w:p w14:paraId="367308B0">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vertAlign w:val="baseline"/>
                <w:lang w:val="en-US" w:eastAsia="zh-CN"/>
              </w:rPr>
              <w:t>GB/T 18254</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vertAlign w:val="baseline"/>
                <w:lang w:val="en-US" w:eastAsia="zh-CN"/>
              </w:rPr>
              <w:t>2016</w:t>
            </w:r>
          </w:p>
        </w:tc>
      </w:tr>
      <w:tr w14:paraId="5DBA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52B607B6">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hAnsi="宋体" w:cs="宋体"/>
                <w:sz w:val="18"/>
                <w:szCs w:val="18"/>
                <w:highlight w:val="none"/>
                <w:vertAlign w:val="baseline"/>
                <w:lang w:val="en-US" w:eastAsia="zh-CN"/>
              </w:rPr>
              <w:t>9</w:t>
            </w:r>
          </w:p>
        </w:tc>
        <w:tc>
          <w:tcPr>
            <w:tcW w:w="1337" w:type="dxa"/>
            <w:vAlign w:val="center"/>
          </w:tcPr>
          <w:p w14:paraId="6BCF373C">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碳化物带状</w:t>
            </w:r>
          </w:p>
        </w:tc>
        <w:tc>
          <w:tcPr>
            <w:tcW w:w="2988" w:type="dxa"/>
            <w:vMerge w:val="continue"/>
            <w:vAlign w:val="center"/>
          </w:tcPr>
          <w:p w14:paraId="14CC4380">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p>
        </w:tc>
        <w:tc>
          <w:tcPr>
            <w:tcW w:w="1701" w:type="dxa"/>
            <w:vMerge w:val="continue"/>
            <w:vAlign w:val="center"/>
          </w:tcPr>
          <w:p w14:paraId="113C92FB">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p>
        </w:tc>
        <w:tc>
          <w:tcPr>
            <w:tcW w:w="2698" w:type="dxa"/>
            <w:vMerge w:val="continue"/>
            <w:vAlign w:val="center"/>
          </w:tcPr>
          <w:p w14:paraId="14433DE2">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rPr>
            </w:pPr>
          </w:p>
        </w:tc>
      </w:tr>
      <w:tr w14:paraId="1426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37020E7F">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hAnsi="宋体" w:cs="宋体"/>
                <w:sz w:val="18"/>
                <w:szCs w:val="18"/>
                <w:highlight w:val="none"/>
                <w:vertAlign w:val="baseline"/>
                <w:lang w:val="en-US" w:eastAsia="zh-CN"/>
              </w:rPr>
              <w:t>10</w:t>
            </w:r>
          </w:p>
        </w:tc>
        <w:tc>
          <w:tcPr>
            <w:tcW w:w="1337" w:type="dxa"/>
            <w:vAlign w:val="center"/>
          </w:tcPr>
          <w:p w14:paraId="74A983F6">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碳化物液析</w:t>
            </w:r>
          </w:p>
        </w:tc>
        <w:tc>
          <w:tcPr>
            <w:tcW w:w="2988" w:type="dxa"/>
            <w:vMerge w:val="continue"/>
            <w:vAlign w:val="center"/>
          </w:tcPr>
          <w:p w14:paraId="72E0CEDD">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p>
        </w:tc>
        <w:tc>
          <w:tcPr>
            <w:tcW w:w="1701" w:type="dxa"/>
            <w:vMerge w:val="continue"/>
            <w:vAlign w:val="center"/>
          </w:tcPr>
          <w:p w14:paraId="59F945FB">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p>
        </w:tc>
        <w:tc>
          <w:tcPr>
            <w:tcW w:w="2698" w:type="dxa"/>
            <w:vMerge w:val="continue"/>
            <w:vAlign w:val="center"/>
          </w:tcPr>
          <w:p w14:paraId="3B213D05">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rPr>
            </w:pPr>
          </w:p>
        </w:tc>
      </w:tr>
    </w:tbl>
    <w:p w14:paraId="589A59F9">
      <w:pPr>
        <w:pStyle w:val="78"/>
        <w:numPr>
          <w:ilvl w:val="0"/>
          <w:numId w:val="0"/>
        </w:numPr>
        <w:spacing w:before="156" w:after="156"/>
        <w:ind w:left="420" w:leftChars="0"/>
        <w:jc w:val="center"/>
        <w:rPr>
          <w:rFonts w:hint="eastAsia" w:hAnsi="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br w:type="page"/>
      </w:r>
      <w:r>
        <w:rPr>
          <w:rFonts w:hint="eastAsia"/>
          <w:lang w:val="en-US" w:eastAsia="zh-CN"/>
        </w:rPr>
        <w:t>表9（续）</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337"/>
        <w:gridCol w:w="2988"/>
        <w:gridCol w:w="1701"/>
        <w:gridCol w:w="2698"/>
      </w:tblGrid>
      <w:tr w14:paraId="0885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21368387">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序号</w:t>
            </w:r>
          </w:p>
        </w:tc>
        <w:tc>
          <w:tcPr>
            <w:tcW w:w="1337" w:type="dxa"/>
            <w:vAlign w:val="center"/>
          </w:tcPr>
          <w:p w14:paraId="3CBFAFA9">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检验项目</w:t>
            </w:r>
          </w:p>
        </w:tc>
        <w:tc>
          <w:tcPr>
            <w:tcW w:w="2988" w:type="dxa"/>
            <w:vAlign w:val="center"/>
          </w:tcPr>
          <w:p w14:paraId="5C1BAF52">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取样数量</w:t>
            </w:r>
            <w:r>
              <w:rPr>
                <w:rFonts w:hint="eastAsia" w:ascii="宋体" w:hAnsi="宋体" w:eastAsia="宋体" w:cs="宋体"/>
                <w:sz w:val="18"/>
                <w:szCs w:val="18"/>
                <w:highlight w:val="none"/>
                <w:vertAlign w:val="superscript"/>
                <w:lang w:val="en-US" w:eastAsia="zh-CN"/>
              </w:rPr>
              <w:t>a</w:t>
            </w:r>
          </w:p>
        </w:tc>
        <w:tc>
          <w:tcPr>
            <w:tcW w:w="1701" w:type="dxa"/>
            <w:vAlign w:val="center"/>
          </w:tcPr>
          <w:p w14:paraId="112CFC83">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取样部位</w:t>
            </w:r>
          </w:p>
        </w:tc>
        <w:tc>
          <w:tcPr>
            <w:tcW w:w="2698" w:type="dxa"/>
            <w:vAlign w:val="center"/>
          </w:tcPr>
          <w:p w14:paraId="764B10EE">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试验方法</w:t>
            </w:r>
          </w:p>
        </w:tc>
      </w:tr>
      <w:tr w14:paraId="7017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vAlign w:val="center"/>
          </w:tcPr>
          <w:p w14:paraId="4CEB87EB">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hAnsi="宋体" w:cs="宋体"/>
                <w:sz w:val="18"/>
                <w:szCs w:val="18"/>
                <w:highlight w:val="none"/>
                <w:vertAlign w:val="baseline"/>
                <w:lang w:val="en-US" w:eastAsia="zh-CN"/>
              </w:rPr>
              <w:t>11</w:t>
            </w:r>
          </w:p>
        </w:tc>
        <w:tc>
          <w:tcPr>
            <w:tcW w:w="1337" w:type="dxa"/>
            <w:vAlign w:val="center"/>
          </w:tcPr>
          <w:p w14:paraId="59B6293B">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显微孔隙</w:t>
            </w:r>
          </w:p>
        </w:tc>
        <w:tc>
          <w:tcPr>
            <w:tcW w:w="2988" w:type="dxa"/>
            <w:vAlign w:val="center"/>
          </w:tcPr>
          <w:p w14:paraId="34C3910B">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hAnsi="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公称直径</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vertAlign w:val="baseline"/>
                <w:lang w:val="en-US" w:eastAsia="zh-CN"/>
              </w:rPr>
              <w:t>60 mm，取5个</w:t>
            </w:r>
            <w:r>
              <w:rPr>
                <w:rFonts w:hint="eastAsia" w:hAnsi="宋体" w:cs="宋体"/>
                <w:sz w:val="18"/>
                <w:szCs w:val="18"/>
                <w:highlight w:val="none"/>
                <w:vertAlign w:val="baseline"/>
                <w:lang w:val="en-US" w:eastAsia="zh-CN"/>
              </w:rPr>
              <w:t>/批；</w:t>
            </w:r>
          </w:p>
          <w:p w14:paraId="3A6FCDDC">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公称直径</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vertAlign w:val="baseline"/>
                <w:lang w:val="en-US" w:eastAsia="zh-CN"/>
              </w:rPr>
              <w:t>60 mm，取3个</w:t>
            </w:r>
            <w:r>
              <w:rPr>
                <w:rFonts w:hint="eastAsia" w:hAnsi="宋体" w:cs="宋体"/>
                <w:sz w:val="18"/>
                <w:szCs w:val="18"/>
                <w:highlight w:val="none"/>
                <w:vertAlign w:val="baseline"/>
                <w:lang w:val="en-US" w:eastAsia="zh-CN"/>
              </w:rPr>
              <w:t>/批。</w:t>
            </w:r>
          </w:p>
        </w:tc>
        <w:tc>
          <w:tcPr>
            <w:tcW w:w="1701" w:type="dxa"/>
            <w:vAlign w:val="center"/>
          </w:tcPr>
          <w:p w14:paraId="7DBE34E9">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rPr>
              <w:t>GB/T 18254</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rPr>
              <w:t>2016</w:t>
            </w:r>
          </w:p>
        </w:tc>
        <w:tc>
          <w:tcPr>
            <w:tcW w:w="2698" w:type="dxa"/>
            <w:vAlign w:val="center"/>
          </w:tcPr>
          <w:p w14:paraId="12D8B9F6">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vertAlign w:val="baseline"/>
                <w:lang w:val="en-US" w:eastAsia="zh-CN"/>
              </w:rPr>
              <w:t>GB/T 18254</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vertAlign w:val="baseline"/>
                <w:lang w:val="en-US" w:eastAsia="zh-CN"/>
              </w:rPr>
              <w:t>2016</w:t>
            </w:r>
          </w:p>
        </w:tc>
      </w:tr>
      <w:tr w14:paraId="0E25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shd w:val="clear" w:color="auto" w:fill="auto"/>
            <w:vAlign w:val="center"/>
          </w:tcPr>
          <w:p w14:paraId="432E28A1">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w:t>
            </w:r>
            <w:r>
              <w:rPr>
                <w:rFonts w:hint="eastAsia" w:hAnsi="宋体" w:cs="宋体"/>
                <w:sz w:val="18"/>
                <w:szCs w:val="18"/>
                <w:highlight w:val="none"/>
                <w:vertAlign w:val="baseline"/>
                <w:lang w:val="en-US" w:eastAsia="zh-CN"/>
              </w:rPr>
              <w:t>2</w:t>
            </w:r>
          </w:p>
        </w:tc>
        <w:tc>
          <w:tcPr>
            <w:tcW w:w="1337" w:type="dxa"/>
            <w:shd w:val="clear" w:color="auto" w:fill="auto"/>
            <w:vAlign w:val="center"/>
          </w:tcPr>
          <w:p w14:paraId="50ED1A97">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超声检测</w:t>
            </w:r>
          </w:p>
        </w:tc>
        <w:tc>
          <w:tcPr>
            <w:tcW w:w="2988" w:type="dxa"/>
            <w:shd w:val="clear" w:color="auto" w:fill="auto"/>
            <w:vAlign w:val="center"/>
          </w:tcPr>
          <w:p w14:paraId="0C29D70E">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逐支</w:t>
            </w:r>
          </w:p>
        </w:tc>
        <w:tc>
          <w:tcPr>
            <w:tcW w:w="1701" w:type="dxa"/>
            <w:shd w:val="clear" w:color="auto" w:fill="auto"/>
            <w:vAlign w:val="center"/>
          </w:tcPr>
          <w:p w14:paraId="692E397E">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整支</w:t>
            </w:r>
            <w:r>
              <w:rPr>
                <w:rFonts w:hint="eastAsia" w:hAnsi="宋体" w:cs="宋体"/>
                <w:sz w:val="18"/>
                <w:szCs w:val="18"/>
                <w:highlight w:val="none"/>
                <w:vertAlign w:val="baseline"/>
                <w:lang w:val="en-US" w:eastAsia="zh-CN"/>
              </w:rPr>
              <w:t>圆钢</w:t>
            </w:r>
          </w:p>
        </w:tc>
        <w:tc>
          <w:tcPr>
            <w:tcW w:w="2698" w:type="dxa"/>
            <w:vAlign w:val="center"/>
          </w:tcPr>
          <w:p w14:paraId="2C23D9A5">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rPr>
              <w:t>GB/T 4162</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rPr>
              <w:t>2022</w:t>
            </w:r>
          </w:p>
        </w:tc>
      </w:tr>
      <w:tr w14:paraId="34DA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shd w:val="clear" w:color="auto" w:fill="auto"/>
            <w:vAlign w:val="center"/>
          </w:tcPr>
          <w:p w14:paraId="0A4C4F61">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1</w:t>
            </w:r>
            <w:r>
              <w:rPr>
                <w:rFonts w:hint="eastAsia" w:hAnsi="宋体" w:cs="宋体"/>
                <w:sz w:val="18"/>
                <w:szCs w:val="18"/>
                <w:highlight w:val="none"/>
                <w:vertAlign w:val="baseline"/>
                <w:lang w:val="en-US" w:eastAsia="zh-CN"/>
              </w:rPr>
              <w:t>3</w:t>
            </w:r>
          </w:p>
        </w:tc>
        <w:tc>
          <w:tcPr>
            <w:tcW w:w="1337" w:type="dxa"/>
            <w:shd w:val="clear" w:color="auto" w:fill="auto"/>
            <w:vAlign w:val="center"/>
          </w:tcPr>
          <w:p w14:paraId="1EF11AA3">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表面质量</w:t>
            </w:r>
          </w:p>
        </w:tc>
        <w:tc>
          <w:tcPr>
            <w:tcW w:w="2988" w:type="dxa"/>
            <w:shd w:val="clear" w:color="auto" w:fill="auto"/>
            <w:vAlign w:val="center"/>
          </w:tcPr>
          <w:p w14:paraId="7C062560">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逐支</w:t>
            </w:r>
          </w:p>
        </w:tc>
        <w:tc>
          <w:tcPr>
            <w:tcW w:w="1701" w:type="dxa"/>
            <w:shd w:val="clear" w:color="auto" w:fill="auto"/>
            <w:vAlign w:val="center"/>
          </w:tcPr>
          <w:p w14:paraId="144AA7F0">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整支</w:t>
            </w:r>
            <w:r>
              <w:rPr>
                <w:rFonts w:hint="eastAsia" w:hAnsi="宋体" w:cs="宋体"/>
                <w:sz w:val="18"/>
                <w:szCs w:val="18"/>
                <w:highlight w:val="none"/>
                <w:vertAlign w:val="baseline"/>
                <w:lang w:val="en-US" w:eastAsia="zh-CN"/>
              </w:rPr>
              <w:t>圆钢</w:t>
            </w:r>
          </w:p>
        </w:tc>
        <w:tc>
          <w:tcPr>
            <w:tcW w:w="2698" w:type="dxa"/>
            <w:vAlign w:val="center"/>
          </w:tcPr>
          <w:p w14:paraId="4DF28431">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GB/T 32547</w:t>
            </w:r>
            <w:r>
              <w:rPr>
                <w:rFonts w:hint="eastAsia" w:hAnsi="宋体" w:cs="宋体"/>
                <w:sz w:val="18"/>
                <w:szCs w:val="18"/>
                <w:highlight w:val="none"/>
                <w:vertAlign w:val="baseline"/>
                <w:lang w:val="en-US" w:eastAsia="zh-CN"/>
              </w:rPr>
              <w:t>—</w:t>
            </w:r>
            <w:r>
              <w:rPr>
                <w:rFonts w:hint="eastAsia" w:ascii="宋体" w:hAnsi="宋体" w:eastAsia="宋体" w:cs="宋体"/>
                <w:sz w:val="18"/>
                <w:szCs w:val="18"/>
                <w:highlight w:val="none"/>
                <w:lang w:val="en-US" w:eastAsia="zh-CN"/>
              </w:rPr>
              <w:t>2016</w:t>
            </w:r>
          </w:p>
        </w:tc>
      </w:tr>
      <w:tr w14:paraId="1A05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shd w:val="clear" w:color="auto" w:fill="auto"/>
            <w:vAlign w:val="center"/>
          </w:tcPr>
          <w:p w14:paraId="26DA1443">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1</w:t>
            </w:r>
            <w:r>
              <w:rPr>
                <w:rFonts w:hint="eastAsia" w:hAnsi="宋体" w:cs="宋体"/>
                <w:sz w:val="18"/>
                <w:szCs w:val="18"/>
                <w:highlight w:val="none"/>
                <w:vertAlign w:val="baseline"/>
                <w:lang w:val="en-US" w:eastAsia="zh-CN"/>
              </w:rPr>
              <w:t>4</w:t>
            </w:r>
          </w:p>
        </w:tc>
        <w:tc>
          <w:tcPr>
            <w:tcW w:w="1337" w:type="dxa"/>
            <w:shd w:val="clear" w:color="auto" w:fill="auto"/>
            <w:vAlign w:val="center"/>
          </w:tcPr>
          <w:p w14:paraId="548C695D">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尺寸、外形</w:t>
            </w:r>
          </w:p>
        </w:tc>
        <w:tc>
          <w:tcPr>
            <w:tcW w:w="2988" w:type="dxa"/>
            <w:shd w:val="clear" w:color="auto" w:fill="auto"/>
            <w:vAlign w:val="center"/>
          </w:tcPr>
          <w:p w14:paraId="1F525D5D">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逐支</w:t>
            </w:r>
          </w:p>
        </w:tc>
        <w:tc>
          <w:tcPr>
            <w:tcW w:w="1701" w:type="dxa"/>
            <w:shd w:val="clear" w:color="auto" w:fill="auto"/>
            <w:vAlign w:val="center"/>
          </w:tcPr>
          <w:p w14:paraId="5C986F98">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整支</w:t>
            </w:r>
            <w:r>
              <w:rPr>
                <w:rFonts w:hint="eastAsia" w:hAnsi="宋体" w:cs="宋体"/>
                <w:sz w:val="18"/>
                <w:szCs w:val="18"/>
                <w:highlight w:val="none"/>
                <w:vertAlign w:val="baseline"/>
                <w:lang w:val="en-US" w:eastAsia="zh-CN"/>
              </w:rPr>
              <w:t>圆钢</w:t>
            </w:r>
          </w:p>
        </w:tc>
        <w:tc>
          <w:tcPr>
            <w:tcW w:w="2698" w:type="dxa"/>
            <w:vAlign w:val="center"/>
          </w:tcPr>
          <w:p w14:paraId="0D8D7668">
            <w:pPr>
              <w:keepNext w:val="0"/>
              <w:keepLines w:val="0"/>
              <w:widowControl/>
              <w:numPr>
                <w:ilvl w:val="-1"/>
                <w:numId w:val="0"/>
              </w:numPr>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卡尺、千分尺、目视或其他等效方式</w:t>
            </w:r>
          </w:p>
        </w:tc>
      </w:tr>
      <w:tr w14:paraId="53BE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shd w:val="clear" w:color="auto" w:fill="auto"/>
            <w:vAlign w:val="center"/>
          </w:tcPr>
          <w:p w14:paraId="2900525A">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15</w:t>
            </w:r>
          </w:p>
        </w:tc>
        <w:tc>
          <w:tcPr>
            <w:tcW w:w="1337" w:type="dxa"/>
            <w:shd w:val="clear" w:color="auto" w:fill="auto"/>
            <w:vAlign w:val="center"/>
          </w:tcPr>
          <w:p w14:paraId="4935D09C">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淬火断口检测</w:t>
            </w:r>
          </w:p>
        </w:tc>
        <w:tc>
          <w:tcPr>
            <w:tcW w:w="2988" w:type="dxa"/>
            <w:shd w:val="clear" w:color="auto" w:fill="auto"/>
            <w:vAlign w:val="center"/>
          </w:tcPr>
          <w:p w14:paraId="63055379">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p>
        </w:tc>
        <w:tc>
          <w:tcPr>
            <w:tcW w:w="1701" w:type="dxa"/>
            <w:shd w:val="clear" w:color="auto" w:fill="auto"/>
            <w:vAlign w:val="center"/>
          </w:tcPr>
          <w:p w14:paraId="795CA10D">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p>
        </w:tc>
        <w:tc>
          <w:tcPr>
            <w:tcW w:w="2698" w:type="dxa"/>
            <w:vAlign w:val="center"/>
          </w:tcPr>
          <w:p w14:paraId="0AF84064">
            <w:pPr>
              <w:keepNext w:val="0"/>
              <w:keepLines w:val="0"/>
              <w:widowControl/>
              <w:numPr>
                <w:ilvl w:val="-1"/>
                <w:numId w:val="0"/>
              </w:numPr>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kern w:val="0"/>
                <w:sz w:val="18"/>
                <w:szCs w:val="18"/>
                <w:highlight w:val="none"/>
              </w:rPr>
            </w:pPr>
          </w:p>
        </w:tc>
      </w:tr>
      <w:tr w14:paraId="571E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shd w:val="clear" w:color="auto" w:fill="auto"/>
            <w:vAlign w:val="center"/>
          </w:tcPr>
          <w:p w14:paraId="043BE795">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hAnsi="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16</w:t>
            </w:r>
          </w:p>
        </w:tc>
        <w:tc>
          <w:tcPr>
            <w:tcW w:w="1337" w:type="dxa"/>
            <w:shd w:val="clear" w:color="auto" w:fill="auto"/>
            <w:vAlign w:val="center"/>
          </w:tcPr>
          <w:p w14:paraId="20ABFD1A">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宋体" w:hAnsi="宋体" w:eastAsia="宋体" w:cs="宋体"/>
                <w:sz w:val="18"/>
                <w:szCs w:val="18"/>
                <w:highlight w:val="none"/>
                <w:vertAlign w:val="baseline"/>
                <w:lang w:val="en-US" w:eastAsia="zh-CN"/>
              </w:rPr>
            </w:pPr>
            <w:r>
              <w:rPr>
                <w:rFonts w:hint="eastAsia" w:hAnsi="宋体" w:cs="宋体"/>
                <w:sz w:val="18"/>
                <w:szCs w:val="18"/>
                <w:highlight w:val="none"/>
                <w:vertAlign w:val="baseline"/>
                <w:lang w:val="en-US" w:eastAsia="zh-CN"/>
              </w:rPr>
              <w:t>高频超声检测</w:t>
            </w:r>
          </w:p>
        </w:tc>
        <w:tc>
          <w:tcPr>
            <w:tcW w:w="2988" w:type="dxa"/>
            <w:shd w:val="clear" w:color="auto" w:fill="auto"/>
            <w:vAlign w:val="center"/>
          </w:tcPr>
          <w:p w14:paraId="3C9D0FF2">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p>
        </w:tc>
        <w:tc>
          <w:tcPr>
            <w:tcW w:w="1701" w:type="dxa"/>
            <w:shd w:val="clear" w:color="auto" w:fill="auto"/>
            <w:vAlign w:val="center"/>
          </w:tcPr>
          <w:p w14:paraId="2DC80EB5">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sz w:val="18"/>
                <w:szCs w:val="18"/>
                <w:highlight w:val="none"/>
                <w:vertAlign w:val="baseline"/>
                <w:lang w:val="en-US" w:eastAsia="zh-CN"/>
              </w:rPr>
            </w:pPr>
          </w:p>
        </w:tc>
        <w:tc>
          <w:tcPr>
            <w:tcW w:w="2698" w:type="dxa"/>
            <w:vAlign w:val="center"/>
          </w:tcPr>
          <w:p w14:paraId="2A52A48E">
            <w:pPr>
              <w:keepNext w:val="0"/>
              <w:keepLines w:val="0"/>
              <w:widowControl/>
              <w:numPr>
                <w:ilvl w:val="-1"/>
                <w:numId w:val="0"/>
              </w:numPr>
              <w:suppressLineNumbers w:val="0"/>
              <w:spacing w:before="0" w:beforeAutospacing="0" w:after="0" w:afterAutospacing="0" w:line="240" w:lineRule="exact"/>
              <w:ind w:left="0" w:leftChars="0" w:right="0" w:rightChars="0" w:firstLine="0" w:firstLineChars="0"/>
              <w:jc w:val="center"/>
              <w:rPr>
                <w:rFonts w:hint="eastAsia" w:ascii="宋体" w:hAnsi="宋体" w:eastAsia="宋体" w:cs="宋体"/>
                <w:kern w:val="0"/>
                <w:sz w:val="18"/>
                <w:szCs w:val="18"/>
                <w:highlight w:val="none"/>
              </w:rPr>
            </w:pPr>
          </w:p>
        </w:tc>
      </w:tr>
      <w:tr w14:paraId="7238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5" w:type="dxa"/>
            <w:gridSpan w:val="5"/>
            <w:vAlign w:val="center"/>
          </w:tcPr>
          <w:p w14:paraId="0F8AA14E">
            <w:pPr>
              <w:pStyle w:val="2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360" w:firstLineChars="200"/>
              <w:jc w:val="left"/>
              <w:textAlignment w:val="auto"/>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superscript"/>
                <w:lang w:val="en-US" w:eastAsia="zh-CN"/>
              </w:rPr>
              <w:t xml:space="preserve">a  </w:t>
            </w:r>
            <w:r>
              <w:rPr>
                <w:rFonts w:hint="eastAsia" w:ascii="宋体" w:hAnsi="宋体" w:eastAsia="宋体" w:cs="宋体"/>
                <w:sz w:val="18"/>
                <w:szCs w:val="18"/>
                <w:highlight w:val="none"/>
                <w:vertAlign w:val="baseline"/>
                <w:lang w:val="en-US" w:eastAsia="zh-CN"/>
              </w:rPr>
              <w:t>取样数量达不到规定时，应逐支取样。</w:t>
            </w:r>
          </w:p>
        </w:tc>
      </w:tr>
      <w:bookmarkEnd w:id="16"/>
      <w:bookmarkEnd w:id="17"/>
    </w:tbl>
    <w:p w14:paraId="227F09D3">
      <w:pPr>
        <w:pStyle w:val="160"/>
        <w:spacing w:before="312" w:after="312"/>
        <w:rPr>
          <w:rFonts w:hint="default" w:hAnsi="Times New Roman" w:cs="Times New Roman"/>
          <w:lang w:val="en-US" w:eastAsia="zh-CN"/>
        </w:rPr>
      </w:pPr>
      <w:r>
        <w:rPr>
          <w:rFonts w:hint="default" w:hAnsi="Times New Roman" w:cs="Times New Roman"/>
          <w:lang w:val="en-US" w:eastAsia="zh-CN"/>
        </w:rPr>
        <w:t>检验规则</w:t>
      </w:r>
    </w:p>
    <w:p w14:paraId="1664BB3F">
      <w:pPr>
        <w:pStyle w:val="158"/>
        <w:numPr>
          <w:ilvl w:val="2"/>
          <w:numId w:val="5"/>
        </w:numPr>
        <w:spacing w:before="156" w:after="156"/>
        <w:ind w:left="0" w:leftChars="0" w:firstLine="0" w:firstLineChars="0"/>
        <w:outlineLvl w:val="1"/>
        <w:rPr>
          <w:rFonts w:hint="default" w:ascii="黑体" w:hAnsi="黑体" w:eastAsia="黑体" w:cs="黑体"/>
          <w:lang w:val="en-US" w:eastAsia="zh-CN"/>
        </w:rPr>
      </w:pPr>
      <w:r>
        <w:rPr>
          <w:rFonts w:hint="default" w:ascii="黑体" w:hAnsi="黑体" w:eastAsia="黑体" w:cs="黑体"/>
          <w:lang w:val="en-US" w:eastAsia="zh-CN"/>
        </w:rPr>
        <w:t>检查</w:t>
      </w:r>
      <w:r>
        <w:rPr>
          <w:rFonts w:hint="eastAsia" w:ascii="黑体" w:hAnsi="黑体" w:eastAsia="黑体" w:cs="黑体"/>
          <w:lang w:val="en-US" w:eastAsia="zh-CN"/>
        </w:rPr>
        <w:t>与</w:t>
      </w:r>
      <w:r>
        <w:rPr>
          <w:rFonts w:hint="default" w:ascii="黑体" w:hAnsi="黑体" w:eastAsia="黑体" w:cs="黑体"/>
          <w:lang w:val="en-US" w:eastAsia="zh-CN"/>
        </w:rPr>
        <w:t>验收</w:t>
      </w:r>
    </w:p>
    <w:p w14:paraId="62D6E567">
      <w:pPr>
        <w:pStyle w:val="48"/>
        <w:keepNext w:val="0"/>
        <w:keepLines w:val="0"/>
        <w:pageBreakBefore w:val="0"/>
        <w:widowControl/>
        <w:numPr>
          <w:ilvl w:val="-1"/>
          <w:numId w:val="0"/>
        </w:numPr>
        <w:kinsoku/>
        <w:wordWrap/>
        <w:overflowPunct/>
        <w:topLinePunct w:val="0"/>
        <w:autoSpaceDE/>
        <w:autoSpaceDN/>
        <w:bidi w:val="0"/>
        <w:adjustRightInd/>
        <w:snapToGrid/>
        <w:spacing w:beforeLines="0" w:afterLines="0"/>
        <w:ind w:left="0" w:firstLine="420" w:firstLineChars="200"/>
        <w:jc w:val="both"/>
        <w:textAlignment w:val="auto"/>
        <w:rPr>
          <w:rFonts w:hint="default" w:ascii="Times New Roman" w:hAnsi="Times New Roman" w:eastAsia="宋体" w:cs="Times New Roman"/>
          <w:lang w:val="en-US" w:eastAsia="zh-CN"/>
        </w:rPr>
      </w:pPr>
      <w:r>
        <w:rPr>
          <w:rFonts w:hint="eastAsia" w:ascii="Times New Roman" w:eastAsia="宋体" w:cs="Times New Roman"/>
          <w:lang w:val="en-US" w:eastAsia="zh-CN"/>
        </w:rPr>
        <w:t>圆钢</w:t>
      </w:r>
      <w:r>
        <w:rPr>
          <w:rFonts w:hint="default" w:ascii="Times New Roman" w:hAnsi="Times New Roman" w:eastAsia="宋体" w:cs="Times New Roman"/>
          <w:lang w:val="en-US" w:eastAsia="zh-CN"/>
        </w:rPr>
        <w:t>由供方质量技术监督部门进行</w:t>
      </w:r>
      <w:r>
        <w:rPr>
          <w:rFonts w:hint="eastAsia" w:ascii="Times New Roman" w:eastAsia="宋体" w:cs="Times New Roman"/>
          <w:lang w:val="en-US" w:eastAsia="zh-CN"/>
        </w:rPr>
        <w:t>质量检查与验收</w:t>
      </w:r>
      <w:r>
        <w:rPr>
          <w:rFonts w:hint="default" w:ascii="Times New Roman" w:hAnsi="Times New Roman" w:eastAsia="宋体" w:cs="Times New Roman"/>
          <w:lang w:val="en-US" w:eastAsia="zh-CN"/>
        </w:rPr>
        <w:t>。</w:t>
      </w:r>
    </w:p>
    <w:p w14:paraId="359B1C73">
      <w:pPr>
        <w:pStyle w:val="158"/>
        <w:numPr>
          <w:ilvl w:val="2"/>
          <w:numId w:val="5"/>
        </w:numPr>
        <w:spacing w:before="156" w:after="156"/>
        <w:ind w:left="0" w:leftChars="0" w:firstLine="0" w:firstLineChars="0"/>
        <w:outlineLvl w:val="1"/>
        <w:rPr>
          <w:rFonts w:hint="default" w:ascii="黑体" w:hAnsi="黑体" w:eastAsia="黑体" w:cs="黑体"/>
          <w:lang w:val="en-US" w:eastAsia="zh-CN"/>
        </w:rPr>
      </w:pPr>
      <w:r>
        <w:rPr>
          <w:rFonts w:hint="default" w:ascii="黑体" w:hAnsi="黑体" w:eastAsia="黑体" w:cs="黑体"/>
          <w:lang w:val="en-US" w:eastAsia="zh-CN"/>
        </w:rPr>
        <w:t>组批规则</w:t>
      </w:r>
    </w:p>
    <w:p w14:paraId="768DE61B">
      <w:pPr>
        <w:pStyle w:val="23"/>
        <w:rPr>
          <w:rFonts w:hint="default"/>
          <w:lang w:val="en-US" w:eastAsia="zh-CN"/>
        </w:rPr>
      </w:pPr>
      <w:r>
        <w:rPr>
          <w:rFonts w:hint="eastAsia"/>
          <w:lang w:val="en-US" w:eastAsia="zh-CN"/>
        </w:rPr>
        <w:t>圆钢</w:t>
      </w:r>
      <w:r>
        <w:rPr>
          <w:rFonts w:hint="default"/>
          <w:lang w:val="en-US" w:eastAsia="zh-CN"/>
        </w:rPr>
        <w:t>应按批进行检查和验收</w:t>
      </w:r>
      <w:r>
        <w:rPr>
          <w:rFonts w:hint="eastAsia"/>
          <w:lang w:val="en-US" w:eastAsia="zh-CN"/>
        </w:rPr>
        <w:t>，</w:t>
      </w:r>
      <w:r>
        <w:rPr>
          <w:rFonts w:hint="default"/>
          <w:lang w:val="en-US" w:eastAsia="zh-CN"/>
        </w:rPr>
        <w:t>每批由同一炉号</w:t>
      </w:r>
      <w:r>
        <w:rPr>
          <w:rFonts w:hint="eastAsia"/>
          <w:lang w:val="en-US" w:eastAsia="zh-CN"/>
        </w:rPr>
        <w:t>、</w:t>
      </w:r>
      <w:r>
        <w:rPr>
          <w:rFonts w:hint="default"/>
          <w:lang w:val="en-US" w:eastAsia="zh-CN"/>
        </w:rPr>
        <w:t>同一牌号</w:t>
      </w:r>
      <w:r>
        <w:rPr>
          <w:rFonts w:hint="eastAsia"/>
          <w:lang w:val="en-US" w:eastAsia="zh-CN"/>
        </w:rPr>
        <w:t>、</w:t>
      </w:r>
      <w:r>
        <w:rPr>
          <w:rFonts w:hint="default"/>
          <w:lang w:val="en-US" w:eastAsia="zh-CN"/>
        </w:rPr>
        <w:t>同一尺寸</w:t>
      </w:r>
      <w:r>
        <w:rPr>
          <w:rFonts w:hint="eastAsia"/>
          <w:lang w:val="en-US" w:eastAsia="zh-CN"/>
        </w:rPr>
        <w:t>、</w:t>
      </w:r>
      <w:r>
        <w:rPr>
          <w:rFonts w:hint="default"/>
          <w:lang w:val="en-US" w:eastAsia="zh-CN"/>
        </w:rPr>
        <w:t>同一交货状态和同一热处理炉</w:t>
      </w:r>
      <w:r>
        <w:rPr>
          <w:rFonts w:hint="eastAsia"/>
          <w:lang w:val="en-US" w:eastAsia="zh-CN"/>
        </w:rPr>
        <w:t>次</w:t>
      </w:r>
      <w:r>
        <w:rPr>
          <w:rFonts w:hint="default"/>
          <w:lang w:val="en-US" w:eastAsia="zh-CN"/>
        </w:rPr>
        <w:t>的</w:t>
      </w:r>
      <w:r>
        <w:rPr>
          <w:rFonts w:hint="eastAsia"/>
          <w:lang w:val="en-US" w:eastAsia="zh-CN"/>
        </w:rPr>
        <w:t>圆钢</w:t>
      </w:r>
      <w:r>
        <w:rPr>
          <w:rFonts w:hint="default"/>
          <w:lang w:val="en-US" w:eastAsia="zh-CN"/>
        </w:rPr>
        <w:t>组成。</w:t>
      </w:r>
    </w:p>
    <w:p w14:paraId="431C0D55">
      <w:pPr>
        <w:pStyle w:val="158"/>
        <w:numPr>
          <w:ilvl w:val="2"/>
          <w:numId w:val="5"/>
        </w:numPr>
        <w:spacing w:before="156" w:after="156"/>
        <w:ind w:left="0" w:leftChars="0" w:firstLine="0" w:firstLineChars="0"/>
        <w:outlineLvl w:val="1"/>
        <w:rPr>
          <w:rFonts w:hint="default" w:ascii="黑体" w:hAnsi="黑体" w:eastAsia="黑体" w:cs="黑体"/>
          <w:lang w:val="en-US" w:eastAsia="zh-CN"/>
        </w:rPr>
      </w:pPr>
      <w:r>
        <w:rPr>
          <w:rFonts w:hint="eastAsia" w:ascii="黑体" w:hAnsi="黑体" w:eastAsia="黑体" w:cs="黑体"/>
          <w:lang w:val="en-US" w:eastAsia="zh-CN"/>
        </w:rPr>
        <w:t>取样数量和取样部位</w:t>
      </w:r>
    </w:p>
    <w:p w14:paraId="1DD75F5E">
      <w:pPr>
        <w:pStyle w:val="15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圆钢的取样数量和取样部位应符合表9的规定。</w:t>
      </w:r>
    </w:p>
    <w:p w14:paraId="5923C918">
      <w:pPr>
        <w:pStyle w:val="15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宋体" w:hAnsi="Times New Roman" w:eastAsia="宋体" w:cs="Times New Roman"/>
          <w:sz w:val="21"/>
          <w:lang w:val="en-US" w:eastAsia="zh-CN" w:bidi="ar-SA"/>
        </w:rPr>
        <w:t>化学分析用试样取样按GB/T</w:t>
      </w:r>
      <w:r>
        <w:rPr>
          <w:rFonts w:hint="eastAsia" w:ascii="宋体" w:eastAsia="宋体" w:cs="Times New Roman"/>
          <w:sz w:val="21"/>
          <w:lang w:val="en-US" w:eastAsia="zh-CN" w:bidi="ar-SA"/>
        </w:rPr>
        <w:t xml:space="preserve"> </w:t>
      </w:r>
      <w:r>
        <w:rPr>
          <w:rFonts w:hint="eastAsia" w:ascii="宋体" w:hAnsi="Times New Roman" w:eastAsia="宋体" w:cs="Times New Roman"/>
          <w:sz w:val="21"/>
          <w:lang w:val="en-US" w:eastAsia="zh-CN" w:bidi="ar-SA"/>
        </w:rPr>
        <w:t>20066规定进行，氧含量在钢</w:t>
      </w:r>
      <w:r>
        <w:rPr>
          <w:rFonts w:hint="eastAsia" w:ascii="宋体" w:eastAsia="宋体" w:cs="Times New Roman"/>
          <w:sz w:val="21"/>
          <w:lang w:val="en-US" w:eastAsia="zh-CN" w:bidi="ar-SA"/>
        </w:rPr>
        <w:t>坯</w:t>
      </w:r>
      <w:r>
        <w:rPr>
          <w:rFonts w:hint="eastAsia" w:ascii="宋体" w:hAnsi="Times New Roman" w:eastAsia="宋体" w:cs="Times New Roman"/>
          <w:sz w:val="21"/>
          <w:lang w:val="en-US" w:eastAsia="zh-CN" w:bidi="ar-SA"/>
        </w:rPr>
        <w:t>或</w:t>
      </w:r>
      <w:r>
        <w:rPr>
          <w:rFonts w:hint="eastAsia" w:ascii="宋体" w:eastAsia="宋体" w:cs="Times New Roman"/>
          <w:sz w:val="21"/>
          <w:lang w:val="en-US" w:eastAsia="zh-CN" w:bidi="ar-SA"/>
        </w:rPr>
        <w:t>圆钢</w:t>
      </w:r>
      <w:r>
        <w:rPr>
          <w:rFonts w:hint="eastAsia" w:ascii="宋体" w:hAnsi="Times New Roman" w:eastAsia="宋体" w:cs="Times New Roman"/>
          <w:sz w:val="21"/>
          <w:lang w:val="en-US" w:eastAsia="zh-CN" w:bidi="ar-SA"/>
        </w:rPr>
        <w:t>上测定，其取样部位在</w:t>
      </w:r>
      <w:r>
        <w:rPr>
          <w:rFonts w:hint="eastAsia" w:ascii="宋体" w:eastAsia="宋体" w:cs="Times New Roman"/>
          <w:sz w:val="21"/>
          <w:lang w:val="en-US" w:eastAsia="zh-CN" w:bidi="ar-SA"/>
        </w:rPr>
        <w:t>圆钢</w:t>
      </w:r>
      <w:r>
        <w:rPr>
          <w:rFonts w:hint="eastAsia" w:ascii="宋体" w:hAnsi="Times New Roman" w:eastAsia="宋体" w:cs="Times New Roman"/>
          <w:sz w:val="21"/>
          <w:lang w:val="en-US" w:eastAsia="zh-CN" w:bidi="ar-SA"/>
        </w:rPr>
        <w:t>半径二分之一处。</w:t>
      </w:r>
    </w:p>
    <w:p w14:paraId="65C3C6BE">
      <w:pPr>
        <w:pStyle w:val="158"/>
        <w:numPr>
          <w:ilvl w:val="2"/>
          <w:numId w:val="5"/>
        </w:numPr>
        <w:spacing w:before="156" w:after="156"/>
        <w:ind w:left="0" w:leftChars="0" w:firstLine="0" w:firstLineChars="0"/>
        <w:outlineLvl w:val="1"/>
        <w:rPr>
          <w:rFonts w:hint="default" w:ascii="黑体" w:hAnsi="黑体" w:eastAsia="黑体" w:cs="黑体"/>
          <w:lang w:val="en-US" w:eastAsia="zh-CN"/>
        </w:rPr>
      </w:pPr>
      <w:r>
        <w:rPr>
          <w:rFonts w:hint="default" w:ascii="黑体" w:hAnsi="黑体" w:eastAsia="黑体" w:cs="黑体"/>
          <w:lang w:val="en-US" w:eastAsia="zh-CN"/>
        </w:rPr>
        <w:t>复验与判定规则</w:t>
      </w:r>
    </w:p>
    <w:p w14:paraId="602D89AE">
      <w:pPr>
        <w:pStyle w:val="15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若检验</w:t>
      </w:r>
      <w:r>
        <w:rPr>
          <w:rFonts w:hint="eastAsia" w:ascii="宋体" w:hAnsi="Times New Roman" w:eastAsia="宋体" w:cs="Times New Roman"/>
          <w:lang w:val="en-US" w:eastAsia="zh-CN"/>
        </w:rPr>
        <w:t>项目</w:t>
      </w:r>
      <w:r>
        <w:rPr>
          <w:rFonts w:hint="eastAsia" w:ascii="宋体" w:hAnsi="宋体" w:eastAsia="宋体" w:cs="宋体"/>
          <w:lang w:val="en-US" w:eastAsia="zh-CN"/>
        </w:rPr>
        <w:t>中有任一检验项目不合格时(非金属夹杂物除外)，可重新取样对不合格项目进行复验，取样数量与初验相同(氧含量除外)。复验合格则该批圆钢判定合格</w:t>
      </w:r>
      <w:r>
        <w:rPr>
          <w:rFonts w:hint="eastAsia" w:ascii="宋体" w:hAnsi="宋体" w:cs="宋体"/>
          <w:lang w:val="en-US" w:eastAsia="zh-CN"/>
        </w:rPr>
        <w:t>；</w:t>
      </w:r>
      <w:r>
        <w:rPr>
          <w:rFonts w:hint="eastAsia" w:ascii="宋体" w:hAnsi="宋体" w:eastAsia="宋体" w:cs="宋体"/>
          <w:lang w:val="en-US" w:eastAsia="zh-CN"/>
        </w:rPr>
        <w:t>复验仍不合格，则该批圆钢应判为不合格。</w:t>
      </w:r>
    </w:p>
    <w:p w14:paraId="1BC00F94">
      <w:pPr>
        <w:pStyle w:val="15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氧含量不合格时，可在不同圆钢(钢坯)上任意取3个试样进行复验，其检验结果的平均值应不大于本文件的规定值，其中允许有1个试样超过本文件规定值，但不应超过本文件规定值加0.000</w:t>
      </w:r>
      <w:r>
        <w:rPr>
          <w:rFonts w:hint="eastAsia" w:ascii="宋体" w:hAnsi="宋体" w:cs="宋体"/>
          <w:lang w:val="en-US" w:eastAsia="zh-CN"/>
        </w:rPr>
        <w:t xml:space="preserve"> </w:t>
      </w:r>
      <w:r>
        <w:rPr>
          <w:rFonts w:hint="eastAsia" w:ascii="宋体" w:hAnsi="宋体" w:eastAsia="宋体" w:cs="宋体"/>
          <w:lang w:val="en-US" w:eastAsia="zh-CN"/>
        </w:rPr>
        <w:t>3%。</w:t>
      </w:r>
    </w:p>
    <w:p w14:paraId="5ECDB3EA">
      <w:pPr>
        <w:pStyle w:val="15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若初验不合格的试样超过检验试样的一半时，说明该批圆钢质量较差，则不允许复验，但供方可以重新处理和组批，作为新的一批检查和验收。</w:t>
      </w:r>
    </w:p>
    <w:p w14:paraId="1BEA65A7">
      <w:pPr>
        <w:pStyle w:val="15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对同一炉圆钢的低倍和非金属夹杂物，允许以坯代材，以大代小。</w:t>
      </w:r>
    </w:p>
    <w:p w14:paraId="4540F6F5">
      <w:pPr>
        <w:pStyle w:val="158"/>
        <w:numPr>
          <w:ilvl w:val="2"/>
          <w:numId w:val="5"/>
        </w:numPr>
        <w:spacing w:before="156" w:after="156"/>
        <w:ind w:left="0" w:leftChars="0" w:firstLine="0" w:firstLineChars="0"/>
        <w:outlineLvl w:val="1"/>
        <w:rPr>
          <w:rFonts w:hint="default" w:ascii="黑体" w:hAnsi="黑体" w:eastAsia="黑体" w:cs="黑体"/>
          <w:lang w:val="en-US" w:eastAsia="zh-CN"/>
        </w:rPr>
      </w:pPr>
      <w:r>
        <w:rPr>
          <w:rFonts w:hint="default" w:ascii="黑体" w:hAnsi="黑体" w:eastAsia="黑体" w:cs="黑体"/>
          <w:lang w:val="en-US" w:eastAsia="zh-CN"/>
        </w:rPr>
        <w:t>数值修约</w:t>
      </w:r>
    </w:p>
    <w:p w14:paraId="690298C3">
      <w:pPr>
        <w:pStyle w:val="156"/>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圆钢的各项检验及检查测量值的数值修约应符合GB/T 8170的规定。</w:t>
      </w:r>
    </w:p>
    <w:p w14:paraId="7E625F9F">
      <w:pPr>
        <w:pStyle w:val="160"/>
        <w:spacing w:before="312" w:after="312"/>
        <w:rPr>
          <w:rFonts w:hint="default" w:hAnsi="Times New Roman" w:cs="Times New Roman"/>
          <w:lang w:val="en-US" w:eastAsia="zh-CN"/>
        </w:rPr>
      </w:pPr>
      <w:r>
        <w:rPr>
          <w:rFonts w:hint="default" w:hAnsi="Times New Roman" w:cs="Times New Roman"/>
          <w:lang w:val="en-US" w:eastAsia="zh-CN"/>
        </w:rPr>
        <w:t>包装、标志及质量证明书</w:t>
      </w:r>
    </w:p>
    <w:p w14:paraId="71DBA9E6">
      <w:pPr>
        <w:pStyle w:val="156"/>
        <w:ind w:left="0" w:leftChars="0" w:firstLine="420" w:firstLineChars="200"/>
        <w:rPr>
          <w:rFonts w:hint="default" w:ascii="宋体" w:hAnsi="Times New Roman" w:eastAsia="宋体" w:cs="Times New Roman"/>
          <w:lang w:val="en-US" w:eastAsia="zh-CN"/>
        </w:rPr>
      </w:pPr>
      <w:r>
        <w:rPr>
          <w:rFonts w:hint="eastAsia" w:ascii="宋体" w:hAnsi="Times New Roman" w:eastAsia="宋体" w:cs="Times New Roman"/>
          <w:lang w:val="en-US" w:eastAsia="zh-CN"/>
        </w:rPr>
        <w:t>圆钢</w:t>
      </w:r>
      <w:r>
        <w:rPr>
          <w:rFonts w:hint="default" w:ascii="宋体" w:hAnsi="Times New Roman" w:eastAsia="宋体" w:cs="Times New Roman"/>
          <w:lang w:val="en-US" w:eastAsia="zh-CN"/>
        </w:rPr>
        <w:t>的包装</w:t>
      </w:r>
      <w:r>
        <w:rPr>
          <w:rFonts w:hint="eastAsia" w:ascii="宋体" w:hAnsi="Times New Roman" w:eastAsia="宋体" w:cs="Times New Roman"/>
          <w:lang w:val="en-US" w:eastAsia="zh-CN"/>
        </w:rPr>
        <w:t>、标志及</w:t>
      </w:r>
      <w:r>
        <w:rPr>
          <w:rFonts w:hint="default" w:ascii="宋体" w:hAnsi="Times New Roman" w:eastAsia="宋体" w:cs="Times New Roman"/>
          <w:lang w:val="en-US" w:eastAsia="zh-CN"/>
        </w:rPr>
        <w:t>质量证明书</w:t>
      </w:r>
      <w:r>
        <w:rPr>
          <w:rFonts w:hint="eastAsia" w:ascii="宋体" w:hAnsi="Times New Roman" w:eastAsia="宋体" w:cs="Times New Roman"/>
          <w:lang w:val="en-US" w:eastAsia="zh-CN"/>
        </w:rPr>
        <w:t>应符合GB/T 2101</w:t>
      </w:r>
      <w:r>
        <w:rPr>
          <w:rFonts w:hint="default" w:ascii="宋体" w:hAnsi="Times New Roman" w:eastAsia="宋体" w:cs="Times New Roman"/>
          <w:lang w:val="en-US" w:eastAsia="zh-CN"/>
        </w:rPr>
        <w:t>的规定。</w:t>
      </w:r>
    </w:p>
    <w:p w14:paraId="3C17A3C9">
      <w:pPr>
        <w:pStyle w:val="23"/>
        <w:rPr>
          <w:rFonts w:hint="default"/>
        </w:rPr>
      </w:pPr>
      <w:r>
        <w:rPr>
          <w:rFonts w:hint="default" w:ascii="Times New Roman" w:hAnsi="Times New Roman" w:cs="Times New Roman"/>
          <w:szCs w:val="20"/>
        </w:rPr>
        <mc:AlternateContent>
          <mc:Choice Requires="wps">
            <w:drawing>
              <wp:anchor distT="0" distB="0" distL="114300" distR="114300" simplePos="0" relativeHeight="251660288" behindDoc="0" locked="0" layoutInCell="1" allowOverlap="1">
                <wp:simplePos x="0" y="0"/>
                <wp:positionH relativeFrom="column">
                  <wp:posOffset>1915795</wp:posOffset>
                </wp:positionH>
                <wp:positionV relativeFrom="paragraph">
                  <wp:posOffset>977265</wp:posOffset>
                </wp:positionV>
                <wp:extent cx="1924050" cy="0"/>
                <wp:effectExtent l="0" t="0" r="0" b="0"/>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50.85pt;margin-top:76.95pt;height:0pt;width:151.5pt;z-index:251660288;mso-width-relative:page;mso-height-relative:page;" filled="f" stroked="t" coordsize="21600,21600" o:gfxdata="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GqiINcAAAALAQAADwAAAAAAAAABACAA&#10;AAAiAAAAZHJzL2Rvd25yZXYueG1sUEsBAhQAFAAAAAgAh07iQOrwmKbVAQAAswMAAA4AAAAAAAAA&#10;AQAgAAAAJgEAAGRycy9lMm9Eb2MueG1sUEsFBgAAAAAGAAYAWQEAAG0FAAAAAA==&#10;">
                <v:fill on="f" focussize="0,0"/>
                <v:stroke color="#000000" joinstyle="round"/>
                <v:imagedata o:title=""/>
                <o:lock v:ext="edit" aspectratio="f"/>
              </v:shape>
            </w:pict>
          </mc:Fallback>
        </mc:AlternateContent>
      </w:r>
    </w:p>
    <w:sectPr>
      <w:headerReference r:id="rId11" w:type="default"/>
      <w:footerReference r:id="rId12"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29E7">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5434">
    <w:pPr>
      <w:pStyle w:val="93"/>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861434"/>
    </w:sdtPr>
    <w:sdtContent>
      <w:p w14:paraId="0ADA7B7D">
        <w:pPr>
          <w:pStyle w:val="17"/>
          <w:jc w:val="left"/>
        </w:pPr>
        <w:r>
          <w:fldChar w:fldCharType="begin"/>
        </w:r>
        <w:r>
          <w:instrText xml:space="preserve">PAGE   \* MERGEFORMAT</w:instrText>
        </w:r>
        <w:r>
          <w:fldChar w:fldCharType="separate"/>
        </w:r>
        <w:r>
          <w:rPr>
            <w:lang w:val="zh-CN"/>
          </w:rPr>
          <w:t>8</w:t>
        </w:r>
        <w:r>
          <w:fldChar w:fldCharType="end"/>
        </w:r>
      </w:p>
    </w:sdtContent>
  </w:sdt>
  <w:p w14:paraId="110E2C8D">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AE5A">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0AEF">
    <w:pPr>
      <w:pStyle w:val="93"/>
    </w:pPr>
    <w:r>
      <w:fldChar w:fldCharType="begin"/>
    </w:r>
    <w:r>
      <w:instrText xml:space="preserve"> PAGE  \* MERGEFORMAT </w:instrText>
    </w:r>
    <w:r>
      <w:fldChar w:fldCharType="separate"/>
    </w:r>
    <w: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524E">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E7D29">
    <w:pPr>
      <w:pStyle w:val="18"/>
      <w:rPr>
        <w:rFonts w:ascii="黑体" w:eastAsia="黑体" w:cs="黑体"/>
        <w:b/>
        <w:bCs/>
        <w:sz w:val="21"/>
        <w:szCs w:val="21"/>
      </w:rPr>
    </w:pPr>
    <w:r>
      <w:rPr>
        <w:rFonts w:hint="eastAsia" w:ascii="黑体" w:eastAsia="黑体" w:cs="黑体"/>
        <w:b/>
        <w:bCs/>
        <w:sz w:val="21"/>
        <w:szCs w:val="21"/>
      </w:rPr>
      <w:t>T/SSEA</w:t>
    </w:r>
    <w:r>
      <w:rPr>
        <w:rFonts w:hint="eastAsia" w:ascii="黑体" w:cs="黑体"/>
        <w:b/>
        <w:bCs/>
        <w:sz w:val="21"/>
        <w:szCs w:val="21"/>
      </w:rPr>
      <w:t xml:space="preserve"> XXXX</w:t>
    </w:r>
    <w:r>
      <w:rPr>
        <w:rFonts w:hint="eastAsia" w:ascii="黑体" w:eastAsia="黑体" w:cs="黑体"/>
        <w:b/>
        <w:bCs/>
        <w:sz w:val="21"/>
        <w:szCs w:val="21"/>
      </w:rPr>
      <w:t>-XXXX</w:t>
    </w:r>
  </w:p>
  <w:p w14:paraId="2BE2FCD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E819">
    <w:pPr>
      <w:pStyle w:val="18"/>
      <w:rPr>
        <w:rFonts w:ascii="黑体" w:eastAsia="黑体" w:cs="黑体"/>
        <w:b/>
        <w:bCs/>
        <w:sz w:val="21"/>
        <w:szCs w:val="21"/>
      </w:rPr>
    </w:pPr>
    <w:r>
      <w:rPr>
        <w:rFonts w:hint="eastAsia" w:ascii="黑体" w:eastAsia="黑体" w:cs="黑体"/>
        <w:b/>
        <w:bCs/>
        <w:sz w:val="21"/>
        <w:szCs w:val="21"/>
      </w:rPr>
      <w:t>T/SSEA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00E2845C">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7831">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83234">
    <w:pPr>
      <w:pStyle w:val="18"/>
      <w:jc w:val="right"/>
      <w:rPr>
        <w:rFonts w:ascii="黑体" w:eastAsia="黑体" w:cs="黑体"/>
        <w:b/>
        <w:bCs/>
        <w:sz w:val="21"/>
        <w:szCs w:val="21"/>
      </w:rPr>
    </w:pPr>
    <w:r>
      <w:rPr>
        <w:rFonts w:hint="eastAsia" w:ascii="黑体" w:eastAsia="黑体" w:cs="黑体"/>
        <w:b/>
        <w:bCs/>
        <w:sz w:val="21"/>
        <w:szCs w:val="21"/>
      </w:rPr>
      <w:t>T/SSEA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38F93E35">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9DE5F"/>
    <w:multiLevelType w:val="multilevel"/>
    <w:tmpl w:val="F809DE5F"/>
    <w:lvl w:ilvl="0" w:tentative="0">
      <w:start w:val="1"/>
      <w:numFmt w:val="decimal"/>
      <w:suff w:val="nothing"/>
      <w:lvlText w:val="%1"/>
      <w:lvlJc w:val="left"/>
      <w:pPr>
        <w:tabs>
          <w:tab w:val="left" w:pos="0"/>
        </w:tabs>
        <w:ind w:left="0" w:firstLine="0"/>
      </w:pPr>
      <w:rPr>
        <w:rFonts w:hint="default" w:ascii="黑体" w:hAnsi="黑体" w:eastAsia="黑体" w:cs="黑体"/>
        <w:b w:val="0"/>
        <w:i w:val="0"/>
        <w:sz w:val="21"/>
        <w:szCs w:val="21"/>
      </w:rPr>
    </w:lvl>
    <w:lvl w:ilvl="1" w:tentative="0">
      <w:start w:val="1"/>
      <w:numFmt w:val="decimal"/>
      <w:pStyle w:val="48"/>
      <w:suff w:val="nothing"/>
      <w:lvlText w:val="%1.%2　"/>
      <w:lvlJc w:val="left"/>
      <w:pPr>
        <w:tabs>
          <w:tab w:val="left" w:pos="0"/>
        </w:tabs>
        <w:ind w:left="567"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1"/>
      <w:suff w:val="nothing"/>
      <w:lvlText w:val="%1.%2.%3　"/>
      <w:lvlJc w:val="left"/>
      <w:pPr>
        <w:ind w:left="709"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79102AD"/>
    <w:multiLevelType w:val="multilevel"/>
    <w:tmpl w:val="079102AD"/>
    <w:lvl w:ilvl="0" w:tentative="0">
      <w:start w:val="1"/>
      <w:numFmt w:val="decimal"/>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pStyle w:val="157"/>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306606B6"/>
    <w:multiLevelType w:val="multilevel"/>
    <w:tmpl w:val="306606B6"/>
    <w:lvl w:ilvl="0" w:tentative="0">
      <w:start w:val="1"/>
      <w:numFmt w:val="lowerLetter"/>
      <w:lvlText w:val="%1)"/>
      <w:lvlJc w:val="left"/>
      <w:pPr>
        <w:tabs>
          <w:tab w:val="left" w:pos="851"/>
        </w:tabs>
        <w:ind w:left="851" w:hanging="426"/>
      </w:pPr>
      <w:rPr>
        <w:rFonts w:hint="default" w:ascii="宋体" w:hAnsi="宋体" w:eastAsia="宋体" w:cs="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73FB2EC"/>
    <w:multiLevelType w:val="singleLevel"/>
    <w:tmpl w:val="573FB2EC"/>
    <w:lvl w:ilvl="0" w:tentative="0">
      <w:start w:val="1"/>
      <w:numFmt w:val="lowerLetter"/>
      <w:lvlText w:val="%1）"/>
      <w:lvlJc w:val="left"/>
      <w:rPr>
        <w:rFonts w:hint="default" w:ascii="宋体" w:hAnsi="宋体" w:eastAsia="宋体" w:cs="宋体"/>
      </w:rPr>
    </w:lvl>
  </w:abstractNum>
  <w:abstractNum w:abstractNumId="4">
    <w:nsid w:val="646260FA"/>
    <w:multiLevelType w:val="multilevel"/>
    <w:tmpl w:val="646260FA"/>
    <w:lvl w:ilvl="0" w:tentative="0">
      <w:start w:val="1"/>
      <w:numFmt w:val="decimal"/>
      <w:pStyle w:val="78"/>
      <w:suff w:val="nothing"/>
      <w:lvlText w:val="表%1　"/>
      <w:lvlJc w:val="left"/>
      <w:pPr>
        <w:ind w:left="4111"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6F21F56"/>
    <w:multiLevelType w:val="multilevel"/>
    <w:tmpl w:val="66F21F5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0"/>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58"/>
      <w:suff w:val="nothing"/>
      <w:lvlText w:val="%1%2.%3.%4　"/>
      <w:lvlJc w:val="left"/>
      <w:pPr>
        <w:ind w:left="1702" w:firstLine="0"/>
      </w:pPr>
      <w:rPr>
        <w:rFonts w:hint="eastAsia" w:ascii="黑体" w:eastAsia="黑体"/>
        <w:b w:val="0"/>
        <w:i w:val="0"/>
        <w:sz w:val="21"/>
      </w:rPr>
    </w:lvl>
    <w:lvl w:ilvl="4" w:tentative="0">
      <w:start w:val="1"/>
      <w:numFmt w:val="decimal"/>
      <w:pStyle w:val="164"/>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7"/>
    <w:rsid w:val="00000244"/>
    <w:rsid w:val="00000411"/>
    <w:rsid w:val="0000185F"/>
    <w:rsid w:val="00004F27"/>
    <w:rsid w:val="0000586F"/>
    <w:rsid w:val="00005D79"/>
    <w:rsid w:val="00007340"/>
    <w:rsid w:val="0000783E"/>
    <w:rsid w:val="000106A3"/>
    <w:rsid w:val="000120F0"/>
    <w:rsid w:val="00013D86"/>
    <w:rsid w:val="00013E02"/>
    <w:rsid w:val="00014FCB"/>
    <w:rsid w:val="00017E7B"/>
    <w:rsid w:val="00020414"/>
    <w:rsid w:val="0002143C"/>
    <w:rsid w:val="00022016"/>
    <w:rsid w:val="0002324C"/>
    <w:rsid w:val="000238EC"/>
    <w:rsid w:val="00025A65"/>
    <w:rsid w:val="000267B2"/>
    <w:rsid w:val="00026C31"/>
    <w:rsid w:val="00027280"/>
    <w:rsid w:val="000306E3"/>
    <w:rsid w:val="000320A7"/>
    <w:rsid w:val="00033E3D"/>
    <w:rsid w:val="00035925"/>
    <w:rsid w:val="000366F4"/>
    <w:rsid w:val="00037DAC"/>
    <w:rsid w:val="00041127"/>
    <w:rsid w:val="00043E47"/>
    <w:rsid w:val="00045C9B"/>
    <w:rsid w:val="000466F7"/>
    <w:rsid w:val="000639E9"/>
    <w:rsid w:val="00063E76"/>
    <w:rsid w:val="00067CDF"/>
    <w:rsid w:val="0007275D"/>
    <w:rsid w:val="00074FBE"/>
    <w:rsid w:val="000772BB"/>
    <w:rsid w:val="00077E45"/>
    <w:rsid w:val="000818DD"/>
    <w:rsid w:val="00083A09"/>
    <w:rsid w:val="0008553D"/>
    <w:rsid w:val="00086717"/>
    <w:rsid w:val="00087148"/>
    <w:rsid w:val="0009005E"/>
    <w:rsid w:val="00090E08"/>
    <w:rsid w:val="00092857"/>
    <w:rsid w:val="00094BD2"/>
    <w:rsid w:val="000A01C1"/>
    <w:rsid w:val="000A20A9"/>
    <w:rsid w:val="000A48B1"/>
    <w:rsid w:val="000A5495"/>
    <w:rsid w:val="000A7E11"/>
    <w:rsid w:val="000B3143"/>
    <w:rsid w:val="000C30C7"/>
    <w:rsid w:val="000C6B05"/>
    <w:rsid w:val="000C6DD6"/>
    <w:rsid w:val="000C73D4"/>
    <w:rsid w:val="000D03F1"/>
    <w:rsid w:val="000D114F"/>
    <w:rsid w:val="000D3D4C"/>
    <w:rsid w:val="000D4406"/>
    <w:rsid w:val="000D4505"/>
    <w:rsid w:val="000D4F51"/>
    <w:rsid w:val="000D718B"/>
    <w:rsid w:val="000E0C46"/>
    <w:rsid w:val="000E3EC7"/>
    <w:rsid w:val="000E4C8D"/>
    <w:rsid w:val="000F030C"/>
    <w:rsid w:val="000F04B4"/>
    <w:rsid w:val="000F129C"/>
    <w:rsid w:val="000F1619"/>
    <w:rsid w:val="000F6ED9"/>
    <w:rsid w:val="000F7DED"/>
    <w:rsid w:val="00100288"/>
    <w:rsid w:val="00100F07"/>
    <w:rsid w:val="0010159F"/>
    <w:rsid w:val="001056DE"/>
    <w:rsid w:val="0010656B"/>
    <w:rsid w:val="00111863"/>
    <w:rsid w:val="001124C0"/>
    <w:rsid w:val="00115EF9"/>
    <w:rsid w:val="00117D23"/>
    <w:rsid w:val="001241EE"/>
    <w:rsid w:val="00125108"/>
    <w:rsid w:val="00127802"/>
    <w:rsid w:val="001278EF"/>
    <w:rsid w:val="00130087"/>
    <w:rsid w:val="001312F5"/>
    <w:rsid w:val="0013175F"/>
    <w:rsid w:val="00134999"/>
    <w:rsid w:val="001401A3"/>
    <w:rsid w:val="00143F81"/>
    <w:rsid w:val="001512B4"/>
    <w:rsid w:val="00152179"/>
    <w:rsid w:val="00154746"/>
    <w:rsid w:val="00154A8E"/>
    <w:rsid w:val="00156D41"/>
    <w:rsid w:val="00160652"/>
    <w:rsid w:val="001620A5"/>
    <w:rsid w:val="00164E53"/>
    <w:rsid w:val="0016699D"/>
    <w:rsid w:val="001701E9"/>
    <w:rsid w:val="00171E0B"/>
    <w:rsid w:val="0017259F"/>
    <w:rsid w:val="00172C54"/>
    <w:rsid w:val="00175159"/>
    <w:rsid w:val="00176208"/>
    <w:rsid w:val="0017711B"/>
    <w:rsid w:val="0018211B"/>
    <w:rsid w:val="001840D3"/>
    <w:rsid w:val="00187A9A"/>
    <w:rsid w:val="001900F8"/>
    <w:rsid w:val="0019112B"/>
    <w:rsid w:val="00191258"/>
    <w:rsid w:val="00192680"/>
    <w:rsid w:val="00193037"/>
    <w:rsid w:val="00193A2C"/>
    <w:rsid w:val="00197D88"/>
    <w:rsid w:val="001A01D4"/>
    <w:rsid w:val="001A288E"/>
    <w:rsid w:val="001A32EE"/>
    <w:rsid w:val="001B1BCA"/>
    <w:rsid w:val="001B517E"/>
    <w:rsid w:val="001B5E5F"/>
    <w:rsid w:val="001B6DC2"/>
    <w:rsid w:val="001C149C"/>
    <w:rsid w:val="001C21AC"/>
    <w:rsid w:val="001C47BA"/>
    <w:rsid w:val="001C59EA"/>
    <w:rsid w:val="001D3695"/>
    <w:rsid w:val="001D406C"/>
    <w:rsid w:val="001D41EE"/>
    <w:rsid w:val="001D4EC2"/>
    <w:rsid w:val="001E0380"/>
    <w:rsid w:val="001E13B1"/>
    <w:rsid w:val="001E55B7"/>
    <w:rsid w:val="001E69DB"/>
    <w:rsid w:val="001F3A19"/>
    <w:rsid w:val="001F3FBF"/>
    <w:rsid w:val="002002E4"/>
    <w:rsid w:val="002046F0"/>
    <w:rsid w:val="002074AF"/>
    <w:rsid w:val="0022046A"/>
    <w:rsid w:val="002242CD"/>
    <w:rsid w:val="00227CCD"/>
    <w:rsid w:val="00231142"/>
    <w:rsid w:val="00231970"/>
    <w:rsid w:val="00234467"/>
    <w:rsid w:val="00237D8D"/>
    <w:rsid w:val="00240622"/>
    <w:rsid w:val="00240FE6"/>
    <w:rsid w:val="00241DA2"/>
    <w:rsid w:val="00245B95"/>
    <w:rsid w:val="00247FEE"/>
    <w:rsid w:val="00250E7D"/>
    <w:rsid w:val="002549B0"/>
    <w:rsid w:val="002565D5"/>
    <w:rsid w:val="00257415"/>
    <w:rsid w:val="00257C39"/>
    <w:rsid w:val="00260C96"/>
    <w:rsid w:val="002622C0"/>
    <w:rsid w:val="00262D2E"/>
    <w:rsid w:val="00264F9B"/>
    <w:rsid w:val="00267F38"/>
    <w:rsid w:val="002759BB"/>
    <w:rsid w:val="00275D41"/>
    <w:rsid w:val="00276B08"/>
    <w:rsid w:val="002778AE"/>
    <w:rsid w:val="0028022A"/>
    <w:rsid w:val="00281919"/>
    <w:rsid w:val="002824CB"/>
    <w:rsid w:val="0028269A"/>
    <w:rsid w:val="00283590"/>
    <w:rsid w:val="0028438B"/>
    <w:rsid w:val="00286973"/>
    <w:rsid w:val="002904AF"/>
    <w:rsid w:val="00292DB9"/>
    <w:rsid w:val="00294E70"/>
    <w:rsid w:val="002952CE"/>
    <w:rsid w:val="00296FB8"/>
    <w:rsid w:val="002A06B3"/>
    <w:rsid w:val="002A1924"/>
    <w:rsid w:val="002A7420"/>
    <w:rsid w:val="002B0F12"/>
    <w:rsid w:val="002B1308"/>
    <w:rsid w:val="002B4449"/>
    <w:rsid w:val="002B4554"/>
    <w:rsid w:val="002B4FE3"/>
    <w:rsid w:val="002B524E"/>
    <w:rsid w:val="002C2696"/>
    <w:rsid w:val="002C45A5"/>
    <w:rsid w:val="002C72D8"/>
    <w:rsid w:val="002D11FA"/>
    <w:rsid w:val="002D3C25"/>
    <w:rsid w:val="002D545A"/>
    <w:rsid w:val="002E0DDF"/>
    <w:rsid w:val="002E1768"/>
    <w:rsid w:val="002E2906"/>
    <w:rsid w:val="002E5635"/>
    <w:rsid w:val="002E64C3"/>
    <w:rsid w:val="002E6A2C"/>
    <w:rsid w:val="002F1771"/>
    <w:rsid w:val="002F1D8C"/>
    <w:rsid w:val="002F21DA"/>
    <w:rsid w:val="002F31F1"/>
    <w:rsid w:val="002F3F0D"/>
    <w:rsid w:val="002F42E2"/>
    <w:rsid w:val="002F4512"/>
    <w:rsid w:val="002F57F3"/>
    <w:rsid w:val="0030007D"/>
    <w:rsid w:val="003016B7"/>
    <w:rsid w:val="00301F39"/>
    <w:rsid w:val="003038E8"/>
    <w:rsid w:val="00305812"/>
    <w:rsid w:val="003073E0"/>
    <w:rsid w:val="00310478"/>
    <w:rsid w:val="00317A37"/>
    <w:rsid w:val="0032071A"/>
    <w:rsid w:val="00320A01"/>
    <w:rsid w:val="00321B42"/>
    <w:rsid w:val="00325926"/>
    <w:rsid w:val="00327A8A"/>
    <w:rsid w:val="00331B03"/>
    <w:rsid w:val="00332987"/>
    <w:rsid w:val="00336610"/>
    <w:rsid w:val="00336FA5"/>
    <w:rsid w:val="00343F73"/>
    <w:rsid w:val="00345060"/>
    <w:rsid w:val="00346024"/>
    <w:rsid w:val="00350BC9"/>
    <w:rsid w:val="0035323B"/>
    <w:rsid w:val="00353A5A"/>
    <w:rsid w:val="00354A71"/>
    <w:rsid w:val="00356876"/>
    <w:rsid w:val="00360726"/>
    <w:rsid w:val="003609D2"/>
    <w:rsid w:val="0036149E"/>
    <w:rsid w:val="00361D4F"/>
    <w:rsid w:val="00363F22"/>
    <w:rsid w:val="003650D5"/>
    <w:rsid w:val="003659A4"/>
    <w:rsid w:val="00372DED"/>
    <w:rsid w:val="003732A9"/>
    <w:rsid w:val="00373F3A"/>
    <w:rsid w:val="0037473D"/>
    <w:rsid w:val="00375564"/>
    <w:rsid w:val="0037662F"/>
    <w:rsid w:val="003768C0"/>
    <w:rsid w:val="00383191"/>
    <w:rsid w:val="003839CA"/>
    <w:rsid w:val="003852DB"/>
    <w:rsid w:val="00386DED"/>
    <w:rsid w:val="00390D9E"/>
    <w:rsid w:val="003912E7"/>
    <w:rsid w:val="0039140F"/>
    <w:rsid w:val="00393947"/>
    <w:rsid w:val="00395FC4"/>
    <w:rsid w:val="003A1F65"/>
    <w:rsid w:val="003A2275"/>
    <w:rsid w:val="003A3F2D"/>
    <w:rsid w:val="003A48CA"/>
    <w:rsid w:val="003A494C"/>
    <w:rsid w:val="003A5141"/>
    <w:rsid w:val="003A6A4F"/>
    <w:rsid w:val="003A7088"/>
    <w:rsid w:val="003B00DF"/>
    <w:rsid w:val="003B0973"/>
    <w:rsid w:val="003B1275"/>
    <w:rsid w:val="003B1778"/>
    <w:rsid w:val="003B217D"/>
    <w:rsid w:val="003B6458"/>
    <w:rsid w:val="003B789C"/>
    <w:rsid w:val="003B7AC1"/>
    <w:rsid w:val="003C11CB"/>
    <w:rsid w:val="003C5654"/>
    <w:rsid w:val="003C6CC9"/>
    <w:rsid w:val="003C75F3"/>
    <w:rsid w:val="003C78A3"/>
    <w:rsid w:val="003D0240"/>
    <w:rsid w:val="003D721E"/>
    <w:rsid w:val="003E0318"/>
    <w:rsid w:val="003E0D6C"/>
    <w:rsid w:val="003E1867"/>
    <w:rsid w:val="003E5000"/>
    <w:rsid w:val="003E5729"/>
    <w:rsid w:val="003E592F"/>
    <w:rsid w:val="003E5A57"/>
    <w:rsid w:val="003F0E73"/>
    <w:rsid w:val="003F2010"/>
    <w:rsid w:val="003F4C2E"/>
    <w:rsid w:val="003F4EE0"/>
    <w:rsid w:val="00400C28"/>
    <w:rsid w:val="00402153"/>
    <w:rsid w:val="00402FC1"/>
    <w:rsid w:val="004063C3"/>
    <w:rsid w:val="004134DD"/>
    <w:rsid w:val="004145B9"/>
    <w:rsid w:val="004166CD"/>
    <w:rsid w:val="0041793A"/>
    <w:rsid w:val="00417D5B"/>
    <w:rsid w:val="0042124A"/>
    <w:rsid w:val="00423779"/>
    <w:rsid w:val="00423DBC"/>
    <w:rsid w:val="00425082"/>
    <w:rsid w:val="0042586F"/>
    <w:rsid w:val="00427051"/>
    <w:rsid w:val="004276C5"/>
    <w:rsid w:val="00431DEB"/>
    <w:rsid w:val="00433284"/>
    <w:rsid w:val="00433875"/>
    <w:rsid w:val="00442185"/>
    <w:rsid w:val="0044320D"/>
    <w:rsid w:val="00446B29"/>
    <w:rsid w:val="004509E6"/>
    <w:rsid w:val="00453F9A"/>
    <w:rsid w:val="0045659F"/>
    <w:rsid w:val="00471E91"/>
    <w:rsid w:val="00472AF6"/>
    <w:rsid w:val="00472C6E"/>
    <w:rsid w:val="00474675"/>
    <w:rsid w:val="0047470C"/>
    <w:rsid w:val="0047745F"/>
    <w:rsid w:val="00485828"/>
    <w:rsid w:val="00490762"/>
    <w:rsid w:val="0049441A"/>
    <w:rsid w:val="004A029F"/>
    <w:rsid w:val="004A0900"/>
    <w:rsid w:val="004A1108"/>
    <w:rsid w:val="004A24EB"/>
    <w:rsid w:val="004A2EB0"/>
    <w:rsid w:val="004A35F9"/>
    <w:rsid w:val="004B0CE2"/>
    <w:rsid w:val="004B1107"/>
    <w:rsid w:val="004B12EC"/>
    <w:rsid w:val="004B1EA1"/>
    <w:rsid w:val="004B24C1"/>
    <w:rsid w:val="004B3527"/>
    <w:rsid w:val="004B4141"/>
    <w:rsid w:val="004B7A61"/>
    <w:rsid w:val="004C0DE4"/>
    <w:rsid w:val="004C15CE"/>
    <w:rsid w:val="004C292F"/>
    <w:rsid w:val="004C3F1E"/>
    <w:rsid w:val="004C52B4"/>
    <w:rsid w:val="004C5F43"/>
    <w:rsid w:val="004C6D21"/>
    <w:rsid w:val="004D197C"/>
    <w:rsid w:val="004D5B31"/>
    <w:rsid w:val="004D618E"/>
    <w:rsid w:val="004E24DC"/>
    <w:rsid w:val="004E4034"/>
    <w:rsid w:val="004E504F"/>
    <w:rsid w:val="004E7695"/>
    <w:rsid w:val="004F10FB"/>
    <w:rsid w:val="004F11CA"/>
    <w:rsid w:val="00500A34"/>
    <w:rsid w:val="00510280"/>
    <w:rsid w:val="005107C9"/>
    <w:rsid w:val="00513480"/>
    <w:rsid w:val="00513D73"/>
    <w:rsid w:val="00514A43"/>
    <w:rsid w:val="0051589E"/>
    <w:rsid w:val="00516032"/>
    <w:rsid w:val="005174E5"/>
    <w:rsid w:val="00522393"/>
    <w:rsid w:val="00522620"/>
    <w:rsid w:val="00522F9A"/>
    <w:rsid w:val="00525656"/>
    <w:rsid w:val="00527CB8"/>
    <w:rsid w:val="0053269F"/>
    <w:rsid w:val="00534C02"/>
    <w:rsid w:val="00534D29"/>
    <w:rsid w:val="00534EC9"/>
    <w:rsid w:val="0054264B"/>
    <w:rsid w:val="00543786"/>
    <w:rsid w:val="00550AC2"/>
    <w:rsid w:val="005533D7"/>
    <w:rsid w:val="00556ABB"/>
    <w:rsid w:val="00560E0C"/>
    <w:rsid w:val="00564842"/>
    <w:rsid w:val="0056649F"/>
    <w:rsid w:val="005703DE"/>
    <w:rsid w:val="00575169"/>
    <w:rsid w:val="00580B6B"/>
    <w:rsid w:val="005828EB"/>
    <w:rsid w:val="00582AD4"/>
    <w:rsid w:val="0058304B"/>
    <w:rsid w:val="0058464E"/>
    <w:rsid w:val="0058703F"/>
    <w:rsid w:val="00587FD0"/>
    <w:rsid w:val="00592C13"/>
    <w:rsid w:val="005A01CB"/>
    <w:rsid w:val="005A3338"/>
    <w:rsid w:val="005A58FF"/>
    <w:rsid w:val="005A5BD3"/>
    <w:rsid w:val="005A5EAF"/>
    <w:rsid w:val="005A64C0"/>
    <w:rsid w:val="005A79D2"/>
    <w:rsid w:val="005B1AD6"/>
    <w:rsid w:val="005B3747"/>
    <w:rsid w:val="005B3C11"/>
    <w:rsid w:val="005B3CB5"/>
    <w:rsid w:val="005B73B1"/>
    <w:rsid w:val="005C1190"/>
    <w:rsid w:val="005C1C28"/>
    <w:rsid w:val="005C3767"/>
    <w:rsid w:val="005C40BF"/>
    <w:rsid w:val="005C6DB5"/>
    <w:rsid w:val="005C7E1D"/>
    <w:rsid w:val="005D0BD9"/>
    <w:rsid w:val="005D347A"/>
    <w:rsid w:val="005D4E43"/>
    <w:rsid w:val="005E0135"/>
    <w:rsid w:val="005E19E7"/>
    <w:rsid w:val="005E5FB2"/>
    <w:rsid w:val="005E6138"/>
    <w:rsid w:val="005E6290"/>
    <w:rsid w:val="005E6661"/>
    <w:rsid w:val="005E71F4"/>
    <w:rsid w:val="005E7A66"/>
    <w:rsid w:val="005F1913"/>
    <w:rsid w:val="005F2504"/>
    <w:rsid w:val="005F5C44"/>
    <w:rsid w:val="005F7EFC"/>
    <w:rsid w:val="00603CAD"/>
    <w:rsid w:val="00604DF6"/>
    <w:rsid w:val="00605EE2"/>
    <w:rsid w:val="006119AA"/>
    <w:rsid w:val="006123BE"/>
    <w:rsid w:val="0061716C"/>
    <w:rsid w:val="0062170B"/>
    <w:rsid w:val="006243A1"/>
    <w:rsid w:val="0062654B"/>
    <w:rsid w:val="006268F1"/>
    <w:rsid w:val="006274A6"/>
    <w:rsid w:val="00627580"/>
    <w:rsid w:val="0063111E"/>
    <w:rsid w:val="00632E56"/>
    <w:rsid w:val="0063518F"/>
    <w:rsid w:val="00635CBA"/>
    <w:rsid w:val="00640464"/>
    <w:rsid w:val="00640D79"/>
    <w:rsid w:val="00641C62"/>
    <w:rsid w:val="006423A6"/>
    <w:rsid w:val="0064338B"/>
    <w:rsid w:val="00646542"/>
    <w:rsid w:val="00646A44"/>
    <w:rsid w:val="00646A5E"/>
    <w:rsid w:val="006504F4"/>
    <w:rsid w:val="00651D37"/>
    <w:rsid w:val="00652A8E"/>
    <w:rsid w:val="00653CBB"/>
    <w:rsid w:val="00654BC9"/>
    <w:rsid w:val="006552FD"/>
    <w:rsid w:val="006554A5"/>
    <w:rsid w:val="00662954"/>
    <w:rsid w:val="00663AF3"/>
    <w:rsid w:val="00666B6C"/>
    <w:rsid w:val="00672BEF"/>
    <w:rsid w:val="00676D9C"/>
    <w:rsid w:val="00682682"/>
    <w:rsid w:val="00682702"/>
    <w:rsid w:val="006862EB"/>
    <w:rsid w:val="006915B7"/>
    <w:rsid w:val="006916B9"/>
    <w:rsid w:val="00692368"/>
    <w:rsid w:val="00692DB1"/>
    <w:rsid w:val="00692EAF"/>
    <w:rsid w:val="00693648"/>
    <w:rsid w:val="006A299E"/>
    <w:rsid w:val="006A2EBC"/>
    <w:rsid w:val="006A5EA0"/>
    <w:rsid w:val="006A61D0"/>
    <w:rsid w:val="006A783B"/>
    <w:rsid w:val="006A7AEB"/>
    <w:rsid w:val="006A7B33"/>
    <w:rsid w:val="006B0009"/>
    <w:rsid w:val="006B2CAC"/>
    <w:rsid w:val="006B3B7D"/>
    <w:rsid w:val="006B47BB"/>
    <w:rsid w:val="006B4972"/>
    <w:rsid w:val="006B4E13"/>
    <w:rsid w:val="006B75DD"/>
    <w:rsid w:val="006C3EC4"/>
    <w:rsid w:val="006C5EC8"/>
    <w:rsid w:val="006C67E0"/>
    <w:rsid w:val="006C7820"/>
    <w:rsid w:val="006C7ABA"/>
    <w:rsid w:val="006D0D60"/>
    <w:rsid w:val="006D1122"/>
    <w:rsid w:val="006D2500"/>
    <w:rsid w:val="006D3C00"/>
    <w:rsid w:val="006E3675"/>
    <w:rsid w:val="006E4A7F"/>
    <w:rsid w:val="006E5E69"/>
    <w:rsid w:val="006F2AB3"/>
    <w:rsid w:val="006F3443"/>
    <w:rsid w:val="006F46BD"/>
    <w:rsid w:val="00702335"/>
    <w:rsid w:val="00704DF6"/>
    <w:rsid w:val="0070651C"/>
    <w:rsid w:val="00707D93"/>
    <w:rsid w:val="00710179"/>
    <w:rsid w:val="0071145F"/>
    <w:rsid w:val="00711B5A"/>
    <w:rsid w:val="007132A3"/>
    <w:rsid w:val="00714110"/>
    <w:rsid w:val="00716421"/>
    <w:rsid w:val="007167AF"/>
    <w:rsid w:val="00717651"/>
    <w:rsid w:val="00722084"/>
    <w:rsid w:val="00722D17"/>
    <w:rsid w:val="00724EFB"/>
    <w:rsid w:val="007256A3"/>
    <w:rsid w:val="00731FC9"/>
    <w:rsid w:val="00732949"/>
    <w:rsid w:val="00733E7A"/>
    <w:rsid w:val="007419C3"/>
    <w:rsid w:val="00743B4A"/>
    <w:rsid w:val="00744823"/>
    <w:rsid w:val="007467A7"/>
    <w:rsid w:val="007469DD"/>
    <w:rsid w:val="00747275"/>
    <w:rsid w:val="0074741B"/>
    <w:rsid w:val="0074759E"/>
    <w:rsid w:val="007478EA"/>
    <w:rsid w:val="00747A3C"/>
    <w:rsid w:val="00753E0E"/>
    <w:rsid w:val="0075415C"/>
    <w:rsid w:val="007560BA"/>
    <w:rsid w:val="00756956"/>
    <w:rsid w:val="00756E1F"/>
    <w:rsid w:val="00763424"/>
    <w:rsid w:val="00763502"/>
    <w:rsid w:val="00765463"/>
    <w:rsid w:val="00765465"/>
    <w:rsid w:val="00767D83"/>
    <w:rsid w:val="00771B48"/>
    <w:rsid w:val="00772DB9"/>
    <w:rsid w:val="00774E9B"/>
    <w:rsid w:val="007760D4"/>
    <w:rsid w:val="0078393F"/>
    <w:rsid w:val="007848C5"/>
    <w:rsid w:val="00784DB9"/>
    <w:rsid w:val="007913AB"/>
    <w:rsid w:val="007914F7"/>
    <w:rsid w:val="00797015"/>
    <w:rsid w:val="00797EBA"/>
    <w:rsid w:val="007B0C68"/>
    <w:rsid w:val="007B1625"/>
    <w:rsid w:val="007B1CDE"/>
    <w:rsid w:val="007B2AA6"/>
    <w:rsid w:val="007B427A"/>
    <w:rsid w:val="007B450C"/>
    <w:rsid w:val="007B551E"/>
    <w:rsid w:val="007B706E"/>
    <w:rsid w:val="007B71EB"/>
    <w:rsid w:val="007B7F4D"/>
    <w:rsid w:val="007C0816"/>
    <w:rsid w:val="007C0A15"/>
    <w:rsid w:val="007C2D77"/>
    <w:rsid w:val="007C31CC"/>
    <w:rsid w:val="007C34D9"/>
    <w:rsid w:val="007C44C3"/>
    <w:rsid w:val="007C487E"/>
    <w:rsid w:val="007C5598"/>
    <w:rsid w:val="007C5953"/>
    <w:rsid w:val="007C5C7E"/>
    <w:rsid w:val="007C6205"/>
    <w:rsid w:val="007C686A"/>
    <w:rsid w:val="007C728E"/>
    <w:rsid w:val="007D12D6"/>
    <w:rsid w:val="007D160B"/>
    <w:rsid w:val="007D2C53"/>
    <w:rsid w:val="007D3D60"/>
    <w:rsid w:val="007D58A1"/>
    <w:rsid w:val="007E1980"/>
    <w:rsid w:val="007E348A"/>
    <w:rsid w:val="007E4B76"/>
    <w:rsid w:val="007E4C8A"/>
    <w:rsid w:val="007E5EA8"/>
    <w:rsid w:val="007E6D3D"/>
    <w:rsid w:val="007E766D"/>
    <w:rsid w:val="007F0949"/>
    <w:rsid w:val="007F0CF1"/>
    <w:rsid w:val="007F12A5"/>
    <w:rsid w:val="007F2D6D"/>
    <w:rsid w:val="007F3B0B"/>
    <w:rsid w:val="007F4CF1"/>
    <w:rsid w:val="007F758D"/>
    <w:rsid w:val="007F7D52"/>
    <w:rsid w:val="00802398"/>
    <w:rsid w:val="0080654C"/>
    <w:rsid w:val="008071C6"/>
    <w:rsid w:val="00807940"/>
    <w:rsid w:val="008109D6"/>
    <w:rsid w:val="00811375"/>
    <w:rsid w:val="00811750"/>
    <w:rsid w:val="00811CB9"/>
    <w:rsid w:val="00815237"/>
    <w:rsid w:val="00817A00"/>
    <w:rsid w:val="00821C5F"/>
    <w:rsid w:val="008231BC"/>
    <w:rsid w:val="00824EF2"/>
    <w:rsid w:val="0083084A"/>
    <w:rsid w:val="00832776"/>
    <w:rsid w:val="00833A06"/>
    <w:rsid w:val="00834B6C"/>
    <w:rsid w:val="00835DB3"/>
    <w:rsid w:val="0083617B"/>
    <w:rsid w:val="008371BD"/>
    <w:rsid w:val="008504A8"/>
    <w:rsid w:val="00852371"/>
    <w:rsid w:val="0085282E"/>
    <w:rsid w:val="00852A0B"/>
    <w:rsid w:val="008533B6"/>
    <w:rsid w:val="00855E92"/>
    <w:rsid w:val="00857A3C"/>
    <w:rsid w:val="00862151"/>
    <w:rsid w:val="00864FB4"/>
    <w:rsid w:val="0087198C"/>
    <w:rsid w:val="00872896"/>
    <w:rsid w:val="00872C1F"/>
    <w:rsid w:val="00873B42"/>
    <w:rsid w:val="008743BC"/>
    <w:rsid w:val="00874A40"/>
    <w:rsid w:val="0087620B"/>
    <w:rsid w:val="008770F5"/>
    <w:rsid w:val="00877177"/>
    <w:rsid w:val="0087773E"/>
    <w:rsid w:val="00880B73"/>
    <w:rsid w:val="0088194D"/>
    <w:rsid w:val="00882D2B"/>
    <w:rsid w:val="00885289"/>
    <w:rsid w:val="008856D8"/>
    <w:rsid w:val="00892E82"/>
    <w:rsid w:val="00894FC6"/>
    <w:rsid w:val="008A6C16"/>
    <w:rsid w:val="008C0D91"/>
    <w:rsid w:val="008C1B58"/>
    <w:rsid w:val="008C38FE"/>
    <w:rsid w:val="008C39AE"/>
    <w:rsid w:val="008C590D"/>
    <w:rsid w:val="008C6794"/>
    <w:rsid w:val="008C786F"/>
    <w:rsid w:val="008D009D"/>
    <w:rsid w:val="008D250B"/>
    <w:rsid w:val="008D4EA9"/>
    <w:rsid w:val="008E031B"/>
    <w:rsid w:val="008E17AB"/>
    <w:rsid w:val="008E2388"/>
    <w:rsid w:val="008E4014"/>
    <w:rsid w:val="008E5CDB"/>
    <w:rsid w:val="008E60E2"/>
    <w:rsid w:val="008E7029"/>
    <w:rsid w:val="008E7EF6"/>
    <w:rsid w:val="008F1F98"/>
    <w:rsid w:val="008F32D3"/>
    <w:rsid w:val="008F43A4"/>
    <w:rsid w:val="008F5765"/>
    <w:rsid w:val="008F6758"/>
    <w:rsid w:val="00900900"/>
    <w:rsid w:val="00902231"/>
    <w:rsid w:val="00902A08"/>
    <w:rsid w:val="0090326F"/>
    <w:rsid w:val="009040DD"/>
    <w:rsid w:val="00905B47"/>
    <w:rsid w:val="00906F0A"/>
    <w:rsid w:val="0090711E"/>
    <w:rsid w:val="0091331C"/>
    <w:rsid w:val="0091457E"/>
    <w:rsid w:val="00916945"/>
    <w:rsid w:val="009212EC"/>
    <w:rsid w:val="009236CF"/>
    <w:rsid w:val="009240E8"/>
    <w:rsid w:val="00924BA0"/>
    <w:rsid w:val="00926906"/>
    <w:rsid w:val="00926939"/>
    <w:rsid w:val="009279DE"/>
    <w:rsid w:val="00930116"/>
    <w:rsid w:val="00931C06"/>
    <w:rsid w:val="00933DC7"/>
    <w:rsid w:val="00935676"/>
    <w:rsid w:val="009363F2"/>
    <w:rsid w:val="0093742D"/>
    <w:rsid w:val="009375C7"/>
    <w:rsid w:val="00940FAC"/>
    <w:rsid w:val="00941421"/>
    <w:rsid w:val="0094212C"/>
    <w:rsid w:val="009421BE"/>
    <w:rsid w:val="00944733"/>
    <w:rsid w:val="00945D47"/>
    <w:rsid w:val="00946042"/>
    <w:rsid w:val="009504BC"/>
    <w:rsid w:val="009507F6"/>
    <w:rsid w:val="00951D89"/>
    <w:rsid w:val="009520CA"/>
    <w:rsid w:val="00953278"/>
    <w:rsid w:val="00954689"/>
    <w:rsid w:val="009562D4"/>
    <w:rsid w:val="00956480"/>
    <w:rsid w:val="009602EB"/>
    <w:rsid w:val="009617C9"/>
    <w:rsid w:val="00961C93"/>
    <w:rsid w:val="00962112"/>
    <w:rsid w:val="00963087"/>
    <w:rsid w:val="00965324"/>
    <w:rsid w:val="00966588"/>
    <w:rsid w:val="0097091E"/>
    <w:rsid w:val="0097172B"/>
    <w:rsid w:val="0097312C"/>
    <w:rsid w:val="009760D3"/>
    <w:rsid w:val="00977132"/>
    <w:rsid w:val="00980089"/>
    <w:rsid w:val="00981A4B"/>
    <w:rsid w:val="0098238C"/>
    <w:rsid w:val="00982501"/>
    <w:rsid w:val="00982765"/>
    <w:rsid w:val="0098485C"/>
    <w:rsid w:val="00985D50"/>
    <w:rsid w:val="00987386"/>
    <w:rsid w:val="009873C8"/>
    <w:rsid w:val="009877D3"/>
    <w:rsid w:val="00993617"/>
    <w:rsid w:val="00994AD9"/>
    <w:rsid w:val="00994E8F"/>
    <w:rsid w:val="009951DC"/>
    <w:rsid w:val="009959BB"/>
    <w:rsid w:val="00996669"/>
    <w:rsid w:val="00997158"/>
    <w:rsid w:val="009A01D6"/>
    <w:rsid w:val="009A02F0"/>
    <w:rsid w:val="009A3753"/>
    <w:rsid w:val="009A3A7C"/>
    <w:rsid w:val="009B24E9"/>
    <w:rsid w:val="009B2ADB"/>
    <w:rsid w:val="009B603A"/>
    <w:rsid w:val="009B6DCD"/>
    <w:rsid w:val="009B6E06"/>
    <w:rsid w:val="009C0960"/>
    <w:rsid w:val="009C0F68"/>
    <w:rsid w:val="009C2D0E"/>
    <w:rsid w:val="009C2F78"/>
    <w:rsid w:val="009C3685"/>
    <w:rsid w:val="009C3DAC"/>
    <w:rsid w:val="009C42E0"/>
    <w:rsid w:val="009C4EEC"/>
    <w:rsid w:val="009C5BD2"/>
    <w:rsid w:val="009C7DCB"/>
    <w:rsid w:val="009D28B6"/>
    <w:rsid w:val="009D2B49"/>
    <w:rsid w:val="009D2FEF"/>
    <w:rsid w:val="009D5362"/>
    <w:rsid w:val="009E09B4"/>
    <w:rsid w:val="009E1415"/>
    <w:rsid w:val="009E3ED4"/>
    <w:rsid w:val="009E4174"/>
    <w:rsid w:val="009E4E89"/>
    <w:rsid w:val="009E5238"/>
    <w:rsid w:val="009E5754"/>
    <w:rsid w:val="009E6116"/>
    <w:rsid w:val="009E6A1B"/>
    <w:rsid w:val="009F11B8"/>
    <w:rsid w:val="009F1B15"/>
    <w:rsid w:val="009F2135"/>
    <w:rsid w:val="009F2170"/>
    <w:rsid w:val="009F35AE"/>
    <w:rsid w:val="009F38E8"/>
    <w:rsid w:val="009F4C79"/>
    <w:rsid w:val="009F518E"/>
    <w:rsid w:val="009F51BD"/>
    <w:rsid w:val="009F73D8"/>
    <w:rsid w:val="00A00B9D"/>
    <w:rsid w:val="00A0112A"/>
    <w:rsid w:val="00A02E43"/>
    <w:rsid w:val="00A065F9"/>
    <w:rsid w:val="00A07F34"/>
    <w:rsid w:val="00A15157"/>
    <w:rsid w:val="00A22154"/>
    <w:rsid w:val="00A24393"/>
    <w:rsid w:val="00A25C38"/>
    <w:rsid w:val="00A25C63"/>
    <w:rsid w:val="00A26308"/>
    <w:rsid w:val="00A26A96"/>
    <w:rsid w:val="00A26BD6"/>
    <w:rsid w:val="00A27B20"/>
    <w:rsid w:val="00A31198"/>
    <w:rsid w:val="00A312D7"/>
    <w:rsid w:val="00A34775"/>
    <w:rsid w:val="00A34D69"/>
    <w:rsid w:val="00A34F7C"/>
    <w:rsid w:val="00A362EF"/>
    <w:rsid w:val="00A368A7"/>
    <w:rsid w:val="00A36BBE"/>
    <w:rsid w:val="00A41191"/>
    <w:rsid w:val="00A4307A"/>
    <w:rsid w:val="00A43097"/>
    <w:rsid w:val="00A463E9"/>
    <w:rsid w:val="00A47EBB"/>
    <w:rsid w:val="00A50675"/>
    <w:rsid w:val="00A516ED"/>
    <w:rsid w:val="00A51CDD"/>
    <w:rsid w:val="00A577E8"/>
    <w:rsid w:val="00A57CC7"/>
    <w:rsid w:val="00A6107E"/>
    <w:rsid w:val="00A6394B"/>
    <w:rsid w:val="00A6730D"/>
    <w:rsid w:val="00A6746D"/>
    <w:rsid w:val="00A711A2"/>
    <w:rsid w:val="00A71625"/>
    <w:rsid w:val="00A71B9B"/>
    <w:rsid w:val="00A751C7"/>
    <w:rsid w:val="00A81D22"/>
    <w:rsid w:val="00A828DE"/>
    <w:rsid w:val="00A828EA"/>
    <w:rsid w:val="00A835B8"/>
    <w:rsid w:val="00A87844"/>
    <w:rsid w:val="00A92ADF"/>
    <w:rsid w:val="00A94C41"/>
    <w:rsid w:val="00A963B1"/>
    <w:rsid w:val="00A97D1F"/>
    <w:rsid w:val="00AA038C"/>
    <w:rsid w:val="00AA1737"/>
    <w:rsid w:val="00AA1997"/>
    <w:rsid w:val="00AA5780"/>
    <w:rsid w:val="00AA7A09"/>
    <w:rsid w:val="00AA7AD2"/>
    <w:rsid w:val="00AB2D90"/>
    <w:rsid w:val="00AB3B50"/>
    <w:rsid w:val="00AB3C6A"/>
    <w:rsid w:val="00AC05B1"/>
    <w:rsid w:val="00AC6F5A"/>
    <w:rsid w:val="00AD1A4B"/>
    <w:rsid w:val="00AD2DFC"/>
    <w:rsid w:val="00AD356C"/>
    <w:rsid w:val="00AE2914"/>
    <w:rsid w:val="00AE42A9"/>
    <w:rsid w:val="00AE6444"/>
    <w:rsid w:val="00AE6D15"/>
    <w:rsid w:val="00AE7BBA"/>
    <w:rsid w:val="00AF40A2"/>
    <w:rsid w:val="00AF421A"/>
    <w:rsid w:val="00AF4D12"/>
    <w:rsid w:val="00B01D5B"/>
    <w:rsid w:val="00B01FF6"/>
    <w:rsid w:val="00B03725"/>
    <w:rsid w:val="00B04182"/>
    <w:rsid w:val="00B07AE3"/>
    <w:rsid w:val="00B10F4F"/>
    <w:rsid w:val="00B11430"/>
    <w:rsid w:val="00B12D55"/>
    <w:rsid w:val="00B174A5"/>
    <w:rsid w:val="00B25987"/>
    <w:rsid w:val="00B27BA9"/>
    <w:rsid w:val="00B31219"/>
    <w:rsid w:val="00B3352A"/>
    <w:rsid w:val="00B33E35"/>
    <w:rsid w:val="00B34238"/>
    <w:rsid w:val="00B34A96"/>
    <w:rsid w:val="00B353EB"/>
    <w:rsid w:val="00B439C4"/>
    <w:rsid w:val="00B4535E"/>
    <w:rsid w:val="00B50D6E"/>
    <w:rsid w:val="00B52A8C"/>
    <w:rsid w:val="00B53C7E"/>
    <w:rsid w:val="00B60A4D"/>
    <w:rsid w:val="00B61289"/>
    <w:rsid w:val="00B61939"/>
    <w:rsid w:val="00B6239F"/>
    <w:rsid w:val="00B628F0"/>
    <w:rsid w:val="00B636A8"/>
    <w:rsid w:val="00B65085"/>
    <w:rsid w:val="00B651BB"/>
    <w:rsid w:val="00B665C6"/>
    <w:rsid w:val="00B66FA5"/>
    <w:rsid w:val="00B679EE"/>
    <w:rsid w:val="00B74AFC"/>
    <w:rsid w:val="00B74EB5"/>
    <w:rsid w:val="00B805AF"/>
    <w:rsid w:val="00B869EC"/>
    <w:rsid w:val="00B86D7D"/>
    <w:rsid w:val="00B9076F"/>
    <w:rsid w:val="00B9397A"/>
    <w:rsid w:val="00B95E90"/>
    <w:rsid w:val="00B9633D"/>
    <w:rsid w:val="00BA2EBE"/>
    <w:rsid w:val="00BA3169"/>
    <w:rsid w:val="00BA5F3B"/>
    <w:rsid w:val="00BA6E1A"/>
    <w:rsid w:val="00BA78BF"/>
    <w:rsid w:val="00BB0F28"/>
    <w:rsid w:val="00BB0F47"/>
    <w:rsid w:val="00BB41EA"/>
    <w:rsid w:val="00BB458A"/>
    <w:rsid w:val="00BC18E2"/>
    <w:rsid w:val="00BC2F1E"/>
    <w:rsid w:val="00BD00D3"/>
    <w:rsid w:val="00BD1659"/>
    <w:rsid w:val="00BD3AA9"/>
    <w:rsid w:val="00BD4A18"/>
    <w:rsid w:val="00BD6DB2"/>
    <w:rsid w:val="00BE042B"/>
    <w:rsid w:val="00BE11CF"/>
    <w:rsid w:val="00BE21AB"/>
    <w:rsid w:val="00BE2E40"/>
    <w:rsid w:val="00BE3956"/>
    <w:rsid w:val="00BE4E0E"/>
    <w:rsid w:val="00BE55CB"/>
    <w:rsid w:val="00BF356A"/>
    <w:rsid w:val="00BF617A"/>
    <w:rsid w:val="00C0216D"/>
    <w:rsid w:val="00C0379D"/>
    <w:rsid w:val="00C03931"/>
    <w:rsid w:val="00C05FE3"/>
    <w:rsid w:val="00C13D45"/>
    <w:rsid w:val="00C14A56"/>
    <w:rsid w:val="00C174F4"/>
    <w:rsid w:val="00C2136D"/>
    <w:rsid w:val="00C214EE"/>
    <w:rsid w:val="00C21E00"/>
    <w:rsid w:val="00C22A06"/>
    <w:rsid w:val="00C2314B"/>
    <w:rsid w:val="00C233BE"/>
    <w:rsid w:val="00C23EAB"/>
    <w:rsid w:val="00C24971"/>
    <w:rsid w:val="00C26BE5"/>
    <w:rsid w:val="00C26E4D"/>
    <w:rsid w:val="00C27909"/>
    <w:rsid w:val="00C27B03"/>
    <w:rsid w:val="00C3025F"/>
    <w:rsid w:val="00C30E45"/>
    <w:rsid w:val="00C314E1"/>
    <w:rsid w:val="00C31A79"/>
    <w:rsid w:val="00C32DD9"/>
    <w:rsid w:val="00C33EB7"/>
    <w:rsid w:val="00C34397"/>
    <w:rsid w:val="00C4095D"/>
    <w:rsid w:val="00C458E9"/>
    <w:rsid w:val="00C543C0"/>
    <w:rsid w:val="00C54EA9"/>
    <w:rsid w:val="00C55F2B"/>
    <w:rsid w:val="00C5655B"/>
    <w:rsid w:val="00C56DF0"/>
    <w:rsid w:val="00C60102"/>
    <w:rsid w:val="00C601D2"/>
    <w:rsid w:val="00C613DE"/>
    <w:rsid w:val="00C61CA0"/>
    <w:rsid w:val="00C61E58"/>
    <w:rsid w:val="00C636F9"/>
    <w:rsid w:val="00C64E94"/>
    <w:rsid w:val="00C657AB"/>
    <w:rsid w:val="00C65BCC"/>
    <w:rsid w:val="00C66970"/>
    <w:rsid w:val="00C70EBF"/>
    <w:rsid w:val="00C73BC7"/>
    <w:rsid w:val="00C74BF3"/>
    <w:rsid w:val="00C778A9"/>
    <w:rsid w:val="00C77B57"/>
    <w:rsid w:val="00C8126F"/>
    <w:rsid w:val="00C84F86"/>
    <w:rsid w:val="00C8585D"/>
    <w:rsid w:val="00C8691C"/>
    <w:rsid w:val="00C86A9E"/>
    <w:rsid w:val="00C90606"/>
    <w:rsid w:val="00C95B40"/>
    <w:rsid w:val="00C966B8"/>
    <w:rsid w:val="00CA0E56"/>
    <w:rsid w:val="00CA0EDD"/>
    <w:rsid w:val="00CA168A"/>
    <w:rsid w:val="00CA357E"/>
    <w:rsid w:val="00CA44F9"/>
    <w:rsid w:val="00CA4A69"/>
    <w:rsid w:val="00CA5C6E"/>
    <w:rsid w:val="00CB0703"/>
    <w:rsid w:val="00CB2D67"/>
    <w:rsid w:val="00CB40FD"/>
    <w:rsid w:val="00CB4FDE"/>
    <w:rsid w:val="00CC3E0C"/>
    <w:rsid w:val="00CC58D3"/>
    <w:rsid w:val="00CC784D"/>
    <w:rsid w:val="00CC7C90"/>
    <w:rsid w:val="00CD2F47"/>
    <w:rsid w:val="00CD3B5B"/>
    <w:rsid w:val="00CE2006"/>
    <w:rsid w:val="00CE51F7"/>
    <w:rsid w:val="00CE7442"/>
    <w:rsid w:val="00CF15CF"/>
    <w:rsid w:val="00CF74C0"/>
    <w:rsid w:val="00D0337B"/>
    <w:rsid w:val="00D04F64"/>
    <w:rsid w:val="00D05B87"/>
    <w:rsid w:val="00D079B2"/>
    <w:rsid w:val="00D114E9"/>
    <w:rsid w:val="00D11A67"/>
    <w:rsid w:val="00D11FDA"/>
    <w:rsid w:val="00D12894"/>
    <w:rsid w:val="00D221F1"/>
    <w:rsid w:val="00D2393C"/>
    <w:rsid w:val="00D242F8"/>
    <w:rsid w:val="00D24510"/>
    <w:rsid w:val="00D2632E"/>
    <w:rsid w:val="00D34E6B"/>
    <w:rsid w:val="00D37A4C"/>
    <w:rsid w:val="00D414A3"/>
    <w:rsid w:val="00D41BB5"/>
    <w:rsid w:val="00D429C6"/>
    <w:rsid w:val="00D47748"/>
    <w:rsid w:val="00D54CC3"/>
    <w:rsid w:val="00D567B0"/>
    <w:rsid w:val="00D6041A"/>
    <w:rsid w:val="00D633EB"/>
    <w:rsid w:val="00D67EF9"/>
    <w:rsid w:val="00D71C2B"/>
    <w:rsid w:val="00D72991"/>
    <w:rsid w:val="00D72B18"/>
    <w:rsid w:val="00D72D6A"/>
    <w:rsid w:val="00D73301"/>
    <w:rsid w:val="00D76DDA"/>
    <w:rsid w:val="00D77237"/>
    <w:rsid w:val="00D82FF7"/>
    <w:rsid w:val="00D835E7"/>
    <w:rsid w:val="00D83842"/>
    <w:rsid w:val="00D842DC"/>
    <w:rsid w:val="00D847FE"/>
    <w:rsid w:val="00D85F8E"/>
    <w:rsid w:val="00D86EC2"/>
    <w:rsid w:val="00D9561C"/>
    <w:rsid w:val="00D964EA"/>
    <w:rsid w:val="00D966D0"/>
    <w:rsid w:val="00D97DB6"/>
    <w:rsid w:val="00DA0C59"/>
    <w:rsid w:val="00DA3991"/>
    <w:rsid w:val="00DA43C3"/>
    <w:rsid w:val="00DB0B10"/>
    <w:rsid w:val="00DB12DE"/>
    <w:rsid w:val="00DB5F1D"/>
    <w:rsid w:val="00DB6E73"/>
    <w:rsid w:val="00DB7566"/>
    <w:rsid w:val="00DB7E6C"/>
    <w:rsid w:val="00DC1267"/>
    <w:rsid w:val="00DC3B61"/>
    <w:rsid w:val="00DC4BD1"/>
    <w:rsid w:val="00DC6D7E"/>
    <w:rsid w:val="00DD09D2"/>
    <w:rsid w:val="00DD5A29"/>
    <w:rsid w:val="00DD5D9D"/>
    <w:rsid w:val="00DE1E8C"/>
    <w:rsid w:val="00DE3168"/>
    <w:rsid w:val="00DE35CB"/>
    <w:rsid w:val="00DE54C0"/>
    <w:rsid w:val="00DE725D"/>
    <w:rsid w:val="00DE7421"/>
    <w:rsid w:val="00DE7716"/>
    <w:rsid w:val="00DF21E9"/>
    <w:rsid w:val="00DF2ABE"/>
    <w:rsid w:val="00DF3746"/>
    <w:rsid w:val="00DF3835"/>
    <w:rsid w:val="00DF45C6"/>
    <w:rsid w:val="00DF4689"/>
    <w:rsid w:val="00DF5466"/>
    <w:rsid w:val="00DF6269"/>
    <w:rsid w:val="00E00F14"/>
    <w:rsid w:val="00E014DB"/>
    <w:rsid w:val="00E01E2C"/>
    <w:rsid w:val="00E06386"/>
    <w:rsid w:val="00E06724"/>
    <w:rsid w:val="00E06A22"/>
    <w:rsid w:val="00E1006D"/>
    <w:rsid w:val="00E1593D"/>
    <w:rsid w:val="00E210C5"/>
    <w:rsid w:val="00E24EB4"/>
    <w:rsid w:val="00E320ED"/>
    <w:rsid w:val="00E32DF6"/>
    <w:rsid w:val="00E33AFB"/>
    <w:rsid w:val="00E34218"/>
    <w:rsid w:val="00E36B6A"/>
    <w:rsid w:val="00E37A5F"/>
    <w:rsid w:val="00E426D8"/>
    <w:rsid w:val="00E427A5"/>
    <w:rsid w:val="00E42989"/>
    <w:rsid w:val="00E46282"/>
    <w:rsid w:val="00E47E10"/>
    <w:rsid w:val="00E51468"/>
    <w:rsid w:val="00E5216E"/>
    <w:rsid w:val="00E55461"/>
    <w:rsid w:val="00E57993"/>
    <w:rsid w:val="00E57BBB"/>
    <w:rsid w:val="00E608D9"/>
    <w:rsid w:val="00E60B84"/>
    <w:rsid w:val="00E669DF"/>
    <w:rsid w:val="00E675B3"/>
    <w:rsid w:val="00E702DF"/>
    <w:rsid w:val="00E70631"/>
    <w:rsid w:val="00E72A9E"/>
    <w:rsid w:val="00E74BE1"/>
    <w:rsid w:val="00E76C52"/>
    <w:rsid w:val="00E82344"/>
    <w:rsid w:val="00E84C82"/>
    <w:rsid w:val="00E84D64"/>
    <w:rsid w:val="00E86AF7"/>
    <w:rsid w:val="00E87408"/>
    <w:rsid w:val="00E914C4"/>
    <w:rsid w:val="00E934F5"/>
    <w:rsid w:val="00E96961"/>
    <w:rsid w:val="00EA72EC"/>
    <w:rsid w:val="00EB04E1"/>
    <w:rsid w:val="00EB11CB"/>
    <w:rsid w:val="00EB275A"/>
    <w:rsid w:val="00EB3E99"/>
    <w:rsid w:val="00EB786A"/>
    <w:rsid w:val="00EC1578"/>
    <w:rsid w:val="00EC1C72"/>
    <w:rsid w:val="00EC2945"/>
    <w:rsid w:val="00EC3CC9"/>
    <w:rsid w:val="00EC680A"/>
    <w:rsid w:val="00ED0130"/>
    <w:rsid w:val="00ED1196"/>
    <w:rsid w:val="00ED5121"/>
    <w:rsid w:val="00ED7AEE"/>
    <w:rsid w:val="00EE1BF1"/>
    <w:rsid w:val="00EE205B"/>
    <w:rsid w:val="00EE24C1"/>
    <w:rsid w:val="00EE2BED"/>
    <w:rsid w:val="00EE3414"/>
    <w:rsid w:val="00EE374B"/>
    <w:rsid w:val="00EE4805"/>
    <w:rsid w:val="00EE59FB"/>
    <w:rsid w:val="00EF10F8"/>
    <w:rsid w:val="00EF58BA"/>
    <w:rsid w:val="00EF7629"/>
    <w:rsid w:val="00F01332"/>
    <w:rsid w:val="00F11BB5"/>
    <w:rsid w:val="00F1417B"/>
    <w:rsid w:val="00F1787C"/>
    <w:rsid w:val="00F2727D"/>
    <w:rsid w:val="00F3390A"/>
    <w:rsid w:val="00F34B99"/>
    <w:rsid w:val="00F37A7F"/>
    <w:rsid w:val="00F420F2"/>
    <w:rsid w:val="00F42C92"/>
    <w:rsid w:val="00F44755"/>
    <w:rsid w:val="00F44F85"/>
    <w:rsid w:val="00F47EB1"/>
    <w:rsid w:val="00F50754"/>
    <w:rsid w:val="00F510E6"/>
    <w:rsid w:val="00F52DAB"/>
    <w:rsid w:val="00F53443"/>
    <w:rsid w:val="00F54196"/>
    <w:rsid w:val="00F543F0"/>
    <w:rsid w:val="00F55827"/>
    <w:rsid w:val="00F575F3"/>
    <w:rsid w:val="00F625C9"/>
    <w:rsid w:val="00F6373D"/>
    <w:rsid w:val="00F6624A"/>
    <w:rsid w:val="00F7057D"/>
    <w:rsid w:val="00F7074B"/>
    <w:rsid w:val="00F713C6"/>
    <w:rsid w:val="00F72314"/>
    <w:rsid w:val="00F72465"/>
    <w:rsid w:val="00F737AD"/>
    <w:rsid w:val="00F75807"/>
    <w:rsid w:val="00F80828"/>
    <w:rsid w:val="00F81158"/>
    <w:rsid w:val="00F816CA"/>
    <w:rsid w:val="00F81D29"/>
    <w:rsid w:val="00F81D61"/>
    <w:rsid w:val="00F81DC8"/>
    <w:rsid w:val="00F85910"/>
    <w:rsid w:val="00F90061"/>
    <w:rsid w:val="00F91C4D"/>
    <w:rsid w:val="00F92FD9"/>
    <w:rsid w:val="00F96BC5"/>
    <w:rsid w:val="00F976AD"/>
    <w:rsid w:val="00FA1947"/>
    <w:rsid w:val="00FA2541"/>
    <w:rsid w:val="00FA42EF"/>
    <w:rsid w:val="00FA6470"/>
    <w:rsid w:val="00FA6684"/>
    <w:rsid w:val="00FA705E"/>
    <w:rsid w:val="00FA731E"/>
    <w:rsid w:val="00FB0B66"/>
    <w:rsid w:val="00FB1366"/>
    <w:rsid w:val="00FB2B38"/>
    <w:rsid w:val="00FB3791"/>
    <w:rsid w:val="00FB3B9B"/>
    <w:rsid w:val="00FB653E"/>
    <w:rsid w:val="00FC6358"/>
    <w:rsid w:val="00FC6C90"/>
    <w:rsid w:val="00FD04BB"/>
    <w:rsid w:val="00FD066A"/>
    <w:rsid w:val="00FD320D"/>
    <w:rsid w:val="00FD379F"/>
    <w:rsid w:val="00FD570D"/>
    <w:rsid w:val="00FE05C6"/>
    <w:rsid w:val="00FE1498"/>
    <w:rsid w:val="00FE23DE"/>
    <w:rsid w:val="00FF2188"/>
    <w:rsid w:val="00FF6BC5"/>
    <w:rsid w:val="01001B5E"/>
    <w:rsid w:val="019D7E34"/>
    <w:rsid w:val="0275668A"/>
    <w:rsid w:val="027C25DA"/>
    <w:rsid w:val="02EA442E"/>
    <w:rsid w:val="03A75ABD"/>
    <w:rsid w:val="03BB2031"/>
    <w:rsid w:val="040E27E3"/>
    <w:rsid w:val="04175703"/>
    <w:rsid w:val="04536111"/>
    <w:rsid w:val="04AF3F3E"/>
    <w:rsid w:val="04D705BF"/>
    <w:rsid w:val="04DD3F64"/>
    <w:rsid w:val="04EB6322"/>
    <w:rsid w:val="051D0E65"/>
    <w:rsid w:val="05503AC8"/>
    <w:rsid w:val="057F779D"/>
    <w:rsid w:val="05E840B5"/>
    <w:rsid w:val="062F3E28"/>
    <w:rsid w:val="062F5D0D"/>
    <w:rsid w:val="067F0589"/>
    <w:rsid w:val="068E7B23"/>
    <w:rsid w:val="06AA4FFE"/>
    <w:rsid w:val="06B50A2A"/>
    <w:rsid w:val="06E02C82"/>
    <w:rsid w:val="06EE2145"/>
    <w:rsid w:val="07034A47"/>
    <w:rsid w:val="07143A8F"/>
    <w:rsid w:val="071D10DE"/>
    <w:rsid w:val="074B0C5A"/>
    <w:rsid w:val="074D69D9"/>
    <w:rsid w:val="076808B4"/>
    <w:rsid w:val="07762B7A"/>
    <w:rsid w:val="077E1A2E"/>
    <w:rsid w:val="07AC1CC0"/>
    <w:rsid w:val="07EA522D"/>
    <w:rsid w:val="07F27E81"/>
    <w:rsid w:val="08332819"/>
    <w:rsid w:val="08A84A33"/>
    <w:rsid w:val="08AC1202"/>
    <w:rsid w:val="08C87A28"/>
    <w:rsid w:val="08E20120"/>
    <w:rsid w:val="08F94C8D"/>
    <w:rsid w:val="09167C47"/>
    <w:rsid w:val="0949462F"/>
    <w:rsid w:val="09FA436A"/>
    <w:rsid w:val="0A441D0E"/>
    <w:rsid w:val="0A4F6FD0"/>
    <w:rsid w:val="0A803CD3"/>
    <w:rsid w:val="0A83110A"/>
    <w:rsid w:val="0A842761"/>
    <w:rsid w:val="0A906B62"/>
    <w:rsid w:val="0ADA7437"/>
    <w:rsid w:val="0AE03BEC"/>
    <w:rsid w:val="0B1A02A2"/>
    <w:rsid w:val="0B4C689D"/>
    <w:rsid w:val="0B633415"/>
    <w:rsid w:val="0B8F0C83"/>
    <w:rsid w:val="0BBB6B35"/>
    <w:rsid w:val="0BD62423"/>
    <w:rsid w:val="0BDB7828"/>
    <w:rsid w:val="0BE34556"/>
    <w:rsid w:val="0C68411F"/>
    <w:rsid w:val="0C96376F"/>
    <w:rsid w:val="0D0444B3"/>
    <w:rsid w:val="0D131322"/>
    <w:rsid w:val="0D8D2CC7"/>
    <w:rsid w:val="0D9E672E"/>
    <w:rsid w:val="0DA538A2"/>
    <w:rsid w:val="0DBB6E93"/>
    <w:rsid w:val="0DD60D40"/>
    <w:rsid w:val="0DD7773F"/>
    <w:rsid w:val="0DF06AB6"/>
    <w:rsid w:val="0E0C6A25"/>
    <w:rsid w:val="0E1A62DE"/>
    <w:rsid w:val="0E321257"/>
    <w:rsid w:val="0E5C05EF"/>
    <w:rsid w:val="0E715532"/>
    <w:rsid w:val="0E8D76BF"/>
    <w:rsid w:val="0EC42733"/>
    <w:rsid w:val="0F087FB5"/>
    <w:rsid w:val="100D6C71"/>
    <w:rsid w:val="105A5869"/>
    <w:rsid w:val="10A351CC"/>
    <w:rsid w:val="10F1151F"/>
    <w:rsid w:val="11017E3D"/>
    <w:rsid w:val="11116384"/>
    <w:rsid w:val="114103A7"/>
    <w:rsid w:val="11627CCB"/>
    <w:rsid w:val="119D06BE"/>
    <w:rsid w:val="11F4267F"/>
    <w:rsid w:val="11F50B3F"/>
    <w:rsid w:val="12866648"/>
    <w:rsid w:val="128A1009"/>
    <w:rsid w:val="12AA5F4D"/>
    <w:rsid w:val="12C000D1"/>
    <w:rsid w:val="12D90F42"/>
    <w:rsid w:val="12DE368D"/>
    <w:rsid w:val="12F37627"/>
    <w:rsid w:val="13093380"/>
    <w:rsid w:val="1317565A"/>
    <w:rsid w:val="13176561"/>
    <w:rsid w:val="13186F7D"/>
    <w:rsid w:val="133E4479"/>
    <w:rsid w:val="13672780"/>
    <w:rsid w:val="137D7EBB"/>
    <w:rsid w:val="13990590"/>
    <w:rsid w:val="13CA1E62"/>
    <w:rsid w:val="13FA03A8"/>
    <w:rsid w:val="142E658A"/>
    <w:rsid w:val="148C7810"/>
    <w:rsid w:val="14A34FB1"/>
    <w:rsid w:val="14D60BAF"/>
    <w:rsid w:val="14EA3EDE"/>
    <w:rsid w:val="154318D4"/>
    <w:rsid w:val="154B3CD8"/>
    <w:rsid w:val="156033BE"/>
    <w:rsid w:val="15F0378C"/>
    <w:rsid w:val="162D33AE"/>
    <w:rsid w:val="163416F3"/>
    <w:rsid w:val="166636FC"/>
    <w:rsid w:val="1698795B"/>
    <w:rsid w:val="16B42364"/>
    <w:rsid w:val="16BB3578"/>
    <w:rsid w:val="16BE3651"/>
    <w:rsid w:val="16CC1169"/>
    <w:rsid w:val="173B1EAD"/>
    <w:rsid w:val="17533955"/>
    <w:rsid w:val="177E15D6"/>
    <w:rsid w:val="17D905BB"/>
    <w:rsid w:val="182E0907"/>
    <w:rsid w:val="18344147"/>
    <w:rsid w:val="18591376"/>
    <w:rsid w:val="18974964"/>
    <w:rsid w:val="18CE3F9E"/>
    <w:rsid w:val="18D57896"/>
    <w:rsid w:val="193F21E0"/>
    <w:rsid w:val="19C72AD7"/>
    <w:rsid w:val="19EF40C6"/>
    <w:rsid w:val="19FD1E93"/>
    <w:rsid w:val="1A753EF5"/>
    <w:rsid w:val="1A960114"/>
    <w:rsid w:val="1ABA45AB"/>
    <w:rsid w:val="1B274F60"/>
    <w:rsid w:val="1B2D36A3"/>
    <w:rsid w:val="1B3A75C2"/>
    <w:rsid w:val="1B4C4773"/>
    <w:rsid w:val="1B776A68"/>
    <w:rsid w:val="1B86502C"/>
    <w:rsid w:val="1BB53F93"/>
    <w:rsid w:val="1BD9327F"/>
    <w:rsid w:val="1C347186"/>
    <w:rsid w:val="1C376FBA"/>
    <w:rsid w:val="1C3F451D"/>
    <w:rsid w:val="1C7227E5"/>
    <w:rsid w:val="1D184998"/>
    <w:rsid w:val="1D606596"/>
    <w:rsid w:val="1D7F59CD"/>
    <w:rsid w:val="1DE06B47"/>
    <w:rsid w:val="1DF126A2"/>
    <w:rsid w:val="1E0D2C0F"/>
    <w:rsid w:val="1E216F26"/>
    <w:rsid w:val="1E8A615E"/>
    <w:rsid w:val="1E986E57"/>
    <w:rsid w:val="1ED67D6B"/>
    <w:rsid w:val="1F266764"/>
    <w:rsid w:val="1F3E57F5"/>
    <w:rsid w:val="1F4C0E2B"/>
    <w:rsid w:val="1F5572E8"/>
    <w:rsid w:val="1F88281C"/>
    <w:rsid w:val="1FE534E9"/>
    <w:rsid w:val="1FF935FF"/>
    <w:rsid w:val="203778E9"/>
    <w:rsid w:val="20602C7A"/>
    <w:rsid w:val="2136082C"/>
    <w:rsid w:val="215C14F1"/>
    <w:rsid w:val="21617F9F"/>
    <w:rsid w:val="219338F8"/>
    <w:rsid w:val="21983295"/>
    <w:rsid w:val="21AC1248"/>
    <w:rsid w:val="21C20BD7"/>
    <w:rsid w:val="21E347F4"/>
    <w:rsid w:val="221304F7"/>
    <w:rsid w:val="22315F6D"/>
    <w:rsid w:val="227132E9"/>
    <w:rsid w:val="22AA7723"/>
    <w:rsid w:val="22D9311C"/>
    <w:rsid w:val="231177A3"/>
    <w:rsid w:val="234046F8"/>
    <w:rsid w:val="23593C8E"/>
    <w:rsid w:val="238060CC"/>
    <w:rsid w:val="238216FA"/>
    <w:rsid w:val="23D25B8F"/>
    <w:rsid w:val="23EC563A"/>
    <w:rsid w:val="241637A9"/>
    <w:rsid w:val="244E6320"/>
    <w:rsid w:val="24515593"/>
    <w:rsid w:val="24642242"/>
    <w:rsid w:val="24B255C5"/>
    <w:rsid w:val="24CC674D"/>
    <w:rsid w:val="25055EC8"/>
    <w:rsid w:val="259D0504"/>
    <w:rsid w:val="25A4313C"/>
    <w:rsid w:val="25AC6452"/>
    <w:rsid w:val="25C94365"/>
    <w:rsid w:val="25CC6119"/>
    <w:rsid w:val="261A0DFE"/>
    <w:rsid w:val="263317DE"/>
    <w:rsid w:val="26897349"/>
    <w:rsid w:val="268973A3"/>
    <w:rsid w:val="26D174D9"/>
    <w:rsid w:val="26E72CF4"/>
    <w:rsid w:val="27005B64"/>
    <w:rsid w:val="27242053"/>
    <w:rsid w:val="275E73AA"/>
    <w:rsid w:val="27FA04A4"/>
    <w:rsid w:val="28107987"/>
    <w:rsid w:val="281178FD"/>
    <w:rsid w:val="28164F01"/>
    <w:rsid w:val="283C132F"/>
    <w:rsid w:val="28420898"/>
    <w:rsid w:val="285C7D55"/>
    <w:rsid w:val="287171E9"/>
    <w:rsid w:val="28784CA4"/>
    <w:rsid w:val="28A57C14"/>
    <w:rsid w:val="28BD725D"/>
    <w:rsid w:val="290A680C"/>
    <w:rsid w:val="29716D8C"/>
    <w:rsid w:val="299B2660"/>
    <w:rsid w:val="29A078DB"/>
    <w:rsid w:val="29A273A6"/>
    <w:rsid w:val="29AE77EA"/>
    <w:rsid w:val="2A66059D"/>
    <w:rsid w:val="2A7A77BA"/>
    <w:rsid w:val="2AAF7B61"/>
    <w:rsid w:val="2ABB32D7"/>
    <w:rsid w:val="2AF81C02"/>
    <w:rsid w:val="2B0003EE"/>
    <w:rsid w:val="2B2B395D"/>
    <w:rsid w:val="2B4C29F2"/>
    <w:rsid w:val="2B5F5EEC"/>
    <w:rsid w:val="2B920D55"/>
    <w:rsid w:val="2B963B29"/>
    <w:rsid w:val="2C3F0D57"/>
    <w:rsid w:val="2C4E2ECE"/>
    <w:rsid w:val="2C770676"/>
    <w:rsid w:val="2CA14645"/>
    <w:rsid w:val="2CAB4F54"/>
    <w:rsid w:val="2CBB50A2"/>
    <w:rsid w:val="2D080754"/>
    <w:rsid w:val="2D2B5693"/>
    <w:rsid w:val="2D510F8C"/>
    <w:rsid w:val="2D526682"/>
    <w:rsid w:val="2D765812"/>
    <w:rsid w:val="2DDF4725"/>
    <w:rsid w:val="2E17007B"/>
    <w:rsid w:val="2E1C1A4E"/>
    <w:rsid w:val="2E505F70"/>
    <w:rsid w:val="2E9402F8"/>
    <w:rsid w:val="2E945930"/>
    <w:rsid w:val="2EC541C2"/>
    <w:rsid w:val="2EE87E8E"/>
    <w:rsid w:val="2F0F00EC"/>
    <w:rsid w:val="2F1C5580"/>
    <w:rsid w:val="2FB15FBE"/>
    <w:rsid w:val="2FCC0EE0"/>
    <w:rsid w:val="2FFB511A"/>
    <w:rsid w:val="30004E27"/>
    <w:rsid w:val="30493B22"/>
    <w:rsid w:val="307A6139"/>
    <w:rsid w:val="307F6FC1"/>
    <w:rsid w:val="308C2216"/>
    <w:rsid w:val="30C47B1A"/>
    <w:rsid w:val="30C52075"/>
    <w:rsid w:val="30F42EF8"/>
    <w:rsid w:val="31390E29"/>
    <w:rsid w:val="317B155C"/>
    <w:rsid w:val="320B3752"/>
    <w:rsid w:val="321150C9"/>
    <w:rsid w:val="3234700A"/>
    <w:rsid w:val="324B7B41"/>
    <w:rsid w:val="32697D44"/>
    <w:rsid w:val="327A0EC0"/>
    <w:rsid w:val="32A2017A"/>
    <w:rsid w:val="32DC7485"/>
    <w:rsid w:val="334E4251"/>
    <w:rsid w:val="33922A6E"/>
    <w:rsid w:val="33926B29"/>
    <w:rsid w:val="339B5216"/>
    <w:rsid w:val="33A41CCA"/>
    <w:rsid w:val="33AA51DB"/>
    <w:rsid w:val="33C6541B"/>
    <w:rsid w:val="33CF6FEA"/>
    <w:rsid w:val="33D150A0"/>
    <w:rsid w:val="34040BC2"/>
    <w:rsid w:val="34073DC1"/>
    <w:rsid w:val="343F4E60"/>
    <w:rsid w:val="34704896"/>
    <w:rsid w:val="34725139"/>
    <w:rsid w:val="34AE30A3"/>
    <w:rsid w:val="34E46AC5"/>
    <w:rsid w:val="35481956"/>
    <w:rsid w:val="354C3FEB"/>
    <w:rsid w:val="355168B7"/>
    <w:rsid w:val="355B7D16"/>
    <w:rsid w:val="35957DBF"/>
    <w:rsid w:val="359A28A4"/>
    <w:rsid w:val="35A5709A"/>
    <w:rsid w:val="35CB733E"/>
    <w:rsid w:val="35E45639"/>
    <w:rsid w:val="35E86141"/>
    <w:rsid w:val="36430915"/>
    <w:rsid w:val="36720B63"/>
    <w:rsid w:val="36865C16"/>
    <w:rsid w:val="36BD6BB8"/>
    <w:rsid w:val="36D93CDC"/>
    <w:rsid w:val="371B152F"/>
    <w:rsid w:val="372E18EB"/>
    <w:rsid w:val="373C25FC"/>
    <w:rsid w:val="373C4996"/>
    <w:rsid w:val="374D3D49"/>
    <w:rsid w:val="376954D7"/>
    <w:rsid w:val="37AA504B"/>
    <w:rsid w:val="37C266E6"/>
    <w:rsid w:val="37ED2D0B"/>
    <w:rsid w:val="38227B20"/>
    <w:rsid w:val="382A1FC1"/>
    <w:rsid w:val="386053BC"/>
    <w:rsid w:val="386A6093"/>
    <w:rsid w:val="387D5266"/>
    <w:rsid w:val="38BD5411"/>
    <w:rsid w:val="38CD76BE"/>
    <w:rsid w:val="38D47048"/>
    <w:rsid w:val="38F82B3F"/>
    <w:rsid w:val="38FB262F"/>
    <w:rsid w:val="38FE3710"/>
    <w:rsid w:val="39B21AF3"/>
    <w:rsid w:val="3A2461FE"/>
    <w:rsid w:val="3A3A0F35"/>
    <w:rsid w:val="3A3F7042"/>
    <w:rsid w:val="3A861EF8"/>
    <w:rsid w:val="3A9A3112"/>
    <w:rsid w:val="3AC06506"/>
    <w:rsid w:val="3AD73E74"/>
    <w:rsid w:val="3AE94535"/>
    <w:rsid w:val="3B061FB2"/>
    <w:rsid w:val="3B1E43B3"/>
    <w:rsid w:val="3B532EF7"/>
    <w:rsid w:val="3B541666"/>
    <w:rsid w:val="3B752FDB"/>
    <w:rsid w:val="3B855FEA"/>
    <w:rsid w:val="3BA7366E"/>
    <w:rsid w:val="3BEE0229"/>
    <w:rsid w:val="3BF86FD4"/>
    <w:rsid w:val="3C995ECD"/>
    <w:rsid w:val="3CAD0641"/>
    <w:rsid w:val="3CBF318A"/>
    <w:rsid w:val="3CC63FA1"/>
    <w:rsid w:val="3D0737ED"/>
    <w:rsid w:val="3D0D2145"/>
    <w:rsid w:val="3D5D4A05"/>
    <w:rsid w:val="3D644881"/>
    <w:rsid w:val="3D874491"/>
    <w:rsid w:val="3E1D6BA4"/>
    <w:rsid w:val="3E2738A8"/>
    <w:rsid w:val="3E8268FE"/>
    <w:rsid w:val="3EA12544"/>
    <w:rsid w:val="3EC6685A"/>
    <w:rsid w:val="3ED4045C"/>
    <w:rsid w:val="3F650E49"/>
    <w:rsid w:val="3F782B2F"/>
    <w:rsid w:val="3F7B4088"/>
    <w:rsid w:val="3F896D1E"/>
    <w:rsid w:val="3F8F7432"/>
    <w:rsid w:val="3FA05CDE"/>
    <w:rsid w:val="3FC72C37"/>
    <w:rsid w:val="3FE079B0"/>
    <w:rsid w:val="3FE6529C"/>
    <w:rsid w:val="3FF62B90"/>
    <w:rsid w:val="40664D75"/>
    <w:rsid w:val="409715DA"/>
    <w:rsid w:val="409D0FBF"/>
    <w:rsid w:val="40B02A44"/>
    <w:rsid w:val="40CB34BB"/>
    <w:rsid w:val="410127AD"/>
    <w:rsid w:val="412070D7"/>
    <w:rsid w:val="41211CDF"/>
    <w:rsid w:val="415A3C46"/>
    <w:rsid w:val="41AA67C7"/>
    <w:rsid w:val="41B06505"/>
    <w:rsid w:val="41B925CB"/>
    <w:rsid w:val="41BD4926"/>
    <w:rsid w:val="42392E7C"/>
    <w:rsid w:val="429A6A15"/>
    <w:rsid w:val="42FF70F8"/>
    <w:rsid w:val="43327E6D"/>
    <w:rsid w:val="43454EAD"/>
    <w:rsid w:val="436F6E9D"/>
    <w:rsid w:val="43C149B3"/>
    <w:rsid w:val="43E4263E"/>
    <w:rsid w:val="44366C11"/>
    <w:rsid w:val="448F230B"/>
    <w:rsid w:val="44A00C15"/>
    <w:rsid w:val="44B25E12"/>
    <w:rsid w:val="45046549"/>
    <w:rsid w:val="45554639"/>
    <w:rsid w:val="4557068A"/>
    <w:rsid w:val="45587617"/>
    <w:rsid w:val="456E3ED0"/>
    <w:rsid w:val="458F482B"/>
    <w:rsid w:val="45EF0E26"/>
    <w:rsid w:val="463602FE"/>
    <w:rsid w:val="466E4440"/>
    <w:rsid w:val="466F05D1"/>
    <w:rsid w:val="467C4DAF"/>
    <w:rsid w:val="46B02CAB"/>
    <w:rsid w:val="46D379EE"/>
    <w:rsid w:val="46EE732F"/>
    <w:rsid w:val="470F47F7"/>
    <w:rsid w:val="47561ABB"/>
    <w:rsid w:val="476475F1"/>
    <w:rsid w:val="477535AD"/>
    <w:rsid w:val="47D003CC"/>
    <w:rsid w:val="484B2E62"/>
    <w:rsid w:val="48C22822"/>
    <w:rsid w:val="48D84F74"/>
    <w:rsid w:val="49362386"/>
    <w:rsid w:val="493A36B0"/>
    <w:rsid w:val="49D3732A"/>
    <w:rsid w:val="49E86C26"/>
    <w:rsid w:val="49FB248F"/>
    <w:rsid w:val="4A280DAA"/>
    <w:rsid w:val="4A3311E7"/>
    <w:rsid w:val="4A65539B"/>
    <w:rsid w:val="4A8B55DB"/>
    <w:rsid w:val="4AAD7367"/>
    <w:rsid w:val="4AF665DB"/>
    <w:rsid w:val="4BF50E1B"/>
    <w:rsid w:val="4C0C563A"/>
    <w:rsid w:val="4C5E77C0"/>
    <w:rsid w:val="4C600787"/>
    <w:rsid w:val="4C8C1137"/>
    <w:rsid w:val="4C9B2DBD"/>
    <w:rsid w:val="4D2418CD"/>
    <w:rsid w:val="4D5F671D"/>
    <w:rsid w:val="4D6709E0"/>
    <w:rsid w:val="4DB71098"/>
    <w:rsid w:val="4DC024C2"/>
    <w:rsid w:val="4E0B43F1"/>
    <w:rsid w:val="4E0F0720"/>
    <w:rsid w:val="4E4862FB"/>
    <w:rsid w:val="4E5C24BE"/>
    <w:rsid w:val="4E716E84"/>
    <w:rsid w:val="4F072EB6"/>
    <w:rsid w:val="4F286A9C"/>
    <w:rsid w:val="4F2F65F9"/>
    <w:rsid w:val="4F6B3C13"/>
    <w:rsid w:val="4F710AFD"/>
    <w:rsid w:val="4F912F4E"/>
    <w:rsid w:val="4FA2487D"/>
    <w:rsid w:val="4FA871BC"/>
    <w:rsid w:val="4FC25B8B"/>
    <w:rsid w:val="50142518"/>
    <w:rsid w:val="504F7091"/>
    <w:rsid w:val="50926F7D"/>
    <w:rsid w:val="50DE0E32"/>
    <w:rsid w:val="50E7376D"/>
    <w:rsid w:val="50EA5564"/>
    <w:rsid w:val="50F419E6"/>
    <w:rsid w:val="511B709E"/>
    <w:rsid w:val="514D0B72"/>
    <w:rsid w:val="518327CD"/>
    <w:rsid w:val="51A84DA0"/>
    <w:rsid w:val="51C508AC"/>
    <w:rsid w:val="51CB0693"/>
    <w:rsid w:val="51F9323E"/>
    <w:rsid w:val="5201085F"/>
    <w:rsid w:val="52155873"/>
    <w:rsid w:val="5248466E"/>
    <w:rsid w:val="528C7873"/>
    <w:rsid w:val="52D56A83"/>
    <w:rsid w:val="530A729F"/>
    <w:rsid w:val="535C0F98"/>
    <w:rsid w:val="539A73DA"/>
    <w:rsid w:val="53C16C53"/>
    <w:rsid w:val="53FD794C"/>
    <w:rsid w:val="54A67403"/>
    <w:rsid w:val="54C31DFB"/>
    <w:rsid w:val="54EF05B0"/>
    <w:rsid w:val="55016ACE"/>
    <w:rsid w:val="55294815"/>
    <w:rsid w:val="552A1E7A"/>
    <w:rsid w:val="553E6869"/>
    <w:rsid w:val="555119D7"/>
    <w:rsid w:val="5561401F"/>
    <w:rsid w:val="55D70BBA"/>
    <w:rsid w:val="55F27611"/>
    <w:rsid w:val="5637474C"/>
    <w:rsid w:val="56490020"/>
    <w:rsid w:val="569D4475"/>
    <w:rsid w:val="56F16D72"/>
    <w:rsid w:val="570E3BC9"/>
    <w:rsid w:val="574C257C"/>
    <w:rsid w:val="578A6FDC"/>
    <w:rsid w:val="57F94B48"/>
    <w:rsid w:val="580A71E1"/>
    <w:rsid w:val="58144D0D"/>
    <w:rsid w:val="58591DB3"/>
    <w:rsid w:val="58613D97"/>
    <w:rsid w:val="587C3386"/>
    <w:rsid w:val="591539B6"/>
    <w:rsid w:val="591C0741"/>
    <w:rsid w:val="59464185"/>
    <w:rsid w:val="59DA0090"/>
    <w:rsid w:val="5A165268"/>
    <w:rsid w:val="5A3410A5"/>
    <w:rsid w:val="5AA10BBF"/>
    <w:rsid w:val="5AAC0B7B"/>
    <w:rsid w:val="5AE12A2F"/>
    <w:rsid w:val="5AFF5D23"/>
    <w:rsid w:val="5B744A36"/>
    <w:rsid w:val="5B7B3430"/>
    <w:rsid w:val="5B8171A7"/>
    <w:rsid w:val="5B905602"/>
    <w:rsid w:val="5BFE196B"/>
    <w:rsid w:val="5C5F337B"/>
    <w:rsid w:val="5C606182"/>
    <w:rsid w:val="5CA01244"/>
    <w:rsid w:val="5CA05B27"/>
    <w:rsid w:val="5CCB5CF1"/>
    <w:rsid w:val="5CDB5D74"/>
    <w:rsid w:val="5D023849"/>
    <w:rsid w:val="5D172350"/>
    <w:rsid w:val="5D2957D4"/>
    <w:rsid w:val="5D635F29"/>
    <w:rsid w:val="5D9146CA"/>
    <w:rsid w:val="5E443BB9"/>
    <w:rsid w:val="5E8E59DB"/>
    <w:rsid w:val="5EB015D8"/>
    <w:rsid w:val="5EDA215A"/>
    <w:rsid w:val="5F071D35"/>
    <w:rsid w:val="5F122193"/>
    <w:rsid w:val="5F7B5377"/>
    <w:rsid w:val="5FC5493D"/>
    <w:rsid w:val="5FE817FC"/>
    <w:rsid w:val="600F05EB"/>
    <w:rsid w:val="60786190"/>
    <w:rsid w:val="60986A98"/>
    <w:rsid w:val="60BE7187"/>
    <w:rsid w:val="60C468CF"/>
    <w:rsid w:val="60C662B0"/>
    <w:rsid w:val="60D55B80"/>
    <w:rsid w:val="60E65A85"/>
    <w:rsid w:val="614F5AAA"/>
    <w:rsid w:val="61612335"/>
    <w:rsid w:val="616B1562"/>
    <w:rsid w:val="618927A0"/>
    <w:rsid w:val="618E617C"/>
    <w:rsid w:val="61BA1DC7"/>
    <w:rsid w:val="61D84964"/>
    <w:rsid w:val="62426A55"/>
    <w:rsid w:val="630F26B0"/>
    <w:rsid w:val="63264566"/>
    <w:rsid w:val="636C322C"/>
    <w:rsid w:val="63836C76"/>
    <w:rsid w:val="63C45248"/>
    <w:rsid w:val="64224CCA"/>
    <w:rsid w:val="64231A01"/>
    <w:rsid w:val="643F2304"/>
    <w:rsid w:val="645C36D2"/>
    <w:rsid w:val="653528A1"/>
    <w:rsid w:val="6568477B"/>
    <w:rsid w:val="6598163C"/>
    <w:rsid w:val="65A215B9"/>
    <w:rsid w:val="66092190"/>
    <w:rsid w:val="66E528D9"/>
    <w:rsid w:val="67297A59"/>
    <w:rsid w:val="67381E09"/>
    <w:rsid w:val="673D77EB"/>
    <w:rsid w:val="674A3201"/>
    <w:rsid w:val="674B0307"/>
    <w:rsid w:val="68184ECE"/>
    <w:rsid w:val="68D52A0C"/>
    <w:rsid w:val="68E47EC2"/>
    <w:rsid w:val="69336592"/>
    <w:rsid w:val="694873CC"/>
    <w:rsid w:val="696F26AE"/>
    <w:rsid w:val="69D95578"/>
    <w:rsid w:val="6A0B50F1"/>
    <w:rsid w:val="6A2A33BF"/>
    <w:rsid w:val="6A553D45"/>
    <w:rsid w:val="6AD2721B"/>
    <w:rsid w:val="6B4205D8"/>
    <w:rsid w:val="6B427027"/>
    <w:rsid w:val="6B611FF3"/>
    <w:rsid w:val="6B9D5719"/>
    <w:rsid w:val="6BBE5887"/>
    <w:rsid w:val="6C443B85"/>
    <w:rsid w:val="6C685538"/>
    <w:rsid w:val="6D201119"/>
    <w:rsid w:val="6D3E3DB8"/>
    <w:rsid w:val="6D684F24"/>
    <w:rsid w:val="6D8F1E34"/>
    <w:rsid w:val="6D9640F9"/>
    <w:rsid w:val="6DA75F6F"/>
    <w:rsid w:val="6DED494C"/>
    <w:rsid w:val="6E19747E"/>
    <w:rsid w:val="6E2B19AF"/>
    <w:rsid w:val="6E4B2073"/>
    <w:rsid w:val="6E906FA7"/>
    <w:rsid w:val="6EF20C96"/>
    <w:rsid w:val="6F165C23"/>
    <w:rsid w:val="6F213EE0"/>
    <w:rsid w:val="6F5F4C45"/>
    <w:rsid w:val="6F7D6439"/>
    <w:rsid w:val="6FE03293"/>
    <w:rsid w:val="6FEA072C"/>
    <w:rsid w:val="70193F05"/>
    <w:rsid w:val="702B5AEF"/>
    <w:rsid w:val="70A00DEB"/>
    <w:rsid w:val="70A328F2"/>
    <w:rsid w:val="70A578CD"/>
    <w:rsid w:val="70EE795A"/>
    <w:rsid w:val="71014B4C"/>
    <w:rsid w:val="71811B01"/>
    <w:rsid w:val="71942578"/>
    <w:rsid w:val="71C70D25"/>
    <w:rsid w:val="72273572"/>
    <w:rsid w:val="727C62C7"/>
    <w:rsid w:val="727C7D91"/>
    <w:rsid w:val="729F1A1A"/>
    <w:rsid w:val="72AC4633"/>
    <w:rsid w:val="72C139C6"/>
    <w:rsid w:val="72ED6EBD"/>
    <w:rsid w:val="73080CB7"/>
    <w:rsid w:val="732A513C"/>
    <w:rsid w:val="733754FA"/>
    <w:rsid w:val="7351733F"/>
    <w:rsid w:val="73643DB0"/>
    <w:rsid w:val="73853764"/>
    <w:rsid w:val="738A0204"/>
    <w:rsid w:val="73A61E19"/>
    <w:rsid w:val="74036CA2"/>
    <w:rsid w:val="74082F2F"/>
    <w:rsid w:val="7409326A"/>
    <w:rsid w:val="74811388"/>
    <w:rsid w:val="74A22383"/>
    <w:rsid w:val="74F7203C"/>
    <w:rsid w:val="74FF3D18"/>
    <w:rsid w:val="7639687F"/>
    <w:rsid w:val="768C680C"/>
    <w:rsid w:val="76A333E3"/>
    <w:rsid w:val="76AB7194"/>
    <w:rsid w:val="76DD06A3"/>
    <w:rsid w:val="77075720"/>
    <w:rsid w:val="77247C84"/>
    <w:rsid w:val="774358FC"/>
    <w:rsid w:val="776741D3"/>
    <w:rsid w:val="77731007"/>
    <w:rsid w:val="779F3BAA"/>
    <w:rsid w:val="77A05ACF"/>
    <w:rsid w:val="77AF64E3"/>
    <w:rsid w:val="77EA6925"/>
    <w:rsid w:val="78256029"/>
    <w:rsid w:val="7839225D"/>
    <w:rsid w:val="78D30A93"/>
    <w:rsid w:val="794468A7"/>
    <w:rsid w:val="794856B1"/>
    <w:rsid w:val="795B0DD1"/>
    <w:rsid w:val="79690914"/>
    <w:rsid w:val="796B4CD4"/>
    <w:rsid w:val="79764DDF"/>
    <w:rsid w:val="799C7E72"/>
    <w:rsid w:val="79B576B5"/>
    <w:rsid w:val="79CC547B"/>
    <w:rsid w:val="79FD082D"/>
    <w:rsid w:val="7A3507F6"/>
    <w:rsid w:val="7A4153ED"/>
    <w:rsid w:val="7A514939"/>
    <w:rsid w:val="7A7D6734"/>
    <w:rsid w:val="7AD46261"/>
    <w:rsid w:val="7B9B5B36"/>
    <w:rsid w:val="7BFA6A5C"/>
    <w:rsid w:val="7C5B3A94"/>
    <w:rsid w:val="7D6666ED"/>
    <w:rsid w:val="7DA915FA"/>
    <w:rsid w:val="7DF36C07"/>
    <w:rsid w:val="7DF46C59"/>
    <w:rsid w:val="7E040C0B"/>
    <w:rsid w:val="7E10649B"/>
    <w:rsid w:val="7E7830DC"/>
    <w:rsid w:val="7E7D1264"/>
    <w:rsid w:val="7E8B4E88"/>
    <w:rsid w:val="7F122F5D"/>
    <w:rsid w:val="7F831A0E"/>
    <w:rsid w:val="7FBD605E"/>
    <w:rsid w:val="7FC151C7"/>
    <w:rsid w:val="7FCE0C2C"/>
    <w:rsid w:val="7FD31117"/>
    <w:rsid w:val="7FF8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7"/>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Plain Text"/>
    <w:basedOn w:val="1"/>
    <w:qFormat/>
    <w:uiPriority w:val="0"/>
    <w:rPr>
      <w:rFonts w:ascii="宋体" w:hAnsi="Courier New"/>
      <w:szCs w:val="20"/>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43"/>
    <w:qFormat/>
    <w:uiPriority w:val="0"/>
    <w:rPr>
      <w:sz w:val="18"/>
      <w:szCs w:val="18"/>
    </w:rPr>
  </w:style>
  <w:style w:type="paragraph" w:styleId="17">
    <w:name w:val="footer"/>
    <w:basedOn w:val="1"/>
    <w:link w:val="54"/>
    <w:qFormat/>
    <w:uiPriority w:val="99"/>
    <w:pPr>
      <w:snapToGrid w:val="0"/>
      <w:ind w:right="210" w:rightChars="100"/>
      <w:jc w:val="right"/>
    </w:pPr>
    <w:rPr>
      <w:sz w:val="18"/>
      <w:szCs w:val="18"/>
    </w:rPr>
  </w:style>
  <w:style w:type="paragraph" w:styleId="18">
    <w:name w:val="header"/>
    <w:basedOn w:val="1"/>
    <w:link w:val="42"/>
    <w:qFormat/>
    <w:uiPriority w:val="99"/>
    <w:pPr>
      <w:snapToGrid w:val="0"/>
      <w:jc w:val="left"/>
    </w:pPr>
    <w:rPr>
      <w:sz w:val="18"/>
      <w:szCs w:val="18"/>
    </w:rPr>
  </w:style>
  <w:style w:type="paragraph" w:styleId="19">
    <w:name w:val="toc 1"/>
    <w:basedOn w:val="1"/>
    <w:next w:val="1"/>
    <w:semiHidden/>
    <w:qFormat/>
    <w:uiPriority w:val="0"/>
    <w:pPr>
      <w:tabs>
        <w:tab w:val="right" w:leader="dot" w:pos="9242"/>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tabs>
        <w:tab w:val="left" w:pos="0"/>
      </w:tabs>
      <w:snapToGrid w:val="0"/>
      <w:ind w:left="720" w:hanging="357"/>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7"/>
    <w:next w:val="7"/>
    <w:link w:val="148"/>
    <w:semiHidden/>
    <w:unhideWhenUsed/>
    <w:qFormat/>
    <w:uiPriority w:val="0"/>
    <w:rPr>
      <w:b/>
      <w:bCs/>
    </w:rPr>
  </w:style>
  <w:style w:type="table" w:styleId="33">
    <w:name w:val="Table Grid"/>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Hyperlink"/>
    <w:qFormat/>
    <w:uiPriority w:val="0"/>
    <w:rPr>
      <w:color w:val="0000FF"/>
      <w:spacing w:val="0"/>
      <w:w w:val="100"/>
      <w:szCs w:val="21"/>
      <w:u w:val="single"/>
      <w:lang w:val="en-US" w:eastAsia="zh-CN"/>
    </w:rPr>
  </w:style>
  <w:style w:type="character" w:styleId="38">
    <w:name w:val="annotation reference"/>
    <w:basedOn w:val="34"/>
    <w:unhideWhenUsed/>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3"/>
    <w:qFormat/>
    <w:uiPriority w:val="0"/>
    <w:rPr>
      <w:rFonts w:ascii="宋体"/>
      <w:sz w:val="21"/>
      <w:lang w:val="en-US" w:eastAsia="zh-CN" w:bidi="ar-SA"/>
    </w:rPr>
  </w:style>
  <w:style w:type="character" w:customStyle="1" w:styleId="41">
    <w:name w:val="访问过的超链接1"/>
    <w:qFormat/>
    <w:uiPriority w:val="0"/>
    <w:rPr>
      <w:color w:val="800080"/>
      <w:u w:val="single"/>
    </w:rPr>
  </w:style>
  <w:style w:type="character" w:customStyle="1" w:styleId="42">
    <w:name w:val="页眉 Char"/>
    <w:link w:val="18"/>
    <w:qFormat/>
    <w:locked/>
    <w:uiPriority w:val="99"/>
    <w:rPr>
      <w:kern w:val="2"/>
      <w:sz w:val="18"/>
      <w:szCs w:val="18"/>
    </w:rPr>
  </w:style>
  <w:style w:type="character" w:customStyle="1" w:styleId="43">
    <w:name w:val="批注框文本 Char"/>
    <w:link w:val="16"/>
    <w:qFormat/>
    <w:uiPriority w:val="0"/>
    <w:rPr>
      <w:kern w:val="2"/>
      <w:sz w:val="18"/>
      <w:szCs w:val="18"/>
    </w:rPr>
  </w:style>
  <w:style w:type="character" w:customStyle="1" w:styleId="44">
    <w:name w:val="发布"/>
    <w:qFormat/>
    <w:uiPriority w:val="0"/>
    <w:rPr>
      <w:rFonts w:ascii="黑体" w:eastAsia="黑体"/>
      <w:spacing w:val="85"/>
      <w:w w:val="100"/>
      <w:position w:val="3"/>
      <w:sz w:val="28"/>
      <w:szCs w:val="28"/>
    </w:rPr>
  </w:style>
  <w:style w:type="character" w:customStyle="1" w:styleId="45">
    <w:name w:val="章标题 Char"/>
    <w:link w:val="46"/>
    <w:qFormat/>
    <w:locked/>
    <w:uiPriority w:val="0"/>
    <w:rPr>
      <w:rFonts w:ascii="黑体" w:eastAsia="黑体"/>
      <w:sz w:val="21"/>
    </w:rPr>
  </w:style>
  <w:style w:type="paragraph" w:customStyle="1" w:styleId="46">
    <w:name w:val="章标题"/>
    <w:next w:val="23"/>
    <w:link w:val="45"/>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47">
    <w:name w:val="一级条标题 Char"/>
    <w:link w:val="48"/>
    <w:qFormat/>
    <w:locked/>
    <w:uiPriority w:val="0"/>
    <w:rPr>
      <w:rFonts w:ascii="黑体" w:eastAsia="黑体"/>
      <w:sz w:val="21"/>
      <w:szCs w:val="21"/>
    </w:rPr>
  </w:style>
  <w:style w:type="paragraph" w:customStyle="1" w:styleId="48">
    <w:name w:val="一级条标题"/>
    <w:next w:val="23"/>
    <w:link w:val="47"/>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49">
    <w:name w:val="二级无 Char"/>
    <w:link w:val="50"/>
    <w:qFormat/>
    <w:locked/>
    <w:uiPriority w:val="0"/>
    <w:rPr>
      <w:rFonts w:ascii="宋体"/>
      <w:sz w:val="21"/>
      <w:szCs w:val="21"/>
    </w:rPr>
  </w:style>
  <w:style w:type="paragraph" w:customStyle="1" w:styleId="50">
    <w:name w:val="二级无"/>
    <w:basedOn w:val="51"/>
    <w:link w:val="49"/>
    <w:qFormat/>
    <w:uiPriority w:val="0"/>
    <w:pPr>
      <w:tabs>
        <w:tab w:val="left" w:pos="0"/>
      </w:tabs>
      <w:spacing w:beforeLines="0" w:afterLines="0"/>
    </w:pPr>
    <w:rPr>
      <w:rFonts w:ascii="宋体" w:eastAsia="宋体"/>
    </w:rPr>
  </w:style>
  <w:style w:type="paragraph" w:customStyle="1" w:styleId="51">
    <w:name w:val="二级条标题"/>
    <w:basedOn w:val="48"/>
    <w:next w:val="23"/>
    <w:link w:val="146"/>
    <w:qFormat/>
    <w:uiPriority w:val="0"/>
    <w:pPr>
      <w:numPr>
        <w:ilvl w:val="2"/>
      </w:numPr>
      <w:spacing w:before="50" w:after="50"/>
      <w:outlineLvl w:val="3"/>
    </w:pPr>
  </w:style>
  <w:style w:type="character" w:customStyle="1" w:styleId="52">
    <w:name w:val="附录公式 Char"/>
    <w:basedOn w:val="40"/>
    <w:link w:val="53"/>
    <w:qFormat/>
    <w:uiPriority w:val="0"/>
    <w:rPr>
      <w:rFonts w:ascii="宋体"/>
      <w:sz w:val="21"/>
      <w:lang w:val="en-US" w:eastAsia="zh-CN" w:bidi="ar-SA"/>
    </w:rPr>
  </w:style>
  <w:style w:type="paragraph" w:customStyle="1" w:styleId="53">
    <w:name w:val="附录公式"/>
    <w:basedOn w:val="23"/>
    <w:next w:val="23"/>
    <w:link w:val="52"/>
    <w:qFormat/>
    <w:uiPriority w:val="0"/>
  </w:style>
  <w:style w:type="character" w:customStyle="1" w:styleId="54">
    <w:name w:val="页脚 Char"/>
    <w:link w:val="17"/>
    <w:qFormat/>
    <w:locked/>
    <w:uiPriority w:val="99"/>
    <w:rPr>
      <w:kern w:val="2"/>
      <w:sz w:val="18"/>
      <w:szCs w:val="18"/>
    </w:rPr>
  </w:style>
  <w:style w:type="character" w:customStyle="1" w:styleId="55">
    <w:name w:val="首示例 Char"/>
    <w:link w:val="56"/>
    <w:qFormat/>
    <w:uiPriority w:val="0"/>
    <w:rPr>
      <w:rFonts w:ascii="宋体" w:hAnsi="宋体"/>
      <w:kern w:val="2"/>
      <w:sz w:val="18"/>
      <w:szCs w:val="18"/>
    </w:rPr>
  </w:style>
  <w:style w:type="paragraph" w:customStyle="1" w:styleId="56">
    <w:name w:val="首示例"/>
    <w:next w:val="23"/>
    <w:link w:val="55"/>
    <w:qFormat/>
    <w:uiPriority w:val="0"/>
    <w:pPr>
      <w:tabs>
        <w:tab w:val="left" w:pos="360"/>
      </w:tabs>
    </w:pPr>
    <w:rPr>
      <w:rFonts w:ascii="宋体" w:hAnsi="宋体" w:eastAsia="宋体" w:cs="Times New Roman"/>
      <w:kern w:val="2"/>
      <w:sz w:val="18"/>
      <w:szCs w:val="18"/>
      <w:lang w:val="en-US" w:eastAsia="zh-CN" w:bidi="ar-SA"/>
    </w:rPr>
  </w:style>
  <w:style w:type="paragraph" w:customStyle="1" w:styleId="57">
    <w:name w:val="标准文件_附录一级条标题"/>
    <w:basedOn w:val="1"/>
    <w:next w:val="1"/>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5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9">
    <w:name w:val="目次、标准名称标题"/>
    <w:basedOn w:val="1"/>
    <w:next w:val="23"/>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正文图标题"/>
    <w:next w:val="23"/>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1">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2">
    <w:name w:val="示例后文字"/>
    <w:basedOn w:val="23"/>
    <w:next w:val="23"/>
    <w:qFormat/>
    <w:uiPriority w:val="0"/>
    <w:pPr>
      <w:ind w:firstLine="360"/>
    </w:pPr>
    <w:rPr>
      <w:sz w:val="18"/>
    </w:rPr>
  </w:style>
  <w:style w:type="paragraph" w:customStyle="1" w:styleId="6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4">
    <w:name w:val="标准书眉一"/>
    <w:qFormat/>
    <w:uiPriority w:val="0"/>
    <w:pPr>
      <w:jc w:val="both"/>
    </w:pPr>
    <w:rPr>
      <w:rFonts w:ascii="Times New Roman" w:hAnsi="Times New Roman" w:eastAsia="宋体" w:cs="Times New Roman"/>
      <w:lang w:val="en-US" w:eastAsia="zh-CN" w:bidi="ar-SA"/>
    </w:rPr>
  </w:style>
  <w:style w:type="paragraph" w:customStyle="1" w:styleId="65">
    <w:name w:val="附录表标号"/>
    <w:basedOn w:val="1"/>
    <w:next w:val="23"/>
    <w:qFormat/>
    <w:uiPriority w:val="0"/>
    <w:pPr>
      <w:spacing w:line="14" w:lineRule="exact"/>
      <w:ind w:left="811" w:hanging="448"/>
      <w:jc w:val="center"/>
      <w:outlineLvl w:val="0"/>
    </w:pPr>
    <w:rPr>
      <w:color w:val="FFFFFF"/>
    </w:rPr>
  </w:style>
  <w:style w:type="paragraph" w:customStyle="1" w:styleId="66">
    <w:name w:val="附录二级条标题"/>
    <w:basedOn w:val="1"/>
    <w:next w:val="23"/>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7">
    <w:name w:val="封面一致性程度标识"/>
    <w:basedOn w:val="68"/>
    <w:qFormat/>
    <w:uiPriority w:val="99"/>
    <w:pPr>
      <w:framePr w:wrap="around"/>
      <w:spacing w:before="440"/>
    </w:pPr>
    <w:rPr>
      <w:rFonts w:ascii="宋体" w:eastAsia="宋体"/>
    </w:rPr>
  </w:style>
  <w:style w:type="paragraph" w:customStyle="1" w:styleId="68">
    <w:name w:val="封面标准英文名称"/>
    <w:basedOn w:val="69"/>
    <w:qFormat/>
    <w:uiPriority w:val="0"/>
    <w:pPr>
      <w:framePr w:wrap="around"/>
      <w:spacing w:before="370" w:line="400" w:lineRule="exact"/>
    </w:pPr>
    <w:rPr>
      <w:rFonts w:ascii="Times New Roman"/>
      <w:sz w:val="28"/>
      <w:szCs w:val="28"/>
    </w:rPr>
  </w:style>
  <w:style w:type="paragraph" w:customStyle="1" w:styleId="6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0">
    <w:name w:val="附录二级无"/>
    <w:basedOn w:val="66"/>
    <w:qFormat/>
    <w:uiPriority w:val="0"/>
    <w:pPr>
      <w:tabs>
        <w:tab w:val="clear" w:pos="360"/>
      </w:tabs>
      <w:spacing w:beforeLines="0" w:afterLines="0"/>
    </w:pPr>
    <w:rPr>
      <w:rFonts w:ascii="宋体" w:eastAsia="宋体"/>
      <w:szCs w:val="21"/>
    </w:rPr>
  </w:style>
  <w:style w:type="paragraph" w:customStyle="1" w:styleId="71">
    <w:name w:val="一级无"/>
    <w:basedOn w:val="48"/>
    <w:qFormat/>
    <w:uiPriority w:val="0"/>
    <w:pPr>
      <w:spacing w:beforeLines="0" w:afterLines="0"/>
    </w:pPr>
    <w:rPr>
      <w:rFonts w:ascii="宋体" w:eastAsia="宋体"/>
    </w:rPr>
  </w:style>
  <w:style w:type="paragraph" w:customStyle="1" w:styleId="72">
    <w:name w:val="实施日期"/>
    <w:basedOn w:val="58"/>
    <w:qFormat/>
    <w:uiPriority w:val="0"/>
    <w:pPr>
      <w:framePr w:wrap="around" w:vAnchor="page" w:hAnchor="text"/>
      <w:jc w:val="right"/>
    </w:pPr>
  </w:style>
  <w:style w:type="paragraph" w:customStyle="1" w:styleId="73">
    <w:name w:val="四级无"/>
    <w:basedOn w:val="74"/>
    <w:qFormat/>
    <w:uiPriority w:val="0"/>
    <w:pPr>
      <w:tabs>
        <w:tab w:val="left" w:pos="0"/>
      </w:tabs>
      <w:spacing w:beforeLines="0" w:afterLines="0"/>
    </w:pPr>
    <w:rPr>
      <w:rFonts w:ascii="宋体" w:eastAsia="宋体"/>
    </w:rPr>
  </w:style>
  <w:style w:type="paragraph" w:customStyle="1" w:styleId="74">
    <w:name w:val="四级条标题"/>
    <w:basedOn w:val="75"/>
    <w:next w:val="23"/>
    <w:qFormat/>
    <w:uiPriority w:val="0"/>
    <w:pPr>
      <w:tabs>
        <w:tab w:val="left" w:pos="0"/>
      </w:tabs>
      <w:outlineLvl w:val="5"/>
    </w:pPr>
  </w:style>
  <w:style w:type="paragraph" w:customStyle="1" w:styleId="75">
    <w:name w:val="三级条标题"/>
    <w:basedOn w:val="51"/>
    <w:next w:val="23"/>
    <w:qFormat/>
    <w:uiPriority w:val="0"/>
    <w:pPr>
      <w:numPr>
        <w:ilvl w:val="0"/>
        <w:numId w:val="0"/>
      </w:numPr>
      <w:outlineLvl w:val="4"/>
    </w:pPr>
  </w:style>
  <w:style w:type="paragraph" w:customStyle="1" w:styleId="76">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77">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78">
    <w:name w:val="正文表标题"/>
    <w:next w:val="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9">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0">
    <w:name w:val="图标脚注说明"/>
    <w:basedOn w:val="23"/>
    <w:qFormat/>
    <w:uiPriority w:val="0"/>
    <w:pPr>
      <w:ind w:left="840" w:hanging="420" w:firstLineChars="0"/>
    </w:pPr>
    <w:rPr>
      <w:sz w:val="18"/>
      <w:szCs w:val="18"/>
    </w:rPr>
  </w:style>
  <w:style w:type="paragraph" w:customStyle="1" w:styleId="81">
    <w:name w:val="列项◆（三级）"/>
    <w:basedOn w:val="1"/>
    <w:qFormat/>
    <w:uiPriority w:val="0"/>
    <w:pPr>
      <w:tabs>
        <w:tab w:val="left" w:pos="1678"/>
      </w:tabs>
      <w:ind w:left="1678" w:hanging="414"/>
    </w:pPr>
    <w:rPr>
      <w:rFonts w:ascii="宋体"/>
      <w:szCs w:val="21"/>
    </w:rPr>
  </w:style>
  <w:style w:type="paragraph" w:customStyle="1" w:styleId="8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3">
    <w:name w:val="附录三级条标题"/>
    <w:basedOn w:val="66"/>
    <w:next w:val="23"/>
    <w:qFormat/>
    <w:uiPriority w:val="0"/>
    <w:pPr>
      <w:outlineLvl w:val="4"/>
    </w:pPr>
  </w:style>
  <w:style w:type="paragraph" w:customStyle="1" w:styleId="8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5">
    <w:name w:val="附录五级无"/>
    <w:basedOn w:val="86"/>
    <w:qFormat/>
    <w:uiPriority w:val="0"/>
    <w:pPr>
      <w:tabs>
        <w:tab w:val="left" w:pos="360"/>
      </w:tabs>
      <w:spacing w:beforeLines="0" w:afterLines="0"/>
    </w:pPr>
    <w:rPr>
      <w:rFonts w:ascii="宋体" w:eastAsia="宋体"/>
      <w:szCs w:val="21"/>
    </w:rPr>
  </w:style>
  <w:style w:type="paragraph" w:customStyle="1" w:styleId="86">
    <w:name w:val="附录五级条标题"/>
    <w:basedOn w:val="87"/>
    <w:next w:val="23"/>
    <w:qFormat/>
    <w:uiPriority w:val="0"/>
    <w:pPr>
      <w:tabs>
        <w:tab w:val="left" w:pos="360"/>
      </w:tabs>
      <w:outlineLvl w:val="6"/>
    </w:pPr>
  </w:style>
  <w:style w:type="paragraph" w:customStyle="1" w:styleId="87">
    <w:name w:val="附录四级条标题"/>
    <w:basedOn w:val="83"/>
    <w:next w:val="23"/>
    <w:qFormat/>
    <w:uiPriority w:val="0"/>
    <w:pPr>
      <w:outlineLvl w:val="5"/>
    </w:p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附录一级无"/>
    <w:basedOn w:val="90"/>
    <w:qFormat/>
    <w:uiPriority w:val="0"/>
    <w:pPr>
      <w:tabs>
        <w:tab w:val="left" w:pos="360"/>
      </w:tabs>
      <w:spacing w:beforeLines="0" w:afterLines="0"/>
    </w:pPr>
    <w:rPr>
      <w:rFonts w:ascii="宋体" w:eastAsia="宋体"/>
      <w:szCs w:val="21"/>
    </w:rPr>
  </w:style>
  <w:style w:type="paragraph" w:customStyle="1" w:styleId="90">
    <w:name w:val="附录一级条标题"/>
    <w:basedOn w:val="91"/>
    <w:next w:val="23"/>
    <w:qFormat/>
    <w:uiPriority w:val="0"/>
    <w:pPr>
      <w:tabs>
        <w:tab w:val="left" w:pos="360"/>
      </w:tabs>
      <w:autoSpaceDN w:val="0"/>
      <w:spacing w:beforeLines="50" w:afterLines="50"/>
      <w:outlineLvl w:val="2"/>
    </w:pPr>
  </w:style>
  <w:style w:type="paragraph" w:customStyle="1" w:styleId="91">
    <w:name w:val="附录章标题"/>
    <w:next w:val="23"/>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4">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图标题"/>
    <w:basedOn w:val="1"/>
    <w:next w:val="23"/>
    <w:qFormat/>
    <w:uiPriority w:val="0"/>
    <w:pPr>
      <w:tabs>
        <w:tab w:val="left" w:pos="363"/>
      </w:tabs>
      <w:spacing w:beforeLines="50" w:afterLines="50"/>
      <w:jc w:val="center"/>
    </w:pPr>
    <w:rPr>
      <w:rFonts w:ascii="黑体" w:eastAsia="黑体"/>
      <w:szCs w:val="21"/>
    </w:rPr>
  </w:style>
  <w:style w:type="paragraph" w:customStyle="1" w:styleId="96">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7">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9">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1">
    <w:name w:val="条文脚注"/>
    <w:basedOn w:val="24"/>
    <w:qFormat/>
    <w:uiPriority w:val="0"/>
    <w:pPr>
      <w:ind w:left="0" w:firstLine="0"/>
      <w:jc w:val="both"/>
    </w:pPr>
  </w:style>
  <w:style w:type="paragraph" w:customStyle="1" w:styleId="10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3">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4">
    <w:name w:val="示例"/>
    <w:next w:val="105"/>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6">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07">
    <w:name w:val="封面一致性程度标识2"/>
    <w:basedOn w:val="67"/>
    <w:qFormat/>
    <w:uiPriority w:val="0"/>
    <w:pPr>
      <w:framePr w:wrap="around" w:y="4469"/>
    </w:pPr>
  </w:style>
  <w:style w:type="paragraph" w:customStyle="1" w:styleId="108">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09">
    <w:name w:val="附录三级无"/>
    <w:basedOn w:val="83"/>
    <w:qFormat/>
    <w:uiPriority w:val="0"/>
    <w:pPr>
      <w:tabs>
        <w:tab w:val="clear" w:pos="360"/>
      </w:tabs>
      <w:spacing w:beforeLines="0" w:afterLines="0"/>
    </w:pPr>
    <w:rPr>
      <w:rFonts w:ascii="宋体" w:eastAsia="宋体"/>
      <w:szCs w:val="21"/>
    </w:rPr>
  </w:style>
  <w:style w:type="paragraph" w:customStyle="1" w:styleId="110">
    <w:name w:val="其他发布日期"/>
    <w:basedOn w:val="58"/>
    <w:qFormat/>
    <w:uiPriority w:val="99"/>
    <w:pPr>
      <w:framePr w:wrap="around" w:vAnchor="page" w:hAnchor="text" w:x="1419"/>
    </w:pPr>
  </w:style>
  <w:style w:type="paragraph" w:customStyle="1" w:styleId="111">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2">
    <w:name w:val="其他标准标志"/>
    <w:basedOn w:val="102"/>
    <w:qFormat/>
    <w:uiPriority w:val="0"/>
    <w:pPr>
      <w:framePr w:w="6101" w:wrap="around" w:vAnchor="page" w:hAnchor="page" w:x="4673" w:y="942"/>
    </w:pPr>
    <w:rPr>
      <w:w w:val="130"/>
    </w:rPr>
  </w:style>
  <w:style w:type="paragraph" w:customStyle="1" w:styleId="11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4">
    <w:name w:val="图表脚注说明"/>
    <w:basedOn w:val="1"/>
    <w:qFormat/>
    <w:uiPriority w:val="0"/>
    <w:pPr>
      <w:ind w:left="544" w:hanging="181"/>
    </w:pPr>
    <w:rPr>
      <w:rFonts w:ascii="宋体"/>
      <w:sz w:val="18"/>
      <w:szCs w:val="18"/>
    </w:rPr>
  </w:style>
  <w:style w:type="paragraph" w:customStyle="1" w:styleId="115">
    <w:name w:val="五级条标题"/>
    <w:basedOn w:val="74"/>
    <w:next w:val="23"/>
    <w:qFormat/>
    <w:uiPriority w:val="0"/>
    <w:pPr>
      <w:numPr>
        <w:ilvl w:val="5"/>
      </w:numPr>
      <w:outlineLvl w:val="6"/>
    </w:pPr>
  </w:style>
  <w:style w:type="paragraph" w:customStyle="1" w:styleId="116">
    <w:name w:val="封面标准文稿类别"/>
    <w:basedOn w:val="67"/>
    <w:qFormat/>
    <w:uiPriority w:val="0"/>
    <w:pPr>
      <w:framePr w:wrap="around"/>
      <w:spacing w:after="160" w:line="240" w:lineRule="auto"/>
    </w:pPr>
    <w:rPr>
      <w:sz w:val="24"/>
    </w:rPr>
  </w:style>
  <w:style w:type="paragraph" w:customStyle="1" w:styleId="11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8">
    <w:name w:val="示例×："/>
    <w:basedOn w:val="46"/>
    <w:qFormat/>
    <w:uiPriority w:val="0"/>
    <w:pPr>
      <w:spacing w:beforeLines="0" w:afterLines="0"/>
      <w:ind w:firstLine="363"/>
      <w:outlineLvl w:val="9"/>
    </w:pPr>
    <w:rPr>
      <w:rFonts w:ascii="宋体" w:eastAsia="宋体"/>
      <w:sz w:val="18"/>
      <w:szCs w:val="18"/>
    </w:rPr>
  </w:style>
  <w:style w:type="paragraph" w:customStyle="1" w:styleId="11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1">
    <w:name w:val="附录标识"/>
    <w:basedOn w:val="1"/>
    <w:next w:val="23"/>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2">
    <w:name w:val="标准书眉_偶数页"/>
    <w:basedOn w:val="84"/>
    <w:next w:val="1"/>
    <w:qFormat/>
    <w:uiPriority w:val="0"/>
    <w:pPr>
      <w:jc w:val="left"/>
    </w:pPr>
  </w:style>
  <w:style w:type="paragraph" w:customStyle="1" w:styleId="123">
    <w:name w:val="封面标准文稿编辑信息"/>
    <w:basedOn w:val="116"/>
    <w:qFormat/>
    <w:uiPriority w:val="0"/>
    <w:pPr>
      <w:framePr w:wrap="around"/>
      <w:spacing w:before="180" w:line="180" w:lineRule="exact"/>
    </w:pPr>
    <w:rPr>
      <w:sz w:val="21"/>
    </w:rPr>
  </w:style>
  <w:style w:type="paragraph" w:customStyle="1" w:styleId="124">
    <w:name w:val="附录表标题"/>
    <w:basedOn w:val="1"/>
    <w:next w:val="23"/>
    <w:qFormat/>
    <w:uiPriority w:val="0"/>
    <w:pPr>
      <w:tabs>
        <w:tab w:val="left" w:pos="180"/>
      </w:tabs>
      <w:spacing w:beforeLines="50" w:afterLines="50"/>
      <w:jc w:val="center"/>
    </w:pPr>
    <w:rPr>
      <w:rFonts w:ascii="黑体" w:eastAsia="黑体"/>
      <w:szCs w:val="21"/>
    </w:rPr>
  </w:style>
  <w:style w:type="paragraph" w:customStyle="1" w:styleId="125">
    <w:name w:val="注："/>
    <w:next w:val="23"/>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6">
    <w:name w:val="注：（正文）"/>
    <w:basedOn w:val="125"/>
    <w:next w:val="23"/>
    <w:qFormat/>
    <w:uiPriority w:val="0"/>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2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0">
    <w:name w:val="附录标题"/>
    <w:basedOn w:val="23"/>
    <w:next w:val="23"/>
    <w:qFormat/>
    <w:uiPriority w:val="0"/>
    <w:pPr>
      <w:ind w:firstLine="0" w:firstLineChars="0"/>
      <w:jc w:val="center"/>
    </w:pPr>
    <w:rPr>
      <w:rFonts w:ascii="黑体" w:eastAsia="黑体"/>
    </w:rPr>
  </w:style>
  <w:style w:type="paragraph" w:customStyle="1" w:styleId="13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2">
    <w:name w:val="封面标准名称2"/>
    <w:basedOn w:val="69"/>
    <w:qFormat/>
    <w:uiPriority w:val="0"/>
    <w:pPr>
      <w:framePr w:wrap="around" w:y="4469"/>
      <w:spacing w:beforeLines="630"/>
    </w:pPr>
  </w:style>
  <w:style w:type="paragraph" w:customStyle="1" w:styleId="133">
    <w:name w:val="发布部门"/>
    <w:next w:val="23"/>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4">
    <w:name w:val="封面标准文稿编辑信息2"/>
    <w:basedOn w:val="123"/>
    <w:qFormat/>
    <w:uiPriority w:val="0"/>
    <w:pPr>
      <w:framePr w:wrap="around" w:y="4469"/>
    </w:pPr>
  </w:style>
  <w:style w:type="paragraph" w:customStyle="1" w:styleId="135">
    <w:name w:val="其他发布部门"/>
    <w:basedOn w:val="133"/>
    <w:qFormat/>
    <w:uiPriority w:val="0"/>
    <w:pPr>
      <w:framePr w:wrap="around" w:y="15310"/>
      <w:spacing w:line="0" w:lineRule="atLeast"/>
    </w:pPr>
    <w:rPr>
      <w:rFonts w:ascii="黑体" w:eastAsia="黑体"/>
      <w:b w:val="0"/>
    </w:rPr>
  </w:style>
  <w:style w:type="paragraph" w:customStyle="1" w:styleId="136">
    <w:name w:val="附录四级无"/>
    <w:basedOn w:val="87"/>
    <w:qFormat/>
    <w:uiPriority w:val="0"/>
    <w:pPr>
      <w:tabs>
        <w:tab w:val="clear" w:pos="360"/>
      </w:tabs>
      <w:spacing w:beforeLines="0" w:afterLines="0"/>
    </w:pPr>
    <w:rPr>
      <w:rFonts w:ascii="宋体" w:eastAsia="宋体"/>
      <w:szCs w:val="21"/>
    </w:rPr>
  </w:style>
  <w:style w:type="paragraph" w:customStyle="1" w:styleId="137">
    <w:name w:val="三级无"/>
    <w:basedOn w:val="75"/>
    <w:qFormat/>
    <w:uiPriority w:val="0"/>
    <w:pPr>
      <w:spacing w:beforeLines="0" w:afterLines="0"/>
    </w:pPr>
    <w:rPr>
      <w:rFonts w:ascii="宋体" w:eastAsia="宋体"/>
    </w:rPr>
  </w:style>
  <w:style w:type="paragraph" w:customStyle="1" w:styleId="138">
    <w:name w:val="五级无"/>
    <w:basedOn w:val="115"/>
    <w:qFormat/>
    <w:uiPriority w:val="0"/>
    <w:pPr>
      <w:spacing w:beforeLines="0" w:afterLines="0"/>
    </w:pPr>
    <w:rPr>
      <w:rFonts w:ascii="宋体" w:eastAsia="宋体"/>
    </w:rPr>
  </w:style>
  <w:style w:type="paragraph" w:customStyle="1" w:styleId="139">
    <w:name w:val="正文公式编号制表符"/>
    <w:basedOn w:val="23"/>
    <w:next w:val="23"/>
    <w:qFormat/>
    <w:uiPriority w:val="0"/>
    <w:pPr>
      <w:ind w:firstLine="0" w:firstLineChars="0"/>
    </w:pPr>
  </w:style>
  <w:style w:type="paragraph" w:customStyle="1" w:styleId="140">
    <w:name w:val="终结线"/>
    <w:basedOn w:val="1"/>
    <w:qFormat/>
    <w:uiPriority w:val="0"/>
    <w:pPr>
      <w:framePr w:hSpace="181" w:vSpace="181" w:wrap="around" w:vAnchor="text" w:hAnchor="margin" w:xAlign="center" w:y="285"/>
    </w:pPr>
  </w:style>
  <w:style w:type="paragraph" w:customStyle="1" w:styleId="141">
    <w:name w:val="其他实施日期"/>
    <w:basedOn w:val="72"/>
    <w:qFormat/>
    <w:uiPriority w:val="99"/>
    <w:pPr>
      <w:framePr w:wrap="around"/>
    </w:pPr>
  </w:style>
  <w:style w:type="paragraph" w:customStyle="1" w:styleId="142">
    <w:name w:val="封面标准英文名称2"/>
    <w:basedOn w:val="68"/>
    <w:qFormat/>
    <w:uiPriority w:val="0"/>
    <w:pPr>
      <w:framePr w:wrap="around" w:y="4469"/>
    </w:pPr>
  </w:style>
  <w:style w:type="paragraph" w:customStyle="1" w:styleId="143">
    <w:name w:val="封面标准文稿类别2"/>
    <w:basedOn w:val="116"/>
    <w:qFormat/>
    <w:uiPriority w:val="0"/>
    <w:pPr>
      <w:framePr w:wrap="around" w:y="4469"/>
    </w:pPr>
  </w:style>
  <w:style w:type="paragraph" w:styleId="144">
    <w:name w:val="List Paragraph"/>
    <w:basedOn w:val="1"/>
    <w:qFormat/>
    <w:uiPriority w:val="34"/>
    <w:pPr>
      <w:ind w:firstLine="420" w:firstLineChars="200"/>
    </w:pPr>
    <w:rPr>
      <w:rFonts w:ascii="Calibri" w:hAnsi="Calibri"/>
      <w:szCs w:val="22"/>
    </w:rPr>
  </w:style>
  <w:style w:type="paragraph" w:customStyle="1" w:styleId="145">
    <w:name w:val="Char Char Char Char"/>
    <w:basedOn w:val="1"/>
    <w:qFormat/>
    <w:uiPriority w:val="0"/>
    <w:pPr>
      <w:adjustRightInd w:val="0"/>
      <w:spacing w:line="360" w:lineRule="auto"/>
    </w:pPr>
    <w:rPr>
      <w:kern w:val="0"/>
      <w:sz w:val="24"/>
      <w:szCs w:val="20"/>
    </w:rPr>
  </w:style>
  <w:style w:type="character" w:customStyle="1" w:styleId="146">
    <w:name w:val="二级条标题 Char"/>
    <w:link w:val="51"/>
    <w:qFormat/>
    <w:locked/>
    <w:uiPriority w:val="0"/>
    <w:rPr>
      <w:rFonts w:ascii="黑体" w:eastAsia="黑体"/>
      <w:sz w:val="21"/>
      <w:szCs w:val="21"/>
    </w:rPr>
  </w:style>
  <w:style w:type="character" w:customStyle="1" w:styleId="147">
    <w:name w:val="批注文字 Char"/>
    <w:basedOn w:val="34"/>
    <w:link w:val="7"/>
    <w:semiHidden/>
    <w:qFormat/>
    <w:uiPriority w:val="0"/>
    <w:rPr>
      <w:kern w:val="2"/>
      <w:sz w:val="21"/>
      <w:szCs w:val="24"/>
    </w:rPr>
  </w:style>
  <w:style w:type="character" w:customStyle="1" w:styleId="148">
    <w:name w:val="批注主题 Char"/>
    <w:basedOn w:val="147"/>
    <w:link w:val="31"/>
    <w:semiHidden/>
    <w:qFormat/>
    <w:uiPriority w:val="0"/>
    <w:rPr>
      <w:b/>
      <w:bCs/>
      <w:kern w:val="2"/>
      <w:sz w:val="21"/>
      <w:szCs w:val="24"/>
    </w:rPr>
  </w:style>
  <w:style w:type="table" w:customStyle="1" w:styleId="149">
    <w:name w:val="网格型1"/>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0">
    <w:name w:val="网格型11"/>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1">
    <w:name w:val="网格型2"/>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2">
    <w:name w:val="网格型3"/>
    <w:basedOn w:val="32"/>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5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4">
    <w:name w:val="列出段落1"/>
    <w:basedOn w:val="1"/>
    <w:qFormat/>
    <w:uiPriority w:val="0"/>
    <w:pPr>
      <w:ind w:firstLine="420" w:firstLineChars="200"/>
    </w:pPr>
    <w:rPr>
      <w:rFonts w:ascii="Calibri" w:hAnsi="Calibri"/>
      <w:szCs w:val="22"/>
    </w:rPr>
  </w:style>
  <w:style w:type="paragraph" w:customStyle="1" w:styleId="155">
    <w:name w:val="列出段落2"/>
    <w:basedOn w:val="1"/>
    <w:qFormat/>
    <w:uiPriority w:val="0"/>
    <w:pPr>
      <w:ind w:firstLine="420" w:firstLineChars="200"/>
    </w:pPr>
    <w:rPr>
      <w:rFonts w:ascii="Calibri" w:hAnsi="Calibri"/>
      <w:szCs w:val="22"/>
    </w:rPr>
  </w:style>
  <w:style w:type="paragraph" w:customStyle="1" w:styleId="15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7">
    <w:name w:val="标准文件_二级无标题"/>
    <w:basedOn w:val="158"/>
    <w:qFormat/>
    <w:uiPriority w:val="0"/>
    <w:pPr>
      <w:numPr>
        <w:numId w:val="4"/>
      </w:numPr>
      <w:tabs>
        <w:tab w:val="left" w:pos="0"/>
      </w:tabs>
      <w:spacing w:before="0" w:beforeLines="0" w:after="0" w:afterLines="0"/>
      <w:outlineLvl w:val="9"/>
    </w:pPr>
    <w:rPr>
      <w:rFonts w:ascii="宋体" w:eastAsia="宋体"/>
    </w:rPr>
  </w:style>
  <w:style w:type="paragraph" w:customStyle="1" w:styleId="158">
    <w:name w:val="标准文件_二级条标题"/>
    <w:next w:val="156"/>
    <w:qFormat/>
    <w:uiPriority w:val="0"/>
    <w:pPr>
      <w:widowControl w:val="0"/>
      <w:numPr>
        <w:ilvl w:val="3"/>
        <w:numId w:val="5"/>
      </w:numPr>
      <w:spacing w:before="50" w:beforeLines="50" w:after="50" w:afterLines="50"/>
      <w:ind w:left="142"/>
      <w:jc w:val="both"/>
      <w:outlineLvl w:val="2"/>
    </w:pPr>
    <w:rPr>
      <w:rFonts w:ascii="黑体" w:hAnsi="Times New Roman" w:eastAsia="黑体" w:cs="Times New Roman"/>
      <w:sz w:val="21"/>
      <w:lang w:val="en-US" w:eastAsia="zh-CN" w:bidi="ar-SA"/>
    </w:rPr>
  </w:style>
  <w:style w:type="paragraph" w:customStyle="1" w:styleId="159">
    <w:name w:val="标准文件_正文表标题"/>
    <w:next w:val="156"/>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60">
    <w:name w:val="标准文件_章标题"/>
    <w:next w:val="156"/>
    <w:qFormat/>
    <w:uiPriority w:val="0"/>
    <w:pPr>
      <w:numPr>
        <w:ilvl w:val="1"/>
        <w:numId w:val="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61">
    <w:name w:val="标准文件_一级条标题"/>
    <w:basedOn w:val="160"/>
    <w:next w:val="156"/>
    <w:qFormat/>
    <w:uiPriority w:val="0"/>
    <w:pPr>
      <w:numPr>
        <w:ilvl w:val="0"/>
        <w:numId w:val="0"/>
      </w:numPr>
      <w:spacing w:before="50" w:beforeLines="50" w:after="50" w:afterLines="50"/>
      <w:outlineLvl w:val="1"/>
    </w:pPr>
  </w:style>
  <w:style w:type="paragraph" w:customStyle="1" w:styleId="162">
    <w:name w:val="标准文件_字母编号列项（一级）"/>
    <w:qFormat/>
    <w:uiPriority w:val="0"/>
    <w:pPr>
      <w:ind w:left="851" w:hanging="426"/>
      <w:jc w:val="both"/>
    </w:pPr>
    <w:rPr>
      <w:rFonts w:ascii="宋体" w:hAnsi="Times New Roman" w:eastAsia="宋体" w:cs="Times New Roman"/>
      <w:sz w:val="21"/>
      <w:lang w:val="en-US" w:eastAsia="zh-CN" w:bidi="ar-SA"/>
    </w:rPr>
  </w:style>
  <w:style w:type="paragraph" w:customStyle="1" w:styleId="163">
    <w:name w:val="标准文件_三级无标题"/>
    <w:basedOn w:val="164"/>
    <w:qFormat/>
    <w:uiPriority w:val="0"/>
    <w:pPr>
      <w:spacing w:before="0" w:beforeLines="0" w:after="0" w:afterLines="0"/>
      <w:outlineLvl w:val="9"/>
    </w:pPr>
    <w:rPr>
      <w:rFonts w:ascii="宋体" w:eastAsia="宋体"/>
    </w:rPr>
  </w:style>
  <w:style w:type="paragraph" w:customStyle="1" w:styleId="164">
    <w:name w:val="标准文件_三级条标题"/>
    <w:basedOn w:val="158"/>
    <w:next w:val="156"/>
    <w:qFormat/>
    <w:uiPriority w:val="0"/>
    <w:pPr>
      <w:widowControl/>
      <w:numPr>
        <w:ilvl w:val="4"/>
      </w:numPr>
      <w:outlineLvl w:val="3"/>
    </w:pPr>
  </w:style>
  <w:style w:type="paragraph" w:customStyle="1" w:styleId="165">
    <w:name w:val="标准文件_一级无标题"/>
    <w:basedOn w:val="161"/>
    <w:qFormat/>
    <w:uiPriority w:val="0"/>
    <w:pPr>
      <w:spacing w:before="0" w:beforeLines="0" w:after="0" w:afterLines="0"/>
      <w:outlineLvl w:val="9"/>
    </w:pPr>
    <w:rPr>
      <w:rFonts w:ascii="宋体" w:eastAsia="宋体"/>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3442</Words>
  <Characters>4320</Characters>
  <Lines>1</Lines>
  <Paragraphs>1</Paragraphs>
  <TotalTime>8</TotalTime>
  <ScaleCrop>false</ScaleCrop>
  <LinksUpToDate>false</LinksUpToDate>
  <CharactersWithSpaces>4503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2024-06-06T01:42:00Z</dcterms:created>
  <cp:lastPrinted>2025-07-14T07:11:00Z</cp:lastPrinted>
  <dcterms:modified xsi:type="dcterms:W3CDTF">2025-10-15T07:21:45Z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CD1A4283C8D14A0E92E160885B6E8247_13</vt:lpwstr>
  </property>
  <property fmtid="{D5CDD505-2E9C-101B-9397-08002B2CF9AE}" pid="4" name="KSOTemplateDocerSaveRecord">
    <vt:lpwstr>eyJoZGlkIjoiODJmZDNmNmZiNjkzMGFiYzI4MGMwNDRjMjBjZDEyZGMiLCJ1c2VySWQiOiIzMzcyOTAwNTkifQ==</vt:lpwstr>
  </property>
</Properties>
</file>