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B1883">
      <w:pPr>
        <w:pStyle w:val="78"/>
        <w:framePr w:wrap="around"/>
        <w:pBdr>
          <w:bottom w:val="single" w:color="auto" w:sz="4" w:space="1"/>
        </w:pBdr>
        <w:wordWrap w:val="0"/>
        <w:rPr>
          <w:rFonts w:ascii="Times New Roman" w:eastAsia="宋体"/>
        </w:rPr>
      </w:pPr>
      <w:r>
        <w:rPr>
          <w:rFonts w:ascii="Times New Roman" w:eastAsia="宋体"/>
        </w:rPr>
        <w:t>T</w:t>
      </w:r>
      <w:r>
        <w:rPr>
          <w:rFonts w:hint="eastAsia" w:ascii="Times New Roman" w:eastAsia="宋体"/>
          <w:lang w:val="en-US" w:eastAsia="zh-CN"/>
        </w:rPr>
        <w:t>/CSTA</w:t>
      </w:r>
      <w:r>
        <w:rPr>
          <w:rFonts w:ascii="Times New Roman" w:eastAsia="宋体"/>
        </w:rPr>
        <w:t xml:space="preserve"> XXXX—XXXX</w:t>
      </w:r>
    </w:p>
    <w:p w14:paraId="399DB00E">
      <w:pPr>
        <w:pStyle w:val="78"/>
        <w:framePr w:wrap="around"/>
        <w:rPr>
          <w:rFonts w:ascii="Times New Roman" w:eastAsia="宋体"/>
        </w:rPr>
      </w:pPr>
    </w:p>
    <w:p w14:paraId="4090D1C7">
      <w:pPr>
        <w:pStyle w:val="78"/>
        <w:framePr w:wrap="around"/>
        <w:rPr>
          <w:rFonts w:ascii="Times New Roman" w:eastAsia="宋体"/>
        </w:rPr>
      </w:pPr>
    </w:p>
    <w:p w14:paraId="1C37792B">
      <w:pPr>
        <w:pStyle w:val="68"/>
        <w:framePr w:wrap="around" w:x="1351" w:y="6261"/>
        <w:rPr>
          <w:rFonts w:ascii="Times New Roman"/>
        </w:rPr>
      </w:pPr>
      <w:r>
        <w:rPr>
          <w:rFonts w:ascii="Times New Roman"/>
        </w:rPr>
        <w:t>风</w:t>
      </w:r>
      <w:r>
        <w:rPr>
          <w:rFonts w:hint="eastAsia" w:ascii="Times New Roman"/>
          <w:lang w:val="en-US" w:eastAsia="zh-CN"/>
        </w:rPr>
        <w:t>力</w:t>
      </w:r>
      <w:bookmarkStart w:id="11" w:name="_GoBack"/>
      <w:bookmarkEnd w:id="11"/>
      <w:r>
        <w:rPr>
          <w:rFonts w:ascii="Times New Roman"/>
        </w:rPr>
        <w:t>发电设备主轴用</w:t>
      </w:r>
      <w:r>
        <w:rPr>
          <w:rFonts w:hint="eastAsia" w:ascii="Times New Roman"/>
          <w:lang w:val="en-US" w:eastAsia="zh-CN"/>
        </w:rPr>
        <w:t>高碳铬</w:t>
      </w:r>
      <w:r>
        <w:rPr>
          <w:rFonts w:ascii="Times New Roman"/>
        </w:rPr>
        <w:t>轴承钢</w:t>
      </w:r>
    </w:p>
    <w:p w14:paraId="40932836">
      <w:pPr>
        <w:pStyle w:val="67"/>
        <w:framePr w:wrap="around" w:x="1351" w:y="6261"/>
        <w:rPr>
          <w:rFonts w:hint="default" w:ascii="黑体" w:hAnsi="黑体" w:eastAsia="黑体" w:cs="黑体"/>
          <w:lang w:val="en-US" w:eastAsia="zh-CN"/>
        </w:rPr>
      </w:pPr>
      <w:r>
        <w:rPr>
          <w:rFonts w:hint="eastAsia" w:ascii="黑体" w:hAnsi="黑体" w:eastAsia="黑体" w:cs="黑体"/>
        </w:rPr>
        <w:t xml:space="preserve">Bearing steel for wind </w:t>
      </w:r>
      <w:r>
        <w:rPr>
          <w:rFonts w:hint="eastAsia" w:ascii="黑体" w:hAnsi="黑体" w:cs="黑体"/>
          <w:lang w:val="en-US" w:eastAsia="zh-CN"/>
        </w:rPr>
        <w:t>turbine</w:t>
      </w:r>
      <w:r>
        <w:rPr>
          <w:rFonts w:hint="eastAsia" w:ascii="黑体" w:hAnsi="黑体" w:eastAsia="黑体" w:cs="黑体"/>
        </w:rPr>
        <w:t xml:space="preserve"> generator</w:t>
      </w:r>
      <w:r>
        <w:rPr>
          <w:rFonts w:hint="eastAsia" w:ascii="黑体" w:hAnsi="黑体" w:cs="黑体"/>
          <w:lang w:val="en-US" w:eastAsia="zh-CN"/>
        </w:rPr>
        <w:t xml:space="preserve"> system</w:t>
      </w:r>
      <w:r>
        <w:rPr>
          <w:rFonts w:hint="eastAsia" w:ascii="黑体" w:hAnsi="黑体" w:eastAsia="黑体" w:cs="黑体"/>
        </w:rPr>
        <w:t xml:space="preserve"> main </w:t>
      </w:r>
      <w:r>
        <w:rPr>
          <w:rFonts w:hint="eastAsia" w:ascii="黑体" w:hAnsi="黑体" w:cs="黑体"/>
          <w:lang w:val="en-US" w:eastAsia="zh-CN"/>
        </w:rPr>
        <w:t>shaft</w:t>
      </w:r>
    </w:p>
    <w:p w14:paraId="7C851F6A">
      <w:pPr>
        <w:pStyle w:val="67"/>
        <w:framePr w:wrap="around" w:x="1351" w:y="6261"/>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讨论</w:t>
      </w:r>
      <w:r>
        <w:rPr>
          <w:rFonts w:hint="eastAsia" w:ascii="宋体" w:hAnsi="宋体" w:eastAsia="宋体" w:cs="宋体"/>
          <w:sz w:val="24"/>
          <w:szCs w:val="24"/>
          <w:lang w:eastAsia="zh-CN"/>
        </w:rPr>
        <w:t>稿）</w:t>
      </w:r>
    </w:p>
    <w:p w14:paraId="7227EAD9">
      <w:pPr>
        <w:pStyle w:val="109"/>
        <w:framePr w:wrap="around" w:hAnchor="page" w:x="1175" w:y="14086"/>
        <w:rPr>
          <w:rFonts w:eastAsia="宋体"/>
        </w:rPr>
      </w:pPr>
      <w:bookmarkStart w:id="0" w:name="FM"/>
      <w:r>
        <w:rPr>
          <w:rFonts w:eastAsia="宋体"/>
        </w:rPr>
        <w:t>XXXX-</w:t>
      </w:r>
      <w:bookmarkEnd w:id="0"/>
      <w:r>
        <w:rPr>
          <w:rFonts w:eastAsia="宋体"/>
        </w:rPr>
        <w:t>XX-XX</w:t>
      </w:r>
      <w:r>
        <w:t>发布</w:t>
      </w:r>
    </w:p>
    <w:p w14:paraId="4E7B540D">
      <w:pPr>
        <w:pStyle w:val="140"/>
        <w:framePr w:wrap="around" w:hAnchor="page" w:x="6661" w:y="14041"/>
      </w:pPr>
      <w:r>
        <w:rPr>
          <w:rFonts w:eastAsia="宋体"/>
        </w:rPr>
        <w:t>XXXX-XX-XX</w:t>
      </w:r>
      <w:r>
        <w:t>实施</w:t>
      </w:r>
    </w:p>
    <w:p w14:paraId="7BEF8650">
      <w:pPr>
        <w:pStyle w:val="132"/>
        <w:framePr w:wrap="around" w:x="2156" w:y="15196"/>
        <w:rPr>
          <w:rFonts w:ascii="Times New Roman"/>
        </w:rPr>
      </w:pPr>
      <w:r>
        <w:rPr>
          <w:rFonts w:hint="eastAsia" w:ascii="Times New Roman"/>
          <w:sz w:val="36"/>
          <w:szCs w:val="36"/>
          <w:lang w:val="en-US" w:eastAsia="zh-CN"/>
        </w:rPr>
        <w:t>中关村不锈及特种合金新材料产业技术创新联盟</w:t>
      </w:r>
      <w:r>
        <w:rPr>
          <w:rFonts w:ascii="Times New Roman"/>
          <w:sz w:val="36"/>
          <w:szCs w:val="36"/>
        </w:rPr>
        <w:t xml:space="preserve">  </w:t>
      </w:r>
      <w:r>
        <w:rPr>
          <w:rFonts w:ascii="Times New Roman"/>
        </w:rPr>
        <w:t>发布</w:t>
      </w:r>
    </w:p>
    <w:p w14:paraId="0FED1A46">
      <w:pPr>
        <w:framePr w:hSpace="180" w:vSpace="180" w:wrap="around" w:vAnchor="page" w:hAnchor="margin" w:y="1171" w:anchorLock="1"/>
        <w:jc w:val="left"/>
        <w:textAlignment w:val="center"/>
        <w:rPr>
          <w:rFonts w:ascii="黑体" w:hAnsi="黑体" w:eastAsia="黑体" w:cs="黑体"/>
          <w:kern w:val="0"/>
          <w:szCs w:val="21"/>
        </w:rPr>
      </w:pPr>
      <w:r>
        <w:rPr>
          <w:rFonts w:hint="eastAsia" w:ascii="黑体" w:hAnsi="黑体" w:eastAsia="黑体" w:cs="黑体"/>
          <w:kern w:val="0"/>
          <w:szCs w:val="21"/>
        </w:rPr>
        <w:t>ICS 77.140.10</w:t>
      </w:r>
    </w:p>
    <w:p w14:paraId="54FE588D">
      <w:pPr>
        <w:framePr w:hSpace="180" w:vSpace="180" w:wrap="around" w:vAnchor="page" w:hAnchor="margin" w:y="1171" w:anchorLock="1"/>
        <w:jc w:val="left"/>
        <w:textAlignment w:val="center"/>
        <w:rPr>
          <w:rFonts w:ascii="黑体" w:hAnsi="黑体" w:eastAsia="黑体" w:cs="黑体"/>
          <w:kern w:val="0"/>
          <w:szCs w:val="21"/>
        </w:rPr>
      </w:pPr>
      <w:r>
        <w:rPr>
          <w:rFonts w:hint="eastAsia" w:ascii="黑体" w:hAnsi="黑体" w:eastAsia="黑体" w:cs="黑体"/>
          <w:kern w:val="0"/>
          <w:szCs w:val="21"/>
        </w:rPr>
        <w:t>CCS H 40</w:t>
      </w:r>
    </w:p>
    <w:p w14:paraId="76C71CC2">
      <w:pPr>
        <w:pStyle w:val="22"/>
        <w:spacing w:line="340" w:lineRule="exact"/>
        <w:ind w:firstLine="0" w:firstLineChars="0"/>
        <w:rPr>
          <w:rFonts w:ascii="Times New Roman"/>
          <w:kern w:val="2"/>
          <w:sz w:val="22"/>
          <w:szCs w:val="22"/>
        </w:rPr>
      </w:pPr>
    </w:p>
    <w:p w14:paraId="7AD4898E">
      <w:pPr>
        <w:framePr w:wrap="around" w:vAnchor="page" w:hAnchor="page" w:x="1482" w:y="2348"/>
        <w:kinsoku w:val="0"/>
        <w:overflowPunct w:val="0"/>
        <w:autoSpaceDE w:val="0"/>
        <w:autoSpaceDN w:val="0"/>
        <w:spacing w:line="0" w:lineRule="atLeast"/>
        <w:jc w:val="distribute"/>
        <w:rPr>
          <w:b/>
          <w:bCs/>
          <w:spacing w:val="20"/>
          <w:w w:val="148"/>
          <w:sz w:val="48"/>
        </w:rPr>
      </w:pPr>
      <w:r>
        <w:rPr>
          <w:b/>
          <w:bCs/>
          <w:spacing w:val="20"/>
          <w:w w:val="148"/>
          <w:sz w:val="48"/>
        </w:rPr>
        <w:t>团体标准</w:t>
      </w:r>
    </w:p>
    <w:p w14:paraId="3005EFBA">
      <w:pPr>
        <w:jc w:val="center"/>
        <w:rPr>
          <w:spacing w:val="20"/>
          <w:sz w:val="28"/>
          <w:szCs w:val="28"/>
        </w:rPr>
      </w:pPr>
    </w:p>
    <w:p w14:paraId="0AE257C1">
      <w:pPr>
        <w:jc w:val="center"/>
        <w:rPr>
          <w:spacing w:val="20"/>
          <w:sz w:val="28"/>
          <w:szCs w:val="28"/>
        </w:rPr>
      </w:pPr>
    </w:p>
    <w:p w14:paraId="6264E442">
      <w:pPr>
        <w:jc w:val="center"/>
        <w:rPr>
          <w:spacing w:val="20"/>
          <w:sz w:val="28"/>
          <w:szCs w:val="28"/>
        </w:rPr>
      </w:pPr>
      <w:r>
        <mc:AlternateContent>
          <mc:Choice Requires="wps">
            <w:drawing>
              <wp:anchor distT="0" distB="0" distL="114300" distR="114300" simplePos="0" relativeHeight="251659264" behindDoc="1" locked="0" layoutInCell="1" allowOverlap="1">
                <wp:simplePos x="0" y="0"/>
                <wp:positionH relativeFrom="column">
                  <wp:posOffset>-142875</wp:posOffset>
                </wp:positionH>
                <wp:positionV relativeFrom="paragraph">
                  <wp:posOffset>5877560</wp:posOffset>
                </wp:positionV>
                <wp:extent cx="5948680" cy="0"/>
                <wp:effectExtent l="5080" t="11430" r="8890" b="7620"/>
                <wp:wrapTight wrapText="bothSides">
                  <wp:wrapPolygon>
                    <wp:start x="0" y="-2147483648"/>
                    <wp:lineTo x="0" y="-2147483648"/>
                    <wp:lineTo x="627" y="-2147483648"/>
                    <wp:lineTo x="627" y="-2147483648"/>
                    <wp:lineTo x="0" y="-2147483648"/>
                  </wp:wrapPolygon>
                </wp:wrapTight>
                <wp:docPr id="5" name="Line 8"/>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11.25pt;margin-top:462.8pt;height:0pt;width:468.4pt;mso-wrap-distance-left:9pt;mso-wrap-distance-right:9pt;z-index:-251657216;mso-width-relative:page;mso-height-relative:page;" filled="f" stroked="t" coordsize="21600,21600" wrapcoords="0 -2147483648 0 -2147483648 627 -2147483648 627 -2147483648 0 -2147483648" o:gfxdata="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PoU5HYAAAACwEAAA8AAAAAAAAAAQAgAAAAIgAAAGRycy9k&#10;b3ducmV2LnhtbFBLAQIUABQAAAAIAIdO4kA8CvUmyQEAAJ8DAAAOAAAAAAAAAAEAIAAAACcBAABk&#10;cnMvZTJvRG9jLnhtbFBLBQYAAAAABgAGAFkBAABiBQAAAAA=&#10;">
                <v:fill on="f" focussize="0,0"/>
                <v:stroke color="#000000" joinstyle="round"/>
                <v:imagedata o:title=""/>
                <o:lock v:ext="edit" aspectratio="f"/>
                <w10:wrap type="tight"/>
              </v:line>
            </w:pict>
          </mc:Fallback>
        </mc:AlternateContent>
      </w:r>
    </w:p>
    <w:p w14:paraId="2A82BF5D">
      <w:pPr>
        <w:jc w:val="center"/>
        <w:rPr>
          <w:b/>
          <w:sz w:val="32"/>
        </w:rPr>
        <w:sectPr>
          <w:headerReference r:id="rId3" w:type="default"/>
          <w:pgSz w:w="11906" w:h="16838"/>
          <w:pgMar w:top="1134" w:right="1134" w:bottom="1134" w:left="1418" w:header="851" w:footer="992" w:gutter="0"/>
          <w:pgNumType w:start="0"/>
          <w:cols w:space="720" w:num="1"/>
          <w:docGrid w:type="lines" w:linePitch="312" w:charSpace="0"/>
        </w:sectPr>
      </w:pPr>
    </w:p>
    <w:p w14:paraId="75009F44">
      <w:pPr>
        <w:keepNext/>
        <w:pageBreakBefore/>
        <w:widowControl/>
        <w:shd w:val="clear" w:color="FFFFFF" w:fill="FFFFFF"/>
        <w:spacing w:before="640" w:after="560"/>
        <w:jc w:val="center"/>
        <w:outlineLvl w:val="0"/>
        <w:rPr>
          <w:rFonts w:eastAsia="黑体"/>
          <w:kern w:val="0"/>
          <w:sz w:val="32"/>
          <w:szCs w:val="20"/>
        </w:rPr>
      </w:pPr>
      <w:bookmarkStart w:id="1" w:name="_Toc520380389"/>
    </w:p>
    <w:p w14:paraId="34CA1D57">
      <w:pPr>
        <w:widowControl/>
        <w:tabs>
          <w:tab w:val="center" w:pos="4201"/>
          <w:tab w:val="right" w:leader="dot" w:pos="9298"/>
        </w:tabs>
        <w:autoSpaceDE w:val="0"/>
        <w:autoSpaceDN w:val="0"/>
        <w:ind w:firstLine="400" w:firstLineChars="200"/>
        <w:rPr>
          <w:kern w:val="0"/>
          <w:sz w:val="20"/>
          <w:szCs w:val="20"/>
        </w:rPr>
      </w:pPr>
    </w:p>
    <w:p w14:paraId="47AF7E60">
      <w:pPr>
        <w:widowControl/>
        <w:tabs>
          <w:tab w:val="center" w:pos="4201"/>
          <w:tab w:val="right" w:leader="dot" w:pos="9298"/>
        </w:tabs>
        <w:autoSpaceDE w:val="0"/>
        <w:autoSpaceDN w:val="0"/>
        <w:ind w:firstLine="400" w:firstLineChars="200"/>
        <w:rPr>
          <w:kern w:val="0"/>
          <w:sz w:val="20"/>
          <w:szCs w:val="20"/>
        </w:rPr>
      </w:pPr>
    </w:p>
    <w:p w14:paraId="76F15666">
      <w:pPr>
        <w:widowControl/>
        <w:tabs>
          <w:tab w:val="center" w:pos="4201"/>
          <w:tab w:val="right" w:leader="dot" w:pos="9298"/>
        </w:tabs>
        <w:autoSpaceDE w:val="0"/>
        <w:autoSpaceDN w:val="0"/>
        <w:ind w:firstLine="400" w:firstLineChars="200"/>
        <w:rPr>
          <w:kern w:val="0"/>
          <w:sz w:val="20"/>
          <w:szCs w:val="20"/>
        </w:rPr>
      </w:pPr>
    </w:p>
    <w:p w14:paraId="45D7C2EB">
      <w:pPr>
        <w:widowControl/>
        <w:tabs>
          <w:tab w:val="center" w:pos="4201"/>
          <w:tab w:val="right" w:leader="dot" w:pos="9298"/>
        </w:tabs>
        <w:autoSpaceDE w:val="0"/>
        <w:autoSpaceDN w:val="0"/>
        <w:ind w:firstLine="400" w:firstLineChars="200"/>
        <w:rPr>
          <w:kern w:val="0"/>
          <w:sz w:val="20"/>
          <w:szCs w:val="20"/>
        </w:rPr>
      </w:pPr>
    </w:p>
    <w:p w14:paraId="33C8F7F7">
      <w:pPr>
        <w:widowControl/>
        <w:tabs>
          <w:tab w:val="center" w:pos="4201"/>
          <w:tab w:val="right" w:leader="dot" w:pos="9298"/>
        </w:tabs>
        <w:autoSpaceDE w:val="0"/>
        <w:autoSpaceDN w:val="0"/>
        <w:ind w:firstLine="400" w:firstLineChars="200"/>
        <w:rPr>
          <w:kern w:val="0"/>
          <w:sz w:val="20"/>
          <w:szCs w:val="20"/>
        </w:rPr>
      </w:pPr>
    </w:p>
    <w:p w14:paraId="2395E720">
      <w:pPr>
        <w:widowControl/>
        <w:tabs>
          <w:tab w:val="center" w:pos="4201"/>
          <w:tab w:val="right" w:leader="dot" w:pos="9298"/>
        </w:tabs>
        <w:autoSpaceDE w:val="0"/>
        <w:autoSpaceDN w:val="0"/>
        <w:ind w:firstLine="400" w:firstLineChars="200"/>
        <w:rPr>
          <w:kern w:val="0"/>
          <w:sz w:val="20"/>
          <w:szCs w:val="20"/>
        </w:rPr>
      </w:pPr>
    </w:p>
    <w:p w14:paraId="66BAD1E1">
      <w:pPr>
        <w:widowControl/>
        <w:tabs>
          <w:tab w:val="center" w:pos="4201"/>
          <w:tab w:val="right" w:leader="dot" w:pos="9298"/>
        </w:tabs>
        <w:autoSpaceDE w:val="0"/>
        <w:autoSpaceDN w:val="0"/>
        <w:ind w:firstLine="400" w:firstLineChars="200"/>
        <w:rPr>
          <w:kern w:val="0"/>
          <w:sz w:val="20"/>
          <w:szCs w:val="20"/>
        </w:rPr>
      </w:pPr>
    </w:p>
    <w:p w14:paraId="31F115AD">
      <w:pPr>
        <w:widowControl/>
        <w:tabs>
          <w:tab w:val="center" w:pos="4201"/>
          <w:tab w:val="right" w:leader="dot" w:pos="9298"/>
        </w:tabs>
        <w:autoSpaceDE w:val="0"/>
        <w:autoSpaceDN w:val="0"/>
        <w:ind w:firstLine="400" w:firstLineChars="200"/>
        <w:rPr>
          <w:kern w:val="0"/>
          <w:sz w:val="20"/>
          <w:szCs w:val="20"/>
        </w:rPr>
      </w:pPr>
    </w:p>
    <w:p w14:paraId="7BC206FB">
      <w:pPr>
        <w:widowControl/>
        <w:tabs>
          <w:tab w:val="center" w:pos="4201"/>
          <w:tab w:val="right" w:leader="dot" w:pos="9298"/>
        </w:tabs>
        <w:autoSpaceDE w:val="0"/>
        <w:autoSpaceDN w:val="0"/>
        <w:ind w:firstLine="400" w:firstLineChars="200"/>
        <w:rPr>
          <w:kern w:val="0"/>
          <w:sz w:val="20"/>
          <w:szCs w:val="20"/>
        </w:rPr>
      </w:pPr>
    </w:p>
    <w:p w14:paraId="5A91401A">
      <w:pPr>
        <w:widowControl/>
        <w:tabs>
          <w:tab w:val="center" w:pos="4201"/>
          <w:tab w:val="right" w:leader="dot" w:pos="9298"/>
        </w:tabs>
        <w:autoSpaceDE w:val="0"/>
        <w:autoSpaceDN w:val="0"/>
        <w:ind w:firstLine="400" w:firstLineChars="200"/>
        <w:rPr>
          <w:kern w:val="0"/>
          <w:sz w:val="20"/>
          <w:szCs w:val="20"/>
        </w:rPr>
      </w:pPr>
    </w:p>
    <w:p w14:paraId="2FFAA6FD">
      <w:pPr>
        <w:widowControl/>
        <w:tabs>
          <w:tab w:val="center" w:pos="4201"/>
          <w:tab w:val="right" w:leader="dot" w:pos="9298"/>
        </w:tabs>
        <w:autoSpaceDE w:val="0"/>
        <w:autoSpaceDN w:val="0"/>
        <w:ind w:firstLine="400" w:firstLineChars="200"/>
        <w:rPr>
          <w:kern w:val="0"/>
          <w:sz w:val="20"/>
          <w:szCs w:val="20"/>
        </w:rPr>
      </w:pPr>
    </w:p>
    <w:p w14:paraId="6904E6DD">
      <w:pPr>
        <w:widowControl/>
        <w:tabs>
          <w:tab w:val="center" w:pos="4201"/>
          <w:tab w:val="right" w:leader="dot" w:pos="9298"/>
        </w:tabs>
        <w:autoSpaceDE w:val="0"/>
        <w:autoSpaceDN w:val="0"/>
        <w:ind w:firstLine="400" w:firstLineChars="200"/>
        <w:rPr>
          <w:kern w:val="0"/>
          <w:sz w:val="20"/>
          <w:szCs w:val="20"/>
        </w:rPr>
      </w:pPr>
    </w:p>
    <w:p w14:paraId="00809984">
      <w:pPr>
        <w:widowControl/>
        <w:tabs>
          <w:tab w:val="center" w:pos="4201"/>
          <w:tab w:val="right" w:leader="dot" w:pos="9298"/>
        </w:tabs>
        <w:autoSpaceDE w:val="0"/>
        <w:autoSpaceDN w:val="0"/>
        <w:ind w:firstLine="400" w:firstLineChars="200"/>
        <w:rPr>
          <w:kern w:val="0"/>
          <w:sz w:val="20"/>
          <w:szCs w:val="20"/>
        </w:rPr>
      </w:pPr>
    </w:p>
    <w:p w14:paraId="198BB1AF">
      <w:pPr>
        <w:widowControl/>
        <w:tabs>
          <w:tab w:val="center" w:pos="4201"/>
          <w:tab w:val="right" w:leader="dot" w:pos="9298"/>
        </w:tabs>
        <w:autoSpaceDE w:val="0"/>
        <w:autoSpaceDN w:val="0"/>
        <w:ind w:firstLine="400" w:firstLineChars="200"/>
        <w:rPr>
          <w:kern w:val="0"/>
          <w:sz w:val="20"/>
          <w:szCs w:val="20"/>
        </w:rPr>
      </w:pPr>
    </w:p>
    <w:p w14:paraId="4FA0CA8A">
      <w:pPr>
        <w:widowControl/>
        <w:tabs>
          <w:tab w:val="center" w:pos="4201"/>
          <w:tab w:val="right" w:leader="dot" w:pos="9298"/>
        </w:tabs>
        <w:autoSpaceDE w:val="0"/>
        <w:autoSpaceDN w:val="0"/>
        <w:ind w:firstLine="400" w:firstLineChars="200"/>
        <w:rPr>
          <w:kern w:val="0"/>
          <w:sz w:val="20"/>
          <w:szCs w:val="20"/>
        </w:rPr>
      </w:pPr>
    </w:p>
    <w:p w14:paraId="1878C5D3">
      <w:pPr>
        <w:widowControl/>
        <w:tabs>
          <w:tab w:val="center" w:pos="4201"/>
          <w:tab w:val="right" w:leader="dot" w:pos="9298"/>
        </w:tabs>
        <w:autoSpaceDE w:val="0"/>
        <w:autoSpaceDN w:val="0"/>
        <w:ind w:firstLine="400" w:firstLineChars="200"/>
        <w:rPr>
          <w:kern w:val="0"/>
          <w:sz w:val="20"/>
          <w:szCs w:val="20"/>
        </w:rPr>
      </w:pPr>
    </w:p>
    <w:p w14:paraId="1786F3DA">
      <w:pPr>
        <w:widowControl/>
        <w:tabs>
          <w:tab w:val="center" w:pos="4201"/>
          <w:tab w:val="right" w:leader="dot" w:pos="9298"/>
        </w:tabs>
        <w:autoSpaceDE w:val="0"/>
        <w:autoSpaceDN w:val="0"/>
        <w:ind w:firstLine="400" w:firstLineChars="200"/>
        <w:rPr>
          <w:kern w:val="0"/>
          <w:sz w:val="20"/>
          <w:szCs w:val="20"/>
        </w:rPr>
      </w:pPr>
    </w:p>
    <w:p w14:paraId="55634059">
      <w:pPr>
        <w:widowControl/>
        <w:tabs>
          <w:tab w:val="center" w:pos="4201"/>
          <w:tab w:val="right" w:leader="dot" w:pos="9298"/>
        </w:tabs>
        <w:autoSpaceDE w:val="0"/>
        <w:autoSpaceDN w:val="0"/>
        <w:ind w:firstLine="400" w:firstLineChars="200"/>
        <w:rPr>
          <w:kern w:val="0"/>
          <w:sz w:val="20"/>
          <w:szCs w:val="20"/>
        </w:rPr>
      </w:pPr>
    </w:p>
    <w:p w14:paraId="69BB502D">
      <w:pPr>
        <w:widowControl/>
        <w:tabs>
          <w:tab w:val="center" w:pos="4201"/>
          <w:tab w:val="right" w:leader="dot" w:pos="9298"/>
        </w:tabs>
        <w:autoSpaceDE w:val="0"/>
        <w:autoSpaceDN w:val="0"/>
        <w:ind w:firstLine="400" w:firstLineChars="200"/>
        <w:rPr>
          <w:kern w:val="0"/>
          <w:sz w:val="20"/>
          <w:szCs w:val="20"/>
        </w:rPr>
      </w:pPr>
    </w:p>
    <w:p w14:paraId="7DD6A6FE">
      <w:pPr>
        <w:widowControl/>
        <w:tabs>
          <w:tab w:val="center" w:pos="4201"/>
          <w:tab w:val="right" w:leader="dot" w:pos="9298"/>
        </w:tabs>
        <w:autoSpaceDE w:val="0"/>
        <w:autoSpaceDN w:val="0"/>
        <w:ind w:firstLine="400" w:firstLineChars="200"/>
        <w:rPr>
          <w:kern w:val="0"/>
          <w:sz w:val="20"/>
          <w:szCs w:val="20"/>
        </w:rPr>
      </w:pPr>
    </w:p>
    <w:p w14:paraId="0B464D83">
      <w:pPr>
        <w:widowControl/>
        <w:tabs>
          <w:tab w:val="center" w:pos="4201"/>
          <w:tab w:val="right" w:leader="dot" w:pos="9298"/>
        </w:tabs>
        <w:autoSpaceDE w:val="0"/>
        <w:autoSpaceDN w:val="0"/>
        <w:ind w:firstLine="400" w:firstLineChars="200"/>
        <w:rPr>
          <w:kern w:val="0"/>
          <w:sz w:val="20"/>
          <w:szCs w:val="20"/>
        </w:rPr>
      </w:pPr>
    </w:p>
    <w:p w14:paraId="46315A6E">
      <w:pPr>
        <w:widowControl/>
        <w:tabs>
          <w:tab w:val="center" w:pos="4201"/>
          <w:tab w:val="right" w:leader="dot" w:pos="9298"/>
        </w:tabs>
        <w:autoSpaceDE w:val="0"/>
        <w:autoSpaceDN w:val="0"/>
        <w:ind w:firstLine="400" w:firstLineChars="200"/>
        <w:rPr>
          <w:kern w:val="0"/>
          <w:sz w:val="20"/>
          <w:szCs w:val="20"/>
        </w:rPr>
      </w:pPr>
    </w:p>
    <w:p w14:paraId="22D9759B">
      <w:pPr>
        <w:widowControl/>
        <w:tabs>
          <w:tab w:val="center" w:pos="4201"/>
          <w:tab w:val="right" w:leader="dot" w:pos="9298"/>
        </w:tabs>
        <w:autoSpaceDE w:val="0"/>
        <w:autoSpaceDN w:val="0"/>
        <w:ind w:firstLine="400" w:firstLineChars="200"/>
        <w:rPr>
          <w:kern w:val="0"/>
          <w:sz w:val="20"/>
          <w:szCs w:val="20"/>
        </w:rPr>
      </w:pPr>
    </w:p>
    <w:p w14:paraId="46A503B3">
      <w:pPr>
        <w:widowControl/>
        <w:tabs>
          <w:tab w:val="center" w:pos="4201"/>
          <w:tab w:val="right" w:leader="dot" w:pos="9298"/>
        </w:tabs>
        <w:autoSpaceDE w:val="0"/>
        <w:autoSpaceDN w:val="0"/>
        <w:ind w:firstLine="400" w:firstLineChars="200"/>
        <w:rPr>
          <w:kern w:val="0"/>
          <w:sz w:val="20"/>
          <w:szCs w:val="20"/>
        </w:rPr>
      </w:pPr>
    </w:p>
    <w:p w14:paraId="60411EB9">
      <w:pPr>
        <w:widowControl/>
        <w:tabs>
          <w:tab w:val="center" w:pos="4201"/>
          <w:tab w:val="right" w:leader="dot" w:pos="9298"/>
        </w:tabs>
        <w:autoSpaceDE w:val="0"/>
        <w:autoSpaceDN w:val="0"/>
        <w:ind w:firstLine="400" w:firstLineChars="200"/>
        <w:rPr>
          <w:kern w:val="0"/>
          <w:sz w:val="20"/>
          <w:szCs w:val="20"/>
        </w:rPr>
      </w:pPr>
    </w:p>
    <w:p w14:paraId="5E4E4067">
      <w:pPr>
        <w:widowControl/>
        <w:tabs>
          <w:tab w:val="center" w:pos="4201"/>
          <w:tab w:val="right" w:leader="dot" w:pos="9298"/>
        </w:tabs>
        <w:autoSpaceDE w:val="0"/>
        <w:autoSpaceDN w:val="0"/>
        <w:ind w:firstLine="400" w:firstLineChars="200"/>
        <w:rPr>
          <w:kern w:val="0"/>
          <w:sz w:val="20"/>
          <w:szCs w:val="20"/>
        </w:rPr>
      </w:pPr>
    </w:p>
    <w:p w14:paraId="4C870DCA">
      <w:pPr>
        <w:rPr>
          <w:szCs w:val="21"/>
        </w:rPr>
      </w:pPr>
      <w:r>
        <w:rPr>
          <w:szCs w:val="21"/>
        </w:rPr>
        <w:drawing>
          <wp:inline distT="0" distB="0" distL="114300" distR="114300">
            <wp:extent cx="808990" cy="765175"/>
            <wp:effectExtent l="0" t="0" r="10160" b="158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808990" cy="765175"/>
                    </a:xfrm>
                    <a:prstGeom prst="rect">
                      <a:avLst/>
                    </a:prstGeom>
                    <a:noFill/>
                    <a:ln>
                      <a:noFill/>
                    </a:ln>
                  </pic:spPr>
                </pic:pic>
              </a:graphicData>
            </a:graphic>
          </wp:inline>
        </w:drawing>
      </w:r>
      <w:r>
        <w:rPr>
          <w:szCs w:val="21"/>
        </w:rPr>
        <w:t xml:space="preserve"> 版权保护文件</w:t>
      </w:r>
    </w:p>
    <w:p w14:paraId="124BA9BC">
      <w:pPr>
        <w:spacing w:before="156" w:beforeLines="50" w:after="156" w:afterLines="50"/>
        <w:rPr>
          <w:szCs w:val="21"/>
        </w:rPr>
        <w:sectPr>
          <w:headerReference r:id="rId4" w:type="default"/>
          <w:footerReference r:id="rId5" w:type="default"/>
          <w:pgSz w:w="11906" w:h="16838"/>
          <w:pgMar w:top="1440" w:right="1466" w:bottom="1440" w:left="1620" w:header="851" w:footer="992" w:gutter="0"/>
          <w:pgNumType w:fmt="upperRoman" w:start="1"/>
          <w:cols w:space="425" w:num="1"/>
          <w:docGrid w:type="lines" w:linePitch="312" w:charSpace="0"/>
        </w:sectPr>
      </w:pPr>
      <w:r>
        <w:rPr>
          <w:szCs w:val="21"/>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14:paraId="3BFF68E1">
      <w:pPr>
        <w:pStyle w:val="81"/>
        <w:rPr>
          <w:rFonts w:ascii="Times New Roman"/>
        </w:rPr>
      </w:pPr>
      <w:r>
        <w:rPr>
          <w:rFonts w:ascii="Times New Roman"/>
        </w:rPr>
        <w:t>前  言</w:t>
      </w:r>
      <w:bookmarkEnd w:id="1"/>
    </w:p>
    <w:p w14:paraId="4F63EE3B">
      <w:pPr>
        <w:pStyle w:val="22"/>
        <w:rPr>
          <w:rFonts w:hint="eastAsia" w:ascii="宋体" w:hAnsi="宋体" w:eastAsia="宋体" w:cs="宋体"/>
        </w:rPr>
      </w:pPr>
      <w:r>
        <w:rPr>
          <w:rFonts w:hint="eastAsia" w:ascii="宋体" w:hAnsi="宋体" w:eastAsia="宋体" w:cs="宋体"/>
        </w:rPr>
        <w:t>本文件按照GB/T 1.1</w:t>
      </w:r>
      <w:r>
        <w:rPr>
          <w:rFonts w:hint="eastAsia" w:ascii="宋体" w:hAnsi="宋体" w:eastAsia="宋体" w:cs="宋体"/>
          <w:lang w:eastAsia="zh-CN"/>
        </w:rPr>
        <w:t>—</w:t>
      </w:r>
      <w:r>
        <w:rPr>
          <w:rFonts w:hint="eastAsia" w:ascii="宋体" w:hAnsi="宋体" w:eastAsia="宋体" w:cs="宋体"/>
        </w:rPr>
        <w:t>2020《标准化工作导则 第1部分：标准化文件的结构和起草规则》的规定起草。</w:t>
      </w:r>
    </w:p>
    <w:p w14:paraId="0E8C6A64">
      <w:pPr>
        <w:pStyle w:val="22"/>
        <w:rPr>
          <w:rFonts w:hint="eastAsia" w:ascii="宋体" w:hAnsi="宋体" w:eastAsia="宋体" w:cs="宋体"/>
        </w:rPr>
      </w:pPr>
      <w:r>
        <w:rPr>
          <w:rFonts w:hint="eastAsia" w:ascii="宋体" w:hAnsi="宋体" w:eastAsia="宋体" w:cs="宋体"/>
        </w:rPr>
        <w:t>请注意本文件的某些内容可能涉及专利。本文件的发布机构不承担识别专利的责任。</w:t>
      </w:r>
    </w:p>
    <w:p w14:paraId="48B59339">
      <w:pPr>
        <w:pStyle w:val="22"/>
        <w:rPr>
          <w:rFonts w:hint="eastAsia" w:ascii="宋体" w:hAnsi="宋体" w:eastAsia="宋体" w:cs="宋体"/>
        </w:rPr>
      </w:pPr>
      <w:r>
        <w:rPr>
          <w:rFonts w:hint="eastAsia" w:ascii="宋体" w:hAnsi="宋体" w:eastAsia="宋体" w:cs="宋体"/>
        </w:rPr>
        <w:t>本文件由中国特钢企业协会团体标准化工作委员会提出并归口。</w:t>
      </w:r>
    </w:p>
    <w:p w14:paraId="0521D5E4">
      <w:pPr>
        <w:pStyle w:val="22"/>
        <w:rPr>
          <w:rFonts w:hint="eastAsia" w:ascii="宋体" w:hAnsi="宋体" w:eastAsia="宋体" w:cs="宋体"/>
        </w:rPr>
      </w:pPr>
      <w:r>
        <w:rPr>
          <w:rFonts w:hint="eastAsia" w:ascii="宋体" w:hAnsi="宋体" w:eastAsia="宋体" w:cs="宋体"/>
        </w:rPr>
        <w:t>本文件起草单位：</w:t>
      </w:r>
    </w:p>
    <w:p w14:paraId="1E28ED15">
      <w:pPr>
        <w:pStyle w:val="22"/>
        <w:rPr>
          <w:rFonts w:hint="eastAsia" w:ascii="宋体" w:hAnsi="宋体" w:eastAsia="宋体" w:cs="宋体"/>
        </w:rPr>
      </w:pPr>
      <w:r>
        <w:rPr>
          <w:rFonts w:hint="eastAsia" w:ascii="宋体" w:hAnsi="宋体" w:eastAsia="宋体" w:cs="宋体"/>
        </w:rPr>
        <w:t>本文件主要起草人：</w:t>
      </w:r>
    </w:p>
    <w:p w14:paraId="71441A9A">
      <w:pPr>
        <w:pStyle w:val="22"/>
        <w:rPr>
          <w:rFonts w:ascii="Times New Roman"/>
        </w:rPr>
      </w:pPr>
    </w:p>
    <w:p w14:paraId="7BB87DC9">
      <w:pPr>
        <w:pStyle w:val="22"/>
        <w:rPr>
          <w:rFonts w:ascii="Times New Roman"/>
        </w:rPr>
      </w:pPr>
    </w:p>
    <w:p w14:paraId="680D52B4">
      <w:pPr>
        <w:ind w:firstLine="420" w:firstLineChars="200"/>
        <w:sectPr>
          <w:headerReference r:id="rId8" w:type="first"/>
          <w:footerReference r:id="rId11" w:type="first"/>
          <w:headerReference r:id="rId6" w:type="default"/>
          <w:footerReference r:id="rId9" w:type="default"/>
          <w:headerReference r:id="rId7" w:type="even"/>
          <w:footerReference r:id="rId10" w:type="even"/>
          <w:pgSz w:w="11906" w:h="16838"/>
          <w:pgMar w:top="567" w:right="1134" w:bottom="1134" w:left="1418" w:header="1418" w:footer="1134" w:gutter="0"/>
          <w:pgNumType w:fmt="upperRoman" w:start="1"/>
          <w:cols w:space="720" w:num="1"/>
          <w:formProt w:val="0"/>
          <w:docGrid w:type="lines" w:linePitch="312" w:charSpace="0"/>
        </w:sectPr>
      </w:pPr>
    </w:p>
    <w:p w14:paraId="7B76299C">
      <w:pPr>
        <w:pStyle w:val="58"/>
        <w:spacing w:after="624" w:afterLines="200"/>
        <w:rPr>
          <w:rFonts w:ascii="Times New Roman"/>
        </w:rPr>
      </w:pPr>
      <w:r>
        <w:rPr>
          <w:rFonts w:ascii="Times New Roman"/>
        </w:rPr>
        <w:t>风电发电设备主轴用轴承钢</w:t>
      </w:r>
    </w:p>
    <w:p w14:paraId="07706B88">
      <w:pPr>
        <w:pStyle w:val="45"/>
        <w:numPr>
          <w:ilvl w:val="0"/>
          <w:numId w:val="6"/>
        </w:numPr>
        <w:spacing w:before="312" w:after="312"/>
        <w:rPr>
          <w:rFonts w:ascii="Times New Roman"/>
        </w:rPr>
      </w:pPr>
      <w:bookmarkStart w:id="2" w:name="_Toc520380391"/>
      <w:r>
        <w:rPr>
          <w:rFonts w:ascii="Times New Roman"/>
        </w:rPr>
        <w:t>范围</w:t>
      </w:r>
      <w:bookmarkEnd w:id="2"/>
    </w:p>
    <w:p w14:paraId="3B8C8A05">
      <w:pPr>
        <w:pStyle w:val="22"/>
        <w:rPr>
          <w:rFonts w:ascii="Times New Roman"/>
        </w:rPr>
      </w:pPr>
      <w:bookmarkStart w:id="3" w:name="_Toc520380392"/>
      <w:r>
        <w:rPr>
          <w:rFonts w:ascii="Times New Roman"/>
        </w:rPr>
        <w:t>本文件规定了</w:t>
      </w:r>
      <w:r>
        <w:rPr>
          <w:rFonts w:hint="eastAsia" w:ascii="Times New Roman"/>
          <w:lang w:val="en-US" w:eastAsia="zh-CN"/>
        </w:rPr>
        <w:t>风力发电设备主轴用高碳铬轴承钢</w:t>
      </w:r>
      <w:r>
        <w:rPr>
          <w:rFonts w:ascii="Times New Roman"/>
        </w:rPr>
        <w:t>的订货内容、制造工艺、技术要求、试验方法、检验规则、包装、标志</w:t>
      </w:r>
      <w:r>
        <w:rPr>
          <w:rFonts w:hint="eastAsia" w:ascii="Times New Roman"/>
          <w:lang w:eastAsia="zh-CN"/>
        </w:rPr>
        <w:t>及</w:t>
      </w:r>
      <w:r>
        <w:rPr>
          <w:rFonts w:ascii="Times New Roman"/>
        </w:rPr>
        <w:t>质量证明书。</w:t>
      </w:r>
    </w:p>
    <w:p w14:paraId="50482699">
      <w:pPr>
        <w:pStyle w:val="22"/>
        <w:rPr>
          <w:rFonts w:hint="eastAsia" w:ascii="Times New Roman" w:eastAsia="宋体"/>
          <w:lang w:eastAsia="zh-CN"/>
        </w:rPr>
      </w:pPr>
      <w:r>
        <w:rPr>
          <w:rFonts w:hint="eastAsia" w:ascii="Times New Roman"/>
          <w:lang w:eastAsia="zh-CN"/>
        </w:rPr>
        <w:t>本文件适用于风</w:t>
      </w:r>
      <w:r>
        <w:rPr>
          <w:rFonts w:hint="eastAsia" w:ascii="Times New Roman"/>
          <w:lang w:val="en-US" w:eastAsia="zh-CN"/>
        </w:rPr>
        <w:t>力</w:t>
      </w:r>
      <w:r>
        <w:rPr>
          <w:rFonts w:hint="eastAsia" w:ascii="Times New Roman"/>
          <w:lang w:eastAsia="zh-CN"/>
        </w:rPr>
        <w:t>发电设备主轴</w:t>
      </w:r>
      <w:r>
        <w:rPr>
          <w:rFonts w:hint="eastAsia" w:ascii="Times New Roman"/>
          <w:color w:val="auto"/>
          <w:lang w:eastAsia="zh-CN"/>
        </w:rPr>
        <w:t>用公称直径</w:t>
      </w:r>
      <w:r>
        <w:rPr>
          <w:rFonts w:hint="eastAsia" w:ascii="宋体" w:hAnsi="宋体" w:eastAsia="宋体" w:cs="宋体"/>
          <w:color w:val="auto"/>
          <w:sz w:val="21"/>
          <w:szCs w:val="21"/>
          <w:highlight w:val="none"/>
          <w:lang w:eastAsia="zh-CN"/>
        </w:rPr>
        <w:t>为</w:t>
      </w:r>
      <w:r>
        <w:rPr>
          <w:rFonts w:hint="eastAsia" w:ascii="宋体" w:hAnsi="宋体" w:eastAsia="宋体" w:cs="宋体"/>
          <w:color w:val="auto"/>
          <w:sz w:val="21"/>
          <w:szCs w:val="21"/>
          <w:highlight w:val="none"/>
          <w:lang w:val="en-US" w:eastAsia="zh-CN"/>
        </w:rPr>
        <w:t>16 mm</w:t>
      </w:r>
      <w:r>
        <w:rPr>
          <w:rFonts w:hint="eastAsia" w:ascii="宋体" w:hAnsi="宋体" w:eastAsia="宋体" w:cs="宋体"/>
          <w:color w:val="auto"/>
          <w:sz w:val="21"/>
          <w:szCs w:val="21"/>
          <w:highlight w:val="none"/>
        </w:rPr>
        <w:t>～</w:t>
      </w:r>
      <w:r>
        <w:rPr>
          <w:rFonts w:hint="eastAsia" w:ascii="宋体" w:hAnsi="宋体" w:eastAsia="宋体" w:cs="宋体"/>
          <w:bCs w:val="0"/>
          <w:color w:val="auto"/>
          <w:sz w:val="21"/>
          <w:szCs w:val="21"/>
          <w:highlight w:val="none"/>
        </w:rPr>
        <w:t>200</w:t>
      </w:r>
      <w:r>
        <w:rPr>
          <w:rFonts w:hint="eastAsia" w:ascii="宋体" w:hAnsi="宋体" w:eastAsia="宋体" w:cs="宋体"/>
          <w:bCs w:val="0"/>
          <w:color w:val="auto"/>
          <w:sz w:val="21"/>
          <w:szCs w:val="21"/>
          <w:highlight w:val="none"/>
          <w:lang w:val="en-US" w:eastAsia="zh-CN"/>
        </w:rPr>
        <w:t xml:space="preserve"> </w:t>
      </w:r>
      <w:r>
        <w:rPr>
          <w:rFonts w:hint="eastAsia" w:ascii="宋体" w:hAnsi="宋体" w:eastAsia="宋体" w:cs="宋体"/>
          <w:bCs w:val="0"/>
          <w:color w:val="auto"/>
          <w:sz w:val="21"/>
          <w:szCs w:val="21"/>
          <w:highlight w:val="none"/>
        </w:rPr>
        <w:t>m</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lang w:val="en-US" w:eastAsia="zh-CN"/>
        </w:rPr>
        <w:t>的</w:t>
      </w:r>
      <w:r>
        <w:rPr>
          <w:rFonts w:hint="eastAsia" w:hAnsi="宋体" w:cs="宋体"/>
          <w:color w:val="auto"/>
          <w:sz w:val="21"/>
          <w:szCs w:val="21"/>
          <w:highlight w:val="none"/>
          <w:lang w:val="en-US" w:eastAsia="zh-CN"/>
        </w:rPr>
        <w:t>高碳铬</w:t>
      </w:r>
      <w:r>
        <w:rPr>
          <w:rFonts w:hint="eastAsia" w:ascii="宋体" w:hAnsi="宋体" w:eastAsia="宋体" w:cs="宋体"/>
          <w:sz w:val="21"/>
          <w:szCs w:val="21"/>
          <w:highlight w:val="none"/>
          <w:lang w:eastAsia="zh-CN"/>
        </w:rPr>
        <w:t>轴承</w:t>
      </w:r>
      <w:r>
        <w:rPr>
          <w:rFonts w:hint="eastAsia" w:ascii="Times New Roman"/>
          <w:lang w:eastAsia="zh-CN"/>
        </w:rPr>
        <w:t>钢热轧圆钢（以下简称圆钢）。</w:t>
      </w:r>
    </w:p>
    <w:bookmarkEnd w:id="3"/>
    <w:p w14:paraId="7C1BDF9C">
      <w:pPr>
        <w:pStyle w:val="45"/>
        <w:numPr>
          <w:ilvl w:val="0"/>
          <w:numId w:val="6"/>
        </w:numPr>
        <w:spacing w:before="312" w:after="312"/>
        <w:rPr>
          <w:rFonts w:ascii="Times New Roman"/>
        </w:rPr>
      </w:pPr>
      <w:bookmarkStart w:id="4" w:name="_Toc520380393"/>
      <w:r>
        <w:rPr>
          <w:rFonts w:ascii="Times New Roman"/>
        </w:rPr>
        <w:t>规范性引用文件</w:t>
      </w:r>
    </w:p>
    <w:p w14:paraId="76D644EE">
      <w:pPr>
        <w:ind w:firstLine="420" w:firstLineChars="200"/>
      </w:pPr>
      <w:r>
        <w:t>下列文件中的内容通过文中的规范性引用而成为本文件必不可少的条款。其中，注日期的引用文件，仅该日期对应的版本适用于本文件；不注日期的引用文件，其最新版本（包括所有的修改单）适用于本文件。</w:t>
      </w:r>
    </w:p>
    <w:bookmarkEnd w:id="4"/>
    <w:p w14:paraId="27972908">
      <w:pPr>
        <w:ind w:firstLine="420" w:firstLineChars="200"/>
        <w:rPr>
          <w:rFonts w:hint="eastAsia" w:ascii="宋体" w:hAnsi="宋体" w:cs="宋体"/>
          <w:highlight w:val="none"/>
          <w:lang w:eastAsia="zh-CN"/>
        </w:rPr>
      </w:pPr>
      <w:bookmarkStart w:id="5" w:name="_Toc520380394"/>
      <w:r>
        <w:rPr>
          <w:rFonts w:hint="eastAsia" w:ascii="宋体" w:hAnsi="宋体" w:eastAsia="宋体" w:cs="宋体"/>
          <w:highlight w:val="none"/>
        </w:rPr>
        <w:t>GB/T 223</w:t>
      </w:r>
      <w:r>
        <w:rPr>
          <w:rFonts w:hint="eastAsia" w:ascii="宋体" w:hAnsi="宋体" w:cs="宋体"/>
          <w:highlight w:val="none"/>
          <w:lang w:eastAsia="zh-CN"/>
        </w:rPr>
        <w:t>（所有部分）</w:t>
      </w:r>
      <w:r>
        <w:rPr>
          <w:rFonts w:hint="eastAsia" w:ascii="宋体" w:hAnsi="宋体" w:cs="宋体"/>
          <w:highlight w:val="none"/>
          <w:lang w:val="en-US" w:eastAsia="zh-CN"/>
        </w:rPr>
        <w:t xml:space="preserve"> </w:t>
      </w:r>
      <w:r>
        <w:rPr>
          <w:rFonts w:hint="eastAsia" w:ascii="宋体" w:hAnsi="宋体" w:cs="宋体"/>
          <w:highlight w:val="none"/>
          <w:lang w:eastAsia="zh-CN"/>
        </w:rPr>
        <w:t>钢铁及合金化学分析方法</w:t>
      </w:r>
    </w:p>
    <w:p w14:paraId="3A4EA4C2">
      <w:pPr>
        <w:ind w:firstLine="420" w:firstLineChars="200"/>
        <w:rPr>
          <w:rFonts w:hint="default" w:ascii="宋体" w:hAnsi="宋体" w:cs="宋体"/>
          <w:highlight w:val="none"/>
          <w:lang w:val="en-US" w:eastAsia="zh-CN"/>
        </w:rPr>
      </w:pPr>
      <w:r>
        <w:rPr>
          <w:rFonts w:hint="eastAsia" w:ascii="宋体" w:hAnsi="宋体" w:eastAsia="宋体" w:cs="宋体"/>
          <w:highlight w:val="none"/>
        </w:rPr>
        <w:t>GB/T 22</w:t>
      </w:r>
      <w:r>
        <w:rPr>
          <w:rFonts w:hint="eastAsia" w:ascii="宋体" w:hAnsi="宋体" w:cs="宋体"/>
          <w:highlight w:val="none"/>
          <w:lang w:val="en-US" w:eastAsia="zh-CN"/>
        </w:rPr>
        <w:t>4—2019  钢的脱碳层深度测定法</w:t>
      </w:r>
    </w:p>
    <w:p w14:paraId="178C75E1">
      <w:pPr>
        <w:ind w:firstLine="420" w:firstLineChars="200"/>
        <w:rPr>
          <w:rFonts w:hint="eastAsia" w:ascii="宋体" w:hAnsi="宋体" w:cs="宋体"/>
          <w:highlight w:val="none"/>
          <w:lang w:val="en-US" w:eastAsia="zh-CN"/>
        </w:rPr>
      </w:pPr>
      <w:r>
        <w:rPr>
          <w:rFonts w:hint="eastAsia" w:ascii="宋体" w:hAnsi="宋体" w:eastAsia="宋体" w:cs="宋体"/>
          <w:highlight w:val="none"/>
        </w:rPr>
        <w:t>GB/T 22</w:t>
      </w:r>
      <w:r>
        <w:rPr>
          <w:rFonts w:hint="eastAsia" w:ascii="宋体" w:hAnsi="宋体" w:cs="宋体"/>
          <w:highlight w:val="none"/>
          <w:lang w:val="en-US" w:eastAsia="zh-CN"/>
        </w:rPr>
        <w:t xml:space="preserve">6  </w:t>
      </w:r>
      <w:r>
        <w:rPr>
          <w:rFonts w:hint="eastAsia" w:ascii="宋体"/>
          <w:color w:val="auto"/>
          <w:kern w:val="0"/>
          <w:szCs w:val="20"/>
          <w:highlight w:val="none"/>
        </w:rPr>
        <w:t>钢的低倍组织及缺陷酸蚀检验法</w:t>
      </w:r>
    </w:p>
    <w:p w14:paraId="6E1307E1">
      <w:pPr>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GB/T 231.1  金属材料 布氏硬度试验 第1部分：试验方法</w:t>
      </w:r>
    </w:p>
    <w:p w14:paraId="123865BB">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GB/T 70</w:t>
      </w:r>
      <w:r>
        <w:rPr>
          <w:rFonts w:hint="eastAsia" w:ascii="宋体" w:hAnsi="宋体" w:cs="宋体"/>
          <w:szCs w:val="21"/>
          <w:highlight w:val="none"/>
          <w:lang w:val="en-US" w:eastAsia="zh-CN"/>
        </w:rPr>
        <w:t xml:space="preserve">2—2017  </w:t>
      </w:r>
      <w:r>
        <w:rPr>
          <w:rFonts w:hint="eastAsia" w:ascii="宋体" w:hAnsi="宋体" w:eastAsia="宋体" w:cs="宋体"/>
          <w:szCs w:val="21"/>
          <w:highlight w:val="none"/>
        </w:rPr>
        <w:t>热轧钢棒尺寸、外形</w:t>
      </w:r>
      <w:r>
        <w:rPr>
          <w:rFonts w:hint="eastAsia" w:ascii="宋体" w:hAnsi="宋体" w:cs="宋体"/>
          <w:szCs w:val="21"/>
          <w:highlight w:val="none"/>
          <w:lang w:eastAsia="zh-CN"/>
        </w:rPr>
        <w:t>、重量</w:t>
      </w:r>
      <w:r>
        <w:rPr>
          <w:rFonts w:hint="eastAsia" w:ascii="宋体" w:hAnsi="宋体" w:eastAsia="宋体" w:cs="宋体"/>
          <w:szCs w:val="21"/>
          <w:highlight w:val="none"/>
        </w:rPr>
        <w:t>及允许偏差</w:t>
      </w:r>
    </w:p>
    <w:p w14:paraId="07462627">
      <w:pPr>
        <w:widowControl/>
        <w:tabs>
          <w:tab w:val="center" w:pos="4201"/>
          <w:tab w:val="right" w:leader="dot" w:pos="9298"/>
        </w:tabs>
        <w:autoSpaceDE w:val="0"/>
        <w:autoSpaceDN w:val="0"/>
        <w:ind w:firstLine="420" w:firstLineChars="200"/>
        <w:rPr>
          <w:rFonts w:hint="eastAsia" w:ascii="宋体"/>
          <w:color w:val="auto"/>
          <w:kern w:val="0"/>
          <w:szCs w:val="20"/>
          <w:highlight w:val="none"/>
        </w:rPr>
      </w:pPr>
      <w:r>
        <w:rPr>
          <w:rFonts w:ascii="宋体"/>
          <w:color w:val="auto"/>
          <w:kern w:val="0"/>
          <w:szCs w:val="20"/>
          <w:highlight w:val="none"/>
        </w:rPr>
        <w:t xml:space="preserve">GB/T 1979 </w:t>
      </w:r>
      <w:r>
        <w:rPr>
          <w:rFonts w:hint="eastAsia" w:ascii="宋体"/>
          <w:color w:val="auto"/>
          <w:kern w:val="0"/>
          <w:szCs w:val="20"/>
          <w:highlight w:val="none"/>
          <w:lang w:val="en-US" w:eastAsia="zh-CN"/>
        </w:rPr>
        <w:t xml:space="preserve"> </w:t>
      </w:r>
      <w:r>
        <w:rPr>
          <w:rFonts w:ascii="宋体"/>
          <w:color w:val="auto"/>
          <w:kern w:val="0"/>
          <w:szCs w:val="20"/>
          <w:highlight w:val="none"/>
        </w:rPr>
        <w:fldChar w:fldCharType="begin"/>
      </w:r>
      <w:r>
        <w:rPr>
          <w:rFonts w:ascii="宋体"/>
          <w:color w:val="auto"/>
          <w:kern w:val="0"/>
          <w:szCs w:val="20"/>
          <w:highlight w:val="none"/>
        </w:rPr>
        <w:instrText xml:space="preserve"> HYPERLINK "https://std.samr.gov.cn/gb/search/gbDetailed?id=3DBA2132868B0D16E06397BE0A0A8119" \t "https://std.samr.gov.cn/search/_blank" </w:instrText>
      </w:r>
      <w:r>
        <w:rPr>
          <w:rFonts w:ascii="宋体"/>
          <w:color w:val="auto"/>
          <w:kern w:val="0"/>
          <w:szCs w:val="20"/>
          <w:highlight w:val="none"/>
        </w:rPr>
        <w:fldChar w:fldCharType="separate"/>
      </w:r>
      <w:r>
        <w:rPr>
          <w:rFonts w:hint="default" w:ascii="宋体"/>
          <w:color w:val="auto"/>
          <w:kern w:val="0"/>
          <w:szCs w:val="20"/>
          <w:highlight w:val="none"/>
        </w:rPr>
        <w:t>结构钢低倍组织缺陷评定 酸浸法和超声检测法</w:t>
      </w:r>
      <w:r>
        <w:rPr>
          <w:rFonts w:hint="default" w:ascii="宋体"/>
          <w:color w:val="auto"/>
          <w:kern w:val="0"/>
          <w:szCs w:val="20"/>
          <w:highlight w:val="none"/>
        </w:rPr>
        <w:fldChar w:fldCharType="end"/>
      </w:r>
    </w:p>
    <w:p w14:paraId="63D209DA">
      <w:pPr>
        <w:ind w:firstLine="420" w:firstLineChars="200"/>
        <w:rPr>
          <w:rFonts w:hint="default" w:ascii="宋体" w:hAnsi="宋体" w:cs="宋体"/>
          <w:highlight w:val="none"/>
          <w:lang w:val="en-US" w:eastAsia="zh-CN"/>
        </w:rPr>
      </w:pPr>
      <w:r>
        <w:rPr>
          <w:rFonts w:hint="default" w:ascii="宋体" w:hAnsi="宋体" w:cs="宋体"/>
          <w:highlight w:val="none"/>
          <w:lang w:val="en-US" w:eastAsia="zh-CN"/>
        </w:rPr>
        <w:t xml:space="preserve">GB/T 2101 </w:t>
      </w:r>
      <w:r>
        <w:rPr>
          <w:rFonts w:hint="eastAsia" w:ascii="宋体" w:hAnsi="宋体" w:cs="宋体"/>
          <w:highlight w:val="none"/>
          <w:lang w:val="en-US" w:eastAsia="zh-CN"/>
        </w:rPr>
        <w:t xml:space="preserve"> </w:t>
      </w:r>
      <w:r>
        <w:rPr>
          <w:rFonts w:hint="default" w:ascii="宋体" w:hAnsi="宋体" w:cs="宋体"/>
          <w:highlight w:val="none"/>
          <w:lang w:val="en-US" w:eastAsia="zh-CN"/>
        </w:rPr>
        <w:t>型钢验收、包装、标志及质量证明书的一般规定</w:t>
      </w:r>
    </w:p>
    <w:p w14:paraId="070B045E">
      <w:pPr>
        <w:ind w:firstLine="420" w:firstLineChars="200"/>
        <w:rPr>
          <w:rFonts w:hint="default" w:ascii="宋体" w:hAnsi="宋体" w:cs="宋体"/>
          <w:color w:val="auto"/>
          <w:highlight w:val="none"/>
          <w:lang w:val="en-US" w:eastAsia="zh-CN"/>
        </w:rPr>
      </w:pPr>
      <w:r>
        <w:rPr>
          <w:rFonts w:hint="default" w:ascii="宋体" w:hAnsi="宋体" w:cs="宋体"/>
          <w:color w:val="auto"/>
          <w:highlight w:val="none"/>
          <w:lang w:val="en-US" w:eastAsia="zh-CN"/>
        </w:rPr>
        <w:t>GB/T 4162</w:t>
      </w:r>
      <w:r>
        <w:rPr>
          <w:rFonts w:hint="eastAsia" w:ascii="宋体" w:hAnsi="宋体" w:cs="宋体"/>
          <w:color w:val="auto"/>
          <w:szCs w:val="21"/>
          <w:highlight w:val="none"/>
          <w:lang w:val="en-US" w:eastAsia="zh-CN"/>
        </w:rPr>
        <w:t>—2022</w:t>
      </w:r>
      <w:r>
        <w:rPr>
          <w:rFonts w:hint="default" w:ascii="宋体" w:hAnsi="宋体" w:cs="宋体"/>
          <w:color w:val="auto"/>
          <w:highlight w:val="none"/>
          <w:lang w:val="en-US" w:eastAsia="zh-CN"/>
        </w:rPr>
        <w:t xml:space="preserve"> </w:t>
      </w:r>
      <w:r>
        <w:rPr>
          <w:rFonts w:hint="eastAsia" w:ascii="宋体" w:hAnsi="宋体" w:cs="宋体"/>
          <w:color w:val="auto"/>
          <w:highlight w:val="none"/>
          <w:lang w:val="en-US" w:eastAsia="zh-CN"/>
        </w:rPr>
        <w:t xml:space="preserve"> </w:t>
      </w:r>
      <w:r>
        <w:rPr>
          <w:rFonts w:hint="default" w:ascii="宋体" w:hAnsi="宋体" w:cs="宋体"/>
          <w:color w:val="auto"/>
          <w:highlight w:val="none"/>
          <w:lang w:val="en-US" w:eastAsia="zh-CN"/>
        </w:rPr>
        <w:t>锻轧钢棒超声检测方法</w:t>
      </w:r>
    </w:p>
    <w:p w14:paraId="0F465201">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GB/T 4336  碳素钢和中低合金钢</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多元素含量的测定</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火花放电原子发射光谱法（常规法）</w:t>
      </w:r>
    </w:p>
    <w:p w14:paraId="6E8B6AE0">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GB/T 8170　数值修约规则与极限数值的表示和判定</w:t>
      </w:r>
    </w:p>
    <w:p w14:paraId="6596B83B">
      <w:pPr>
        <w:widowControl/>
        <w:tabs>
          <w:tab w:val="center" w:pos="4201"/>
          <w:tab w:val="right" w:leader="dot" w:pos="9298"/>
        </w:tabs>
        <w:autoSpaceDE w:val="0"/>
        <w:autoSpaceDN w:val="0"/>
        <w:ind w:firstLine="420" w:firstLineChars="200"/>
        <w:rPr>
          <w:rFonts w:ascii="宋体"/>
          <w:color w:val="auto"/>
          <w:kern w:val="0"/>
          <w:szCs w:val="20"/>
          <w:highlight w:val="none"/>
        </w:rPr>
      </w:pPr>
      <w:r>
        <w:rPr>
          <w:rFonts w:ascii="宋体"/>
          <w:color w:val="auto"/>
          <w:kern w:val="0"/>
          <w:szCs w:val="20"/>
          <w:highlight w:val="none"/>
        </w:rPr>
        <w:t>GB/T 10561</w:t>
      </w:r>
      <w:r>
        <w:rPr>
          <w:rFonts w:hint="eastAsia" w:ascii="宋体" w:hAnsi="宋体" w:cs="宋体"/>
          <w:color w:val="auto"/>
          <w:szCs w:val="21"/>
          <w:highlight w:val="none"/>
          <w:lang w:val="en-US" w:eastAsia="zh-CN"/>
        </w:rPr>
        <w:t>—</w:t>
      </w:r>
      <w:r>
        <w:rPr>
          <w:rFonts w:ascii="宋体"/>
          <w:color w:val="auto"/>
          <w:kern w:val="0"/>
          <w:szCs w:val="20"/>
          <w:highlight w:val="none"/>
        </w:rPr>
        <w:t xml:space="preserve">2023 </w:t>
      </w:r>
      <w:r>
        <w:rPr>
          <w:rFonts w:hint="eastAsia" w:ascii="宋体"/>
          <w:color w:val="auto"/>
          <w:kern w:val="0"/>
          <w:szCs w:val="20"/>
          <w:highlight w:val="none"/>
          <w:lang w:val="en-US" w:eastAsia="zh-CN"/>
        </w:rPr>
        <w:t xml:space="preserve"> </w:t>
      </w:r>
      <w:r>
        <w:rPr>
          <w:rFonts w:ascii="宋体"/>
          <w:color w:val="auto"/>
          <w:kern w:val="0"/>
          <w:szCs w:val="20"/>
          <w:highlight w:val="none"/>
        </w:rPr>
        <w:t>钢中非金属夹杂物含量的测定 标准评级图显微检验法</w:t>
      </w:r>
    </w:p>
    <w:p w14:paraId="739FFC62">
      <w:pPr>
        <w:widowControl/>
        <w:tabs>
          <w:tab w:val="center" w:pos="4201"/>
          <w:tab w:val="right" w:leader="dot" w:pos="9298"/>
        </w:tabs>
        <w:autoSpaceDE w:val="0"/>
        <w:autoSpaceDN w:val="0"/>
        <w:ind w:firstLine="420" w:firstLineChars="200"/>
        <w:rPr>
          <w:rFonts w:hint="eastAsia" w:ascii="宋体"/>
          <w:color w:val="auto"/>
          <w:kern w:val="0"/>
          <w:szCs w:val="20"/>
          <w:highlight w:val="none"/>
        </w:rPr>
      </w:pPr>
      <w:r>
        <w:rPr>
          <w:rFonts w:ascii="宋体"/>
          <w:color w:val="auto"/>
          <w:kern w:val="0"/>
          <w:szCs w:val="20"/>
          <w:highlight w:val="none"/>
        </w:rPr>
        <w:t xml:space="preserve">GB/T 11261 </w:t>
      </w:r>
      <w:r>
        <w:rPr>
          <w:rFonts w:hint="eastAsia" w:ascii="宋体"/>
          <w:color w:val="auto"/>
          <w:kern w:val="0"/>
          <w:szCs w:val="20"/>
          <w:highlight w:val="none"/>
          <w:lang w:val="en-US" w:eastAsia="zh-CN"/>
        </w:rPr>
        <w:t xml:space="preserve"> </w:t>
      </w:r>
      <w:r>
        <w:rPr>
          <w:rFonts w:ascii="宋体"/>
          <w:color w:val="auto"/>
          <w:kern w:val="0"/>
          <w:szCs w:val="20"/>
          <w:highlight w:val="none"/>
        </w:rPr>
        <w:t>钢铁 氧含量测定 脉冲加热惰性气熔融-红外线吸收法</w:t>
      </w:r>
    </w:p>
    <w:p w14:paraId="61BE0569">
      <w:pPr>
        <w:ind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GB/T 18254</w:t>
      </w:r>
      <w:r>
        <w:rPr>
          <w:rFonts w:hint="eastAsia" w:ascii="宋体" w:hAnsi="宋体" w:cs="宋体"/>
          <w:color w:val="auto"/>
          <w:szCs w:val="21"/>
          <w:highlight w:val="none"/>
          <w:lang w:val="en-US" w:eastAsia="zh-CN"/>
        </w:rPr>
        <w:t>—2016  高碳铬轴承钢</w:t>
      </w:r>
      <w:r>
        <w:rPr>
          <w:rFonts w:hint="default" w:ascii="宋体" w:hAnsi="宋体" w:cs="宋体"/>
          <w:color w:val="auto"/>
          <w:highlight w:val="none"/>
          <w:lang w:val="en-US" w:eastAsia="zh-CN"/>
        </w:rPr>
        <w:t xml:space="preserve"> </w:t>
      </w:r>
    </w:p>
    <w:p w14:paraId="7AE4EB4C">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GB/T 20066  钢和铁</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化学成分测定用试样的取样和制样方法</w:t>
      </w:r>
    </w:p>
    <w:p w14:paraId="31453070">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GB/T 20123  钢铁</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总碳硫含量的测定</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高频感应炉燃烧后红外吸收法（常规方法）</w:t>
      </w:r>
    </w:p>
    <w:p w14:paraId="4FA80D41">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GB/T 20125  低合金钢</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多元素含量的测定</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电感耦合等离子体原子发射光谱法</w:t>
      </w:r>
    </w:p>
    <w:p w14:paraId="07355809">
      <w:pPr>
        <w:ind w:firstLine="420" w:firstLineChars="200"/>
        <w:rPr>
          <w:rFonts w:hint="default" w:ascii="宋体" w:hAnsi="宋体" w:eastAsia="宋体" w:cs="宋体"/>
          <w:color w:val="auto"/>
          <w:highlight w:val="none"/>
          <w:lang w:val="en-US"/>
        </w:rPr>
      </w:pPr>
      <w:r>
        <w:rPr>
          <w:rFonts w:hint="eastAsia" w:ascii="宋体" w:hAnsi="宋体" w:eastAsia="宋体" w:cs="宋体"/>
          <w:color w:val="auto"/>
          <w:highlight w:val="none"/>
          <w:lang w:val="en-US" w:eastAsia="zh-CN"/>
        </w:rPr>
        <w:t>GB/T 38683</w:t>
      </w:r>
      <w:r>
        <w:rPr>
          <w:rFonts w:hint="eastAsia" w:ascii="宋体" w:hAnsi="宋体" w:cs="宋体"/>
          <w:color w:val="auto"/>
          <w:szCs w:val="21"/>
          <w:highlight w:val="none"/>
          <w:lang w:val="en-US" w:eastAsia="zh-CN"/>
        </w:rPr>
        <w:t>—2020</w:t>
      </w:r>
      <w:r>
        <w:rPr>
          <w:rFonts w:hint="eastAsia" w:ascii="宋体" w:hAnsi="宋体" w:cs="宋体"/>
          <w:color w:val="auto"/>
          <w:highlight w:val="none"/>
          <w:lang w:val="en-US" w:eastAsia="zh-CN"/>
        </w:rPr>
        <w:t xml:space="preserve">  轴承钢中大夹杂物的超声检测方法</w:t>
      </w:r>
    </w:p>
    <w:p w14:paraId="4CDCF940">
      <w:pPr>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SEP 1520</w:t>
      </w:r>
      <w:r>
        <w:rPr>
          <w:rFonts w:hint="eastAsia" w:ascii="宋体" w:hAnsi="宋体" w:cs="宋体"/>
          <w:color w:val="auto"/>
          <w:szCs w:val="21"/>
          <w:highlight w:val="none"/>
          <w:lang w:val="en-US" w:eastAsia="zh-CN"/>
        </w:rPr>
        <w:t xml:space="preserve">:1998 </w:t>
      </w:r>
      <w:r>
        <w:rPr>
          <w:rFonts w:hint="eastAsia" w:ascii="宋体" w:hAnsi="宋体" w:cs="宋体"/>
          <w:szCs w:val="21"/>
          <w:highlight w:val="none"/>
          <w:lang w:val="en-US" w:eastAsia="zh-CN"/>
        </w:rPr>
        <w:t xml:space="preserve"> 钢中碳化物图谱系列显微检验法（Microscopic examination of carbide structure in steels by means of diagram series）</w:t>
      </w:r>
    </w:p>
    <w:p w14:paraId="14C738DD">
      <w:pPr>
        <w:pStyle w:val="45"/>
        <w:numPr>
          <w:ilvl w:val="0"/>
          <w:numId w:val="6"/>
        </w:numPr>
        <w:spacing w:before="312" w:after="312"/>
        <w:rPr>
          <w:rFonts w:ascii="Times New Roman"/>
        </w:rPr>
      </w:pPr>
      <w:r>
        <w:rPr>
          <w:rFonts w:ascii="Times New Roman"/>
        </w:rPr>
        <w:t>术语和定义</w:t>
      </w:r>
    </w:p>
    <w:p w14:paraId="573D8D7C">
      <w:pPr>
        <w:pStyle w:val="22"/>
        <w:rPr>
          <w:rFonts w:ascii="Times New Roman"/>
        </w:rPr>
      </w:pPr>
      <w:r>
        <w:rPr>
          <w:rFonts w:hint="eastAsia" w:ascii="Times New Roman"/>
        </w:rPr>
        <w:t>本文件没有需要界定的术语和定义。</w:t>
      </w:r>
    </w:p>
    <w:bookmarkEnd w:id="5"/>
    <w:p w14:paraId="4914788F">
      <w:pPr>
        <w:pStyle w:val="45"/>
        <w:numPr>
          <w:ilvl w:val="0"/>
          <w:numId w:val="6"/>
        </w:numPr>
        <w:spacing w:before="312" w:after="312"/>
        <w:rPr>
          <w:rFonts w:ascii="Times New Roman"/>
        </w:rPr>
      </w:pPr>
      <w:bookmarkStart w:id="6" w:name="_Toc520380395"/>
      <w:r>
        <w:rPr>
          <w:rFonts w:ascii="Times New Roman"/>
        </w:rPr>
        <w:t>订货内容</w:t>
      </w:r>
    </w:p>
    <w:p w14:paraId="46123837">
      <w:pPr>
        <w:widowControl/>
        <w:tabs>
          <w:tab w:val="center" w:pos="4201"/>
          <w:tab w:val="right" w:leader="dot" w:pos="9298"/>
        </w:tabs>
        <w:autoSpaceDE w:val="0"/>
        <w:autoSpaceDN w:val="0"/>
        <w:ind w:firstLine="420" w:firstLineChars="200"/>
        <w:rPr>
          <w:rFonts w:ascii="Times New Roman"/>
        </w:rPr>
      </w:pPr>
      <w:r>
        <w:rPr>
          <w:rFonts w:ascii="Times New Roman"/>
        </w:rPr>
        <w:t>按本文件订货的合同或订单应包括下列内容：</w:t>
      </w:r>
    </w:p>
    <w:p w14:paraId="6A48C270">
      <w:pPr>
        <w:pStyle w:val="102"/>
        <w:numPr>
          <w:ilvl w:val="0"/>
          <w:numId w:val="7"/>
        </w:numPr>
        <w:rPr>
          <w:rFonts w:ascii="Times New Roman"/>
        </w:rPr>
      </w:pPr>
      <w:r>
        <w:rPr>
          <w:rFonts w:hint="eastAsia" w:ascii="Times New Roman"/>
          <w:lang w:eastAsia="zh-CN"/>
        </w:rPr>
        <w:t>本文件</w:t>
      </w:r>
      <w:r>
        <w:rPr>
          <w:rFonts w:ascii="Times New Roman"/>
        </w:rPr>
        <w:t>编号；</w:t>
      </w:r>
    </w:p>
    <w:p w14:paraId="0C9F897B">
      <w:pPr>
        <w:pStyle w:val="102"/>
        <w:numPr>
          <w:ilvl w:val="0"/>
          <w:numId w:val="7"/>
        </w:numPr>
        <w:rPr>
          <w:rFonts w:ascii="Times New Roman"/>
        </w:rPr>
      </w:pPr>
      <w:r>
        <w:rPr>
          <w:rFonts w:ascii="Times New Roman"/>
        </w:rPr>
        <w:t>产品名称；</w:t>
      </w:r>
    </w:p>
    <w:p w14:paraId="53B897EE">
      <w:pPr>
        <w:pStyle w:val="102"/>
        <w:numPr>
          <w:ilvl w:val="0"/>
          <w:numId w:val="7"/>
        </w:numPr>
        <w:rPr>
          <w:rFonts w:ascii="Times New Roman"/>
        </w:rPr>
      </w:pPr>
      <w:r>
        <w:rPr>
          <w:rFonts w:ascii="Times New Roman"/>
        </w:rPr>
        <w:t>牌号；</w:t>
      </w:r>
    </w:p>
    <w:p w14:paraId="5489DF3A">
      <w:pPr>
        <w:pStyle w:val="102"/>
        <w:numPr>
          <w:ilvl w:val="0"/>
          <w:numId w:val="7"/>
        </w:numPr>
        <w:rPr>
          <w:rFonts w:ascii="Times New Roman"/>
        </w:rPr>
      </w:pPr>
      <w:r>
        <w:rPr>
          <w:rFonts w:ascii="Times New Roman"/>
        </w:rPr>
        <w:t>规格；</w:t>
      </w:r>
    </w:p>
    <w:p w14:paraId="1D1F9C41">
      <w:pPr>
        <w:pStyle w:val="102"/>
        <w:numPr>
          <w:ilvl w:val="0"/>
          <w:numId w:val="7"/>
        </w:numPr>
        <w:rPr>
          <w:rFonts w:ascii="Times New Roman"/>
        </w:rPr>
      </w:pPr>
      <w:r>
        <w:rPr>
          <w:rFonts w:ascii="Times New Roman"/>
        </w:rPr>
        <w:t>重量</w:t>
      </w:r>
      <w:r>
        <w:rPr>
          <w:rFonts w:hint="eastAsia" w:ascii="Times New Roman"/>
          <w:lang w:eastAsia="zh-CN"/>
        </w:rPr>
        <w:t>（</w:t>
      </w:r>
      <w:r>
        <w:rPr>
          <w:rFonts w:ascii="Times New Roman"/>
        </w:rPr>
        <w:t>或数量</w:t>
      </w:r>
      <w:r>
        <w:rPr>
          <w:rFonts w:hint="eastAsia" w:ascii="Times New Roman"/>
          <w:lang w:eastAsia="zh-CN"/>
        </w:rPr>
        <w:t>）</w:t>
      </w:r>
      <w:r>
        <w:rPr>
          <w:rFonts w:ascii="Times New Roman"/>
        </w:rPr>
        <w:t>；</w:t>
      </w:r>
    </w:p>
    <w:p w14:paraId="02318C48">
      <w:pPr>
        <w:pStyle w:val="102"/>
        <w:numPr>
          <w:ilvl w:val="0"/>
          <w:numId w:val="7"/>
        </w:numPr>
        <w:rPr>
          <w:rFonts w:ascii="Times New Roman"/>
        </w:rPr>
      </w:pPr>
      <w:r>
        <w:rPr>
          <w:rFonts w:ascii="Times New Roman"/>
        </w:rPr>
        <w:t>交货状态；</w:t>
      </w:r>
    </w:p>
    <w:p w14:paraId="7C081ACA">
      <w:pPr>
        <w:pStyle w:val="102"/>
        <w:numPr>
          <w:ilvl w:val="0"/>
          <w:numId w:val="7"/>
        </w:numPr>
        <w:rPr>
          <w:rFonts w:ascii="Times New Roman"/>
        </w:rPr>
      </w:pPr>
      <w:r>
        <w:rPr>
          <w:rFonts w:ascii="Times New Roman"/>
        </w:rPr>
        <w:t>特殊要求。</w:t>
      </w:r>
    </w:p>
    <w:p w14:paraId="3BFD52AD">
      <w:pPr>
        <w:pStyle w:val="45"/>
        <w:numPr>
          <w:ilvl w:val="0"/>
          <w:numId w:val="6"/>
        </w:numPr>
        <w:spacing w:before="312" w:after="312"/>
        <w:rPr>
          <w:rFonts w:ascii="Times New Roman"/>
        </w:rPr>
      </w:pPr>
      <w:r>
        <w:rPr>
          <w:rFonts w:ascii="Times New Roman"/>
        </w:rPr>
        <w:t>制造工艺</w:t>
      </w:r>
    </w:p>
    <w:p w14:paraId="337EA940">
      <w:pPr>
        <w:pStyle w:val="47"/>
        <w:numPr>
          <w:ilvl w:val="1"/>
          <w:numId w:val="6"/>
        </w:numPr>
        <w:spacing w:before="156" w:after="156"/>
        <w:jc w:val="both"/>
        <w:rPr>
          <w:rFonts w:ascii="Times New Roman"/>
          <w:color w:val="auto"/>
        </w:rPr>
      </w:pPr>
      <w:r>
        <w:rPr>
          <w:rFonts w:ascii="Times New Roman"/>
          <w:color w:val="auto"/>
        </w:rPr>
        <w:t>冶炼方法</w:t>
      </w:r>
    </w:p>
    <w:p w14:paraId="3C55B588">
      <w:pPr>
        <w:widowControl/>
        <w:tabs>
          <w:tab w:val="center" w:pos="4620"/>
          <w:tab w:val="right" w:pos="9460"/>
        </w:tabs>
        <w:spacing w:before="156" w:beforeLines="50" w:after="156" w:afterLines="50"/>
        <w:ind w:firstLine="525" w:firstLineChars="250"/>
        <w:jc w:val="left"/>
        <w:outlineLvl w:val="3"/>
        <w:rPr>
          <w:color w:val="auto"/>
          <w:highlight w:val="none"/>
        </w:rPr>
      </w:pPr>
      <w:r>
        <w:rPr>
          <w:rFonts w:hint="eastAsia"/>
          <w:color w:val="auto"/>
          <w:highlight w:val="none"/>
        </w:rPr>
        <w:t>钢应采用转炉或电炉冶炼，并经炉外精炼和真空脱气处理。</w:t>
      </w:r>
    </w:p>
    <w:p w14:paraId="707AB068">
      <w:pPr>
        <w:pStyle w:val="47"/>
        <w:numPr>
          <w:ilvl w:val="1"/>
          <w:numId w:val="6"/>
        </w:numPr>
        <w:spacing w:before="156" w:after="156"/>
        <w:jc w:val="both"/>
        <w:rPr>
          <w:rFonts w:ascii="Times New Roman"/>
          <w:color w:val="auto"/>
        </w:rPr>
      </w:pPr>
      <w:r>
        <w:rPr>
          <w:rFonts w:ascii="Times New Roman"/>
          <w:color w:val="auto"/>
        </w:rPr>
        <w:t>交货状态</w:t>
      </w:r>
    </w:p>
    <w:p w14:paraId="7B049558">
      <w:pPr>
        <w:widowControl/>
        <w:tabs>
          <w:tab w:val="center" w:pos="4620"/>
          <w:tab w:val="right" w:pos="9460"/>
        </w:tabs>
        <w:spacing w:before="156" w:beforeLines="50" w:after="156" w:afterLines="50"/>
        <w:ind w:firstLine="525" w:firstLineChars="250"/>
        <w:jc w:val="left"/>
        <w:outlineLvl w:val="3"/>
        <w:rPr>
          <w:rFonts w:hint="eastAsia"/>
          <w:color w:val="auto"/>
          <w:highlight w:val="none"/>
        </w:rPr>
      </w:pPr>
      <w:r>
        <w:rPr>
          <w:rFonts w:hint="eastAsia" w:ascii="宋体" w:hAnsi="宋体" w:eastAsia="宋体" w:cs="宋体"/>
          <w:lang w:eastAsia="zh-CN"/>
        </w:rPr>
        <w:t>圆钢</w:t>
      </w:r>
      <w:r>
        <w:rPr>
          <w:rFonts w:hint="eastAsia"/>
          <w:color w:val="auto"/>
          <w:highlight w:val="none"/>
          <w:lang w:eastAsia="zh-CN"/>
        </w:rPr>
        <w:t>以热轧、软化退火或球化退火</w:t>
      </w:r>
      <w:r>
        <w:rPr>
          <w:rFonts w:hint="eastAsia"/>
          <w:color w:val="auto"/>
          <w:highlight w:val="none"/>
        </w:rPr>
        <w:t>状态</w:t>
      </w:r>
      <w:r>
        <w:rPr>
          <w:rFonts w:hint="eastAsia"/>
          <w:color w:val="auto"/>
          <w:highlight w:val="none"/>
          <w:lang w:eastAsia="zh-CN"/>
        </w:rPr>
        <w:t>交货</w:t>
      </w:r>
      <w:r>
        <w:rPr>
          <w:rFonts w:hint="eastAsia"/>
          <w:color w:val="auto"/>
          <w:highlight w:val="none"/>
        </w:rPr>
        <w:t>。</w:t>
      </w:r>
    </w:p>
    <w:p w14:paraId="6FEFC362">
      <w:pPr>
        <w:pStyle w:val="45"/>
        <w:numPr>
          <w:ilvl w:val="0"/>
          <w:numId w:val="6"/>
        </w:numPr>
        <w:spacing w:before="312" w:after="312"/>
        <w:rPr>
          <w:rFonts w:ascii="Times New Roman"/>
        </w:rPr>
      </w:pPr>
      <w:r>
        <w:rPr>
          <w:rFonts w:ascii="Times New Roman"/>
        </w:rPr>
        <w:t>技术要求</w:t>
      </w:r>
    </w:p>
    <w:bookmarkEnd w:id="6"/>
    <w:p w14:paraId="2112AB38">
      <w:pPr>
        <w:pStyle w:val="47"/>
        <w:numPr>
          <w:ilvl w:val="1"/>
          <w:numId w:val="6"/>
        </w:numPr>
        <w:spacing w:before="156" w:after="156"/>
        <w:jc w:val="both"/>
        <w:rPr>
          <w:rFonts w:ascii="Times New Roman"/>
        </w:rPr>
      </w:pPr>
      <w:r>
        <w:rPr>
          <w:rFonts w:ascii="Times New Roman"/>
        </w:rPr>
        <w:t>牌号和化学成分</w:t>
      </w:r>
    </w:p>
    <w:p w14:paraId="2CE3D49B">
      <w:pPr>
        <w:keepNext w:val="0"/>
        <w:keepLines w:val="0"/>
        <w:pageBreakBefore w:val="0"/>
        <w:widowControl/>
        <w:numPr>
          <w:ilvl w:val="2"/>
          <w:numId w:val="6"/>
        </w:numPr>
        <w:tabs>
          <w:tab w:val="center" w:pos="4620"/>
          <w:tab w:val="right" w:pos="9460"/>
        </w:tabs>
        <w:kinsoku/>
        <w:wordWrap/>
        <w:overflowPunct/>
        <w:topLinePunct w:val="0"/>
        <w:autoSpaceDE/>
        <w:autoSpaceDN/>
        <w:bidi w:val="0"/>
        <w:adjustRightInd/>
        <w:snapToGrid/>
        <w:ind w:left="0"/>
        <w:jc w:val="left"/>
        <w:textAlignment w:val="auto"/>
        <w:outlineLvl w:val="3"/>
        <w:rPr>
          <w:rFonts w:hint="eastAsia" w:ascii="宋体" w:hAnsi="宋体" w:eastAsia="宋体" w:cs="宋体"/>
        </w:rPr>
      </w:pPr>
      <w:r>
        <w:rPr>
          <w:rFonts w:hint="eastAsia" w:ascii="宋体" w:hAnsi="宋体" w:eastAsia="宋体" w:cs="宋体"/>
        </w:rPr>
        <w:t>钢的牌号</w:t>
      </w:r>
      <w:r>
        <w:rPr>
          <w:rFonts w:hint="eastAsia" w:ascii="宋体" w:hAnsi="宋体" w:eastAsia="宋体" w:cs="宋体"/>
          <w:lang w:eastAsia="zh-CN"/>
        </w:rPr>
        <w:t>和</w:t>
      </w:r>
      <w:r>
        <w:rPr>
          <w:rFonts w:hint="eastAsia" w:ascii="宋体" w:hAnsi="宋体" w:eastAsia="宋体" w:cs="宋体"/>
        </w:rPr>
        <w:t>化学成分（熔炼分析）应符合表1的规定，其残余元素含量应符合表2的规定。</w:t>
      </w:r>
    </w:p>
    <w:p w14:paraId="1AECEC41">
      <w:pPr>
        <w:keepNext w:val="0"/>
        <w:keepLines w:val="0"/>
        <w:pageBreakBefore w:val="0"/>
        <w:widowControl/>
        <w:numPr>
          <w:ilvl w:val="2"/>
          <w:numId w:val="6"/>
        </w:numPr>
        <w:tabs>
          <w:tab w:val="center" w:pos="4620"/>
          <w:tab w:val="right" w:pos="9460"/>
        </w:tabs>
        <w:kinsoku/>
        <w:wordWrap/>
        <w:overflowPunct/>
        <w:topLinePunct w:val="0"/>
        <w:autoSpaceDE/>
        <w:autoSpaceDN/>
        <w:bidi w:val="0"/>
        <w:adjustRightInd/>
        <w:snapToGrid/>
        <w:ind w:left="0"/>
        <w:jc w:val="left"/>
        <w:textAlignment w:val="auto"/>
        <w:outlineLvl w:val="3"/>
        <w:rPr>
          <w:rFonts w:hint="eastAsia" w:ascii="宋体" w:hAnsi="宋体" w:eastAsia="宋体" w:cs="宋体"/>
        </w:rPr>
      </w:pPr>
      <w:r>
        <w:rPr>
          <w:rFonts w:hint="eastAsia" w:ascii="宋体" w:hAnsi="宋体" w:cs="宋体"/>
          <w:lang w:val="en-US" w:eastAsia="zh-CN"/>
        </w:rPr>
        <w:t>除非得到用户同意，生产厂不应有意向钢中添加钙及钙合金。</w:t>
      </w:r>
    </w:p>
    <w:p w14:paraId="5327CAF2">
      <w:pPr>
        <w:pStyle w:val="165"/>
        <w:numPr>
          <w:ilvl w:val="0"/>
          <w:numId w:val="3"/>
        </w:numPr>
        <w:tabs>
          <w:tab w:val="left" w:pos="0"/>
        </w:tabs>
        <w:spacing w:before="156" w:after="156"/>
        <w:ind w:left="0"/>
        <w:rPr>
          <w:rFonts w:hint="eastAsia" w:hAnsi="Times New Roman" w:cs="Times New Roman"/>
          <w:color w:val="auto"/>
        </w:rPr>
      </w:pPr>
      <w:bookmarkStart w:id="7" w:name="_Toc103246231"/>
      <w:r>
        <w:rPr>
          <w:rFonts w:hint="eastAsia" w:hAnsi="Times New Roman" w:cs="Times New Roman"/>
          <w:color w:val="auto"/>
        </w:rPr>
        <w:t>牌号及化学成分</w:t>
      </w:r>
    </w:p>
    <w:tbl>
      <w:tblPr>
        <w:tblStyle w:val="3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2"/>
        <w:gridCol w:w="1558"/>
        <w:gridCol w:w="1558"/>
        <w:gridCol w:w="1476"/>
        <w:gridCol w:w="1491"/>
        <w:gridCol w:w="1413"/>
      </w:tblGrid>
      <w:tr w14:paraId="7F91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083" w:type="pct"/>
            <w:vMerge w:val="restart"/>
            <w:shd w:val="clear" w:color="auto" w:fill="auto"/>
            <w:vAlign w:val="center"/>
          </w:tcPr>
          <w:p w14:paraId="09BEA8C1">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牌号</w:t>
            </w:r>
          </w:p>
        </w:tc>
        <w:tc>
          <w:tcPr>
            <w:tcW w:w="3916" w:type="pct"/>
            <w:gridSpan w:val="5"/>
            <w:shd w:val="clear" w:color="auto" w:fill="auto"/>
            <w:vAlign w:val="center"/>
          </w:tcPr>
          <w:p w14:paraId="750F804B">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化学成分（质量分数）/%</w:t>
            </w:r>
          </w:p>
        </w:tc>
      </w:tr>
      <w:tr w14:paraId="6844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083" w:type="pct"/>
            <w:vMerge w:val="continue"/>
            <w:vAlign w:val="center"/>
          </w:tcPr>
          <w:p w14:paraId="1910A146">
            <w:pPr>
              <w:widowControl/>
              <w:jc w:val="left"/>
              <w:rPr>
                <w:rFonts w:hint="eastAsia" w:ascii="宋体" w:hAnsi="宋体" w:eastAsia="宋体" w:cs="宋体"/>
                <w:kern w:val="0"/>
                <w:sz w:val="18"/>
                <w:szCs w:val="18"/>
                <w:highlight w:val="none"/>
              </w:rPr>
            </w:pPr>
          </w:p>
        </w:tc>
        <w:tc>
          <w:tcPr>
            <w:tcW w:w="814" w:type="pct"/>
            <w:shd w:val="clear" w:color="auto" w:fill="auto"/>
            <w:vAlign w:val="center"/>
          </w:tcPr>
          <w:p w14:paraId="23E7A05D">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C</w:t>
            </w:r>
          </w:p>
        </w:tc>
        <w:tc>
          <w:tcPr>
            <w:tcW w:w="814" w:type="pct"/>
            <w:shd w:val="clear" w:color="auto" w:fill="auto"/>
            <w:vAlign w:val="center"/>
          </w:tcPr>
          <w:p w14:paraId="68E3D74D">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Si</w:t>
            </w:r>
          </w:p>
        </w:tc>
        <w:tc>
          <w:tcPr>
            <w:tcW w:w="771" w:type="pct"/>
            <w:shd w:val="clear" w:color="auto" w:fill="auto"/>
            <w:vAlign w:val="center"/>
          </w:tcPr>
          <w:p w14:paraId="5AD153A2">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Mn</w:t>
            </w:r>
          </w:p>
        </w:tc>
        <w:tc>
          <w:tcPr>
            <w:tcW w:w="779" w:type="pct"/>
            <w:shd w:val="clear" w:color="auto" w:fill="auto"/>
            <w:vAlign w:val="center"/>
          </w:tcPr>
          <w:p w14:paraId="74E2A470">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Cr</w:t>
            </w:r>
          </w:p>
        </w:tc>
        <w:tc>
          <w:tcPr>
            <w:tcW w:w="737" w:type="pct"/>
            <w:shd w:val="clear" w:color="auto" w:fill="auto"/>
            <w:vAlign w:val="center"/>
          </w:tcPr>
          <w:p w14:paraId="5F70A934">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Mo</w:t>
            </w:r>
          </w:p>
        </w:tc>
      </w:tr>
      <w:tr w14:paraId="7C2E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083" w:type="pct"/>
            <w:vAlign w:val="center"/>
          </w:tcPr>
          <w:p w14:paraId="375F51CD">
            <w:pPr>
              <w:widowControl/>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GCr18MnMo</w:t>
            </w:r>
          </w:p>
        </w:tc>
        <w:tc>
          <w:tcPr>
            <w:tcW w:w="814" w:type="pct"/>
            <w:shd w:val="clear" w:color="auto" w:fill="auto"/>
            <w:vAlign w:val="center"/>
          </w:tcPr>
          <w:p w14:paraId="7EDA85AA">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0.93</w:t>
            </w:r>
            <w:r>
              <w:rPr>
                <w:rFonts w:hint="eastAsia" w:ascii="宋体" w:hAnsi="宋体" w:eastAsia="宋体" w:cs="宋体"/>
                <w:color w:val="auto"/>
                <w:sz w:val="18"/>
                <w:szCs w:val="18"/>
                <w:highlight w:val="none"/>
              </w:rPr>
              <w:t>～</w:t>
            </w:r>
            <w:r>
              <w:rPr>
                <w:rFonts w:hint="eastAsia" w:ascii="宋体" w:hAnsi="宋体" w:eastAsia="宋体" w:cs="宋体"/>
                <w:kern w:val="0"/>
                <w:sz w:val="18"/>
                <w:szCs w:val="18"/>
                <w:highlight w:val="none"/>
              </w:rPr>
              <w:t>1.05</w:t>
            </w:r>
          </w:p>
        </w:tc>
        <w:tc>
          <w:tcPr>
            <w:tcW w:w="814" w:type="pct"/>
            <w:shd w:val="clear" w:color="auto" w:fill="auto"/>
            <w:vAlign w:val="center"/>
          </w:tcPr>
          <w:p w14:paraId="17D55A25">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0.20</w:t>
            </w:r>
            <w:r>
              <w:rPr>
                <w:rFonts w:hint="eastAsia" w:ascii="宋体" w:hAnsi="宋体" w:eastAsia="宋体" w:cs="宋体"/>
                <w:color w:val="auto"/>
                <w:sz w:val="18"/>
                <w:szCs w:val="18"/>
                <w:highlight w:val="none"/>
              </w:rPr>
              <w:t>～</w:t>
            </w:r>
            <w:r>
              <w:rPr>
                <w:rFonts w:hint="eastAsia" w:ascii="宋体" w:hAnsi="宋体" w:eastAsia="宋体" w:cs="宋体"/>
                <w:kern w:val="0"/>
                <w:sz w:val="18"/>
                <w:szCs w:val="18"/>
                <w:highlight w:val="none"/>
              </w:rPr>
              <w:t>0.45</w:t>
            </w:r>
          </w:p>
        </w:tc>
        <w:tc>
          <w:tcPr>
            <w:tcW w:w="771" w:type="pct"/>
            <w:shd w:val="clear" w:color="auto" w:fill="auto"/>
            <w:vAlign w:val="center"/>
          </w:tcPr>
          <w:p w14:paraId="57E99544">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0.60</w:t>
            </w:r>
            <w:r>
              <w:rPr>
                <w:rFonts w:hint="eastAsia" w:ascii="宋体" w:hAnsi="宋体" w:eastAsia="宋体" w:cs="宋体"/>
                <w:color w:val="auto"/>
                <w:sz w:val="18"/>
                <w:szCs w:val="18"/>
                <w:highlight w:val="none"/>
              </w:rPr>
              <w:t>～</w:t>
            </w:r>
            <w:r>
              <w:rPr>
                <w:rFonts w:hint="eastAsia" w:ascii="宋体" w:hAnsi="宋体" w:eastAsia="宋体" w:cs="宋体"/>
                <w:kern w:val="0"/>
                <w:sz w:val="18"/>
                <w:szCs w:val="18"/>
                <w:highlight w:val="none"/>
              </w:rPr>
              <w:t>0.80</w:t>
            </w:r>
          </w:p>
        </w:tc>
        <w:tc>
          <w:tcPr>
            <w:tcW w:w="779" w:type="pct"/>
            <w:shd w:val="clear" w:color="auto" w:fill="auto"/>
            <w:vAlign w:val="center"/>
          </w:tcPr>
          <w:p w14:paraId="47D41A24">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1.70</w:t>
            </w:r>
            <w:r>
              <w:rPr>
                <w:rFonts w:hint="eastAsia" w:ascii="宋体" w:hAnsi="宋体" w:eastAsia="宋体" w:cs="宋体"/>
                <w:color w:val="auto"/>
                <w:sz w:val="18"/>
                <w:szCs w:val="18"/>
                <w:highlight w:val="none"/>
              </w:rPr>
              <w:t>～</w:t>
            </w:r>
            <w:r>
              <w:rPr>
                <w:rFonts w:hint="eastAsia" w:ascii="宋体" w:hAnsi="宋体" w:eastAsia="宋体" w:cs="宋体"/>
                <w:kern w:val="0"/>
                <w:sz w:val="18"/>
                <w:szCs w:val="18"/>
                <w:highlight w:val="none"/>
              </w:rPr>
              <w:t>1.95</w:t>
            </w:r>
          </w:p>
        </w:tc>
        <w:tc>
          <w:tcPr>
            <w:tcW w:w="737" w:type="pct"/>
            <w:shd w:val="clear" w:color="auto" w:fill="auto"/>
            <w:vAlign w:val="center"/>
          </w:tcPr>
          <w:p w14:paraId="220A7DCF">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0.25</w:t>
            </w:r>
            <w:r>
              <w:rPr>
                <w:rFonts w:hint="eastAsia" w:ascii="宋体" w:hAnsi="宋体" w:eastAsia="宋体" w:cs="宋体"/>
                <w:color w:val="auto"/>
                <w:sz w:val="18"/>
                <w:szCs w:val="18"/>
                <w:highlight w:val="none"/>
              </w:rPr>
              <w:t>～</w:t>
            </w:r>
            <w:r>
              <w:rPr>
                <w:rFonts w:hint="eastAsia" w:ascii="宋体" w:hAnsi="宋体" w:eastAsia="宋体" w:cs="宋体"/>
                <w:kern w:val="0"/>
                <w:sz w:val="18"/>
                <w:szCs w:val="18"/>
                <w:highlight w:val="none"/>
              </w:rPr>
              <w:t>0.35</w:t>
            </w:r>
          </w:p>
        </w:tc>
      </w:tr>
      <w:tr w14:paraId="6F94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083" w:type="pct"/>
            <w:vAlign w:val="center"/>
          </w:tcPr>
          <w:p w14:paraId="68774626">
            <w:pPr>
              <w:widowControl/>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GCr18MnMo1</w:t>
            </w:r>
          </w:p>
        </w:tc>
        <w:tc>
          <w:tcPr>
            <w:tcW w:w="814" w:type="pct"/>
            <w:shd w:val="clear" w:color="auto" w:fill="auto"/>
            <w:vAlign w:val="center"/>
          </w:tcPr>
          <w:p w14:paraId="40684992">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0.93</w:t>
            </w:r>
            <w:r>
              <w:rPr>
                <w:rFonts w:hint="eastAsia" w:ascii="宋体" w:hAnsi="宋体" w:eastAsia="宋体" w:cs="宋体"/>
                <w:color w:val="auto"/>
                <w:sz w:val="18"/>
                <w:szCs w:val="18"/>
                <w:highlight w:val="none"/>
              </w:rPr>
              <w:t>～</w:t>
            </w:r>
            <w:r>
              <w:rPr>
                <w:rFonts w:hint="eastAsia" w:ascii="宋体" w:hAnsi="宋体" w:eastAsia="宋体" w:cs="宋体"/>
                <w:kern w:val="0"/>
                <w:sz w:val="18"/>
                <w:szCs w:val="18"/>
                <w:highlight w:val="none"/>
              </w:rPr>
              <w:t>1.05</w:t>
            </w:r>
          </w:p>
        </w:tc>
        <w:tc>
          <w:tcPr>
            <w:tcW w:w="814" w:type="pct"/>
            <w:shd w:val="clear" w:color="auto" w:fill="auto"/>
            <w:vAlign w:val="center"/>
          </w:tcPr>
          <w:p w14:paraId="50420289">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w:t>
            </w:r>
            <w:r>
              <w:rPr>
                <w:rFonts w:hint="eastAsia" w:ascii="宋体" w:hAnsi="宋体" w:cs="宋体"/>
                <w:kern w:val="0"/>
                <w:sz w:val="18"/>
                <w:szCs w:val="18"/>
                <w:highlight w:val="none"/>
                <w:lang w:val="en-US" w:eastAsia="zh-CN"/>
              </w:rPr>
              <w:t>15</w:t>
            </w:r>
            <w:r>
              <w:rPr>
                <w:rFonts w:hint="eastAsia" w:ascii="宋体" w:hAnsi="宋体" w:eastAsia="宋体" w:cs="宋体"/>
                <w:color w:val="auto"/>
                <w:sz w:val="18"/>
                <w:szCs w:val="18"/>
                <w:highlight w:val="none"/>
              </w:rPr>
              <w:t>～</w:t>
            </w:r>
            <w:r>
              <w:rPr>
                <w:rFonts w:hint="eastAsia" w:ascii="宋体" w:hAnsi="宋体" w:eastAsia="宋体" w:cs="宋体"/>
                <w:kern w:val="0"/>
                <w:sz w:val="18"/>
                <w:szCs w:val="18"/>
                <w:highlight w:val="none"/>
              </w:rPr>
              <w:t>0.35</w:t>
            </w:r>
          </w:p>
        </w:tc>
        <w:tc>
          <w:tcPr>
            <w:tcW w:w="771" w:type="pct"/>
            <w:shd w:val="clear" w:color="auto" w:fill="auto"/>
            <w:vAlign w:val="center"/>
          </w:tcPr>
          <w:p w14:paraId="5CB5CA2A">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0.60</w:t>
            </w:r>
            <w:r>
              <w:rPr>
                <w:rFonts w:hint="eastAsia" w:ascii="宋体" w:hAnsi="宋体" w:eastAsia="宋体" w:cs="宋体"/>
                <w:color w:val="auto"/>
                <w:sz w:val="18"/>
                <w:szCs w:val="18"/>
                <w:highlight w:val="none"/>
              </w:rPr>
              <w:t>～</w:t>
            </w:r>
            <w:r>
              <w:rPr>
                <w:rFonts w:hint="eastAsia" w:ascii="宋体" w:hAnsi="宋体" w:eastAsia="宋体" w:cs="宋体"/>
                <w:kern w:val="0"/>
                <w:sz w:val="18"/>
                <w:szCs w:val="18"/>
                <w:highlight w:val="none"/>
              </w:rPr>
              <w:t>0.80</w:t>
            </w:r>
          </w:p>
        </w:tc>
        <w:tc>
          <w:tcPr>
            <w:tcW w:w="779" w:type="pct"/>
            <w:shd w:val="clear" w:color="auto" w:fill="auto"/>
            <w:vAlign w:val="center"/>
          </w:tcPr>
          <w:p w14:paraId="5C94284A">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1.70</w:t>
            </w:r>
            <w:r>
              <w:rPr>
                <w:rFonts w:hint="eastAsia" w:ascii="宋体" w:hAnsi="宋体" w:eastAsia="宋体" w:cs="宋体"/>
                <w:color w:val="auto"/>
                <w:sz w:val="18"/>
                <w:szCs w:val="18"/>
                <w:highlight w:val="none"/>
              </w:rPr>
              <w:t>～</w:t>
            </w:r>
            <w:r>
              <w:rPr>
                <w:rFonts w:hint="eastAsia" w:ascii="宋体" w:hAnsi="宋体" w:eastAsia="宋体" w:cs="宋体"/>
                <w:kern w:val="0"/>
                <w:sz w:val="18"/>
                <w:szCs w:val="18"/>
                <w:highlight w:val="none"/>
              </w:rPr>
              <w:t>1.95</w:t>
            </w:r>
          </w:p>
        </w:tc>
        <w:tc>
          <w:tcPr>
            <w:tcW w:w="737" w:type="pct"/>
            <w:shd w:val="clear" w:color="auto" w:fill="auto"/>
            <w:vAlign w:val="center"/>
          </w:tcPr>
          <w:p w14:paraId="644B57D7">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0.40</w:t>
            </w:r>
            <w:r>
              <w:rPr>
                <w:rFonts w:hint="eastAsia" w:ascii="宋体" w:hAnsi="宋体" w:eastAsia="宋体" w:cs="宋体"/>
                <w:color w:val="auto"/>
                <w:sz w:val="18"/>
                <w:szCs w:val="18"/>
                <w:highlight w:val="none"/>
              </w:rPr>
              <w:t>～</w:t>
            </w:r>
            <w:r>
              <w:rPr>
                <w:rFonts w:hint="eastAsia" w:ascii="宋体" w:hAnsi="宋体" w:eastAsia="宋体" w:cs="宋体"/>
                <w:kern w:val="0"/>
                <w:sz w:val="18"/>
                <w:szCs w:val="18"/>
                <w:highlight w:val="none"/>
              </w:rPr>
              <w:t>0.50</w:t>
            </w:r>
          </w:p>
        </w:tc>
      </w:tr>
      <w:tr w14:paraId="71B0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083" w:type="pct"/>
            <w:vAlign w:val="center"/>
          </w:tcPr>
          <w:p w14:paraId="15DA015E">
            <w:pPr>
              <w:widowControl/>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GCr19SiMnMo</w:t>
            </w:r>
          </w:p>
        </w:tc>
        <w:tc>
          <w:tcPr>
            <w:tcW w:w="814" w:type="pct"/>
            <w:shd w:val="clear" w:color="auto" w:fill="auto"/>
            <w:vAlign w:val="center"/>
          </w:tcPr>
          <w:p w14:paraId="28430FB5">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0.93</w:t>
            </w:r>
            <w:r>
              <w:rPr>
                <w:rFonts w:hint="eastAsia" w:ascii="宋体" w:hAnsi="宋体" w:eastAsia="宋体" w:cs="宋体"/>
                <w:color w:val="auto"/>
                <w:sz w:val="18"/>
                <w:szCs w:val="18"/>
                <w:highlight w:val="none"/>
              </w:rPr>
              <w:t>～</w:t>
            </w:r>
            <w:r>
              <w:rPr>
                <w:rFonts w:hint="eastAsia" w:ascii="宋体" w:hAnsi="宋体" w:eastAsia="宋体" w:cs="宋体"/>
                <w:kern w:val="0"/>
                <w:sz w:val="18"/>
                <w:szCs w:val="18"/>
                <w:highlight w:val="none"/>
              </w:rPr>
              <w:t>1.05</w:t>
            </w:r>
          </w:p>
        </w:tc>
        <w:tc>
          <w:tcPr>
            <w:tcW w:w="814" w:type="pct"/>
            <w:shd w:val="clear" w:color="auto" w:fill="auto"/>
            <w:vAlign w:val="center"/>
          </w:tcPr>
          <w:p w14:paraId="493AE8C6">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0.40</w:t>
            </w:r>
            <w:r>
              <w:rPr>
                <w:rFonts w:hint="eastAsia" w:ascii="宋体" w:hAnsi="宋体" w:eastAsia="宋体" w:cs="宋体"/>
                <w:color w:val="auto"/>
                <w:sz w:val="18"/>
                <w:szCs w:val="18"/>
                <w:highlight w:val="none"/>
              </w:rPr>
              <w:t>～</w:t>
            </w:r>
            <w:r>
              <w:rPr>
                <w:rFonts w:hint="eastAsia" w:ascii="宋体" w:hAnsi="宋体" w:eastAsia="宋体" w:cs="宋体"/>
                <w:kern w:val="0"/>
                <w:sz w:val="18"/>
                <w:szCs w:val="18"/>
                <w:highlight w:val="none"/>
              </w:rPr>
              <w:t>0.60</w:t>
            </w:r>
          </w:p>
        </w:tc>
        <w:tc>
          <w:tcPr>
            <w:tcW w:w="771" w:type="pct"/>
            <w:shd w:val="clear" w:color="auto" w:fill="auto"/>
            <w:vAlign w:val="center"/>
          </w:tcPr>
          <w:p w14:paraId="74ED902E">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0.80</w:t>
            </w:r>
            <w:r>
              <w:rPr>
                <w:rFonts w:hint="eastAsia" w:ascii="宋体" w:hAnsi="宋体" w:eastAsia="宋体" w:cs="宋体"/>
                <w:color w:val="auto"/>
                <w:sz w:val="18"/>
                <w:szCs w:val="18"/>
                <w:highlight w:val="none"/>
              </w:rPr>
              <w:t>～</w:t>
            </w:r>
            <w:r>
              <w:rPr>
                <w:rFonts w:hint="eastAsia" w:ascii="宋体" w:hAnsi="宋体" w:eastAsia="宋体" w:cs="宋体"/>
                <w:kern w:val="0"/>
                <w:sz w:val="18"/>
                <w:szCs w:val="18"/>
                <w:highlight w:val="none"/>
              </w:rPr>
              <w:t>1.10</w:t>
            </w:r>
          </w:p>
        </w:tc>
        <w:tc>
          <w:tcPr>
            <w:tcW w:w="779" w:type="pct"/>
            <w:shd w:val="clear" w:color="auto" w:fill="auto"/>
            <w:vAlign w:val="center"/>
          </w:tcPr>
          <w:p w14:paraId="3DB2ABCE">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1.80</w:t>
            </w:r>
            <w:r>
              <w:rPr>
                <w:rFonts w:hint="eastAsia" w:ascii="宋体" w:hAnsi="宋体" w:eastAsia="宋体" w:cs="宋体"/>
                <w:color w:val="auto"/>
                <w:sz w:val="18"/>
                <w:szCs w:val="18"/>
                <w:highlight w:val="none"/>
              </w:rPr>
              <w:t>～</w:t>
            </w:r>
            <w:r>
              <w:rPr>
                <w:rFonts w:hint="eastAsia" w:ascii="宋体" w:hAnsi="宋体" w:eastAsia="宋体" w:cs="宋体"/>
                <w:kern w:val="0"/>
                <w:sz w:val="18"/>
                <w:szCs w:val="18"/>
                <w:highlight w:val="none"/>
              </w:rPr>
              <w:t>2.05</w:t>
            </w:r>
          </w:p>
        </w:tc>
        <w:tc>
          <w:tcPr>
            <w:tcW w:w="737" w:type="pct"/>
            <w:shd w:val="clear" w:color="auto" w:fill="auto"/>
            <w:vAlign w:val="center"/>
          </w:tcPr>
          <w:p w14:paraId="64C9E195">
            <w:pPr>
              <w:widowControl/>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0.50</w:t>
            </w:r>
            <w:r>
              <w:rPr>
                <w:rFonts w:hint="eastAsia" w:ascii="宋体" w:hAnsi="宋体" w:eastAsia="宋体" w:cs="宋体"/>
                <w:color w:val="auto"/>
                <w:sz w:val="18"/>
                <w:szCs w:val="18"/>
                <w:highlight w:val="none"/>
              </w:rPr>
              <w:t>～</w:t>
            </w:r>
            <w:r>
              <w:rPr>
                <w:rFonts w:hint="eastAsia" w:ascii="宋体" w:hAnsi="宋体" w:eastAsia="宋体" w:cs="宋体"/>
                <w:kern w:val="0"/>
                <w:sz w:val="18"/>
                <w:szCs w:val="18"/>
                <w:highlight w:val="none"/>
              </w:rPr>
              <w:t>0.60</w:t>
            </w:r>
          </w:p>
        </w:tc>
      </w:tr>
    </w:tbl>
    <w:p w14:paraId="1337F5E1">
      <w:pPr>
        <w:numPr>
          <w:ilvl w:val="0"/>
          <w:numId w:val="3"/>
        </w:numPr>
        <w:spacing w:before="156" w:beforeLines="50" w:after="156" w:afterLines="50"/>
        <w:ind w:left="0"/>
        <w:jc w:val="center"/>
        <w:rPr>
          <w:rFonts w:eastAsia="黑体"/>
        </w:rPr>
      </w:pPr>
      <w:r>
        <w:rPr>
          <w:rFonts w:eastAsia="黑体"/>
        </w:rPr>
        <w:t>钢中残余元素含量</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689"/>
        <w:gridCol w:w="798"/>
        <w:gridCol w:w="798"/>
        <w:gridCol w:w="1011"/>
        <w:gridCol w:w="1011"/>
        <w:gridCol w:w="1011"/>
        <w:gridCol w:w="798"/>
        <w:gridCol w:w="798"/>
        <w:gridCol w:w="1122"/>
        <w:gridCol w:w="846"/>
      </w:tblGrid>
      <w:tr w14:paraId="66EF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5000" w:type="pct"/>
            <w:gridSpan w:val="11"/>
            <w:shd w:val="clear" w:color="auto" w:fill="auto"/>
            <w:vAlign w:val="center"/>
          </w:tcPr>
          <w:p w14:paraId="27E9EF55">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化学成分（质量分数）/%</w:t>
            </w:r>
            <w:r>
              <w:rPr>
                <w:rFonts w:hint="eastAsia" w:ascii="宋体" w:hAnsi="宋体" w:eastAsia="宋体" w:cs="宋体"/>
                <w:kern w:val="0"/>
                <w:sz w:val="18"/>
                <w:szCs w:val="18"/>
                <w:lang w:eastAsia="zh-CN"/>
              </w:rPr>
              <w:t>，不大于</w:t>
            </w:r>
          </w:p>
        </w:tc>
      </w:tr>
      <w:tr w14:paraId="08F3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60" w:type="pct"/>
            <w:shd w:val="clear" w:color="auto" w:fill="auto"/>
            <w:vAlign w:val="center"/>
          </w:tcPr>
          <w:p w14:paraId="5652664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Ni</w:t>
            </w:r>
          </w:p>
        </w:tc>
        <w:tc>
          <w:tcPr>
            <w:tcW w:w="360" w:type="pct"/>
            <w:shd w:val="clear" w:color="auto" w:fill="auto"/>
            <w:vAlign w:val="center"/>
          </w:tcPr>
          <w:p w14:paraId="32417FB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Cu</w:t>
            </w:r>
          </w:p>
        </w:tc>
        <w:tc>
          <w:tcPr>
            <w:tcW w:w="417" w:type="pct"/>
            <w:shd w:val="clear" w:color="auto" w:fill="auto"/>
            <w:vAlign w:val="center"/>
          </w:tcPr>
          <w:p w14:paraId="3856E94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P</w:t>
            </w:r>
          </w:p>
        </w:tc>
        <w:tc>
          <w:tcPr>
            <w:tcW w:w="417" w:type="pct"/>
            <w:shd w:val="clear" w:color="auto" w:fill="auto"/>
            <w:vAlign w:val="center"/>
          </w:tcPr>
          <w:p w14:paraId="1981C0E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S</w:t>
            </w:r>
          </w:p>
        </w:tc>
        <w:tc>
          <w:tcPr>
            <w:tcW w:w="528" w:type="pct"/>
            <w:shd w:val="clear" w:color="auto" w:fill="auto"/>
            <w:vAlign w:val="center"/>
          </w:tcPr>
          <w:p w14:paraId="1754A29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Ca</w:t>
            </w:r>
          </w:p>
        </w:tc>
        <w:tc>
          <w:tcPr>
            <w:tcW w:w="528" w:type="pct"/>
            <w:vAlign w:val="center"/>
          </w:tcPr>
          <w:p w14:paraId="510BA54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O</w:t>
            </w:r>
          </w:p>
        </w:tc>
        <w:tc>
          <w:tcPr>
            <w:tcW w:w="528" w:type="pct"/>
            <w:vAlign w:val="center"/>
          </w:tcPr>
          <w:p w14:paraId="051CF6C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Ti</w:t>
            </w:r>
          </w:p>
        </w:tc>
        <w:tc>
          <w:tcPr>
            <w:tcW w:w="417" w:type="pct"/>
            <w:vAlign w:val="center"/>
          </w:tcPr>
          <w:p w14:paraId="597038D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Al</w:t>
            </w:r>
          </w:p>
        </w:tc>
        <w:tc>
          <w:tcPr>
            <w:tcW w:w="417" w:type="pct"/>
            <w:vAlign w:val="center"/>
          </w:tcPr>
          <w:p w14:paraId="5754B08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As</w:t>
            </w:r>
          </w:p>
        </w:tc>
        <w:tc>
          <w:tcPr>
            <w:tcW w:w="586" w:type="pct"/>
            <w:vAlign w:val="center"/>
          </w:tcPr>
          <w:p w14:paraId="59966B6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As+Sn+Sb</w:t>
            </w:r>
          </w:p>
        </w:tc>
        <w:tc>
          <w:tcPr>
            <w:tcW w:w="434" w:type="pct"/>
            <w:vAlign w:val="center"/>
          </w:tcPr>
          <w:p w14:paraId="6F96AA2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Pb</w:t>
            </w:r>
          </w:p>
        </w:tc>
      </w:tr>
      <w:tr w14:paraId="3D5C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60" w:type="pct"/>
            <w:shd w:val="clear" w:color="auto" w:fill="auto"/>
            <w:vAlign w:val="center"/>
          </w:tcPr>
          <w:p w14:paraId="66E6DB1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0.20</w:t>
            </w:r>
          </w:p>
        </w:tc>
        <w:tc>
          <w:tcPr>
            <w:tcW w:w="360" w:type="pct"/>
            <w:shd w:val="clear" w:color="auto" w:fill="auto"/>
            <w:vAlign w:val="center"/>
          </w:tcPr>
          <w:p w14:paraId="33155D1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0.20</w:t>
            </w:r>
          </w:p>
        </w:tc>
        <w:tc>
          <w:tcPr>
            <w:tcW w:w="417" w:type="pct"/>
            <w:shd w:val="clear" w:color="auto" w:fill="auto"/>
            <w:vAlign w:val="center"/>
          </w:tcPr>
          <w:p w14:paraId="268F4AF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0.020</w:t>
            </w:r>
          </w:p>
        </w:tc>
        <w:tc>
          <w:tcPr>
            <w:tcW w:w="417" w:type="pct"/>
            <w:shd w:val="clear" w:color="auto" w:fill="auto"/>
            <w:vAlign w:val="center"/>
          </w:tcPr>
          <w:p w14:paraId="1590727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0.0</w:t>
            </w:r>
            <w:r>
              <w:rPr>
                <w:rFonts w:hint="eastAsia" w:ascii="宋体" w:hAnsi="宋体" w:eastAsia="宋体" w:cs="宋体"/>
                <w:kern w:val="0"/>
                <w:sz w:val="18"/>
                <w:szCs w:val="18"/>
                <w:lang w:val="en-US" w:eastAsia="zh-CN"/>
              </w:rPr>
              <w:t>15</w:t>
            </w:r>
          </w:p>
        </w:tc>
        <w:tc>
          <w:tcPr>
            <w:tcW w:w="528" w:type="pct"/>
            <w:shd w:val="clear" w:color="auto" w:fill="auto"/>
            <w:vAlign w:val="center"/>
          </w:tcPr>
          <w:p w14:paraId="675BC92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0.00</w:t>
            </w:r>
            <w:r>
              <w:rPr>
                <w:rFonts w:hint="eastAsia" w:ascii="宋体" w:hAnsi="宋体" w:eastAsia="宋体" w:cs="宋体"/>
                <w:kern w:val="0"/>
                <w:sz w:val="18"/>
                <w:szCs w:val="18"/>
                <w:lang w:val="en-US" w:eastAsia="zh-CN"/>
              </w:rPr>
              <w:t>1 0</w:t>
            </w:r>
          </w:p>
        </w:tc>
        <w:tc>
          <w:tcPr>
            <w:tcW w:w="528" w:type="pct"/>
            <w:shd w:val="clear" w:color="auto" w:fill="auto"/>
            <w:vAlign w:val="center"/>
          </w:tcPr>
          <w:p w14:paraId="13CF3C7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0.000</w:t>
            </w:r>
            <w:r>
              <w:rPr>
                <w:rFonts w:hint="eastAsia" w:ascii="宋体" w:hAnsi="宋体" w:eastAsia="宋体" w:cs="宋体"/>
                <w:kern w:val="0"/>
                <w:sz w:val="18"/>
                <w:szCs w:val="18"/>
                <w:lang w:val="en-US" w:eastAsia="zh-CN"/>
              </w:rPr>
              <w:t xml:space="preserve"> </w:t>
            </w:r>
            <w:r>
              <w:rPr>
                <w:rFonts w:hint="eastAsia" w:ascii="宋体" w:hAnsi="宋体" w:eastAsia="宋体" w:cs="宋体"/>
                <w:kern w:val="0"/>
                <w:sz w:val="18"/>
                <w:szCs w:val="18"/>
              </w:rPr>
              <w:t>9</w:t>
            </w:r>
          </w:p>
        </w:tc>
        <w:tc>
          <w:tcPr>
            <w:tcW w:w="528" w:type="pct"/>
            <w:shd w:val="clear" w:color="auto" w:fill="auto"/>
            <w:vAlign w:val="center"/>
          </w:tcPr>
          <w:p w14:paraId="08252D74">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0.002</w:t>
            </w:r>
            <w:r>
              <w:rPr>
                <w:rFonts w:hint="eastAsia" w:ascii="宋体" w:hAnsi="宋体" w:cs="宋体"/>
                <w:kern w:val="0"/>
                <w:sz w:val="18"/>
                <w:szCs w:val="18"/>
                <w:lang w:val="en-US" w:eastAsia="zh-CN"/>
              </w:rPr>
              <w:t xml:space="preserve"> </w:t>
            </w:r>
            <w:r>
              <w:rPr>
                <w:rFonts w:hint="eastAsia" w:ascii="宋体" w:hAnsi="宋体" w:eastAsia="宋体" w:cs="宋体"/>
                <w:kern w:val="0"/>
                <w:sz w:val="18"/>
                <w:szCs w:val="18"/>
                <w:lang w:val="en-US" w:eastAsia="zh-CN"/>
              </w:rPr>
              <w:t>5</w:t>
            </w:r>
          </w:p>
        </w:tc>
        <w:tc>
          <w:tcPr>
            <w:tcW w:w="417" w:type="pct"/>
            <w:shd w:val="clear" w:color="auto" w:fill="auto"/>
            <w:vAlign w:val="center"/>
          </w:tcPr>
          <w:p w14:paraId="48C9732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0.050</w:t>
            </w:r>
          </w:p>
        </w:tc>
        <w:tc>
          <w:tcPr>
            <w:tcW w:w="417" w:type="pct"/>
            <w:shd w:val="clear" w:color="auto" w:fill="auto"/>
            <w:vAlign w:val="center"/>
          </w:tcPr>
          <w:p w14:paraId="2625D5A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0.015</w:t>
            </w:r>
          </w:p>
        </w:tc>
        <w:tc>
          <w:tcPr>
            <w:tcW w:w="586" w:type="pct"/>
            <w:shd w:val="clear" w:color="auto" w:fill="auto"/>
            <w:vAlign w:val="center"/>
          </w:tcPr>
          <w:p w14:paraId="69D6125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0.03</w:t>
            </w:r>
          </w:p>
        </w:tc>
        <w:tc>
          <w:tcPr>
            <w:tcW w:w="434" w:type="pct"/>
            <w:shd w:val="clear" w:color="auto" w:fill="auto"/>
            <w:vAlign w:val="center"/>
          </w:tcPr>
          <w:p w14:paraId="12234B6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0.002</w:t>
            </w:r>
          </w:p>
        </w:tc>
      </w:tr>
    </w:tbl>
    <w:p w14:paraId="6130017B">
      <w:pPr>
        <w:keepNext w:val="0"/>
        <w:keepLines w:val="0"/>
        <w:pageBreakBefore w:val="0"/>
        <w:widowControl w:val="0"/>
        <w:numPr>
          <w:ilvl w:val="2"/>
          <w:numId w:val="6"/>
        </w:numPr>
        <w:tabs>
          <w:tab w:val="center" w:pos="4620"/>
          <w:tab w:val="right" w:pos="9460"/>
        </w:tabs>
        <w:kinsoku/>
        <w:wordWrap/>
        <w:overflowPunct/>
        <w:topLinePunct w:val="0"/>
        <w:autoSpaceDE/>
        <w:autoSpaceDN/>
        <w:bidi w:val="0"/>
        <w:adjustRightInd/>
        <w:snapToGrid/>
        <w:spacing w:before="156" w:beforeLines="50" w:after="156" w:afterLines="50"/>
        <w:ind w:left="0"/>
        <w:jc w:val="left"/>
        <w:textAlignment w:val="auto"/>
        <w:outlineLvl w:val="3"/>
      </w:pPr>
      <w:r>
        <w:rPr>
          <w:rFonts w:hint="eastAsia" w:ascii="宋体" w:hAnsi="宋体" w:cs="宋体"/>
          <w:highlight w:val="none"/>
          <w:lang w:eastAsia="zh-CN"/>
        </w:rPr>
        <w:t>圆钢的成品</w:t>
      </w:r>
      <w:r>
        <w:rPr>
          <w:rFonts w:hint="eastAsia" w:ascii="宋体" w:hAnsi="宋体" w:eastAsia="宋体" w:cs="宋体"/>
          <w:highlight w:val="none"/>
        </w:rPr>
        <w:t>化学成分</w:t>
      </w:r>
      <w:r>
        <w:rPr>
          <w:rFonts w:hint="eastAsia" w:ascii="宋体" w:hAnsi="宋体" w:eastAsia="宋体" w:cs="宋体"/>
        </w:rPr>
        <w:t>允许偏差应符合表</w:t>
      </w:r>
      <w:r>
        <w:rPr>
          <w:rFonts w:hint="eastAsia" w:ascii="宋体" w:hAnsi="宋体" w:eastAsia="宋体" w:cs="宋体"/>
          <w:lang w:val="en-US" w:eastAsia="zh-CN"/>
        </w:rPr>
        <w:t>3</w:t>
      </w:r>
      <w:r>
        <w:rPr>
          <w:rFonts w:hint="eastAsia" w:ascii="宋体" w:hAnsi="宋体" w:cs="宋体"/>
          <w:lang w:val="en-US" w:eastAsia="zh-CN"/>
        </w:rPr>
        <w:t>的</w:t>
      </w:r>
      <w:r>
        <w:rPr>
          <w:rFonts w:hint="eastAsia" w:ascii="宋体" w:hAnsi="宋体" w:eastAsia="宋体" w:cs="宋体"/>
        </w:rPr>
        <w:t>规定</w:t>
      </w:r>
      <w:r>
        <w:t>。</w:t>
      </w:r>
    </w:p>
    <w:p w14:paraId="080EF5A5">
      <w:pPr>
        <w:numPr>
          <w:ilvl w:val="0"/>
          <w:numId w:val="3"/>
        </w:numPr>
        <w:spacing w:before="156" w:beforeLines="50" w:after="156" w:afterLines="50"/>
        <w:ind w:left="0"/>
        <w:jc w:val="center"/>
        <w:rPr>
          <w:rFonts w:eastAsia="黑体"/>
        </w:rPr>
      </w:pPr>
      <w:r>
        <w:rPr>
          <w:rFonts w:eastAsia="黑体"/>
        </w:rPr>
        <w:t>成品化学成分允许偏差</w:t>
      </w:r>
    </w:p>
    <w:tbl>
      <w:tblPr>
        <w:tblStyle w:val="3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585"/>
        <w:gridCol w:w="640"/>
        <w:gridCol w:w="693"/>
        <w:gridCol w:w="703"/>
        <w:gridCol w:w="866"/>
        <w:gridCol w:w="854"/>
        <w:gridCol w:w="865"/>
        <w:gridCol w:w="759"/>
        <w:gridCol w:w="1018"/>
        <w:gridCol w:w="738"/>
        <w:gridCol w:w="894"/>
      </w:tblGrid>
      <w:tr w14:paraId="0618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6" w:type="pct"/>
            <w:vMerge w:val="restart"/>
            <w:shd w:val="clear" w:color="auto" w:fill="auto"/>
            <w:vAlign w:val="center"/>
          </w:tcPr>
          <w:p w14:paraId="1E163944">
            <w:pPr>
              <w:widowControl/>
              <w:jc w:val="center"/>
              <w:rPr>
                <w:rFonts w:hint="eastAsia"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kern w:val="0"/>
                <w:sz w:val="18"/>
                <w:szCs w:val="18"/>
              </w:rPr>
              <w:t>元素</w:t>
            </w:r>
          </w:p>
        </w:tc>
        <w:tc>
          <w:tcPr>
            <w:tcW w:w="4503" w:type="pct"/>
            <w:gridSpan w:val="11"/>
            <w:shd w:val="clear" w:color="auto" w:fill="auto"/>
            <w:vAlign w:val="center"/>
          </w:tcPr>
          <w:p w14:paraId="118743BC">
            <w:pPr>
              <w:widowControl/>
              <w:jc w:val="center"/>
              <w:rPr>
                <w:rFonts w:hint="eastAsia"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kern w:val="0"/>
                <w:sz w:val="18"/>
                <w:szCs w:val="18"/>
              </w:rPr>
              <w:t>化学成分（质量分数）/%</w:t>
            </w:r>
          </w:p>
        </w:tc>
      </w:tr>
      <w:tr w14:paraId="7F06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6" w:type="pct"/>
            <w:vMerge w:val="continue"/>
            <w:shd w:val="clear" w:color="auto" w:fill="auto"/>
            <w:vAlign w:val="center"/>
          </w:tcPr>
          <w:p w14:paraId="2DD4DCF6">
            <w:pPr>
              <w:widowControl/>
              <w:jc w:val="center"/>
              <w:rPr>
                <w:rFonts w:hint="eastAsia" w:asciiTheme="majorEastAsia" w:hAnsiTheme="majorEastAsia" w:eastAsiaTheme="majorEastAsia" w:cstheme="majorEastAsia"/>
                <w:color w:val="auto"/>
                <w:kern w:val="0"/>
                <w:sz w:val="18"/>
                <w:szCs w:val="18"/>
              </w:rPr>
            </w:pPr>
          </w:p>
        </w:tc>
        <w:tc>
          <w:tcPr>
            <w:tcW w:w="305" w:type="pct"/>
            <w:shd w:val="clear" w:color="auto" w:fill="auto"/>
            <w:vAlign w:val="center"/>
          </w:tcPr>
          <w:p w14:paraId="1FFB38AD">
            <w:pPr>
              <w:widowControl/>
              <w:jc w:val="center"/>
              <w:rPr>
                <w:rFonts w:hint="eastAsia"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kern w:val="0"/>
                <w:sz w:val="18"/>
                <w:szCs w:val="18"/>
              </w:rPr>
              <w:t>C</w:t>
            </w:r>
          </w:p>
        </w:tc>
        <w:tc>
          <w:tcPr>
            <w:tcW w:w="334" w:type="pct"/>
            <w:shd w:val="clear" w:color="auto" w:fill="auto"/>
            <w:vAlign w:val="center"/>
          </w:tcPr>
          <w:p w14:paraId="32EF0CE4">
            <w:pPr>
              <w:widowControl/>
              <w:jc w:val="center"/>
              <w:rPr>
                <w:rFonts w:hint="eastAsia"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kern w:val="0"/>
                <w:sz w:val="18"/>
                <w:szCs w:val="18"/>
              </w:rPr>
              <w:t>Si</w:t>
            </w:r>
          </w:p>
        </w:tc>
        <w:tc>
          <w:tcPr>
            <w:tcW w:w="362" w:type="pct"/>
            <w:vAlign w:val="center"/>
          </w:tcPr>
          <w:p w14:paraId="6C4C070B">
            <w:pPr>
              <w:widowControl/>
              <w:jc w:val="center"/>
              <w:rPr>
                <w:rFonts w:hint="eastAsia"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kern w:val="0"/>
                <w:sz w:val="18"/>
                <w:szCs w:val="18"/>
              </w:rPr>
              <w:t>Mn</w:t>
            </w:r>
          </w:p>
        </w:tc>
        <w:tc>
          <w:tcPr>
            <w:tcW w:w="367" w:type="pct"/>
            <w:vAlign w:val="center"/>
          </w:tcPr>
          <w:p w14:paraId="6C187F5C">
            <w:pPr>
              <w:widowControl/>
              <w:jc w:val="center"/>
              <w:rPr>
                <w:rFonts w:hint="eastAsia"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kern w:val="0"/>
                <w:sz w:val="18"/>
                <w:szCs w:val="18"/>
              </w:rPr>
              <w:t>Cr</w:t>
            </w:r>
          </w:p>
        </w:tc>
        <w:tc>
          <w:tcPr>
            <w:tcW w:w="452" w:type="pct"/>
            <w:vAlign w:val="center"/>
          </w:tcPr>
          <w:p w14:paraId="3B1371A8">
            <w:pPr>
              <w:widowControl/>
              <w:jc w:val="center"/>
              <w:rPr>
                <w:rFonts w:hint="eastAsia"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kern w:val="0"/>
                <w:sz w:val="18"/>
                <w:szCs w:val="18"/>
              </w:rPr>
              <w:t>P</w:t>
            </w:r>
          </w:p>
        </w:tc>
        <w:tc>
          <w:tcPr>
            <w:tcW w:w="446" w:type="pct"/>
            <w:vAlign w:val="center"/>
          </w:tcPr>
          <w:p w14:paraId="4FDF920E">
            <w:pPr>
              <w:widowControl/>
              <w:jc w:val="center"/>
              <w:rPr>
                <w:rFonts w:hint="eastAsia"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kern w:val="0"/>
                <w:sz w:val="18"/>
                <w:szCs w:val="18"/>
              </w:rPr>
              <w:t>S</w:t>
            </w:r>
          </w:p>
        </w:tc>
        <w:tc>
          <w:tcPr>
            <w:tcW w:w="452" w:type="pct"/>
            <w:vAlign w:val="center"/>
          </w:tcPr>
          <w:p w14:paraId="4D925743">
            <w:pPr>
              <w:widowControl/>
              <w:jc w:val="center"/>
              <w:rPr>
                <w:rFonts w:hint="eastAsia"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kern w:val="0"/>
                <w:sz w:val="18"/>
                <w:szCs w:val="18"/>
              </w:rPr>
              <w:t>Ni</w:t>
            </w:r>
          </w:p>
        </w:tc>
        <w:tc>
          <w:tcPr>
            <w:tcW w:w="396" w:type="pct"/>
            <w:vAlign w:val="center"/>
          </w:tcPr>
          <w:p w14:paraId="6CF37D2D">
            <w:pPr>
              <w:widowControl/>
              <w:jc w:val="center"/>
              <w:rPr>
                <w:rFonts w:hint="eastAsia"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kern w:val="0"/>
                <w:sz w:val="18"/>
                <w:szCs w:val="18"/>
              </w:rPr>
              <w:t>Cu</w:t>
            </w:r>
          </w:p>
        </w:tc>
        <w:tc>
          <w:tcPr>
            <w:tcW w:w="532" w:type="pct"/>
            <w:vAlign w:val="center"/>
          </w:tcPr>
          <w:p w14:paraId="1A6F46EE">
            <w:pPr>
              <w:widowControl/>
              <w:jc w:val="center"/>
              <w:rPr>
                <w:rFonts w:hint="eastAsia"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kern w:val="0"/>
                <w:sz w:val="18"/>
                <w:szCs w:val="18"/>
              </w:rPr>
              <w:t>Ti</w:t>
            </w:r>
          </w:p>
        </w:tc>
        <w:tc>
          <w:tcPr>
            <w:tcW w:w="385" w:type="pct"/>
            <w:vAlign w:val="center"/>
          </w:tcPr>
          <w:p w14:paraId="5A0EC9C3">
            <w:pPr>
              <w:widowControl/>
              <w:jc w:val="center"/>
              <w:rPr>
                <w:rFonts w:hint="eastAsia"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kern w:val="0"/>
                <w:sz w:val="18"/>
                <w:szCs w:val="18"/>
              </w:rPr>
              <w:t>Al</w:t>
            </w:r>
          </w:p>
        </w:tc>
        <w:tc>
          <w:tcPr>
            <w:tcW w:w="467" w:type="pct"/>
            <w:vAlign w:val="center"/>
          </w:tcPr>
          <w:p w14:paraId="3E68321E">
            <w:pPr>
              <w:widowControl/>
              <w:jc w:val="center"/>
              <w:rPr>
                <w:rFonts w:hint="eastAsia"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kern w:val="0"/>
                <w:sz w:val="18"/>
                <w:szCs w:val="18"/>
              </w:rPr>
              <w:t>Mo</w:t>
            </w:r>
          </w:p>
        </w:tc>
      </w:tr>
      <w:tr w14:paraId="5403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6" w:type="pct"/>
            <w:shd w:val="clear" w:color="auto" w:fill="auto"/>
            <w:vAlign w:val="center"/>
          </w:tcPr>
          <w:p w14:paraId="16B06A0B">
            <w:pPr>
              <w:widowControl/>
              <w:jc w:val="center"/>
              <w:rPr>
                <w:rFonts w:hint="eastAsia"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kern w:val="0"/>
                <w:sz w:val="18"/>
                <w:szCs w:val="18"/>
              </w:rPr>
              <w:t>允许偏差</w:t>
            </w:r>
          </w:p>
        </w:tc>
        <w:tc>
          <w:tcPr>
            <w:tcW w:w="305" w:type="pct"/>
            <w:shd w:val="clear" w:color="auto" w:fill="auto"/>
            <w:vAlign w:val="center"/>
          </w:tcPr>
          <w:p w14:paraId="01B5CD0F">
            <w:pPr>
              <w:adjustRightInd w:val="0"/>
              <w:snapToGrid w:val="0"/>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w:t>
            </w:r>
          </w:p>
          <w:p w14:paraId="0923732B">
            <w:pPr>
              <w:adjustRightInd w:val="0"/>
              <w:snapToGrid w:val="0"/>
              <w:jc w:val="center"/>
              <w:rPr>
                <w:rFonts w:hint="eastAsia" w:asciiTheme="majorEastAsia" w:hAnsiTheme="majorEastAsia" w:eastAsiaTheme="majorEastAsia" w:cstheme="majorEastAsia"/>
                <w:color w:val="auto"/>
                <w:kern w:val="0"/>
                <w:sz w:val="18"/>
                <w:szCs w:val="18"/>
                <w:lang w:eastAsia="zh-CN"/>
              </w:rPr>
            </w:pPr>
            <w:r>
              <w:rPr>
                <w:rFonts w:hint="eastAsia" w:asciiTheme="majorEastAsia" w:hAnsiTheme="majorEastAsia" w:eastAsiaTheme="majorEastAsia" w:cstheme="majorEastAsia"/>
                <w:color w:val="auto"/>
                <w:sz w:val="18"/>
                <w:szCs w:val="18"/>
              </w:rPr>
              <w:t>0.0</w:t>
            </w:r>
            <w:r>
              <w:rPr>
                <w:rFonts w:hint="eastAsia" w:asciiTheme="majorEastAsia" w:hAnsiTheme="majorEastAsia" w:eastAsiaTheme="majorEastAsia" w:cstheme="majorEastAsia"/>
                <w:color w:val="auto"/>
                <w:sz w:val="18"/>
                <w:szCs w:val="18"/>
                <w:lang w:val="en-US" w:eastAsia="zh-CN"/>
              </w:rPr>
              <w:t>3</w:t>
            </w:r>
          </w:p>
        </w:tc>
        <w:tc>
          <w:tcPr>
            <w:tcW w:w="334" w:type="pct"/>
            <w:shd w:val="clear" w:color="auto" w:fill="auto"/>
            <w:vAlign w:val="center"/>
          </w:tcPr>
          <w:p w14:paraId="0B77887E">
            <w:pPr>
              <w:adjustRightInd w:val="0"/>
              <w:snapToGrid w:val="0"/>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w:t>
            </w:r>
          </w:p>
          <w:p w14:paraId="2BB2F1B6">
            <w:pPr>
              <w:adjustRightInd w:val="0"/>
              <w:snapToGrid w:val="0"/>
              <w:jc w:val="center"/>
              <w:rPr>
                <w:rFonts w:hint="eastAsia"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sz w:val="18"/>
                <w:szCs w:val="18"/>
              </w:rPr>
              <w:t>0.02</w:t>
            </w:r>
          </w:p>
        </w:tc>
        <w:tc>
          <w:tcPr>
            <w:tcW w:w="362" w:type="pct"/>
            <w:vAlign w:val="center"/>
          </w:tcPr>
          <w:p w14:paraId="71DC2B7B">
            <w:pPr>
              <w:adjustRightInd w:val="0"/>
              <w:snapToGrid w:val="0"/>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w:t>
            </w:r>
          </w:p>
          <w:p w14:paraId="5BFA5E1A">
            <w:pPr>
              <w:adjustRightInd w:val="0"/>
              <w:snapToGrid w:val="0"/>
              <w:jc w:val="center"/>
              <w:rPr>
                <w:rFonts w:hint="eastAsia"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sz w:val="18"/>
                <w:szCs w:val="18"/>
              </w:rPr>
              <w:t>0.03</w:t>
            </w:r>
          </w:p>
        </w:tc>
        <w:tc>
          <w:tcPr>
            <w:tcW w:w="367" w:type="pct"/>
            <w:vAlign w:val="center"/>
          </w:tcPr>
          <w:p w14:paraId="5B3445A3">
            <w:pPr>
              <w:adjustRightInd w:val="0"/>
              <w:snapToGrid w:val="0"/>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w:t>
            </w:r>
          </w:p>
          <w:p w14:paraId="3E037563">
            <w:pPr>
              <w:adjustRightInd w:val="0"/>
              <w:snapToGrid w:val="0"/>
              <w:jc w:val="center"/>
              <w:rPr>
                <w:rFonts w:hint="eastAsia"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sz w:val="18"/>
                <w:szCs w:val="18"/>
              </w:rPr>
              <w:t>0.05</w:t>
            </w:r>
          </w:p>
        </w:tc>
        <w:tc>
          <w:tcPr>
            <w:tcW w:w="452" w:type="pct"/>
            <w:vAlign w:val="center"/>
          </w:tcPr>
          <w:p w14:paraId="2EDCFB2A">
            <w:pPr>
              <w:adjustRightInd w:val="0"/>
              <w:snapToGrid w:val="0"/>
              <w:jc w:val="center"/>
              <w:rPr>
                <w:rFonts w:hint="eastAsia" w:asciiTheme="majorEastAsia" w:hAnsiTheme="majorEastAsia" w:eastAsiaTheme="majorEastAsia" w:cstheme="majorEastAsia"/>
                <w:color w:val="auto"/>
                <w:sz w:val="18"/>
                <w:szCs w:val="18"/>
                <w:lang w:eastAsia="zh-CN"/>
              </w:rPr>
            </w:pPr>
            <w:r>
              <w:rPr>
                <w:rFonts w:hint="eastAsia" w:asciiTheme="majorEastAsia" w:hAnsiTheme="majorEastAsia" w:eastAsiaTheme="majorEastAsia" w:cstheme="majorEastAsia"/>
                <w:color w:val="auto"/>
                <w:sz w:val="18"/>
                <w:szCs w:val="18"/>
                <w:lang w:eastAsia="zh-CN"/>
              </w:rPr>
              <w:t>+0.005</w:t>
            </w:r>
          </w:p>
          <w:p w14:paraId="38EE2408">
            <w:pPr>
              <w:adjustRightInd w:val="0"/>
              <w:snapToGrid w:val="0"/>
              <w:ind w:firstLine="180" w:firstLineChars="100"/>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eastAsia="zh-CN"/>
              </w:rPr>
              <w:t>0</w:t>
            </w:r>
          </w:p>
        </w:tc>
        <w:tc>
          <w:tcPr>
            <w:tcW w:w="446" w:type="pct"/>
            <w:vAlign w:val="center"/>
          </w:tcPr>
          <w:p w14:paraId="0275C4B6">
            <w:pPr>
              <w:adjustRightInd w:val="0"/>
              <w:snapToGrid w:val="0"/>
              <w:ind w:left="180" w:hanging="180" w:hangingChars="100"/>
              <w:jc w:val="center"/>
              <w:rPr>
                <w:rFonts w:hint="eastAsia" w:asciiTheme="majorEastAsia" w:hAnsiTheme="majorEastAsia" w:eastAsiaTheme="majorEastAsia" w:cstheme="majorEastAsia"/>
                <w:color w:val="auto"/>
                <w:sz w:val="18"/>
                <w:szCs w:val="18"/>
                <w:lang w:eastAsia="zh-CN"/>
              </w:rPr>
            </w:pPr>
            <w:r>
              <w:rPr>
                <w:rFonts w:hint="eastAsia" w:asciiTheme="majorEastAsia" w:hAnsiTheme="majorEastAsia" w:eastAsiaTheme="majorEastAsia" w:cstheme="majorEastAsia"/>
                <w:color w:val="auto"/>
                <w:sz w:val="18"/>
                <w:szCs w:val="18"/>
                <w:lang w:eastAsia="zh-CN"/>
              </w:rPr>
              <w:t xml:space="preserve">+0.005 </w:t>
            </w:r>
          </w:p>
          <w:p w14:paraId="5BE51009">
            <w:pPr>
              <w:adjustRightInd w:val="0"/>
              <w:snapToGrid w:val="0"/>
              <w:ind w:left="178" w:leftChars="85" w:firstLine="0" w:firstLineChars="0"/>
              <w:jc w:val="both"/>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eastAsia="zh-CN"/>
              </w:rPr>
              <w:t>0</w:t>
            </w:r>
          </w:p>
        </w:tc>
        <w:tc>
          <w:tcPr>
            <w:tcW w:w="452" w:type="pct"/>
            <w:vAlign w:val="center"/>
          </w:tcPr>
          <w:p w14:paraId="1A7E71CD">
            <w:pPr>
              <w:adjustRightInd w:val="0"/>
              <w:snapToGrid w:val="0"/>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eastAsia="zh-CN"/>
              </w:rPr>
              <w:t>＋0.02  0</w:t>
            </w:r>
          </w:p>
        </w:tc>
        <w:tc>
          <w:tcPr>
            <w:tcW w:w="396" w:type="pct"/>
            <w:vAlign w:val="center"/>
          </w:tcPr>
          <w:p w14:paraId="1ECD050F">
            <w:pPr>
              <w:adjustRightInd w:val="0"/>
              <w:snapToGrid w:val="0"/>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eastAsia="zh-CN"/>
              </w:rPr>
              <w:t>＋0.02   0</w:t>
            </w:r>
          </w:p>
        </w:tc>
        <w:tc>
          <w:tcPr>
            <w:tcW w:w="532" w:type="pct"/>
            <w:vAlign w:val="center"/>
          </w:tcPr>
          <w:p w14:paraId="1A4EB03D">
            <w:pPr>
              <w:adjustRightInd w:val="0"/>
              <w:snapToGrid w:val="0"/>
              <w:jc w:val="center"/>
              <w:rPr>
                <w:rFonts w:hint="eastAsia" w:asciiTheme="majorEastAsia" w:hAnsiTheme="majorEastAsia" w:eastAsiaTheme="majorEastAsia" w:cstheme="majorEastAsia"/>
                <w:color w:val="auto"/>
                <w:sz w:val="18"/>
                <w:szCs w:val="18"/>
                <w:lang w:eastAsia="zh-CN"/>
              </w:rPr>
            </w:pPr>
            <w:r>
              <w:rPr>
                <w:rFonts w:hint="eastAsia" w:asciiTheme="majorEastAsia" w:hAnsiTheme="majorEastAsia" w:eastAsiaTheme="majorEastAsia" w:cstheme="majorEastAsia"/>
                <w:color w:val="auto"/>
                <w:sz w:val="18"/>
                <w:szCs w:val="18"/>
                <w:lang w:eastAsia="zh-CN"/>
              </w:rPr>
              <w:t>+0.000</w:t>
            </w:r>
            <w:r>
              <w:rPr>
                <w:rFonts w:hint="eastAsia" w:asciiTheme="majorEastAsia" w:hAnsiTheme="majorEastAsia" w:eastAsiaTheme="majorEastAsia" w:cstheme="majorEastAsia"/>
                <w:color w:val="auto"/>
                <w:sz w:val="18"/>
                <w:szCs w:val="18"/>
                <w:lang w:val="en-US" w:eastAsia="zh-CN"/>
              </w:rPr>
              <w:t xml:space="preserve"> </w:t>
            </w:r>
            <w:r>
              <w:rPr>
                <w:rFonts w:hint="eastAsia" w:asciiTheme="majorEastAsia" w:hAnsiTheme="majorEastAsia" w:eastAsiaTheme="majorEastAsia" w:cstheme="majorEastAsia"/>
                <w:color w:val="auto"/>
                <w:sz w:val="18"/>
                <w:szCs w:val="18"/>
                <w:lang w:eastAsia="zh-CN"/>
              </w:rPr>
              <w:t>5</w:t>
            </w:r>
          </w:p>
          <w:p w14:paraId="614048F1">
            <w:pPr>
              <w:adjustRightInd w:val="0"/>
              <w:snapToGrid w:val="0"/>
              <w:ind w:firstLine="180" w:firstLineChars="100"/>
              <w:jc w:val="left"/>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eastAsia="zh-CN"/>
              </w:rPr>
              <w:t>0</w:t>
            </w:r>
          </w:p>
        </w:tc>
        <w:tc>
          <w:tcPr>
            <w:tcW w:w="385" w:type="pct"/>
            <w:vAlign w:val="center"/>
          </w:tcPr>
          <w:p w14:paraId="68BFCD37">
            <w:pPr>
              <w:adjustRightInd w:val="0"/>
              <w:snapToGrid w:val="0"/>
              <w:jc w:val="center"/>
              <w:rPr>
                <w:rFonts w:hint="eastAsia" w:asciiTheme="majorEastAsia" w:hAnsiTheme="majorEastAsia" w:eastAsiaTheme="majorEastAsia" w:cstheme="majorEastAsia"/>
                <w:color w:val="auto"/>
                <w:sz w:val="18"/>
                <w:szCs w:val="18"/>
                <w:lang w:eastAsia="zh-CN"/>
              </w:rPr>
            </w:pPr>
            <w:r>
              <w:rPr>
                <w:rFonts w:hint="eastAsia" w:asciiTheme="majorEastAsia" w:hAnsiTheme="majorEastAsia" w:eastAsiaTheme="majorEastAsia" w:cstheme="majorEastAsia"/>
                <w:color w:val="auto"/>
                <w:sz w:val="18"/>
                <w:szCs w:val="18"/>
                <w:lang w:eastAsia="zh-CN"/>
              </w:rPr>
              <w:t xml:space="preserve">+0.01 </w:t>
            </w:r>
          </w:p>
          <w:p w14:paraId="7AF2BE87">
            <w:pPr>
              <w:adjustRightInd w:val="0"/>
              <w:snapToGrid w:val="0"/>
              <w:ind w:firstLine="180" w:firstLineChars="100"/>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eastAsia="zh-CN"/>
              </w:rPr>
              <w:t>0</w:t>
            </w:r>
          </w:p>
        </w:tc>
        <w:tc>
          <w:tcPr>
            <w:tcW w:w="467" w:type="pct"/>
            <w:vAlign w:val="center"/>
          </w:tcPr>
          <w:p w14:paraId="7A3ED2D3">
            <w:pPr>
              <w:adjustRightInd w:val="0"/>
              <w:snapToGrid w:val="0"/>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w:t>
            </w:r>
          </w:p>
          <w:p w14:paraId="46D192F9">
            <w:pPr>
              <w:widowControl/>
              <w:jc w:val="center"/>
              <w:rPr>
                <w:rFonts w:hint="eastAsia"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sz w:val="18"/>
                <w:szCs w:val="18"/>
              </w:rPr>
              <w:t>0.02</w:t>
            </w:r>
          </w:p>
        </w:tc>
      </w:tr>
    </w:tbl>
    <w:p w14:paraId="5955F0B8">
      <w:pPr>
        <w:pStyle w:val="47"/>
        <w:numPr>
          <w:ilvl w:val="1"/>
          <w:numId w:val="6"/>
        </w:numPr>
        <w:spacing w:before="156" w:after="156"/>
        <w:jc w:val="both"/>
        <w:rPr>
          <w:rFonts w:ascii="Times New Roman"/>
          <w:color w:val="auto"/>
        </w:rPr>
      </w:pPr>
      <w:r>
        <w:rPr>
          <w:rFonts w:ascii="Times New Roman"/>
          <w:color w:val="auto"/>
        </w:rPr>
        <w:t>硬度</w:t>
      </w:r>
    </w:p>
    <w:p w14:paraId="00683A21">
      <w:pPr>
        <w:widowControl/>
        <w:numPr>
          <w:ilvl w:val="0"/>
          <w:numId w:val="0"/>
        </w:numPr>
        <w:tabs>
          <w:tab w:val="center" w:pos="4620"/>
          <w:tab w:val="right" w:pos="9460"/>
        </w:tabs>
        <w:spacing w:before="156" w:beforeLines="50" w:after="156" w:afterLines="50"/>
        <w:ind w:leftChars="0" w:firstLine="420" w:firstLineChars="200"/>
        <w:jc w:val="left"/>
        <w:outlineLvl w:val="3"/>
        <w:rPr>
          <w:rFonts w:hint="eastAsia" w:ascii="宋体" w:hAnsi="宋体" w:eastAsia="宋体" w:cs="宋体"/>
          <w:color w:val="auto"/>
          <w:highlight w:val="none"/>
        </w:rPr>
      </w:pPr>
      <w:r>
        <w:rPr>
          <w:rFonts w:hint="eastAsia" w:ascii="宋体" w:hAnsi="宋体" w:eastAsia="宋体" w:cs="宋体"/>
          <w:color w:val="auto"/>
          <w:highlight w:val="none"/>
        </w:rPr>
        <w:t>软化退火</w:t>
      </w:r>
      <w:r>
        <w:rPr>
          <w:rFonts w:hint="eastAsia" w:ascii="宋体" w:hAnsi="宋体" w:eastAsia="宋体" w:cs="宋体"/>
          <w:lang w:eastAsia="zh-CN"/>
        </w:rPr>
        <w:t>圆钢</w:t>
      </w:r>
      <w:r>
        <w:rPr>
          <w:rFonts w:hint="eastAsia" w:ascii="宋体" w:hAnsi="宋体" w:cs="宋体"/>
          <w:lang w:eastAsia="zh-CN"/>
        </w:rPr>
        <w:t>的</w:t>
      </w:r>
      <w:r>
        <w:rPr>
          <w:rFonts w:hint="eastAsia" w:ascii="宋体" w:hAnsi="宋体" w:cs="宋体"/>
          <w:color w:val="auto"/>
          <w:highlight w:val="none"/>
          <w:lang w:eastAsia="zh-CN"/>
        </w:rPr>
        <w:t>硬度应不大于</w:t>
      </w:r>
      <w:r>
        <w:rPr>
          <w:rFonts w:hint="eastAsia" w:ascii="宋体" w:hAnsi="宋体" w:cs="宋体"/>
          <w:color w:val="auto"/>
          <w:highlight w:val="none"/>
          <w:lang w:val="en-US" w:eastAsia="zh-CN"/>
        </w:rPr>
        <w:t>260 HBW，</w:t>
      </w:r>
      <w:r>
        <w:rPr>
          <w:rFonts w:hint="eastAsia" w:ascii="宋体" w:hAnsi="宋体" w:eastAsia="宋体" w:cs="宋体"/>
          <w:color w:val="auto"/>
          <w:highlight w:val="none"/>
        </w:rPr>
        <w:t>球化退火</w:t>
      </w:r>
      <w:r>
        <w:rPr>
          <w:rFonts w:hint="eastAsia" w:ascii="宋体" w:hAnsi="宋体" w:eastAsia="宋体" w:cs="宋体"/>
          <w:lang w:eastAsia="zh-CN"/>
        </w:rPr>
        <w:t>圆钢</w:t>
      </w:r>
      <w:r>
        <w:rPr>
          <w:rFonts w:hint="eastAsia" w:ascii="宋体" w:hAnsi="宋体" w:eastAsia="宋体" w:cs="宋体"/>
          <w:color w:val="auto"/>
          <w:highlight w:val="none"/>
        </w:rPr>
        <w:t>的硬度应</w:t>
      </w:r>
      <w:r>
        <w:rPr>
          <w:rFonts w:hint="eastAsia" w:ascii="宋体" w:hAnsi="宋体" w:cs="宋体"/>
          <w:color w:val="auto"/>
          <w:highlight w:val="none"/>
          <w:lang w:eastAsia="zh-CN"/>
        </w:rPr>
        <w:t>为179</w:t>
      </w:r>
      <w:r>
        <w:rPr>
          <w:rFonts w:hint="eastAsia" w:ascii="宋体" w:hAnsi="宋体" w:cs="宋体"/>
          <w:color w:val="auto"/>
          <w:highlight w:val="none"/>
          <w:lang w:val="en-US" w:eastAsia="zh-CN"/>
        </w:rPr>
        <w:t xml:space="preserve"> HBW</w:t>
      </w:r>
      <w:r>
        <w:rPr>
          <w:rFonts w:hint="eastAsia" w:ascii="宋体" w:hAnsi="宋体" w:cs="宋体"/>
          <w:color w:val="auto"/>
          <w:highlight w:val="none"/>
          <w:lang w:eastAsia="zh-CN"/>
        </w:rPr>
        <w:t>～2</w:t>
      </w:r>
      <w:r>
        <w:rPr>
          <w:rFonts w:hint="eastAsia" w:ascii="宋体" w:hAnsi="宋体" w:cs="宋体"/>
          <w:color w:val="auto"/>
          <w:highlight w:val="none"/>
          <w:lang w:val="en-US" w:eastAsia="zh-CN"/>
        </w:rPr>
        <w:t>30 HBW</w:t>
      </w:r>
      <w:r>
        <w:rPr>
          <w:rFonts w:hint="eastAsia" w:ascii="宋体" w:hAnsi="宋体" w:eastAsia="宋体" w:cs="宋体"/>
          <w:color w:val="auto"/>
          <w:highlight w:val="none"/>
        </w:rPr>
        <w:t>。</w:t>
      </w:r>
    </w:p>
    <w:p w14:paraId="05F5A130">
      <w:pPr>
        <w:pStyle w:val="47"/>
        <w:numPr>
          <w:ilvl w:val="1"/>
          <w:numId w:val="6"/>
        </w:numPr>
        <w:spacing w:before="156" w:after="156"/>
        <w:jc w:val="both"/>
        <w:rPr>
          <w:rFonts w:ascii="Times New Roman"/>
        </w:rPr>
      </w:pPr>
      <w:r>
        <w:rPr>
          <w:rFonts w:ascii="Times New Roman"/>
        </w:rPr>
        <w:t>低倍</w:t>
      </w:r>
      <w:r>
        <w:rPr>
          <w:rFonts w:hint="eastAsia" w:ascii="Times New Roman"/>
          <w:lang w:val="en-US" w:eastAsia="zh-CN"/>
        </w:rPr>
        <w:t>组织</w:t>
      </w:r>
    </w:p>
    <w:p w14:paraId="5C43DDE4">
      <w:pPr>
        <w:widowControl/>
        <w:tabs>
          <w:tab w:val="center" w:pos="4201"/>
          <w:tab w:val="right" w:leader="dot" w:pos="9298"/>
        </w:tabs>
        <w:autoSpaceDE w:val="0"/>
        <w:autoSpaceDN w:val="0"/>
        <w:ind w:firstLine="420" w:firstLineChars="200"/>
        <w:rPr>
          <w:rFonts w:hint="eastAsia" w:ascii="宋体" w:hAnsi="宋体"/>
          <w:color w:val="auto"/>
          <w:kern w:val="0"/>
          <w:szCs w:val="20"/>
          <w:lang w:eastAsia="zh-CN"/>
        </w:rPr>
      </w:pPr>
      <w:r>
        <w:rPr>
          <w:rFonts w:hint="eastAsia" w:ascii="宋体" w:hAnsi="宋体" w:eastAsia="宋体" w:cs="宋体"/>
          <w:lang w:eastAsia="zh-CN"/>
        </w:rPr>
        <w:t>圆钢</w:t>
      </w:r>
      <w:r>
        <w:rPr>
          <w:rFonts w:hint="eastAsia" w:ascii="宋体" w:hAnsi="宋体"/>
          <w:color w:val="auto"/>
          <w:kern w:val="0"/>
          <w:szCs w:val="20"/>
        </w:rPr>
        <w:t>应进行酸浸低倍检验，其横向酸浸试样上不应有残余缩孔、裂纹、皮下气泡、过烧、白点等有害缺陷。中心疏松、一般疏松、锭型偏析</w:t>
      </w:r>
      <w:r>
        <w:rPr>
          <w:rFonts w:hint="eastAsia" w:ascii="宋体" w:hAnsi="宋体"/>
          <w:color w:val="auto"/>
          <w:kern w:val="0"/>
          <w:szCs w:val="20"/>
          <w:lang w:eastAsia="zh-CN"/>
        </w:rPr>
        <w:t>和中心偏析</w:t>
      </w:r>
      <w:r>
        <w:rPr>
          <w:rFonts w:hint="eastAsia" w:ascii="宋体" w:hAnsi="宋体"/>
          <w:color w:val="auto"/>
          <w:kern w:val="0"/>
          <w:szCs w:val="20"/>
        </w:rPr>
        <w:t>的合格级别应符合表</w:t>
      </w:r>
      <w:r>
        <w:rPr>
          <w:rFonts w:hint="eastAsia" w:ascii="宋体" w:hAnsi="宋体"/>
          <w:color w:val="auto"/>
          <w:kern w:val="0"/>
          <w:szCs w:val="20"/>
          <w:lang w:val="en-US" w:eastAsia="zh-CN"/>
        </w:rPr>
        <w:t>4</w:t>
      </w:r>
      <w:r>
        <w:rPr>
          <w:rFonts w:hint="eastAsia" w:ascii="宋体" w:hAnsi="宋体"/>
          <w:color w:val="auto"/>
          <w:kern w:val="0"/>
          <w:szCs w:val="20"/>
        </w:rPr>
        <w:t>的规定</w:t>
      </w:r>
      <w:r>
        <w:rPr>
          <w:rFonts w:hint="eastAsia" w:ascii="宋体" w:hAnsi="宋体"/>
          <w:color w:val="auto"/>
          <w:kern w:val="0"/>
          <w:szCs w:val="20"/>
          <w:lang w:eastAsia="zh-CN"/>
        </w:rPr>
        <w:t>。</w:t>
      </w:r>
    </w:p>
    <w:p w14:paraId="0342CA50">
      <w:pPr>
        <w:pStyle w:val="77"/>
        <w:spacing w:before="156" w:after="156"/>
        <w:ind w:left="0"/>
        <w:rPr>
          <w:rFonts w:ascii="Times New Roman"/>
        </w:rPr>
      </w:pPr>
      <w:r>
        <w:rPr>
          <w:rFonts w:ascii="Times New Roman"/>
        </w:rPr>
        <w:t>低倍</w:t>
      </w:r>
      <w:r>
        <w:rPr>
          <w:rFonts w:hint="eastAsia" w:ascii="Times New Roman"/>
          <w:lang w:eastAsia="zh-CN"/>
        </w:rPr>
        <w:t>组织</w:t>
      </w:r>
      <w:r>
        <w:rPr>
          <w:rFonts w:ascii="Times New Roman"/>
        </w:rPr>
        <w:t>合格</w:t>
      </w:r>
      <w:r>
        <w:rPr>
          <w:rFonts w:hint="eastAsia" w:ascii="Times New Roman"/>
          <w:lang w:eastAsia="zh-CN"/>
        </w:rPr>
        <w:t>级别</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4"/>
        <w:gridCol w:w="3130"/>
        <w:gridCol w:w="3132"/>
      </w:tblGrid>
      <w:tr w14:paraId="192E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727" w:type="pct"/>
            <w:vAlign w:val="center"/>
          </w:tcPr>
          <w:p w14:paraId="4C034E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低倍</w:t>
            </w:r>
            <w:r>
              <w:rPr>
                <w:rFonts w:hint="eastAsia" w:ascii="宋体" w:hAnsi="宋体" w:cs="宋体"/>
                <w:sz w:val="18"/>
                <w:szCs w:val="18"/>
                <w:highlight w:val="none"/>
                <w:lang w:eastAsia="zh-CN"/>
              </w:rPr>
              <w:t>缺陷</w:t>
            </w:r>
            <w:r>
              <w:rPr>
                <w:rFonts w:hint="eastAsia" w:ascii="宋体" w:hAnsi="宋体" w:eastAsia="宋体" w:cs="宋体"/>
                <w:sz w:val="18"/>
                <w:szCs w:val="18"/>
                <w:highlight w:val="none"/>
              </w:rPr>
              <w:t>类型</w:t>
            </w:r>
          </w:p>
        </w:tc>
        <w:tc>
          <w:tcPr>
            <w:tcW w:w="1636" w:type="pct"/>
            <w:vAlign w:val="center"/>
          </w:tcPr>
          <w:p w14:paraId="219B1A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GB/T 18254</w:t>
            </w:r>
            <w:r>
              <w:rPr>
                <w:rFonts w:hint="eastAsia" w:ascii="宋体" w:hAnsi="宋体" w:cs="宋体"/>
                <w:sz w:val="18"/>
                <w:szCs w:val="18"/>
                <w:highlight w:val="none"/>
                <w:lang w:val="en-US" w:eastAsia="zh-CN"/>
              </w:rPr>
              <w:t>—</w:t>
            </w:r>
            <w:r>
              <w:rPr>
                <w:rFonts w:hint="eastAsia" w:ascii="宋体" w:hAnsi="宋体" w:eastAsia="宋体" w:cs="宋体"/>
                <w:sz w:val="18"/>
                <w:szCs w:val="18"/>
                <w:highlight w:val="none"/>
                <w:lang w:val="en-US" w:eastAsia="zh-CN"/>
              </w:rPr>
              <w:t>2016附录A中</w:t>
            </w:r>
            <w:r>
              <w:rPr>
                <w:rFonts w:hint="eastAsia" w:ascii="宋体" w:hAnsi="宋体" w:eastAsia="宋体" w:cs="宋体"/>
                <w:sz w:val="18"/>
                <w:szCs w:val="18"/>
                <w:highlight w:val="none"/>
              </w:rPr>
              <w:t>评级图</w:t>
            </w:r>
          </w:p>
        </w:tc>
        <w:tc>
          <w:tcPr>
            <w:tcW w:w="1636" w:type="pct"/>
            <w:vAlign w:val="center"/>
          </w:tcPr>
          <w:p w14:paraId="73EB0D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合格级别</w:t>
            </w:r>
            <w:r>
              <w:rPr>
                <w:rFonts w:hint="eastAsia" w:ascii="宋体" w:hAnsi="宋体" w:cs="宋体"/>
                <w:sz w:val="18"/>
                <w:szCs w:val="18"/>
                <w:highlight w:val="none"/>
                <w:lang w:val="en-US" w:eastAsia="zh-CN"/>
              </w:rPr>
              <w:t>/级</w:t>
            </w:r>
            <w:r>
              <w:rPr>
                <w:rFonts w:hint="eastAsia" w:ascii="宋体" w:hAnsi="宋体" w:cs="宋体"/>
                <w:sz w:val="18"/>
                <w:szCs w:val="18"/>
                <w:highlight w:val="none"/>
                <w:lang w:eastAsia="zh-CN"/>
              </w:rPr>
              <w:t>，</w:t>
            </w:r>
            <w:r>
              <w:rPr>
                <w:rFonts w:hint="eastAsia" w:ascii="宋体" w:hAnsi="宋体" w:eastAsia="宋体" w:cs="宋体"/>
                <w:sz w:val="18"/>
                <w:szCs w:val="18"/>
                <w:highlight w:val="none"/>
                <w:lang w:eastAsia="zh-CN"/>
              </w:rPr>
              <w:t>不大于</w:t>
            </w:r>
          </w:p>
        </w:tc>
      </w:tr>
      <w:tr w14:paraId="1952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27" w:type="pct"/>
            <w:vAlign w:val="center"/>
          </w:tcPr>
          <w:p w14:paraId="01C19F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中心疏松</w:t>
            </w:r>
          </w:p>
        </w:tc>
        <w:tc>
          <w:tcPr>
            <w:tcW w:w="1636" w:type="pct"/>
            <w:vAlign w:val="center"/>
          </w:tcPr>
          <w:p w14:paraId="1FCCBA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第1评级图</w:t>
            </w:r>
          </w:p>
        </w:tc>
        <w:tc>
          <w:tcPr>
            <w:tcW w:w="1636" w:type="pct"/>
            <w:vAlign w:val="center"/>
          </w:tcPr>
          <w:p w14:paraId="4D898B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val="en-US" w:eastAsia="zh-CN"/>
              </w:rPr>
              <w:t>5</w:t>
            </w:r>
          </w:p>
        </w:tc>
      </w:tr>
      <w:tr w14:paraId="24AB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27" w:type="pct"/>
            <w:vAlign w:val="center"/>
          </w:tcPr>
          <w:p w14:paraId="0E38F9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一般疏松</w:t>
            </w:r>
          </w:p>
        </w:tc>
        <w:tc>
          <w:tcPr>
            <w:tcW w:w="1636" w:type="pct"/>
            <w:vAlign w:val="center"/>
          </w:tcPr>
          <w:p w14:paraId="7B3A0B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第2评级图</w:t>
            </w:r>
          </w:p>
        </w:tc>
        <w:tc>
          <w:tcPr>
            <w:tcW w:w="1636" w:type="pct"/>
            <w:vAlign w:val="center"/>
          </w:tcPr>
          <w:p w14:paraId="412C8F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w:t>
            </w:r>
          </w:p>
        </w:tc>
      </w:tr>
      <w:tr w14:paraId="614D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27" w:type="pct"/>
            <w:vAlign w:val="center"/>
          </w:tcPr>
          <w:p w14:paraId="36460C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锭型偏析</w:t>
            </w:r>
          </w:p>
        </w:tc>
        <w:tc>
          <w:tcPr>
            <w:tcW w:w="1636" w:type="pct"/>
            <w:vAlign w:val="center"/>
          </w:tcPr>
          <w:p w14:paraId="3A2B18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第3评级图</w:t>
            </w:r>
          </w:p>
        </w:tc>
        <w:tc>
          <w:tcPr>
            <w:tcW w:w="1636" w:type="pct"/>
            <w:vAlign w:val="center"/>
          </w:tcPr>
          <w:p w14:paraId="562AB9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w:t>
            </w:r>
          </w:p>
        </w:tc>
      </w:tr>
      <w:tr w14:paraId="2BFD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27" w:type="pct"/>
            <w:vAlign w:val="center"/>
          </w:tcPr>
          <w:p w14:paraId="2DD62C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中心偏析</w:t>
            </w:r>
            <w:r>
              <w:rPr>
                <w:rFonts w:hint="eastAsia" w:ascii="宋体" w:hAnsi="宋体" w:eastAsia="宋体" w:cs="宋体"/>
                <w:sz w:val="18"/>
                <w:szCs w:val="18"/>
                <w:highlight w:val="none"/>
                <w:vertAlign w:val="superscript"/>
                <w:lang w:val="en-US" w:eastAsia="zh-CN"/>
              </w:rPr>
              <w:t>a</w:t>
            </w:r>
          </w:p>
        </w:tc>
        <w:tc>
          <w:tcPr>
            <w:tcW w:w="1636" w:type="pct"/>
            <w:vAlign w:val="center"/>
          </w:tcPr>
          <w:p w14:paraId="2C35F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第</w:t>
            </w:r>
            <w:r>
              <w:rPr>
                <w:rFonts w:hint="eastAsia" w:ascii="宋体" w:hAnsi="宋体" w:eastAsia="宋体" w:cs="宋体"/>
                <w:sz w:val="18"/>
                <w:szCs w:val="18"/>
                <w:highlight w:val="none"/>
                <w:lang w:val="en-US" w:eastAsia="zh-CN"/>
              </w:rPr>
              <w:t>4评级图</w:t>
            </w:r>
          </w:p>
        </w:tc>
        <w:tc>
          <w:tcPr>
            <w:tcW w:w="1636" w:type="pct"/>
            <w:vAlign w:val="center"/>
          </w:tcPr>
          <w:p w14:paraId="0899B9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2</w:t>
            </w:r>
            <w:r>
              <w:rPr>
                <w:rFonts w:hint="eastAsia" w:ascii="宋体" w:hAnsi="宋体" w:eastAsia="宋体" w:cs="宋体"/>
                <w:sz w:val="18"/>
                <w:szCs w:val="18"/>
                <w:highlight w:val="none"/>
                <w:lang w:val="en-US" w:eastAsia="zh-CN"/>
              </w:rPr>
              <w:t>.0</w:t>
            </w:r>
          </w:p>
        </w:tc>
      </w:tr>
      <w:tr w14:paraId="44F0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000" w:type="pct"/>
            <w:gridSpan w:val="3"/>
            <w:vAlign w:val="center"/>
          </w:tcPr>
          <w:p w14:paraId="76074302">
            <w:pPr>
              <w:keepNext w:val="0"/>
              <w:keepLines w:val="0"/>
              <w:pageBreakBefore w:val="0"/>
              <w:widowControl w:val="0"/>
              <w:kinsoku/>
              <w:wordWrap/>
              <w:overflowPunct/>
              <w:topLinePunct w:val="0"/>
              <w:autoSpaceDE/>
              <w:autoSpaceDN/>
              <w:bidi w:val="0"/>
              <w:adjustRightInd/>
              <w:snapToGrid/>
              <w:spacing w:line="240" w:lineRule="auto"/>
              <w:ind w:firstLine="180" w:firstLineChars="100"/>
              <w:jc w:val="left"/>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vertAlign w:val="superscript"/>
                <w:lang w:val="en-US" w:eastAsia="zh-CN"/>
              </w:rPr>
              <w:t>a</w:t>
            </w:r>
            <w:r>
              <w:rPr>
                <w:rFonts w:hint="eastAsia" w:ascii="宋体" w:hAnsi="宋体" w:eastAsia="宋体" w:cs="宋体"/>
                <w:sz w:val="18"/>
                <w:szCs w:val="18"/>
                <w:highlight w:val="none"/>
                <w:vertAlign w:val="baseline"/>
                <w:lang w:val="en-US" w:eastAsia="zh-CN"/>
              </w:rPr>
              <w:t>适用于制作滚动体用的</w:t>
            </w:r>
            <w:r>
              <w:rPr>
                <w:rFonts w:hint="eastAsia" w:ascii="宋体" w:hAnsi="宋体" w:cs="宋体"/>
                <w:sz w:val="18"/>
                <w:szCs w:val="18"/>
                <w:highlight w:val="none"/>
                <w:vertAlign w:val="baseline"/>
                <w:lang w:val="en-US" w:eastAsia="zh-CN"/>
              </w:rPr>
              <w:t>连</w:t>
            </w:r>
            <w:r>
              <w:rPr>
                <w:rFonts w:hint="eastAsia" w:ascii="宋体" w:hAnsi="宋体" w:eastAsia="宋体" w:cs="宋体"/>
                <w:sz w:val="18"/>
                <w:szCs w:val="18"/>
                <w:highlight w:val="none"/>
                <w:vertAlign w:val="baseline"/>
                <w:lang w:val="en-US" w:eastAsia="zh-CN"/>
              </w:rPr>
              <w:t>铸圆钢。</w:t>
            </w:r>
          </w:p>
        </w:tc>
      </w:tr>
    </w:tbl>
    <w:p w14:paraId="7778CEC6">
      <w:pPr>
        <w:pStyle w:val="47"/>
        <w:numPr>
          <w:ilvl w:val="1"/>
          <w:numId w:val="6"/>
        </w:numPr>
        <w:spacing w:before="156" w:after="156"/>
        <w:jc w:val="both"/>
        <w:rPr>
          <w:rFonts w:hint="eastAsia" w:ascii="Times New Roman"/>
          <w:color w:val="auto"/>
        </w:rPr>
      </w:pPr>
      <w:r>
        <w:rPr>
          <w:rFonts w:hint="eastAsia" w:ascii="Times New Roman"/>
          <w:color w:val="auto"/>
        </w:rPr>
        <w:t>宏观</w:t>
      </w:r>
      <w:r>
        <w:rPr>
          <w:rFonts w:hint="eastAsia" w:ascii="Times New Roman"/>
          <w:color w:val="auto"/>
          <w:lang w:eastAsia="zh-CN"/>
        </w:rPr>
        <w:t>夹杂物</w:t>
      </w:r>
    </w:p>
    <w:p w14:paraId="1CD74A8D">
      <w:pPr>
        <w:widowControl/>
        <w:tabs>
          <w:tab w:val="center" w:pos="4201"/>
          <w:tab w:val="right" w:leader="dot" w:pos="9298"/>
        </w:tabs>
        <w:autoSpaceDE w:val="0"/>
        <w:autoSpaceDN w:val="0"/>
        <w:ind w:firstLine="420" w:firstLineChars="200"/>
        <w:rPr>
          <w:rFonts w:hint="eastAsia" w:ascii="宋体" w:hAnsi="宋体"/>
          <w:color w:val="auto"/>
          <w:kern w:val="0"/>
          <w:szCs w:val="20"/>
          <w:highlight w:val="none"/>
        </w:rPr>
      </w:pPr>
      <w:r>
        <w:rPr>
          <w:rFonts w:hint="eastAsia" w:ascii="宋体" w:hAnsi="宋体" w:eastAsia="宋体" w:cs="宋体"/>
          <w:lang w:eastAsia="zh-CN"/>
        </w:rPr>
        <w:t>圆钢</w:t>
      </w:r>
      <w:r>
        <w:rPr>
          <w:rFonts w:hint="eastAsia" w:ascii="宋体" w:hAnsi="宋体"/>
          <w:color w:val="auto"/>
          <w:kern w:val="0"/>
          <w:szCs w:val="20"/>
          <w:highlight w:val="none"/>
        </w:rPr>
        <w:t>应进行宏观</w:t>
      </w:r>
      <w:r>
        <w:rPr>
          <w:rFonts w:hint="eastAsia" w:ascii="宋体" w:hAnsi="宋体"/>
          <w:color w:val="auto"/>
          <w:kern w:val="0"/>
          <w:szCs w:val="20"/>
          <w:highlight w:val="none"/>
          <w:lang w:eastAsia="zh-CN"/>
        </w:rPr>
        <w:t>夹杂物</w:t>
      </w:r>
      <w:r>
        <w:rPr>
          <w:rFonts w:hint="eastAsia" w:ascii="宋体" w:hAnsi="宋体"/>
          <w:color w:val="auto"/>
          <w:kern w:val="0"/>
          <w:szCs w:val="20"/>
          <w:highlight w:val="none"/>
        </w:rPr>
        <w:t>检测。测试体积</w:t>
      </w:r>
      <w:r>
        <w:rPr>
          <w:rFonts w:hint="eastAsia" w:ascii="宋体" w:hAnsi="宋体"/>
          <w:color w:val="auto"/>
          <w:kern w:val="0"/>
          <w:szCs w:val="20"/>
          <w:highlight w:val="none"/>
          <w:lang w:eastAsia="zh-CN"/>
        </w:rPr>
        <w:t>不小于</w:t>
      </w:r>
      <w:r>
        <w:rPr>
          <w:rFonts w:hint="eastAsia" w:ascii="宋体" w:hAnsi="宋体"/>
          <w:color w:val="auto"/>
          <w:kern w:val="0"/>
          <w:szCs w:val="20"/>
          <w:highlight w:val="none"/>
          <w:lang w:val="en-US" w:eastAsia="zh-CN"/>
        </w:rPr>
        <w:t>2</w:t>
      </w:r>
      <w:r>
        <w:rPr>
          <w:rFonts w:hint="eastAsia" w:ascii="宋体" w:hAnsi="宋体"/>
          <w:color w:val="auto"/>
          <w:kern w:val="0"/>
          <w:szCs w:val="20"/>
          <w:highlight w:val="none"/>
        </w:rPr>
        <w:t>.0</w:t>
      </w:r>
      <w:bookmarkStart w:id="8" w:name="_Hlk6679360"/>
      <w:r>
        <w:rPr>
          <w:rFonts w:hint="eastAsia" w:ascii="宋体" w:hAnsi="宋体"/>
          <w:color w:val="auto"/>
          <w:kern w:val="0"/>
          <w:szCs w:val="20"/>
          <w:highlight w:val="none"/>
        </w:rPr>
        <w:t xml:space="preserve"> dm</w:t>
      </w:r>
      <w:r>
        <w:rPr>
          <w:rFonts w:hint="eastAsia" w:ascii="宋体" w:hAnsi="宋体"/>
          <w:color w:val="auto"/>
          <w:kern w:val="0"/>
          <w:szCs w:val="20"/>
          <w:highlight w:val="none"/>
          <w:vertAlign w:val="superscript"/>
        </w:rPr>
        <w:t>3</w:t>
      </w:r>
      <w:bookmarkEnd w:id="8"/>
      <w:r>
        <w:rPr>
          <w:rFonts w:hint="eastAsia" w:ascii="宋体" w:hAnsi="宋体"/>
          <w:color w:val="auto"/>
          <w:kern w:val="0"/>
          <w:szCs w:val="20"/>
          <w:highlight w:val="none"/>
        </w:rPr>
        <w:t>，</w:t>
      </w:r>
      <w:r>
        <w:rPr>
          <w:rFonts w:hint="eastAsia" w:ascii="宋体" w:hAnsi="宋体"/>
          <w:color w:val="auto"/>
          <w:kern w:val="0"/>
          <w:szCs w:val="20"/>
          <w:highlight w:val="none"/>
          <w:lang w:eastAsia="zh-CN"/>
        </w:rPr>
        <w:t>单个夹杂物长度应不大于</w:t>
      </w:r>
      <w:r>
        <w:rPr>
          <w:rFonts w:hint="eastAsia" w:ascii="宋体" w:hAnsi="宋体"/>
          <w:color w:val="auto"/>
          <w:kern w:val="0"/>
          <w:szCs w:val="20"/>
          <w:highlight w:val="none"/>
          <w:lang w:val="en-US" w:eastAsia="zh-CN"/>
        </w:rPr>
        <w:t>5 mm，纯净度总指数应不大于5 mm/</w:t>
      </w:r>
      <w:r>
        <w:rPr>
          <w:rFonts w:hint="eastAsia" w:ascii="宋体" w:hAnsi="宋体"/>
          <w:color w:val="auto"/>
          <w:kern w:val="0"/>
          <w:szCs w:val="20"/>
          <w:highlight w:val="none"/>
        </w:rPr>
        <w:t>dm</w:t>
      </w:r>
      <w:r>
        <w:rPr>
          <w:rFonts w:hint="eastAsia" w:ascii="宋体" w:hAnsi="宋体"/>
          <w:color w:val="auto"/>
          <w:kern w:val="0"/>
          <w:szCs w:val="20"/>
          <w:highlight w:val="none"/>
          <w:vertAlign w:val="superscript"/>
        </w:rPr>
        <w:t>3</w:t>
      </w:r>
      <w:r>
        <w:rPr>
          <w:rFonts w:hint="eastAsia" w:ascii="宋体" w:hAnsi="宋体"/>
          <w:color w:val="auto"/>
          <w:kern w:val="0"/>
          <w:szCs w:val="20"/>
          <w:highlight w:val="none"/>
        </w:rPr>
        <w:t>。套圈用</w:t>
      </w:r>
      <w:r>
        <w:rPr>
          <w:rFonts w:hint="eastAsia" w:ascii="宋体" w:hAnsi="宋体" w:eastAsia="宋体" w:cs="宋体"/>
          <w:lang w:eastAsia="zh-CN"/>
        </w:rPr>
        <w:t>圆钢</w:t>
      </w:r>
      <w:r>
        <w:rPr>
          <w:rFonts w:hint="eastAsia" w:ascii="宋体" w:hAnsi="宋体"/>
          <w:color w:val="auto"/>
          <w:kern w:val="0"/>
          <w:szCs w:val="20"/>
          <w:highlight w:val="none"/>
          <w:lang w:eastAsia="zh-CN"/>
        </w:rPr>
        <w:t>的</w:t>
      </w:r>
      <w:r>
        <w:rPr>
          <w:rFonts w:hint="eastAsia" w:ascii="宋体" w:hAnsi="宋体"/>
          <w:color w:val="auto"/>
          <w:kern w:val="0"/>
          <w:szCs w:val="20"/>
          <w:highlight w:val="none"/>
        </w:rPr>
        <w:t>心部区域</w:t>
      </w:r>
      <w:r>
        <w:rPr>
          <w:rFonts w:hint="eastAsia" w:ascii="宋体" w:hAnsi="宋体"/>
          <w:color w:val="auto"/>
          <w:kern w:val="0"/>
          <w:szCs w:val="20"/>
          <w:highlight w:val="none"/>
          <w:lang w:eastAsia="zh-CN"/>
        </w:rPr>
        <w:t>（公称直径的</w:t>
      </w:r>
      <w:r>
        <w:rPr>
          <w:rFonts w:hint="eastAsia" w:ascii="宋体" w:hAnsi="宋体"/>
          <w:color w:val="auto"/>
          <w:kern w:val="0"/>
          <w:szCs w:val="20"/>
          <w:highlight w:val="none"/>
          <w:lang w:val="en-US" w:eastAsia="zh-CN"/>
        </w:rPr>
        <w:t>15%范围内</w:t>
      </w:r>
      <w:r>
        <w:rPr>
          <w:rFonts w:hint="eastAsia" w:ascii="宋体" w:hAnsi="宋体"/>
          <w:color w:val="auto"/>
          <w:kern w:val="0"/>
          <w:szCs w:val="20"/>
          <w:highlight w:val="none"/>
          <w:lang w:eastAsia="zh-CN"/>
        </w:rPr>
        <w:t>）</w:t>
      </w:r>
      <w:r>
        <w:rPr>
          <w:rFonts w:hint="eastAsia" w:ascii="宋体" w:hAnsi="宋体"/>
          <w:color w:val="auto"/>
          <w:kern w:val="0"/>
          <w:szCs w:val="20"/>
          <w:highlight w:val="none"/>
        </w:rPr>
        <w:t>不</w:t>
      </w:r>
      <w:r>
        <w:rPr>
          <w:rFonts w:hint="eastAsia" w:ascii="宋体" w:hAnsi="宋体"/>
          <w:color w:val="auto"/>
          <w:kern w:val="0"/>
          <w:szCs w:val="20"/>
          <w:highlight w:val="none"/>
          <w:lang w:eastAsia="zh-CN"/>
        </w:rPr>
        <w:t>作</w:t>
      </w:r>
      <w:r>
        <w:rPr>
          <w:rFonts w:hint="eastAsia" w:ascii="宋体" w:hAnsi="宋体"/>
          <w:color w:val="auto"/>
          <w:kern w:val="0"/>
          <w:szCs w:val="20"/>
          <w:highlight w:val="none"/>
        </w:rPr>
        <w:t>要求。</w:t>
      </w:r>
    </w:p>
    <w:p w14:paraId="60F4B7A7">
      <w:pPr>
        <w:pStyle w:val="47"/>
        <w:numPr>
          <w:ilvl w:val="1"/>
          <w:numId w:val="6"/>
        </w:numPr>
        <w:spacing w:before="156" w:after="156"/>
        <w:jc w:val="both"/>
        <w:rPr>
          <w:rFonts w:ascii="Times New Roman"/>
        </w:rPr>
      </w:pPr>
      <w:r>
        <w:rPr>
          <w:rFonts w:hint="eastAsia" w:ascii="Times New Roman"/>
        </w:rPr>
        <w:t>非</w:t>
      </w:r>
      <w:r>
        <w:rPr>
          <w:rFonts w:ascii="Times New Roman"/>
        </w:rPr>
        <w:t>金属夹杂物</w:t>
      </w:r>
    </w:p>
    <w:p w14:paraId="05339D9A">
      <w:pPr>
        <w:keepNext w:val="0"/>
        <w:keepLines w:val="0"/>
        <w:pageBreakBefore w:val="0"/>
        <w:widowControl/>
        <w:numPr>
          <w:ilvl w:val="0"/>
          <w:numId w:val="0"/>
        </w:numPr>
        <w:tabs>
          <w:tab w:val="center" w:pos="4620"/>
          <w:tab w:val="right" w:pos="9460"/>
        </w:tabs>
        <w:kinsoku/>
        <w:wordWrap/>
        <w:overflowPunct/>
        <w:topLinePunct w:val="0"/>
        <w:autoSpaceDE/>
        <w:autoSpaceDN/>
        <w:bidi w:val="0"/>
        <w:ind w:leftChars="0" w:firstLine="420" w:firstLineChars="200"/>
        <w:jc w:val="left"/>
        <w:textAlignment w:val="auto"/>
        <w:outlineLvl w:val="3"/>
        <w:rPr>
          <w:rFonts w:hint="eastAsia" w:ascii="宋体" w:hAnsi="宋体" w:eastAsia="宋体" w:cs="宋体"/>
        </w:rPr>
      </w:pPr>
      <w:r>
        <w:rPr>
          <w:rFonts w:hint="eastAsia" w:ascii="宋体" w:hAnsi="宋体" w:eastAsia="宋体" w:cs="宋体"/>
        </w:rPr>
        <w:t>生产厂应对每炉钢进行非金属夹杂物检验，其检验结果应符合下列规定：</w:t>
      </w:r>
    </w:p>
    <w:p w14:paraId="4F5DC75F">
      <w:pPr>
        <w:pStyle w:val="159"/>
        <w:keepNext w:val="0"/>
        <w:keepLines w:val="0"/>
        <w:pageBreakBefore w:val="0"/>
        <w:widowControl w:val="0"/>
        <w:numPr>
          <w:ilvl w:val="0"/>
          <w:numId w:val="8"/>
        </w:numPr>
        <w:kinsoku/>
        <w:wordWrap/>
        <w:overflowPunct/>
        <w:topLinePunct w:val="0"/>
        <w:autoSpaceDE/>
        <w:autoSpaceDN/>
        <w:bidi w:val="0"/>
        <w:adjustRightInd w:val="0"/>
        <w:snapToGrid w:val="0"/>
        <w:spacing w:before="0" w:beforeLines="0" w:after="0" w:afterLines="0"/>
        <w:ind w:left="424" w:leftChars="202"/>
        <w:textAlignment w:val="auto"/>
        <w:rPr>
          <w:rFonts w:hint="eastAsia" w:hAnsi="Times New Roman" w:cs="Times New Roman"/>
          <w:color w:val="auto"/>
          <w:highlight w:val="none"/>
        </w:rPr>
      </w:pPr>
      <w:r>
        <w:rPr>
          <w:rFonts w:hint="eastAsia"/>
          <w:color w:val="auto"/>
          <w:highlight w:val="none"/>
        </w:rPr>
        <w:t xml:space="preserve"> </w:t>
      </w:r>
      <w:r>
        <w:rPr>
          <w:rFonts w:hint="eastAsia" w:hAnsi="Times New Roman" w:cs="Times New Roman"/>
          <w:color w:val="auto"/>
          <w:highlight w:val="none"/>
        </w:rPr>
        <w:t>对于A类、B类、C类、D类的非金属类夹杂物，模铸钢所有试样三分之二和每个钢锭至少有一个试样以及所有试样的平均值应不超过表</w:t>
      </w:r>
      <w:r>
        <w:rPr>
          <w:rFonts w:hint="eastAsia" w:cs="Times New Roman"/>
          <w:color w:val="auto"/>
          <w:highlight w:val="none"/>
          <w:lang w:val="en-US" w:eastAsia="zh-CN"/>
        </w:rPr>
        <w:t>5的</w:t>
      </w:r>
      <w:r>
        <w:rPr>
          <w:rFonts w:hint="eastAsia" w:hAnsi="Times New Roman" w:cs="Times New Roman"/>
          <w:color w:val="auto"/>
          <w:highlight w:val="none"/>
        </w:rPr>
        <w:t>规定；连铸钢所有试样三分之二</w:t>
      </w:r>
      <w:r>
        <w:rPr>
          <w:rFonts w:hint="eastAsia" w:cs="Times New Roman"/>
          <w:color w:val="auto"/>
          <w:highlight w:val="none"/>
          <w:lang w:eastAsia="zh-CN"/>
        </w:rPr>
        <w:t>和</w:t>
      </w:r>
      <w:r>
        <w:rPr>
          <w:rFonts w:hint="eastAsia" w:hAnsi="Times New Roman" w:cs="Times New Roman"/>
          <w:color w:val="auto"/>
          <w:highlight w:val="none"/>
        </w:rPr>
        <w:t>所有试样的平均值应不超过表</w:t>
      </w:r>
      <w:r>
        <w:rPr>
          <w:rFonts w:hint="eastAsia" w:cs="Times New Roman"/>
          <w:color w:val="auto"/>
          <w:highlight w:val="none"/>
          <w:lang w:val="en-US" w:eastAsia="zh-CN"/>
        </w:rPr>
        <w:t>5的</w:t>
      </w:r>
      <w:r>
        <w:rPr>
          <w:rFonts w:hint="eastAsia" w:hAnsi="Times New Roman" w:cs="Times New Roman"/>
          <w:color w:val="auto"/>
          <w:highlight w:val="none"/>
        </w:rPr>
        <w:t>规定；</w:t>
      </w:r>
    </w:p>
    <w:p w14:paraId="07100D55">
      <w:pPr>
        <w:pStyle w:val="159"/>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ind w:left="424" w:leftChars="202"/>
        <w:textAlignment w:val="auto"/>
        <w:rPr>
          <w:rFonts w:hint="eastAsia" w:hAnsi="Times New Roman" w:cs="Times New Roman"/>
          <w:color w:val="auto"/>
          <w:highlight w:val="none"/>
        </w:rPr>
      </w:pPr>
      <w:r>
        <w:rPr>
          <w:rFonts w:hint="eastAsia"/>
          <w:color w:val="auto"/>
          <w:highlight w:val="none"/>
        </w:rPr>
        <w:t xml:space="preserve">b) </w:t>
      </w:r>
      <w:r>
        <w:rPr>
          <w:rFonts w:hint="eastAsia"/>
          <w:color w:val="auto"/>
          <w:highlight w:val="none"/>
          <w:lang w:val="en-US" w:eastAsia="zh-CN"/>
        </w:rPr>
        <w:t xml:space="preserve"> </w:t>
      </w:r>
      <w:r>
        <w:rPr>
          <w:rFonts w:hint="eastAsia" w:hAnsi="Times New Roman" w:cs="Times New Roman"/>
          <w:color w:val="auto"/>
          <w:highlight w:val="none"/>
        </w:rPr>
        <w:t>对于DS类的非金属夹杂物，其最大值应不超过表</w:t>
      </w:r>
      <w:r>
        <w:rPr>
          <w:rFonts w:hint="eastAsia" w:cs="Times New Roman"/>
          <w:color w:val="auto"/>
          <w:highlight w:val="none"/>
          <w:lang w:val="en-US" w:eastAsia="zh-CN"/>
        </w:rPr>
        <w:t>5</w:t>
      </w:r>
      <w:r>
        <w:rPr>
          <w:rFonts w:hint="eastAsia" w:hAnsi="Times New Roman" w:cs="Times New Roman"/>
          <w:color w:val="auto"/>
          <w:highlight w:val="none"/>
        </w:rPr>
        <w:t>的规定；</w:t>
      </w:r>
    </w:p>
    <w:p w14:paraId="02000957">
      <w:pPr>
        <w:pStyle w:val="159"/>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ind w:left="424" w:leftChars="202"/>
        <w:textAlignment w:val="auto"/>
        <w:rPr>
          <w:rFonts w:hint="eastAsia" w:hAnsi="Times New Roman" w:cs="Times New Roman"/>
          <w:color w:val="auto"/>
          <w:highlight w:val="none"/>
        </w:rPr>
      </w:pPr>
      <w:r>
        <w:rPr>
          <w:rFonts w:hint="eastAsia"/>
          <w:color w:val="auto"/>
        </w:rPr>
        <w:t xml:space="preserve">c) </w:t>
      </w:r>
      <w:r>
        <w:rPr>
          <w:rFonts w:hint="eastAsia"/>
          <w:color w:val="auto"/>
          <w:lang w:val="en-US" w:eastAsia="zh-CN"/>
        </w:rPr>
        <w:t xml:space="preserve"> </w:t>
      </w:r>
      <w:r>
        <w:rPr>
          <w:rFonts w:hint="eastAsia" w:hAnsi="Times New Roman" w:cs="Times New Roman"/>
          <w:color w:val="auto"/>
          <w:highlight w:val="none"/>
        </w:rPr>
        <w:t>对于氮化钛：由供需双方协商</w:t>
      </w:r>
      <w:r>
        <w:rPr>
          <w:rFonts w:hint="eastAsia" w:cs="Times New Roman"/>
          <w:color w:val="auto"/>
          <w:highlight w:val="none"/>
          <w:lang w:eastAsia="zh-CN"/>
        </w:rPr>
        <w:t>确定</w:t>
      </w:r>
      <w:r>
        <w:rPr>
          <w:rFonts w:hint="eastAsia" w:hAnsi="Times New Roman" w:cs="Times New Roman"/>
          <w:color w:val="auto"/>
          <w:highlight w:val="none"/>
        </w:rPr>
        <w:t>。</w:t>
      </w:r>
    </w:p>
    <w:p w14:paraId="04779AB9">
      <w:pPr>
        <w:pStyle w:val="77"/>
        <w:spacing w:before="156" w:after="156"/>
        <w:ind w:left="0"/>
        <w:rPr>
          <w:rFonts w:ascii="Times New Roman"/>
        </w:rPr>
      </w:pPr>
      <w:r>
        <w:rPr>
          <w:rFonts w:ascii="Times New Roman"/>
        </w:rPr>
        <w:t>非金属夹杂物合格级别</w:t>
      </w:r>
    </w:p>
    <w:tbl>
      <w:tblPr>
        <w:tblStyle w:val="31"/>
        <w:tblW w:w="5000" w:type="pct"/>
        <w:tblInd w:w="-5" w:type="dxa"/>
        <w:tblLayout w:type="autofit"/>
        <w:tblCellMar>
          <w:top w:w="0" w:type="dxa"/>
          <w:left w:w="108" w:type="dxa"/>
          <w:bottom w:w="0" w:type="dxa"/>
          <w:right w:w="108" w:type="dxa"/>
        </w:tblCellMar>
      </w:tblPr>
      <w:tblGrid>
        <w:gridCol w:w="1013"/>
        <w:gridCol w:w="993"/>
        <w:gridCol w:w="1024"/>
        <w:gridCol w:w="1150"/>
        <w:gridCol w:w="1145"/>
        <w:gridCol w:w="1081"/>
        <w:gridCol w:w="1116"/>
        <w:gridCol w:w="1091"/>
        <w:gridCol w:w="957"/>
      </w:tblGrid>
      <w:tr w14:paraId="5E69FD0B">
        <w:tblPrEx>
          <w:tblCellMar>
            <w:top w:w="0" w:type="dxa"/>
            <w:left w:w="108" w:type="dxa"/>
            <w:bottom w:w="0" w:type="dxa"/>
            <w:right w:w="108" w:type="dxa"/>
          </w:tblCellMar>
        </w:tblPrEx>
        <w:trPr>
          <w:trHeight w:val="283" w:hRule="atLeast"/>
        </w:trPr>
        <w:tc>
          <w:tcPr>
            <w:tcW w:w="1048" w:type="pct"/>
            <w:gridSpan w:val="2"/>
            <w:tcBorders>
              <w:top w:val="single" w:color="auto" w:sz="4" w:space="0"/>
              <w:left w:val="single" w:color="auto" w:sz="4" w:space="0"/>
              <w:bottom w:val="single" w:color="auto" w:sz="4" w:space="0"/>
              <w:right w:val="single" w:color="auto" w:sz="4" w:space="0"/>
            </w:tcBorders>
            <w:noWrap w:val="0"/>
            <w:vAlign w:val="center"/>
          </w:tcPr>
          <w:p w14:paraId="3C917D32">
            <w:pPr>
              <w:spacing w:line="300" w:lineRule="exact"/>
              <w:jc w:val="center"/>
              <w:rPr>
                <w:rFonts w:hint="eastAsia" w:ascii="宋体" w:hAnsi="宋体"/>
                <w:sz w:val="18"/>
                <w:szCs w:val="18"/>
              </w:rPr>
            </w:pPr>
            <w:r>
              <w:rPr>
                <w:rFonts w:ascii="宋体" w:hAnsi="宋体"/>
                <w:sz w:val="18"/>
                <w:szCs w:val="18"/>
              </w:rPr>
              <w:t>A</w:t>
            </w:r>
            <w:r>
              <w:rPr>
                <w:rFonts w:hint="eastAsia" w:ascii="宋体" w:hAnsi="宋体"/>
                <w:sz w:val="18"/>
                <w:szCs w:val="18"/>
              </w:rPr>
              <w:t>类</w:t>
            </w:r>
          </w:p>
        </w:tc>
        <w:tc>
          <w:tcPr>
            <w:tcW w:w="1136" w:type="pct"/>
            <w:gridSpan w:val="2"/>
            <w:tcBorders>
              <w:top w:val="single" w:color="auto" w:sz="4" w:space="0"/>
              <w:left w:val="single" w:color="auto" w:sz="4" w:space="0"/>
              <w:bottom w:val="single" w:color="auto" w:sz="4" w:space="0"/>
              <w:right w:val="single" w:color="auto" w:sz="4" w:space="0"/>
            </w:tcBorders>
            <w:noWrap w:val="0"/>
            <w:vAlign w:val="center"/>
          </w:tcPr>
          <w:p w14:paraId="4AF9416D">
            <w:pPr>
              <w:spacing w:line="300" w:lineRule="exact"/>
              <w:jc w:val="center"/>
              <w:rPr>
                <w:rFonts w:ascii="宋体" w:hAnsi="宋体"/>
                <w:sz w:val="18"/>
                <w:szCs w:val="18"/>
              </w:rPr>
            </w:pPr>
            <w:r>
              <w:rPr>
                <w:rFonts w:ascii="宋体" w:hAnsi="宋体"/>
                <w:sz w:val="18"/>
                <w:szCs w:val="18"/>
              </w:rPr>
              <w:t>B</w:t>
            </w:r>
            <w:r>
              <w:rPr>
                <w:rFonts w:hint="eastAsia" w:ascii="宋体" w:hAnsi="宋体"/>
                <w:sz w:val="18"/>
                <w:szCs w:val="18"/>
              </w:rPr>
              <w:t>类</w:t>
            </w:r>
          </w:p>
        </w:tc>
        <w:tc>
          <w:tcPr>
            <w:tcW w:w="1163" w:type="pct"/>
            <w:gridSpan w:val="2"/>
            <w:tcBorders>
              <w:top w:val="single" w:color="auto" w:sz="4" w:space="0"/>
              <w:left w:val="single" w:color="auto" w:sz="4" w:space="0"/>
              <w:bottom w:val="single" w:color="auto" w:sz="4" w:space="0"/>
              <w:right w:val="single" w:color="auto" w:sz="4" w:space="0"/>
            </w:tcBorders>
            <w:noWrap w:val="0"/>
            <w:vAlign w:val="center"/>
          </w:tcPr>
          <w:p w14:paraId="31071A02">
            <w:pPr>
              <w:spacing w:line="300" w:lineRule="exact"/>
              <w:jc w:val="center"/>
              <w:rPr>
                <w:rFonts w:ascii="宋体" w:hAnsi="宋体"/>
                <w:sz w:val="18"/>
                <w:szCs w:val="18"/>
              </w:rPr>
            </w:pPr>
            <w:r>
              <w:rPr>
                <w:rFonts w:ascii="宋体" w:hAnsi="宋体"/>
                <w:sz w:val="18"/>
                <w:szCs w:val="18"/>
              </w:rPr>
              <w:t>C</w:t>
            </w:r>
            <w:r>
              <w:rPr>
                <w:rFonts w:hint="eastAsia" w:ascii="宋体" w:hAnsi="宋体"/>
                <w:sz w:val="18"/>
                <w:szCs w:val="18"/>
              </w:rPr>
              <w:t>类</w:t>
            </w:r>
          </w:p>
        </w:tc>
        <w:tc>
          <w:tcPr>
            <w:tcW w:w="1153" w:type="pct"/>
            <w:gridSpan w:val="2"/>
            <w:tcBorders>
              <w:top w:val="single" w:color="auto" w:sz="4" w:space="0"/>
              <w:left w:val="single" w:color="auto" w:sz="4" w:space="0"/>
              <w:bottom w:val="single" w:color="auto" w:sz="4" w:space="0"/>
              <w:right w:val="single" w:color="auto" w:sz="4" w:space="0"/>
            </w:tcBorders>
            <w:noWrap w:val="0"/>
            <w:vAlign w:val="center"/>
          </w:tcPr>
          <w:p w14:paraId="0414A179">
            <w:pPr>
              <w:spacing w:line="300" w:lineRule="exact"/>
              <w:jc w:val="center"/>
              <w:rPr>
                <w:rFonts w:ascii="宋体" w:hAnsi="宋体"/>
                <w:sz w:val="18"/>
                <w:szCs w:val="18"/>
              </w:rPr>
            </w:pPr>
            <w:r>
              <w:rPr>
                <w:rFonts w:ascii="宋体" w:hAnsi="宋体"/>
                <w:sz w:val="18"/>
                <w:szCs w:val="18"/>
              </w:rPr>
              <w:t>D</w:t>
            </w:r>
            <w:r>
              <w:rPr>
                <w:rFonts w:hint="eastAsia" w:ascii="宋体" w:hAnsi="宋体"/>
                <w:sz w:val="18"/>
                <w:szCs w:val="18"/>
              </w:rPr>
              <w:t>类</w:t>
            </w:r>
          </w:p>
        </w:tc>
        <w:tc>
          <w:tcPr>
            <w:tcW w:w="498" w:type="pct"/>
            <w:vMerge w:val="restart"/>
            <w:tcBorders>
              <w:top w:val="single" w:color="auto" w:sz="4" w:space="0"/>
              <w:left w:val="single" w:color="auto" w:sz="4" w:space="0"/>
              <w:right w:val="single" w:color="auto" w:sz="4" w:space="0"/>
            </w:tcBorders>
            <w:noWrap w:val="0"/>
            <w:vAlign w:val="center"/>
          </w:tcPr>
          <w:p w14:paraId="1B8CF6F1">
            <w:pPr>
              <w:spacing w:line="300" w:lineRule="exact"/>
              <w:jc w:val="center"/>
              <w:rPr>
                <w:rFonts w:ascii="宋体" w:hAnsi="宋体"/>
                <w:sz w:val="18"/>
                <w:szCs w:val="18"/>
              </w:rPr>
            </w:pPr>
            <w:r>
              <w:rPr>
                <w:rFonts w:ascii="宋体" w:hAnsi="宋体"/>
                <w:sz w:val="18"/>
                <w:szCs w:val="18"/>
              </w:rPr>
              <w:t>DS</w:t>
            </w:r>
            <w:r>
              <w:rPr>
                <w:rFonts w:hint="eastAsia" w:ascii="宋体" w:hAnsi="宋体"/>
                <w:sz w:val="18"/>
                <w:szCs w:val="18"/>
              </w:rPr>
              <w:t>类</w:t>
            </w:r>
          </w:p>
        </w:tc>
      </w:tr>
      <w:tr w14:paraId="29AD0227">
        <w:tblPrEx>
          <w:tblCellMar>
            <w:top w:w="0" w:type="dxa"/>
            <w:left w:w="108" w:type="dxa"/>
            <w:bottom w:w="0" w:type="dxa"/>
            <w:right w:w="108" w:type="dxa"/>
          </w:tblCellMar>
        </w:tblPrEx>
        <w:trPr>
          <w:trHeight w:val="283" w:hRule="atLeast"/>
        </w:trPr>
        <w:tc>
          <w:tcPr>
            <w:tcW w:w="529" w:type="pct"/>
            <w:tcBorders>
              <w:top w:val="single" w:color="auto" w:sz="4" w:space="0"/>
              <w:left w:val="single" w:color="auto" w:sz="4" w:space="0"/>
              <w:bottom w:val="single" w:color="auto" w:sz="4" w:space="0"/>
              <w:right w:val="single" w:color="auto" w:sz="4" w:space="0"/>
            </w:tcBorders>
            <w:noWrap w:val="0"/>
            <w:vAlign w:val="center"/>
          </w:tcPr>
          <w:p w14:paraId="33CD0E7F">
            <w:pPr>
              <w:spacing w:line="300" w:lineRule="exact"/>
              <w:jc w:val="center"/>
              <w:rPr>
                <w:rFonts w:ascii="宋体" w:hAnsi="宋体"/>
                <w:sz w:val="18"/>
                <w:szCs w:val="18"/>
              </w:rPr>
            </w:pPr>
            <w:r>
              <w:rPr>
                <w:rFonts w:hint="eastAsia" w:ascii="宋体" w:hAnsi="宋体"/>
                <w:sz w:val="18"/>
                <w:szCs w:val="18"/>
              </w:rPr>
              <w:t>细</w:t>
            </w:r>
            <w:r>
              <w:rPr>
                <w:rFonts w:ascii="宋体" w:hAnsi="宋体"/>
                <w:sz w:val="18"/>
                <w:szCs w:val="18"/>
              </w:rPr>
              <w:t>系</w:t>
            </w:r>
          </w:p>
        </w:tc>
        <w:tc>
          <w:tcPr>
            <w:tcW w:w="518" w:type="pct"/>
            <w:tcBorders>
              <w:top w:val="single" w:color="auto" w:sz="4" w:space="0"/>
              <w:left w:val="single" w:color="auto" w:sz="4" w:space="0"/>
              <w:bottom w:val="single" w:color="auto" w:sz="4" w:space="0"/>
              <w:right w:val="single" w:color="auto" w:sz="4" w:space="0"/>
            </w:tcBorders>
            <w:noWrap w:val="0"/>
            <w:vAlign w:val="center"/>
          </w:tcPr>
          <w:p w14:paraId="1CEED226">
            <w:pPr>
              <w:spacing w:line="300" w:lineRule="exact"/>
              <w:jc w:val="center"/>
              <w:rPr>
                <w:rFonts w:ascii="宋体" w:hAnsi="宋体"/>
                <w:sz w:val="18"/>
                <w:szCs w:val="18"/>
              </w:rPr>
            </w:pPr>
            <w:r>
              <w:rPr>
                <w:rFonts w:ascii="宋体" w:hAnsi="宋体"/>
                <w:sz w:val="18"/>
                <w:szCs w:val="18"/>
              </w:rPr>
              <w:t>粗系</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2A9BCF75">
            <w:pPr>
              <w:spacing w:line="300" w:lineRule="exact"/>
              <w:jc w:val="center"/>
              <w:rPr>
                <w:rFonts w:ascii="宋体" w:hAnsi="宋体"/>
                <w:sz w:val="18"/>
                <w:szCs w:val="18"/>
              </w:rPr>
            </w:pPr>
            <w:r>
              <w:rPr>
                <w:rFonts w:hint="eastAsia" w:ascii="宋体" w:hAnsi="宋体"/>
                <w:sz w:val="18"/>
                <w:szCs w:val="18"/>
              </w:rPr>
              <w:t>细</w:t>
            </w:r>
            <w:r>
              <w:rPr>
                <w:rFonts w:ascii="宋体" w:hAnsi="宋体"/>
                <w:sz w:val="18"/>
                <w:szCs w:val="18"/>
              </w:rPr>
              <w:t>系</w:t>
            </w:r>
          </w:p>
        </w:tc>
        <w:tc>
          <w:tcPr>
            <w:tcW w:w="601" w:type="pct"/>
            <w:tcBorders>
              <w:top w:val="single" w:color="auto" w:sz="4" w:space="0"/>
              <w:left w:val="single" w:color="auto" w:sz="4" w:space="0"/>
              <w:bottom w:val="single" w:color="auto" w:sz="4" w:space="0"/>
              <w:right w:val="single" w:color="auto" w:sz="4" w:space="0"/>
            </w:tcBorders>
            <w:noWrap w:val="0"/>
            <w:vAlign w:val="center"/>
          </w:tcPr>
          <w:p w14:paraId="1BEAE83C">
            <w:pPr>
              <w:spacing w:line="300" w:lineRule="exact"/>
              <w:jc w:val="center"/>
              <w:rPr>
                <w:rFonts w:ascii="宋体" w:hAnsi="宋体"/>
                <w:sz w:val="18"/>
                <w:szCs w:val="18"/>
              </w:rPr>
            </w:pPr>
            <w:r>
              <w:rPr>
                <w:rFonts w:ascii="宋体" w:hAnsi="宋体"/>
                <w:sz w:val="18"/>
                <w:szCs w:val="18"/>
              </w:rPr>
              <w:t>粗系</w:t>
            </w:r>
          </w:p>
        </w:tc>
        <w:tc>
          <w:tcPr>
            <w:tcW w:w="598" w:type="pct"/>
            <w:tcBorders>
              <w:top w:val="single" w:color="auto" w:sz="4" w:space="0"/>
              <w:left w:val="single" w:color="auto" w:sz="4" w:space="0"/>
              <w:bottom w:val="single" w:color="auto" w:sz="4" w:space="0"/>
              <w:right w:val="single" w:color="auto" w:sz="4" w:space="0"/>
            </w:tcBorders>
            <w:noWrap w:val="0"/>
            <w:vAlign w:val="center"/>
          </w:tcPr>
          <w:p w14:paraId="1F0993F0">
            <w:pPr>
              <w:spacing w:line="300" w:lineRule="exact"/>
              <w:jc w:val="center"/>
              <w:rPr>
                <w:rFonts w:ascii="宋体" w:hAnsi="宋体"/>
                <w:sz w:val="18"/>
                <w:szCs w:val="18"/>
              </w:rPr>
            </w:pPr>
            <w:r>
              <w:rPr>
                <w:rFonts w:hint="eastAsia" w:ascii="宋体" w:hAnsi="宋体"/>
                <w:sz w:val="18"/>
                <w:szCs w:val="18"/>
              </w:rPr>
              <w:t>细</w:t>
            </w:r>
            <w:r>
              <w:rPr>
                <w:rFonts w:ascii="宋体" w:hAnsi="宋体"/>
                <w:sz w:val="18"/>
                <w:szCs w:val="18"/>
              </w:rPr>
              <w:t>系</w:t>
            </w:r>
          </w:p>
        </w:tc>
        <w:tc>
          <w:tcPr>
            <w:tcW w:w="564" w:type="pct"/>
            <w:tcBorders>
              <w:top w:val="single" w:color="auto" w:sz="4" w:space="0"/>
              <w:left w:val="single" w:color="auto" w:sz="4" w:space="0"/>
              <w:bottom w:val="single" w:color="auto" w:sz="4" w:space="0"/>
              <w:right w:val="single" w:color="auto" w:sz="4" w:space="0"/>
            </w:tcBorders>
            <w:noWrap w:val="0"/>
            <w:vAlign w:val="center"/>
          </w:tcPr>
          <w:p w14:paraId="3EF53C6F">
            <w:pPr>
              <w:spacing w:line="300" w:lineRule="exact"/>
              <w:jc w:val="center"/>
              <w:rPr>
                <w:rFonts w:ascii="宋体" w:hAnsi="宋体"/>
                <w:sz w:val="18"/>
                <w:szCs w:val="18"/>
              </w:rPr>
            </w:pPr>
            <w:r>
              <w:rPr>
                <w:rFonts w:ascii="宋体" w:hAnsi="宋体"/>
                <w:sz w:val="18"/>
                <w:szCs w:val="18"/>
              </w:rPr>
              <w:t>粗系</w:t>
            </w:r>
          </w:p>
        </w:tc>
        <w:tc>
          <w:tcPr>
            <w:tcW w:w="583" w:type="pct"/>
            <w:tcBorders>
              <w:top w:val="single" w:color="auto" w:sz="4" w:space="0"/>
              <w:left w:val="single" w:color="auto" w:sz="4" w:space="0"/>
              <w:bottom w:val="single" w:color="auto" w:sz="4" w:space="0"/>
              <w:right w:val="single" w:color="auto" w:sz="4" w:space="0"/>
            </w:tcBorders>
            <w:noWrap w:val="0"/>
            <w:vAlign w:val="center"/>
          </w:tcPr>
          <w:p w14:paraId="217209E5">
            <w:pPr>
              <w:spacing w:line="300" w:lineRule="exact"/>
              <w:jc w:val="center"/>
              <w:rPr>
                <w:rFonts w:ascii="宋体" w:hAnsi="宋体"/>
                <w:sz w:val="18"/>
                <w:szCs w:val="18"/>
              </w:rPr>
            </w:pPr>
            <w:r>
              <w:rPr>
                <w:rFonts w:hint="eastAsia" w:ascii="宋体" w:hAnsi="宋体"/>
                <w:sz w:val="18"/>
                <w:szCs w:val="18"/>
              </w:rPr>
              <w:t>细</w:t>
            </w:r>
            <w:r>
              <w:rPr>
                <w:rFonts w:ascii="宋体" w:hAnsi="宋体"/>
                <w:sz w:val="18"/>
                <w:szCs w:val="18"/>
              </w:rPr>
              <w:t>系</w:t>
            </w:r>
          </w:p>
        </w:tc>
        <w:tc>
          <w:tcPr>
            <w:tcW w:w="570" w:type="pct"/>
            <w:tcBorders>
              <w:top w:val="single" w:color="auto" w:sz="4" w:space="0"/>
              <w:left w:val="single" w:color="auto" w:sz="4" w:space="0"/>
              <w:bottom w:val="single" w:color="auto" w:sz="2" w:space="0"/>
              <w:right w:val="single" w:color="auto" w:sz="4" w:space="0"/>
            </w:tcBorders>
            <w:noWrap w:val="0"/>
            <w:vAlign w:val="center"/>
          </w:tcPr>
          <w:p w14:paraId="61D0E3FF">
            <w:pPr>
              <w:spacing w:line="300" w:lineRule="exact"/>
              <w:jc w:val="center"/>
              <w:rPr>
                <w:rFonts w:ascii="宋体" w:hAnsi="宋体"/>
                <w:sz w:val="18"/>
                <w:szCs w:val="18"/>
              </w:rPr>
            </w:pPr>
            <w:r>
              <w:rPr>
                <w:rFonts w:ascii="宋体" w:hAnsi="宋体"/>
                <w:sz w:val="18"/>
                <w:szCs w:val="18"/>
              </w:rPr>
              <w:t>粗系</w:t>
            </w:r>
          </w:p>
        </w:tc>
        <w:tc>
          <w:tcPr>
            <w:tcW w:w="498" w:type="pct"/>
            <w:vMerge w:val="continue"/>
            <w:tcBorders>
              <w:left w:val="single" w:color="auto" w:sz="4" w:space="0"/>
              <w:bottom w:val="single" w:color="auto" w:sz="2" w:space="0"/>
              <w:right w:val="single" w:color="auto" w:sz="4" w:space="0"/>
            </w:tcBorders>
            <w:noWrap w:val="0"/>
            <w:vAlign w:val="center"/>
          </w:tcPr>
          <w:p w14:paraId="081C611E">
            <w:pPr>
              <w:spacing w:line="300" w:lineRule="exact"/>
              <w:jc w:val="center"/>
              <w:rPr>
                <w:rFonts w:ascii="宋体" w:hAnsi="宋体"/>
                <w:sz w:val="18"/>
                <w:szCs w:val="18"/>
              </w:rPr>
            </w:pPr>
          </w:p>
        </w:tc>
      </w:tr>
      <w:tr w14:paraId="6DD1CDFB">
        <w:tblPrEx>
          <w:tblCellMar>
            <w:top w:w="0" w:type="dxa"/>
            <w:left w:w="108" w:type="dxa"/>
            <w:bottom w:w="0" w:type="dxa"/>
            <w:right w:w="108" w:type="dxa"/>
          </w:tblCellMar>
        </w:tblPrEx>
        <w:trPr>
          <w:trHeight w:val="283"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4B8C19F5">
            <w:pPr>
              <w:spacing w:line="300" w:lineRule="exact"/>
              <w:jc w:val="center"/>
              <w:rPr>
                <w:rFonts w:ascii="宋体" w:hAnsi="宋体"/>
                <w:sz w:val="18"/>
                <w:szCs w:val="18"/>
              </w:rPr>
            </w:pPr>
            <w:r>
              <w:rPr>
                <w:rFonts w:hint="eastAsia" w:ascii="宋体" w:hAnsi="宋体"/>
                <w:sz w:val="18"/>
                <w:szCs w:val="18"/>
              </w:rPr>
              <w:t>级，不大于</w:t>
            </w:r>
          </w:p>
        </w:tc>
      </w:tr>
      <w:tr w14:paraId="304BE06E">
        <w:tblPrEx>
          <w:tblCellMar>
            <w:top w:w="0" w:type="dxa"/>
            <w:left w:w="108" w:type="dxa"/>
            <w:bottom w:w="0" w:type="dxa"/>
            <w:right w:w="108" w:type="dxa"/>
          </w:tblCellMar>
        </w:tblPrEx>
        <w:trPr>
          <w:trHeight w:val="283" w:hRule="atLeast"/>
        </w:trPr>
        <w:tc>
          <w:tcPr>
            <w:tcW w:w="529" w:type="pct"/>
            <w:tcBorders>
              <w:top w:val="single" w:color="auto" w:sz="4" w:space="0"/>
              <w:left w:val="single" w:color="auto" w:sz="4" w:space="0"/>
              <w:bottom w:val="single" w:color="auto" w:sz="4" w:space="0"/>
              <w:right w:val="single" w:color="auto" w:sz="4" w:space="0"/>
            </w:tcBorders>
            <w:noWrap w:val="0"/>
            <w:vAlign w:val="center"/>
          </w:tcPr>
          <w:p w14:paraId="20937BC9">
            <w:pPr>
              <w:spacing w:line="300" w:lineRule="exact"/>
              <w:jc w:val="center"/>
              <w:rPr>
                <w:rFonts w:hint="eastAsia" w:ascii="宋体" w:hAnsi="宋体" w:eastAsia="宋体"/>
                <w:sz w:val="18"/>
                <w:szCs w:val="18"/>
                <w:lang w:eastAsia="zh-CN"/>
              </w:rPr>
            </w:pPr>
            <w:r>
              <w:rPr>
                <w:rFonts w:hint="eastAsia" w:ascii="宋体" w:hAnsi="宋体"/>
                <w:sz w:val="18"/>
                <w:szCs w:val="18"/>
              </w:rPr>
              <w:t>2.</w:t>
            </w:r>
            <w:r>
              <w:rPr>
                <w:rFonts w:hint="eastAsia" w:ascii="宋体" w:hAnsi="宋体"/>
                <w:sz w:val="18"/>
                <w:szCs w:val="18"/>
                <w:lang w:val="en-US" w:eastAsia="zh-CN"/>
              </w:rPr>
              <w:t>5</w:t>
            </w:r>
          </w:p>
        </w:tc>
        <w:tc>
          <w:tcPr>
            <w:tcW w:w="518" w:type="pct"/>
            <w:tcBorders>
              <w:top w:val="single" w:color="auto" w:sz="4" w:space="0"/>
              <w:left w:val="single" w:color="auto" w:sz="4" w:space="0"/>
              <w:bottom w:val="single" w:color="auto" w:sz="4" w:space="0"/>
              <w:right w:val="single" w:color="auto" w:sz="4" w:space="0"/>
            </w:tcBorders>
            <w:noWrap w:val="0"/>
            <w:vAlign w:val="center"/>
          </w:tcPr>
          <w:p w14:paraId="7F219E83">
            <w:pPr>
              <w:spacing w:line="300" w:lineRule="exact"/>
              <w:jc w:val="center"/>
              <w:rPr>
                <w:rFonts w:ascii="宋体" w:hAnsi="宋体"/>
                <w:sz w:val="18"/>
                <w:szCs w:val="18"/>
              </w:rPr>
            </w:pPr>
            <w:r>
              <w:rPr>
                <w:rFonts w:ascii="宋体" w:hAnsi="宋体"/>
                <w:sz w:val="18"/>
                <w:szCs w:val="18"/>
              </w:rPr>
              <w:t>1.5</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69413E75">
            <w:pPr>
              <w:spacing w:line="300" w:lineRule="exact"/>
              <w:jc w:val="center"/>
              <w:rPr>
                <w:rFonts w:hint="default" w:ascii="宋体" w:hAnsi="宋体" w:eastAsia="宋体"/>
                <w:sz w:val="18"/>
                <w:szCs w:val="18"/>
                <w:lang w:val="en-US" w:eastAsia="zh-CN"/>
              </w:rPr>
            </w:pPr>
            <w:r>
              <w:rPr>
                <w:rFonts w:hint="eastAsia" w:ascii="宋体" w:hAnsi="宋体"/>
                <w:sz w:val="18"/>
                <w:szCs w:val="18"/>
                <w:lang w:val="en-US" w:eastAsia="zh-CN"/>
              </w:rPr>
              <w:t>2.0</w:t>
            </w:r>
          </w:p>
        </w:tc>
        <w:tc>
          <w:tcPr>
            <w:tcW w:w="601" w:type="pct"/>
            <w:tcBorders>
              <w:top w:val="single" w:color="auto" w:sz="4" w:space="0"/>
              <w:left w:val="single" w:color="auto" w:sz="4" w:space="0"/>
              <w:bottom w:val="single" w:color="auto" w:sz="4" w:space="0"/>
              <w:right w:val="single" w:color="auto" w:sz="4" w:space="0"/>
            </w:tcBorders>
            <w:noWrap w:val="0"/>
            <w:vAlign w:val="center"/>
          </w:tcPr>
          <w:p w14:paraId="4B5C5019">
            <w:pPr>
              <w:spacing w:line="300" w:lineRule="exact"/>
              <w:jc w:val="center"/>
              <w:rPr>
                <w:rFonts w:ascii="宋体" w:hAnsi="宋体"/>
                <w:sz w:val="18"/>
                <w:szCs w:val="18"/>
              </w:rPr>
            </w:pPr>
            <w:r>
              <w:rPr>
                <w:rFonts w:ascii="宋体" w:hAnsi="宋体"/>
                <w:sz w:val="18"/>
                <w:szCs w:val="18"/>
              </w:rPr>
              <w:t>1.0</w:t>
            </w:r>
          </w:p>
        </w:tc>
        <w:tc>
          <w:tcPr>
            <w:tcW w:w="598" w:type="pct"/>
            <w:tcBorders>
              <w:top w:val="single" w:color="auto" w:sz="4" w:space="0"/>
              <w:left w:val="single" w:color="auto" w:sz="4" w:space="0"/>
              <w:bottom w:val="single" w:color="auto" w:sz="4" w:space="0"/>
              <w:right w:val="single" w:color="auto" w:sz="4" w:space="0"/>
            </w:tcBorders>
            <w:noWrap w:val="0"/>
            <w:vAlign w:val="center"/>
          </w:tcPr>
          <w:p w14:paraId="194BE0C5">
            <w:pPr>
              <w:spacing w:line="300" w:lineRule="exact"/>
              <w:jc w:val="center"/>
              <w:rPr>
                <w:rFonts w:ascii="宋体" w:hAnsi="宋体"/>
                <w:sz w:val="18"/>
                <w:szCs w:val="18"/>
              </w:rPr>
            </w:pPr>
            <w:r>
              <w:rPr>
                <w:rFonts w:ascii="宋体" w:hAnsi="宋体"/>
                <w:sz w:val="18"/>
                <w:szCs w:val="18"/>
              </w:rPr>
              <w:t>0</w:t>
            </w:r>
          </w:p>
        </w:tc>
        <w:tc>
          <w:tcPr>
            <w:tcW w:w="564" w:type="pct"/>
            <w:tcBorders>
              <w:top w:val="single" w:color="auto" w:sz="4" w:space="0"/>
              <w:left w:val="single" w:color="auto" w:sz="4" w:space="0"/>
              <w:bottom w:val="single" w:color="auto" w:sz="4" w:space="0"/>
              <w:right w:val="single" w:color="auto" w:sz="4" w:space="0"/>
            </w:tcBorders>
            <w:noWrap w:val="0"/>
            <w:vAlign w:val="center"/>
          </w:tcPr>
          <w:p w14:paraId="33E34A6A">
            <w:pPr>
              <w:spacing w:line="300" w:lineRule="exact"/>
              <w:jc w:val="center"/>
              <w:rPr>
                <w:rFonts w:ascii="宋体" w:hAnsi="宋体"/>
                <w:sz w:val="18"/>
                <w:szCs w:val="18"/>
              </w:rPr>
            </w:pPr>
            <w:r>
              <w:rPr>
                <w:rFonts w:ascii="宋体" w:hAnsi="宋体"/>
                <w:sz w:val="18"/>
                <w:szCs w:val="18"/>
              </w:rPr>
              <w:t>0</w:t>
            </w:r>
          </w:p>
        </w:tc>
        <w:tc>
          <w:tcPr>
            <w:tcW w:w="583" w:type="pct"/>
            <w:tcBorders>
              <w:top w:val="single" w:color="auto" w:sz="4" w:space="0"/>
              <w:left w:val="single" w:color="auto" w:sz="4" w:space="0"/>
              <w:bottom w:val="single" w:color="auto" w:sz="4" w:space="0"/>
              <w:right w:val="single" w:color="auto" w:sz="4" w:space="0"/>
            </w:tcBorders>
            <w:noWrap w:val="0"/>
            <w:vAlign w:val="center"/>
          </w:tcPr>
          <w:p w14:paraId="4EC225D0">
            <w:pPr>
              <w:spacing w:line="300" w:lineRule="exact"/>
              <w:jc w:val="center"/>
              <w:rPr>
                <w:rFonts w:ascii="宋体" w:hAnsi="宋体"/>
                <w:sz w:val="18"/>
                <w:szCs w:val="18"/>
              </w:rPr>
            </w:pPr>
            <w:r>
              <w:rPr>
                <w:rFonts w:ascii="宋体" w:hAnsi="宋体"/>
                <w:sz w:val="18"/>
                <w:szCs w:val="18"/>
              </w:rPr>
              <w:t>1.0</w:t>
            </w:r>
          </w:p>
        </w:tc>
        <w:tc>
          <w:tcPr>
            <w:tcW w:w="570" w:type="pct"/>
            <w:tcBorders>
              <w:top w:val="single" w:color="auto" w:sz="4" w:space="0"/>
              <w:left w:val="single" w:color="auto" w:sz="4" w:space="0"/>
              <w:bottom w:val="single" w:color="auto" w:sz="4" w:space="0"/>
              <w:right w:val="single" w:color="auto" w:sz="4" w:space="0"/>
            </w:tcBorders>
            <w:noWrap w:val="0"/>
            <w:vAlign w:val="center"/>
          </w:tcPr>
          <w:p w14:paraId="62A0BE6D">
            <w:pPr>
              <w:spacing w:line="300" w:lineRule="exact"/>
              <w:jc w:val="center"/>
              <w:rPr>
                <w:rFonts w:hint="default" w:ascii="宋体" w:hAnsi="宋体" w:eastAsia="宋体"/>
                <w:sz w:val="18"/>
                <w:szCs w:val="18"/>
                <w:lang w:val="en-US" w:eastAsia="zh-CN"/>
              </w:rPr>
            </w:pPr>
            <w:r>
              <w:rPr>
                <w:rFonts w:hint="eastAsia" w:ascii="宋体" w:hAnsi="宋体"/>
                <w:sz w:val="18"/>
                <w:szCs w:val="18"/>
                <w:lang w:val="en-US" w:eastAsia="zh-CN"/>
              </w:rPr>
              <w:t>0.5</w:t>
            </w:r>
          </w:p>
        </w:tc>
        <w:tc>
          <w:tcPr>
            <w:tcW w:w="498" w:type="pct"/>
            <w:tcBorders>
              <w:top w:val="single" w:color="auto" w:sz="4" w:space="0"/>
              <w:left w:val="single" w:color="auto" w:sz="4" w:space="0"/>
              <w:bottom w:val="single" w:color="auto" w:sz="4" w:space="0"/>
              <w:right w:val="single" w:color="auto" w:sz="4" w:space="0"/>
            </w:tcBorders>
            <w:noWrap w:val="0"/>
            <w:vAlign w:val="center"/>
          </w:tcPr>
          <w:p w14:paraId="4222562F">
            <w:pPr>
              <w:spacing w:line="300" w:lineRule="exact"/>
              <w:jc w:val="center"/>
              <w:rPr>
                <w:rFonts w:ascii="宋体" w:hAnsi="宋体"/>
                <w:sz w:val="18"/>
                <w:szCs w:val="18"/>
              </w:rPr>
            </w:pPr>
            <w:r>
              <w:rPr>
                <w:rFonts w:hint="eastAsia" w:ascii="宋体" w:hAnsi="宋体"/>
                <w:sz w:val="18"/>
                <w:szCs w:val="18"/>
              </w:rPr>
              <w:t>1</w:t>
            </w:r>
            <w:r>
              <w:rPr>
                <w:rFonts w:ascii="宋体" w:hAnsi="宋体"/>
                <w:sz w:val="18"/>
                <w:szCs w:val="18"/>
              </w:rPr>
              <w:t>.</w:t>
            </w:r>
            <w:r>
              <w:rPr>
                <w:rFonts w:hint="eastAsia" w:ascii="宋体" w:hAnsi="宋体"/>
                <w:sz w:val="18"/>
                <w:szCs w:val="18"/>
              </w:rPr>
              <w:t>5</w:t>
            </w:r>
          </w:p>
        </w:tc>
      </w:tr>
    </w:tbl>
    <w:p w14:paraId="5DE7ED62">
      <w:pPr>
        <w:pStyle w:val="47"/>
        <w:numPr>
          <w:ilvl w:val="1"/>
          <w:numId w:val="6"/>
        </w:numPr>
        <w:spacing w:before="156" w:after="156"/>
        <w:jc w:val="both"/>
        <w:rPr>
          <w:rFonts w:hint="eastAsia" w:ascii="Times New Roman"/>
          <w:color w:val="auto"/>
        </w:rPr>
      </w:pPr>
      <w:r>
        <w:rPr>
          <w:rFonts w:hint="eastAsia" w:ascii="Times New Roman"/>
          <w:color w:val="auto"/>
        </w:rPr>
        <w:t>脱碳层</w:t>
      </w:r>
    </w:p>
    <w:p w14:paraId="63EB33C2">
      <w:pPr>
        <w:widowControl/>
        <w:spacing w:line="30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lang w:eastAsia="zh-CN"/>
        </w:rPr>
        <w:t>圆钢</w:t>
      </w:r>
      <w:r>
        <w:rPr>
          <w:rFonts w:hint="eastAsia" w:ascii="宋体" w:hAnsi="宋体" w:eastAsia="宋体" w:cs="宋体"/>
          <w:color w:val="auto"/>
          <w:kern w:val="0"/>
          <w:szCs w:val="21"/>
          <w:highlight w:val="none"/>
          <w:lang w:eastAsia="zh-CN"/>
        </w:rPr>
        <w:t>表面每边总脱碳层深度应符合表</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的规定。</w:t>
      </w:r>
    </w:p>
    <w:p w14:paraId="7C745548">
      <w:pPr>
        <w:pStyle w:val="77"/>
        <w:keepNext w:val="0"/>
        <w:keepLines w:val="0"/>
        <w:pageBreakBefore w:val="0"/>
        <w:widowControl/>
        <w:kinsoku/>
        <w:wordWrap/>
        <w:overflowPunct/>
        <w:topLinePunct w:val="0"/>
        <w:bidi w:val="0"/>
        <w:adjustRightInd/>
        <w:snapToGrid/>
        <w:spacing w:before="156" w:after="156"/>
        <w:ind w:left="0"/>
        <w:textAlignment w:val="auto"/>
        <w:rPr>
          <w:rFonts w:hint="default" w:ascii="Times New Roman"/>
          <w:color w:val="auto"/>
          <w:lang w:val="en-US" w:eastAsia="zh-CN"/>
        </w:rPr>
      </w:pPr>
      <w:r>
        <w:rPr>
          <w:rFonts w:hint="eastAsia" w:ascii="Times New Roman"/>
          <w:color w:val="auto"/>
          <w:lang w:val="en-US" w:eastAsia="zh-CN"/>
        </w:rPr>
        <w:t>脱碳层</w:t>
      </w:r>
    </w:p>
    <w:p w14:paraId="41E58CE6">
      <w:pPr>
        <w:pStyle w:val="22"/>
        <w:keepNext w:val="0"/>
        <w:keepLines w:val="0"/>
        <w:pageBreakBefore w:val="0"/>
        <w:widowControl/>
        <w:kinsoku/>
        <w:wordWrap/>
        <w:overflowPunct/>
        <w:topLinePunct w:val="0"/>
        <w:bidi w:val="0"/>
        <w:adjustRightInd/>
        <w:snapToGrid/>
        <w:jc w:val="right"/>
        <w:textAlignment w:val="auto"/>
        <w:rPr>
          <w:rFonts w:hint="default"/>
          <w:color w:val="auto"/>
          <w:sz w:val="18"/>
          <w:szCs w:val="18"/>
          <w:lang w:val="en-US" w:eastAsia="zh-CN"/>
        </w:rPr>
      </w:pPr>
      <w:r>
        <w:rPr>
          <w:rFonts w:hint="eastAsia" w:ascii="Times New Roman"/>
          <w:color w:val="auto"/>
          <w:sz w:val="18"/>
          <w:szCs w:val="18"/>
          <w:lang w:val="en-US" w:eastAsia="zh-CN"/>
        </w:rPr>
        <w:t>单位为毫米</w:t>
      </w: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0"/>
        <w:gridCol w:w="3190"/>
      </w:tblGrid>
      <w:tr w14:paraId="08FA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666" w:type="pct"/>
            <w:vAlign w:val="center"/>
          </w:tcPr>
          <w:p w14:paraId="3B467957">
            <w:pPr>
              <w:pStyle w:val="22"/>
              <w:keepNext w:val="0"/>
              <w:keepLines w:val="0"/>
              <w:pageBreakBefore w:val="0"/>
              <w:widowControl/>
              <w:numPr>
                <w:ilvl w:val="0"/>
                <w:numId w:val="0"/>
              </w:numPr>
              <w:kinsoku/>
              <w:wordWrap/>
              <w:overflowPunct/>
              <w:topLinePunct w:val="0"/>
              <w:autoSpaceDE w:val="0"/>
              <w:autoSpaceDN w:val="0"/>
              <w:bidi w:val="0"/>
              <w:adjustRightInd w:val="0"/>
              <w:snapToGrid w:val="0"/>
              <w:ind w:left="0"/>
              <w:jc w:val="center"/>
              <w:textAlignment w:val="auto"/>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公称直径</w:t>
            </w:r>
          </w:p>
        </w:tc>
        <w:tc>
          <w:tcPr>
            <w:tcW w:w="1666" w:type="pct"/>
            <w:vAlign w:val="center"/>
          </w:tcPr>
          <w:p w14:paraId="14821743">
            <w:pPr>
              <w:pStyle w:val="22"/>
              <w:keepNext w:val="0"/>
              <w:keepLines w:val="0"/>
              <w:pageBreakBefore w:val="0"/>
              <w:widowControl/>
              <w:numPr>
                <w:ilvl w:val="0"/>
                <w:numId w:val="0"/>
              </w:numPr>
              <w:kinsoku/>
              <w:wordWrap/>
              <w:overflowPunct/>
              <w:topLinePunct w:val="0"/>
              <w:autoSpaceDE w:val="0"/>
              <w:autoSpaceDN w:val="0"/>
              <w:bidi w:val="0"/>
              <w:adjustRightInd w:val="0"/>
              <w:snapToGrid w:val="0"/>
              <w:ind w:left="0"/>
              <w:jc w:val="center"/>
              <w:textAlignment w:val="auto"/>
              <w:rPr>
                <w:rFonts w:hint="eastAsia" w:eastAsia="宋体"/>
                <w:color w:val="auto"/>
                <w:kern w:val="0"/>
                <w:sz w:val="18"/>
                <w:szCs w:val="18"/>
                <w:highlight w:val="none"/>
                <w:lang w:val="en-US" w:eastAsia="zh-CN"/>
              </w:rPr>
            </w:pPr>
            <w:r>
              <w:rPr>
                <w:rFonts w:hint="eastAsia"/>
                <w:color w:val="auto"/>
                <w:kern w:val="0"/>
                <w:sz w:val="18"/>
                <w:szCs w:val="18"/>
                <w:highlight w:val="none"/>
                <w:lang w:val="en-US" w:eastAsia="zh-CN"/>
              </w:rPr>
              <w:t>交货状态</w:t>
            </w:r>
          </w:p>
        </w:tc>
        <w:tc>
          <w:tcPr>
            <w:tcW w:w="1666" w:type="pct"/>
            <w:vAlign w:val="center"/>
          </w:tcPr>
          <w:p w14:paraId="757A8026">
            <w:pPr>
              <w:pStyle w:val="22"/>
              <w:keepNext w:val="0"/>
              <w:keepLines w:val="0"/>
              <w:pageBreakBefore w:val="0"/>
              <w:widowControl/>
              <w:numPr>
                <w:ilvl w:val="0"/>
                <w:numId w:val="0"/>
              </w:numPr>
              <w:kinsoku/>
              <w:wordWrap/>
              <w:overflowPunct/>
              <w:topLinePunct w:val="0"/>
              <w:autoSpaceDE w:val="0"/>
              <w:autoSpaceDN w:val="0"/>
              <w:bidi w:val="0"/>
              <w:adjustRightInd w:val="0"/>
              <w:snapToGrid w:val="0"/>
              <w:ind w:left="0"/>
              <w:jc w:val="center"/>
              <w:textAlignment w:val="auto"/>
              <w:rPr>
                <w:rFonts w:hint="default"/>
                <w:color w:val="auto"/>
                <w:sz w:val="18"/>
                <w:szCs w:val="18"/>
                <w:highlight w:val="none"/>
                <w:vertAlign w:val="baseline"/>
                <w:lang w:val="en-US" w:eastAsia="zh-CN"/>
              </w:rPr>
            </w:pPr>
            <w:r>
              <w:rPr>
                <w:rFonts w:hint="eastAsia"/>
                <w:color w:val="auto"/>
                <w:kern w:val="0"/>
                <w:sz w:val="18"/>
                <w:szCs w:val="18"/>
                <w:highlight w:val="none"/>
                <w:lang w:eastAsia="zh-CN"/>
              </w:rPr>
              <w:t>每边总脱碳层深度，不大于</w:t>
            </w:r>
          </w:p>
        </w:tc>
      </w:tr>
      <w:tr w14:paraId="7EE4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666" w:type="pct"/>
            <w:vMerge w:val="restart"/>
            <w:vAlign w:val="center"/>
          </w:tcPr>
          <w:p w14:paraId="12C5624D">
            <w:pPr>
              <w:pStyle w:val="22"/>
              <w:keepNext w:val="0"/>
              <w:keepLines w:val="0"/>
              <w:pageBreakBefore w:val="0"/>
              <w:widowControl/>
              <w:numPr>
                <w:ilvl w:val="0"/>
                <w:numId w:val="0"/>
              </w:numPr>
              <w:kinsoku/>
              <w:wordWrap/>
              <w:overflowPunct/>
              <w:topLinePunct w:val="0"/>
              <w:autoSpaceDE w:val="0"/>
              <w:autoSpaceDN w:val="0"/>
              <w:bidi w:val="0"/>
              <w:adjustRightInd w:val="0"/>
              <w:snapToGrid w:val="0"/>
              <w:ind w:left="0"/>
              <w:jc w:val="center"/>
              <w:textAlignment w:val="auto"/>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16</w:t>
            </w:r>
            <w:r>
              <w:rPr>
                <w:rFonts w:hint="eastAsia" w:ascii="宋体" w:hAnsi="宋体" w:eastAsia="宋体" w:cs="宋体"/>
                <w:color w:val="auto"/>
                <w:sz w:val="18"/>
                <w:szCs w:val="18"/>
                <w:highlight w:val="none"/>
              </w:rPr>
              <w:t>～</w:t>
            </w:r>
            <w:r>
              <w:rPr>
                <w:rFonts w:hint="eastAsia"/>
                <w:color w:val="auto"/>
                <w:sz w:val="18"/>
                <w:szCs w:val="18"/>
                <w:highlight w:val="none"/>
                <w:vertAlign w:val="baseline"/>
                <w:lang w:val="en-US" w:eastAsia="zh-CN"/>
              </w:rPr>
              <w:t>30</w:t>
            </w:r>
          </w:p>
        </w:tc>
        <w:tc>
          <w:tcPr>
            <w:tcW w:w="1666" w:type="pct"/>
            <w:vAlign w:val="center"/>
          </w:tcPr>
          <w:p w14:paraId="0FB9E940">
            <w:pPr>
              <w:pStyle w:val="22"/>
              <w:keepNext w:val="0"/>
              <w:keepLines w:val="0"/>
              <w:pageBreakBefore w:val="0"/>
              <w:widowControl/>
              <w:numPr>
                <w:ilvl w:val="0"/>
                <w:numId w:val="0"/>
              </w:numPr>
              <w:kinsoku/>
              <w:wordWrap/>
              <w:overflowPunct/>
              <w:topLinePunct w:val="0"/>
              <w:autoSpaceDE w:val="0"/>
              <w:autoSpaceDN w:val="0"/>
              <w:bidi w:val="0"/>
              <w:adjustRightInd w:val="0"/>
              <w:snapToGrid w:val="0"/>
              <w:ind w:left="0"/>
              <w:jc w:val="center"/>
              <w:textAlignment w:val="auto"/>
              <w:rPr>
                <w:rFonts w:hint="eastAsia" w:eastAsia="宋体"/>
                <w:color w:val="auto"/>
                <w:kern w:val="0"/>
                <w:sz w:val="18"/>
                <w:szCs w:val="18"/>
                <w:highlight w:val="none"/>
                <w:lang w:eastAsia="zh-CN"/>
              </w:rPr>
            </w:pPr>
            <w:r>
              <w:rPr>
                <w:rFonts w:hint="eastAsia"/>
                <w:color w:val="auto"/>
                <w:kern w:val="0"/>
                <w:sz w:val="18"/>
                <w:szCs w:val="18"/>
                <w:highlight w:val="none"/>
                <w:lang w:eastAsia="zh-CN"/>
              </w:rPr>
              <w:t>热轧</w:t>
            </w:r>
          </w:p>
        </w:tc>
        <w:tc>
          <w:tcPr>
            <w:tcW w:w="1666" w:type="pct"/>
            <w:vAlign w:val="center"/>
          </w:tcPr>
          <w:p w14:paraId="49E48C75">
            <w:pPr>
              <w:pStyle w:val="22"/>
              <w:keepNext w:val="0"/>
              <w:keepLines w:val="0"/>
              <w:pageBreakBefore w:val="0"/>
              <w:widowControl/>
              <w:numPr>
                <w:ilvl w:val="0"/>
                <w:numId w:val="0"/>
              </w:numPr>
              <w:kinsoku/>
              <w:wordWrap/>
              <w:overflowPunct/>
              <w:topLinePunct w:val="0"/>
              <w:autoSpaceDE w:val="0"/>
              <w:autoSpaceDN w:val="0"/>
              <w:bidi w:val="0"/>
              <w:adjustRightInd w:val="0"/>
              <w:snapToGrid w:val="0"/>
              <w:ind w:left="0"/>
              <w:jc w:val="center"/>
              <w:textAlignment w:val="auto"/>
              <w:rPr>
                <w:rFonts w:hint="default"/>
                <w:color w:val="auto"/>
                <w:sz w:val="18"/>
                <w:szCs w:val="18"/>
                <w:highlight w:val="none"/>
                <w:vertAlign w:val="baseline"/>
                <w:lang w:val="en-US" w:eastAsia="zh-CN"/>
              </w:rPr>
            </w:pPr>
            <w:r>
              <w:rPr>
                <w:color w:val="auto"/>
                <w:kern w:val="0"/>
                <w:sz w:val="18"/>
                <w:szCs w:val="18"/>
                <w:highlight w:val="none"/>
              </w:rPr>
              <w:t>公称直径的1.2％</w:t>
            </w:r>
          </w:p>
        </w:tc>
      </w:tr>
      <w:tr w14:paraId="5A71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6" w:type="pct"/>
            <w:vMerge w:val="continue"/>
            <w:vAlign w:val="center"/>
          </w:tcPr>
          <w:p w14:paraId="5636AEF3">
            <w:pPr>
              <w:pStyle w:val="22"/>
              <w:keepNext w:val="0"/>
              <w:keepLines w:val="0"/>
              <w:pageBreakBefore w:val="0"/>
              <w:widowControl/>
              <w:numPr>
                <w:ilvl w:val="0"/>
                <w:numId w:val="1"/>
              </w:numPr>
              <w:kinsoku/>
              <w:wordWrap/>
              <w:overflowPunct/>
              <w:topLinePunct w:val="0"/>
              <w:autoSpaceDE w:val="0"/>
              <w:autoSpaceDN w:val="0"/>
              <w:bidi w:val="0"/>
              <w:adjustRightInd w:val="0"/>
              <w:snapToGrid w:val="0"/>
              <w:ind w:left="0" w:leftChars="0" w:firstLine="0" w:firstLineChars="0"/>
              <w:jc w:val="center"/>
              <w:textAlignment w:val="auto"/>
              <w:rPr>
                <w:rFonts w:hint="eastAsia"/>
                <w:color w:val="auto"/>
                <w:sz w:val="18"/>
                <w:szCs w:val="18"/>
                <w:highlight w:val="none"/>
                <w:vertAlign w:val="baseline"/>
                <w:lang w:val="en-US" w:eastAsia="zh-CN"/>
              </w:rPr>
            </w:pPr>
          </w:p>
        </w:tc>
        <w:tc>
          <w:tcPr>
            <w:tcW w:w="1666" w:type="pct"/>
            <w:vAlign w:val="center"/>
          </w:tcPr>
          <w:p w14:paraId="78D58FEA">
            <w:pPr>
              <w:pStyle w:val="22"/>
              <w:keepNext w:val="0"/>
              <w:keepLines w:val="0"/>
              <w:pageBreakBefore w:val="0"/>
              <w:widowControl/>
              <w:numPr>
                <w:ilvl w:val="0"/>
                <w:numId w:val="0"/>
              </w:numPr>
              <w:kinsoku/>
              <w:wordWrap/>
              <w:overflowPunct/>
              <w:topLinePunct w:val="0"/>
              <w:autoSpaceDE w:val="0"/>
              <w:autoSpaceDN w:val="0"/>
              <w:bidi w:val="0"/>
              <w:adjustRightInd w:val="0"/>
              <w:snapToGrid w:val="0"/>
              <w:ind w:left="0"/>
              <w:jc w:val="center"/>
              <w:textAlignment w:val="auto"/>
              <w:rPr>
                <w:color w:val="auto"/>
                <w:kern w:val="0"/>
                <w:sz w:val="18"/>
                <w:szCs w:val="18"/>
                <w:highlight w:val="none"/>
              </w:rPr>
            </w:pPr>
            <w:r>
              <w:rPr>
                <w:rFonts w:hint="eastAsia"/>
                <w:color w:val="auto"/>
                <w:kern w:val="0"/>
                <w:sz w:val="18"/>
                <w:szCs w:val="18"/>
                <w:highlight w:val="none"/>
                <w:lang w:eastAsia="zh-CN"/>
              </w:rPr>
              <w:t>软化或球化退火</w:t>
            </w:r>
          </w:p>
        </w:tc>
        <w:tc>
          <w:tcPr>
            <w:tcW w:w="1666" w:type="pct"/>
            <w:vAlign w:val="center"/>
          </w:tcPr>
          <w:p w14:paraId="4C215109">
            <w:pPr>
              <w:pStyle w:val="22"/>
              <w:keepNext w:val="0"/>
              <w:keepLines w:val="0"/>
              <w:pageBreakBefore w:val="0"/>
              <w:widowControl/>
              <w:numPr>
                <w:ilvl w:val="0"/>
                <w:numId w:val="0"/>
              </w:numPr>
              <w:kinsoku/>
              <w:wordWrap/>
              <w:overflowPunct/>
              <w:topLinePunct w:val="0"/>
              <w:autoSpaceDE w:val="0"/>
              <w:autoSpaceDN w:val="0"/>
              <w:bidi w:val="0"/>
              <w:adjustRightInd w:val="0"/>
              <w:snapToGrid w:val="0"/>
              <w:ind w:left="0"/>
              <w:jc w:val="center"/>
              <w:textAlignment w:val="auto"/>
              <w:rPr>
                <w:color w:val="auto"/>
                <w:kern w:val="0"/>
                <w:sz w:val="18"/>
                <w:szCs w:val="18"/>
                <w:highlight w:val="none"/>
              </w:rPr>
            </w:pPr>
            <w:r>
              <w:rPr>
                <w:strike w:val="0"/>
                <w:dstrike w:val="0"/>
                <w:color w:val="auto"/>
                <w:kern w:val="0"/>
                <w:sz w:val="18"/>
                <w:szCs w:val="18"/>
                <w:highlight w:val="none"/>
              </w:rPr>
              <w:t>公称直径的1.2％</w:t>
            </w:r>
            <w:r>
              <w:rPr>
                <w:rFonts w:hint="eastAsia"/>
                <w:strike w:val="0"/>
                <w:dstrike w:val="0"/>
                <w:color w:val="auto"/>
                <w:kern w:val="0"/>
                <w:sz w:val="18"/>
                <w:szCs w:val="18"/>
                <w:highlight w:val="none"/>
                <w:lang w:eastAsia="zh-CN"/>
              </w:rPr>
              <w:t>加</w:t>
            </w:r>
            <w:r>
              <w:rPr>
                <w:strike w:val="0"/>
                <w:dstrike w:val="0"/>
                <w:color w:val="auto"/>
                <w:kern w:val="0"/>
                <w:sz w:val="18"/>
                <w:szCs w:val="18"/>
                <w:highlight w:val="none"/>
              </w:rPr>
              <w:t>0.15</w:t>
            </w:r>
          </w:p>
        </w:tc>
      </w:tr>
      <w:tr w14:paraId="42C3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666" w:type="pct"/>
            <w:vMerge w:val="restart"/>
            <w:vAlign w:val="center"/>
          </w:tcPr>
          <w:p w14:paraId="33A326A6">
            <w:pPr>
              <w:pStyle w:val="22"/>
              <w:keepNext w:val="0"/>
              <w:keepLines w:val="0"/>
              <w:pageBreakBefore w:val="0"/>
              <w:widowControl/>
              <w:numPr>
                <w:ilvl w:val="0"/>
                <w:numId w:val="0"/>
              </w:numPr>
              <w:kinsoku/>
              <w:wordWrap/>
              <w:overflowPunct/>
              <w:topLinePunct w:val="0"/>
              <w:autoSpaceDE w:val="0"/>
              <w:autoSpaceDN w:val="0"/>
              <w:bidi w:val="0"/>
              <w:adjustRightInd w:val="0"/>
              <w:snapToGrid w:val="0"/>
              <w:ind w:left="0"/>
              <w:jc w:val="center"/>
              <w:textAlignment w:val="auto"/>
              <w:rPr>
                <w:rFonts w:hint="default" w:eastAsia="宋体"/>
                <w:color w:val="auto"/>
                <w:sz w:val="18"/>
                <w:szCs w:val="18"/>
                <w:highlight w:val="none"/>
                <w:vertAlign w:val="baseline"/>
                <w:lang w:val="en-US" w:eastAsia="zh-CN"/>
              </w:rPr>
            </w:pPr>
            <w:r>
              <w:rPr>
                <w:rFonts w:hint="eastAsia"/>
                <w:color w:val="auto"/>
                <w:sz w:val="18"/>
                <w:szCs w:val="18"/>
                <w:highlight w:val="none"/>
                <w:vertAlign w:val="baseline"/>
                <w:lang w:val="en-US" w:eastAsia="zh-CN"/>
              </w:rPr>
              <w:t>＞30</w:t>
            </w:r>
            <w:r>
              <w:rPr>
                <w:rFonts w:hint="eastAsia" w:ascii="宋体" w:hAnsi="宋体" w:eastAsia="宋体" w:cs="宋体"/>
                <w:color w:val="auto"/>
                <w:sz w:val="18"/>
                <w:szCs w:val="18"/>
                <w:highlight w:val="none"/>
              </w:rPr>
              <w:t>～</w:t>
            </w:r>
            <w:r>
              <w:rPr>
                <w:rFonts w:hint="eastAsia" w:hAnsi="宋体" w:cs="宋体"/>
                <w:color w:val="auto"/>
                <w:sz w:val="18"/>
                <w:szCs w:val="18"/>
                <w:highlight w:val="none"/>
                <w:lang w:val="en-US" w:eastAsia="zh-CN"/>
              </w:rPr>
              <w:t>200</w:t>
            </w:r>
          </w:p>
        </w:tc>
        <w:tc>
          <w:tcPr>
            <w:tcW w:w="1666" w:type="pct"/>
            <w:vAlign w:val="center"/>
          </w:tcPr>
          <w:p w14:paraId="349BC6C9">
            <w:pPr>
              <w:pStyle w:val="22"/>
              <w:keepNext w:val="0"/>
              <w:keepLines w:val="0"/>
              <w:pageBreakBefore w:val="0"/>
              <w:widowControl/>
              <w:numPr>
                <w:ilvl w:val="0"/>
                <w:numId w:val="0"/>
              </w:numPr>
              <w:kinsoku/>
              <w:wordWrap/>
              <w:overflowPunct/>
              <w:topLinePunct w:val="0"/>
              <w:autoSpaceDE w:val="0"/>
              <w:autoSpaceDN w:val="0"/>
              <w:bidi w:val="0"/>
              <w:adjustRightInd w:val="0"/>
              <w:snapToGrid w:val="0"/>
              <w:ind w:left="0"/>
              <w:jc w:val="center"/>
              <w:textAlignment w:val="auto"/>
              <w:rPr>
                <w:rFonts w:hint="default"/>
                <w:color w:val="auto"/>
                <w:sz w:val="18"/>
                <w:szCs w:val="18"/>
                <w:highlight w:val="none"/>
                <w:vertAlign w:val="baseline"/>
                <w:lang w:val="en-US" w:eastAsia="zh-CN"/>
              </w:rPr>
            </w:pPr>
            <w:r>
              <w:rPr>
                <w:rFonts w:hint="eastAsia"/>
                <w:color w:val="auto"/>
                <w:kern w:val="0"/>
                <w:sz w:val="18"/>
                <w:szCs w:val="18"/>
                <w:highlight w:val="none"/>
                <w:lang w:eastAsia="zh-CN"/>
              </w:rPr>
              <w:t>热轧</w:t>
            </w:r>
          </w:p>
        </w:tc>
        <w:tc>
          <w:tcPr>
            <w:tcW w:w="1666" w:type="pct"/>
            <w:vAlign w:val="center"/>
          </w:tcPr>
          <w:p w14:paraId="4B0C184F">
            <w:pPr>
              <w:pStyle w:val="22"/>
              <w:keepNext w:val="0"/>
              <w:keepLines w:val="0"/>
              <w:pageBreakBefore w:val="0"/>
              <w:widowControl/>
              <w:numPr>
                <w:ilvl w:val="0"/>
                <w:numId w:val="0"/>
              </w:numPr>
              <w:kinsoku/>
              <w:wordWrap/>
              <w:overflowPunct/>
              <w:topLinePunct w:val="0"/>
              <w:autoSpaceDE w:val="0"/>
              <w:autoSpaceDN w:val="0"/>
              <w:bidi w:val="0"/>
              <w:adjustRightInd w:val="0"/>
              <w:snapToGrid w:val="0"/>
              <w:ind w:left="0"/>
              <w:jc w:val="center"/>
              <w:textAlignment w:val="auto"/>
              <w:rPr>
                <w:rFonts w:hint="default"/>
                <w:color w:val="auto"/>
                <w:sz w:val="18"/>
                <w:szCs w:val="18"/>
                <w:highlight w:val="none"/>
                <w:vertAlign w:val="baseline"/>
                <w:lang w:val="en-US" w:eastAsia="zh-CN"/>
              </w:rPr>
            </w:pPr>
            <w:r>
              <w:rPr>
                <w:strike w:val="0"/>
                <w:dstrike w:val="0"/>
                <w:color w:val="auto"/>
                <w:kern w:val="0"/>
                <w:sz w:val="18"/>
                <w:szCs w:val="18"/>
                <w:highlight w:val="none"/>
              </w:rPr>
              <w:t>公称直径的1％</w:t>
            </w:r>
          </w:p>
        </w:tc>
      </w:tr>
      <w:tr w14:paraId="7F03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666" w:type="pct"/>
            <w:vMerge w:val="continue"/>
            <w:vAlign w:val="center"/>
          </w:tcPr>
          <w:p w14:paraId="19DCD812">
            <w:pPr>
              <w:pStyle w:val="22"/>
              <w:keepNext w:val="0"/>
              <w:keepLines w:val="0"/>
              <w:pageBreakBefore w:val="0"/>
              <w:widowControl/>
              <w:numPr>
                <w:ilvl w:val="0"/>
                <w:numId w:val="1"/>
              </w:numPr>
              <w:kinsoku/>
              <w:wordWrap/>
              <w:overflowPunct/>
              <w:topLinePunct w:val="0"/>
              <w:autoSpaceDE w:val="0"/>
              <w:autoSpaceDN w:val="0"/>
              <w:bidi w:val="0"/>
              <w:adjustRightInd w:val="0"/>
              <w:snapToGrid w:val="0"/>
              <w:ind w:left="0"/>
              <w:jc w:val="center"/>
              <w:textAlignment w:val="auto"/>
              <w:rPr>
                <w:rFonts w:hint="eastAsia"/>
                <w:color w:val="auto"/>
                <w:sz w:val="18"/>
                <w:szCs w:val="18"/>
                <w:highlight w:val="none"/>
                <w:vertAlign w:val="baseline"/>
                <w:lang w:val="en-US" w:eastAsia="zh-CN"/>
              </w:rPr>
            </w:pPr>
          </w:p>
        </w:tc>
        <w:tc>
          <w:tcPr>
            <w:tcW w:w="1666" w:type="pct"/>
            <w:vAlign w:val="center"/>
          </w:tcPr>
          <w:p w14:paraId="2D2B56E9">
            <w:pPr>
              <w:pStyle w:val="22"/>
              <w:keepNext w:val="0"/>
              <w:keepLines w:val="0"/>
              <w:pageBreakBefore w:val="0"/>
              <w:widowControl/>
              <w:numPr>
                <w:ilvl w:val="0"/>
                <w:numId w:val="0"/>
              </w:numPr>
              <w:kinsoku/>
              <w:wordWrap/>
              <w:overflowPunct/>
              <w:topLinePunct w:val="0"/>
              <w:autoSpaceDE w:val="0"/>
              <w:autoSpaceDN w:val="0"/>
              <w:bidi w:val="0"/>
              <w:adjustRightInd w:val="0"/>
              <w:snapToGrid w:val="0"/>
              <w:ind w:left="0"/>
              <w:jc w:val="center"/>
              <w:textAlignment w:val="auto"/>
              <w:rPr>
                <w:rFonts w:hint="default"/>
                <w:color w:val="auto"/>
                <w:sz w:val="18"/>
                <w:szCs w:val="18"/>
                <w:highlight w:val="none"/>
                <w:vertAlign w:val="baseline"/>
                <w:lang w:val="en-US" w:eastAsia="zh-CN"/>
              </w:rPr>
            </w:pPr>
            <w:r>
              <w:rPr>
                <w:rFonts w:hint="eastAsia"/>
                <w:color w:val="auto"/>
                <w:kern w:val="0"/>
                <w:sz w:val="18"/>
                <w:szCs w:val="18"/>
                <w:highlight w:val="none"/>
                <w:lang w:eastAsia="zh-CN"/>
              </w:rPr>
              <w:t>软化或球化退火</w:t>
            </w:r>
          </w:p>
        </w:tc>
        <w:tc>
          <w:tcPr>
            <w:tcW w:w="1666" w:type="pct"/>
            <w:vAlign w:val="center"/>
          </w:tcPr>
          <w:p w14:paraId="7C5B3C35">
            <w:pPr>
              <w:pStyle w:val="22"/>
              <w:keepNext w:val="0"/>
              <w:keepLines w:val="0"/>
              <w:pageBreakBefore w:val="0"/>
              <w:widowControl/>
              <w:numPr>
                <w:ilvl w:val="0"/>
                <w:numId w:val="0"/>
              </w:numPr>
              <w:kinsoku/>
              <w:wordWrap/>
              <w:overflowPunct/>
              <w:topLinePunct w:val="0"/>
              <w:autoSpaceDE w:val="0"/>
              <w:autoSpaceDN w:val="0"/>
              <w:bidi w:val="0"/>
              <w:adjustRightInd w:val="0"/>
              <w:snapToGrid w:val="0"/>
              <w:ind w:left="0"/>
              <w:jc w:val="center"/>
              <w:textAlignment w:val="auto"/>
              <w:rPr>
                <w:rFonts w:hint="default"/>
                <w:color w:val="auto"/>
                <w:sz w:val="18"/>
                <w:szCs w:val="18"/>
                <w:highlight w:val="none"/>
                <w:vertAlign w:val="baseline"/>
                <w:lang w:val="en-US" w:eastAsia="zh-CN"/>
              </w:rPr>
            </w:pPr>
            <w:r>
              <w:rPr>
                <w:strike w:val="0"/>
                <w:dstrike w:val="0"/>
                <w:color w:val="auto"/>
                <w:kern w:val="0"/>
                <w:sz w:val="18"/>
                <w:szCs w:val="18"/>
                <w:highlight w:val="none"/>
              </w:rPr>
              <w:t>公称直径的1％</w:t>
            </w:r>
            <w:r>
              <w:rPr>
                <w:rFonts w:hint="eastAsia"/>
                <w:strike w:val="0"/>
                <w:dstrike w:val="0"/>
                <w:color w:val="auto"/>
                <w:kern w:val="0"/>
                <w:sz w:val="18"/>
                <w:szCs w:val="18"/>
                <w:highlight w:val="none"/>
                <w:lang w:eastAsia="zh-CN"/>
              </w:rPr>
              <w:t>加</w:t>
            </w:r>
            <w:r>
              <w:rPr>
                <w:strike w:val="0"/>
                <w:dstrike w:val="0"/>
                <w:color w:val="auto"/>
                <w:kern w:val="0"/>
                <w:sz w:val="18"/>
                <w:szCs w:val="18"/>
                <w:highlight w:val="none"/>
              </w:rPr>
              <w:t>0.15</w:t>
            </w:r>
          </w:p>
        </w:tc>
      </w:tr>
    </w:tbl>
    <w:p w14:paraId="7E6ACBE7">
      <w:pPr>
        <w:pStyle w:val="47"/>
        <w:numPr>
          <w:ilvl w:val="1"/>
          <w:numId w:val="6"/>
        </w:numPr>
        <w:spacing w:before="156" w:after="156"/>
        <w:jc w:val="both"/>
        <w:rPr>
          <w:rFonts w:ascii="Times New Roman"/>
        </w:rPr>
      </w:pPr>
      <w:r>
        <w:rPr>
          <w:rFonts w:hint="eastAsia" w:ascii="Times New Roman"/>
        </w:rPr>
        <w:t>显微组织</w:t>
      </w:r>
    </w:p>
    <w:p w14:paraId="03B660C8">
      <w:pPr>
        <w:pStyle w:val="22"/>
        <w:rPr>
          <w:rFonts w:hAnsi="宋体"/>
          <w:color w:val="auto"/>
        </w:rPr>
      </w:pPr>
      <w:r>
        <w:rPr>
          <w:rFonts w:hint="eastAsia"/>
          <w:color w:val="auto"/>
        </w:rPr>
        <w:t>球化退火</w:t>
      </w:r>
      <w:r>
        <w:rPr>
          <w:rFonts w:hint="eastAsia" w:ascii="宋体" w:hAnsi="宋体" w:eastAsia="宋体" w:cs="宋体"/>
          <w:lang w:eastAsia="zh-CN"/>
        </w:rPr>
        <w:t>圆钢</w:t>
      </w:r>
      <w:r>
        <w:rPr>
          <w:rFonts w:hint="eastAsia"/>
          <w:color w:val="auto"/>
        </w:rPr>
        <w:t>的显微组织应为细小、均匀、完全球化的珠光体组织</w:t>
      </w:r>
      <w:r>
        <w:rPr>
          <w:rFonts w:hint="eastAsia" w:hAnsi="宋体"/>
          <w:color w:val="auto"/>
        </w:rPr>
        <w:t>，其合格级别应符合表</w:t>
      </w:r>
      <w:r>
        <w:rPr>
          <w:rFonts w:hint="eastAsia" w:hAnsi="宋体"/>
          <w:color w:val="auto"/>
          <w:lang w:val="en-US" w:eastAsia="zh-CN"/>
        </w:rPr>
        <w:t>7</w:t>
      </w:r>
      <w:r>
        <w:rPr>
          <w:rFonts w:hint="eastAsia" w:hAnsi="宋体"/>
          <w:color w:val="auto"/>
        </w:rPr>
        <w:t>的规定。</w:t>
      </w:r>
    </w:p>
    <w:p w14:paraId="30FBE7D0">
      <w:pPr>
        <w:pStyle w:val="77"/>
        <w:keepNext w:val="0"/>
        <w:keepLines w:val="0"/>
        <w:pageBreakBefore w:val="0"/>
        <w:widowControl/>
        <w:kinsoku/>
        <w:wordWrap/>
        <w:overflowPunct/>
        <w:topLinePunct w:val="0"/>
        <w:bidi w:val="0"/>
        <w:adjustRightInd/>
        <w:snapToGrid/>
        <w:spacing w:before="156" w:after="156"/>
        <w:ind w:left="0"/>
        <w:textAlignment w:val="auto"/>
        <w:rPr>
          <w:rFonts w:hint="eastAsia" w:ascii="Times New Roman"/>
          <w:color w:val="auto"/>
          <w:lang w:val="en-US" w:eastAsia="zh-CN"/>
        </w:rPr>
      </w:pPr>
      <w:r>
        <w:rPr>
          <w:rFonts w:hint="eastAsia" w:ascii="Times New Roman"/>
          <w:color w:val="auto"/>
          <w:lang w:val="en-US" w:eastAsia="zh-CN"/>
        </w:rPr>
        <w:t>显微组织合格级别</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3"/>
        <w:gridCol w:w="1912"/>
        <w:gridCol w:w="1912"/>
        <w:gridCol w:w="4263"/>
      </w:tblGrid>
      <w:tr w14:paraId="0952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pct"/>
          </w:tcPr>
          <w:p w14:paraId="260FFC35">
            <w:pPr>
              <w:jc w:val="center"/>
              <w:rPr>
                <w:rFonts w:ascii="宋体" w:hAnsi="宋体"/>
                <w:color w:val="auto"/>
                <w:sz w:val="18"/>
                <w:szCs w:val="18"/>
              </w:rPr>
            </w:pPr>
            <w:r>
              <w:rPr>
                <w:rFonts w:hint="eastAsia" w:ascii="宋体" w:hAnsi="宋体"/>
                <w:color w:val="auto"/>
                <w:sz w:val="18"/>
                <w:szCs w:val="18"/>
              </w:rPr>
              <w:t>交货状态</w:t>
            </w:r>
          </w:p>
        </w:tc>
        <w:tc>
          <w:tcPr>
            <w:tcW w:w="999" w:type="pct"/>
          </w:tcPr>
          <w:p w14:paraId="4CBA8BEF">
            <w:pPr>
              <w:jc w:val="center"/>
              <w:rPr>
                <w:rFonts w:ascii="宋体" w:hAnsi="宋体"/>
                <w:color w:val="auto"/>
                <w:sz w:val="18"/>
                <w:szCs w:val="18"/>
              </w:rPr>
            </w:pPr>
            <w:r>
              <w:rPr>
                <w:rFonts w:hint="eastAsia" w:ascii="宋体" w:hAnsi="宋体"/>
                <w:color w:val="auto"/>
                <w:sz w:val="18"/>
                <w:szCs w:val="18"/>
              </w:rPr>
              <w:t>公称直径/mm</w:t>
            </w:r>
          </w:p>
        </w:tc>
        <w:tc>
          <w:tcPr>
            <w:tcW w:w="999" w:type="pct"/>
          </w:tcPr>
          <w:p w14:paraId="2E94F770">
            <w:pPr>
              <w:jc w:val="center"/>
              <w:rPr>
                <w:rFonts w:ascii="宋体" w:hAnsi="宋体"/>
                <w:color w:val="auto"/>
                <w:sz w:val="18"/>
                <w:szCs w:val="18"/>
              </w:rPr>
            </w:pPr>
            <w:r>
              <w:rPr>
                <w:rFonts w:hint="eastAsia" w:ascii="宋体" w:hAnsi="宋体"/>
                <w:color w:val="auto"/>
                <w:sz w:val="18"/>
                <w:szCs w:val="18"/>
              </w:rPr>
              <w:t>合格级别/级</w:t>
            </w:r>
          </w:p>
        </w:tc>
        <w:tc>
          <w:tcPr>
            <w:tcW w:w="2228" w:type="pct"/>
          </w:tcPr>
          <w:p w14:paraId="0CCD7D02">
            <w:pPr>
              <w:jc w:val="center"/>
              <w:rPr>
                <w:rFonts w:ascii="宋体" w:hAnsi="宋体"/>
                <w:color w:val="auto"/>
                <w:sz w:val="18"/>
                <w:szCs w:val="18"/>
              </w:rPr>
            </w:pPr>
            <w:r>
              <w:rPr>
                <w:rFonts w:hint="eastAsia" w:ascii="宋体" w:hAnsi="宋体"/>
                <w:color w:val="auto"/>
                <w:sz w:val="18"/>
                <w:szCs w:val="18"/>
              </w:rPr>
              <w:t>评级图</w:t>
            </w:r>
          </w:p>
        </w:tc>
      </w:tr>
      <w:tr w14:paraId="1AB3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pct"/>
            <w:vMerge w:val="restart"/>
            <w:vAlign w:val="center"/>
          </w:tcPr>
          <w:p w14:paraId="7FAA95C2">
            <w:pPr>
              <w:jc w:val="center"/>
              <w:rPr>
                <w:rFonts w:ascii="宋体" w:hAnsi="宋体"/>
                <w:color w:val="auto"/>
                <w:sz w:val="18"/>
                <w:szCs w:val="18"/>
              </w:rPr>
            </w:pPr>
            <w:r>
              <w:rPr>
                <w:rFonts w:hint="eastAsia" w:ascii="宋体" w:hAnsi="宋体"/>
                <w:color w:val="auto"/>
                <w:sz w:val="18"/>
                <w:szCs w:val="18"/>
              </w:rPr>
              <w:t>球化退火</w:t>
            </w:r>
          </w:p>
        </w:tc>
        <w:tc>
          <w:tcPr>
            <w:tcW w:w="999" w:type="pct"/>
          </w:tcPr>
          <w:p w14:paraId="2389F9A0">
            <w:pPr>
              <w:jc w:val="center"/>
              <w:rPr>
                <w:rFonts w:hint="eastAsia" w:ascii="宋体" w:hAnsi="宋体" w:eastAsia="宋体" w:cs="宋体"/>
                <w:color w:val="auto"/>
                <w:sz w:val="18"/>
                <w:szCs w:val="18"/>
              </w:rPr>
            </w:pPr>
            <w:r>
              <w:rPr>
                <w:rFonts w:hint="eastAsia" w:ascii="宋体" w:hAnsi="宋体" w:eastAsia="宋体" w:cs="宋体"/>
                <w:color w:val="auto"/>
                <w:sz w:val="18"/>
                <w:szCs w:val="18"/>
                <w:highlight w:val="none"/>
                <w:vertAlign w:val="baseline"/>
                <w:lang w:val="en-US" w:eastAsia="zh-CN"/>
              </w:rPr>
              <w:t>16</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rPr>
              <w:t>60</w:t>
            </w:r>
          </w:p>
        </w:tc>
        <w:tc>
          <w:tcPr>
            <w:tcW w:w="999" w:type="pct"/>
          </w:tcPr>
          <w:p w14:paraId="0AE4CAB4">
            <w:pPr>
              <w:jc w:val="center"/>
              <w:rPr>
                <w:rFonts w:ascii="宋体" w:hAnsi="宋体"/>
                <w:color w:val="auto"/>
                <w:sz w:val="18"/>
                <w:szCs w:val="18"/>
              </w:rPr>
            </w:pPr>
            <w:r>
              <w:rPr>
                <w:rFonts w:hint="eastAsia" w:ascii="宋体" w:hAnsi="宋体"/>
                <w:color w:val="auto"/>
                <w:sz w:val="18"/>
                <w:szCs w:val="18"/>
              </w:rPr>
              <w:t>2～4</w:t>
            </w:r>
          </w:p>
        </w:tc>
        <w:tc>
          <w:tcPr>
            <w:tcW w:w="2228" w:type="pct"/>
            <w:vMerge w:val="restart"/>
            <w:vAlign w:val="center"/>
          </w:tcPr>
          <w:p w14:paraId="29E7CF22">
            <w:pPr>
              <w:jc w:val="center"/>
              <w:rPr>
                <w:rFonts w:ascii="宋体" w:hAnsi="宋体"/>
                <w:color w:val="auto"/>
                <w:sz w:val="18"/>
                <w:szCs w:val="18"/>
              </w:rPr>
            </w:pPr>
            <w:r>
              <w:rPr>
                <w:rFonts w:hint="eastAsia" w:ascii="宋体" w:hAnsi="宋体"/>
                <w:color w:val="auto"/>
                <w:sz w:val="18"/>
                <w:szCs w:val="18"/>
              </w:rPr>
              <w:t>GB/T 18254</w:t>
            </w:r>
            <w:r>
              <w:rPr>
                <w:rFonts w:hint="eastAsia" w:ascii="宋体" w:hAnsi="宋体"/>
                <w:color w:val="auto"/>
                <w:sz w:val="18"/>
                <w:szCs w:val="18"/>
                <w:lang w:eastAsia="zh-CN"/>
              </w:rPr>
              <w:t>—</w:t>
            </w:r>
            <w:r>
              <w:rPr>
                <w:rFonts w:hint="eastAsia" w:ascii="宋体" w:hAnsi="宋体"/>
                <w:color w:val="auto"/>
                <w:sz w:val="18"/>
                <w:szCs w:val="18"/>
              </w:rPr>
              <w:t>2016附录A</w:t>
            </w:r>
            <w:r>
              <w:rPr>
                <w:rFonts w:hint="eastAsia" w:ascii="宋体" w:hAnsi="宋体"/>
                <w:color w:val="auto"/>
                <w:sz w:val="18"/>
                <w:szCs w:val="18"/>
                <w:lang w:eastAsia="zh-CN"/>
              </w:rPr>
              <w:t>中</w:t>
            </w:r>
            <w:r>
              <w:rPr>
                <w:rFonts w:hint="eastAsia" w:ascii="宋体" w:hAnsi="宋体"/>
                <w:color w:val="auto"/>
                <w:sz w:val="18"/>
                <w:szCs w:val="18"/>
              </w:rPr>
              <w:t>第5评级图</w:t>
            </w:r>
          </w:p>
        </w:tc>
      </w:tr>
      <w:tr w14:paraId="609D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pct"/>
            <w:vMerge w:val="continue"/>
          </w:tcPr>
          <w:p w14:paraId="1DBEFD9C">
            <w:pPr>
              <w:jc w:val="center"/>
              <w:rPr>
                <w:rFonts w:ascii="宋体" w:hAnsi="宋体"/>
                <w:sz w:val="18"/>
                <w:szCs w:val="18"/>
              </w:rPr>
            </w:pPr>
          </w:p>
        </w:tc>
        <w:tc>
          <w:tcPr>
            <w:tcW w:w="999" w:type="pct"/>
          </w:tcPr>
          <w:p w14:paraId="699B1F9A">
            <w:pPr>
              <w:jc w:val="center"/>
              <w:rPr>
                <w:rFonts w:hint="eastAsia" w:ascii="宋体" w:hAnsi="宋体" w:eastAsia="宋体" w:cs="宋体"/>
                <w:sz w:val="18"/>
                <w:szCs w:val="18"/>
              </w:rPr>
            </w:pPr>
            <w:r>
              <w:rPr>
                <w:rFonts w:hint="eastAsia" w:ascii="宋体" w:hAnsi="宋体" w:eastAsia="宋体" w:cs="宋体"/>
                <w:color w:val="auto"/>
                <w:sz w:val="18"/>
                <w:szCs w:val="18"/>
              </w:rPr>
              <w:t>＞60</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200</w:t>
            </w:r>
          </w:p>
        </w:tc>
        <w:tc>
          <w:tcPr>
            <w:tcW w:w="999" w:type="pct"/>
          </w:tcPr>
          <w:p w14:paraId="5625A8BA">
            <w:pPr>
              <w:jc w:val="center"/>
              <w:rPr>
                <w:rFonts w:hint="eastAsia" w:ascii="宋体" w:hAnsi="宋体" w:eastAsia="宋体"/>
                <w:sz w:val="18"/>
                <w:szCs w:val="18"/>
                <w:lang w:val="en-US" w:eastAsia="zh-CN"/>
              </w:rPr>
            </w:pPr>
            <w:r>
              <w:rPr>
                <w:rFonts w:hint="eastAsia" w:ascii="宋体" w:hAnsi="宋体"/>
                <w:sz w:val="18"/>
                <w:szCs w:val="18"/>
              </w:rPr>
              <w:t>协</w:t>
            </w:r>
            <w:r>
              <w:rPr>
                <w:rFonts w:hint="eastAsia" w:ascii="宋体" w:hAnsi="宋体"/>
                <w:sz w:val="18"/>
                <w:szCs w:val="18"/>
                <w:lang w:eastAsia="zh-CN"/>
              </w:rPr>
              <w:t>商</w:t>
            </w:r>
          </w:p>
        </w:tc>
        <w:tc>
          <w:tcPr>
            <w:tcW w:w="2228" w:type="pct"/>
            <w:vMerge w:val="continue"/>
          </w:tcPr>
          <w:p w14:paraId="36BA01B0">
            <w:pPr>
              <w:jc w:val="center"/>
              <w:rPr>
                <w:rFonts w:ascii="宋体" w:hAnsi="宋体"/>
                <w:sz w:val="18"/>
                <w:szCs w:val="18"/>
              </w:rPr>
            </w:pPr>
          </w:p>
        </w:tc>
      </w:tr>
    </w:tbl>
    <w:p w14:paraId="7AE880EC">
      <w:pPr>
        <w:pStyle w:val="47"/>
        <w:numPr>
          <w:ilvl w:val="1"/>
          <w:numId w:val="6"/>
        </w:numPr>
        <w:spacing w:before="156" w:after="156"/>
        <w:jc w:val="both"/>
        <w:rPr>
          <w:rFonts w:ascii="Times New Roman"/>
          <w:highlight w:val="none"/>
        </w:rPr>
      </w:pPr>
      <w:r>
        <w:rPr>
          <w:rFonts w:ascii="Times New Roman"/>
          <w:highlight w:val="none"/>
        </w:rPr>
        <w:t>碳化物不均匀性</w:t>
      </w:r>
    </w:p>
    <w:p w14:paraId="21E74098">
      <w:pPr>
        <w:pStyle w:val="143"/>
        <w:rPr>
          <w:rFonts w:hint="eastAsia" w:ascii="宋体" w:hAnsi="宋体" w:eastAsia="宋体" w:cs="宋体"/>
          <w:color w:val="auto"/>
          <w:szCs w:val="21"/>
          <w:highlight w:val="none"/>
        </w:rPr>
      </w:pPr>
      <w:r>
        <w:rPr>
          <w:rFonts w:hint="eastAsia" w:ascii="宋体" w:hAnsi="宋体" w:eastAsia="宋体" w:cs="宋体"/>
          <w:lang w:eastAsia="zh-CN"/>
        </w:rPr>
        <w:t>圆钢</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碳化物网状和碳化物</w:t>
      </w:r>
      <w:r>
        <w:rPr>
          <w:rFonts w:hint="eastAsia" w:ascii="宋体" w:hAnsi="宋体" w:eastAsia="宋体" w:cs="宋体"/>
          <w:color w:val="auto"/>
          <w:szCs w:val="21"/>
          <w:highlight w:val="none"/>
          <w:lang w:eastAsia="zh-CN"/>
        </w:rPr>
        <w:t>带状按</w:t>
      </w:r>
      <w:r>
        <w:rPr>
          <w:rFonts w:hint="eastAsia" w:ascii="宋体" w:hAnsi="宋体" w:eastAsia="宋体" w:cs="宋体"/>
          <w:color w:val="auto"/>
          <w:szCs w:val="21"/>
          <w:highlight w:val="none"/>
        </w:rPr>
        <w:t>SEP</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1520</w:t>
      </w:r>
      <w:r>
        <w:rPr>
          <w:rFonts w:hint="eastAsia" w:ascii="宋体" w:hAnsi="宋体" w:cs="宋体"/>
          <w:color w:val="auto"/>
          <w:szCs w:val="21"/>
          <w:highlight w:val="none"/>
          <w:lang w:val="en-US" w:eastAsia="zh-CN"/>
        </w:rPr>
        <w:t>:1998</w:t>
      </w:r>
      <w:r>
        <w:rPr>
          <w:rFonts w:hint="eastAsia" w:ascii="宋体" w:hAnsi="宋体" w:eastAsia="宋体" w:cs="宋体"/>
          <w:color w:val="auto"/>
          <w:szCs w:val="21"/>
          <w:highlight w:val="none"/>
        </w:rPr>
        <w:t>进行评</w:t>
      </w:r>
      <w:r>
        <w:rPr>
          <w:rFonts w:hint="eastAsia" w:ascii="宋体" w:hAnsi="宋体" w:eastAsia="宋体" w:cs="宋体"/>
          <w:color w:val="auto"/>
          <w:szCs w:val="21"/>
          <w:highlight w:val="none"/>
          <w:lang w:eastAsia="zh-CN"/>
        </w:rPr>
        <w:t>级</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合格级别</w:t>
      </w:r>
      <w:r>
        <w:rPr>
          <w:rFonts w:hint="eastAsia" w:ascii="宋体" w:hAnsi="宋体" w:eastAsia="宋体" w:cs="宋体"/>
          <w:color w:val="auto"/>
          <w:szCs w:val="21"/>
          <w:highlight w:val="none"/>
        </w:rPr>
        <w:t>应符合表</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的规定</w:t>
      </w:r>
      <w:r>
        <w:rPr>
          <w:rFonts w:hint="eastAsia" w:ascii="宋体" w:hAnsi="宋体" w:eastAsia="宋体" w:cs="宋体"/>
          <w:color w:val="auto"/>
          <w:szCs w:val="21"/>
          <w:highlight w:val="none"/>
        </w:rPr>
        <w:t>。</w:t>
      </w:r>
    </w:p>
    <w:p w14:paraId="3194C0B0">
      <w:pPr>
        <w:pStyle w:val="77"/>
        <w:keepNext w:val="0"/>
        <w:keepLines w:val="0"/>
        <w:pageBreakBefore w:val="0"/>
        <w:widowControl/>
        <w:kinsoku/>
        <w:wordWrap/>
        <w:overflowPunct/>
        <w:topLinePunct w:val="0"/>
        <w:bidi w:val="0"/>
        <w:adjustRightInd/>
        <w:snapToGrid/>
        <w:spacing w:before="156" w:after="156"/>
        <w:ind w:left="0"/>
        <w:textAlignment w:val="auto"/>
        <w:rPr>
          <w:rFonts w:hint="eastAsia" w:ascii="Times New Roman"/>
          <w:color w:val="auto"/>
          <w:lang w:val="en-US" w:eastAsia="zh-CN"/>
        </w:rPr>
      </w:pPr>
      <w:r>
        <w:rPr>
          <w:rFonts w:hint="eastAsia" w:ascii="Times New Roman"/>
          <w:color w:val="auto"/>
          <w:lang w:val="en-US" w:eastAsia="zh-CN"/>
        </w:rPr>
        <w:t>碳化物网状和碳化物带状合格级别</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1659"/>
        <w:gridCol w:w="945"/>
        <w:gridCol w:w="947"/>
        <w:gridCol w:w="1986"/>
        <w:gridCol w:w="947"/>
        <w:gridCol w:w="950"/>
      </w:tblGrid>
      <w:tr w14:paraId="2D20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14" w:type="pct"/>
            <w:vMerge w:val="restart"/>
            <w:vAlign w:val="center"/>
          </w:tcPr>
          <w:p w14:paraId="4D2C4DD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用途</w:t>
            </w:r>
          </w:p>
        </w:tc>
        <w:tc>
          <w:tcPr>
            <w:tcW w:w="867" w:type="pct"/>
            <w:vMerge w:val="restart"/>
            <w:vAlign w:val="center"/>
          </w:tcPr>
          <w:p w14:paraId="33CD95B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eastAsia="zh-CN"/>
              </w:rPr>
              <w:t>公称直径</w:t>
            </w:r>
            <w:r>
              <w:rPr>
                <w:rFonts w:hint="eastAsia" w:ascii="宋体" w:hAnsi="宋体" w:eastAsia="宋体" w:cs="宋体"/>
                <w:color w:val="auto"/>
                <w:kern w:val="0"/>
                <w:sz w:val="18"/>
                <w:szCs w:val="18"/>
                <w:highlight w:val="none"/>
                <w:lang w:val="en-US" w:eastAsia="zh-CN"/>
              </w:rPr>
              <w:t>/mm</w:t>
            </w:r>
          </w:p>
        </w:tc>
        <w:tc>
          <w:tcPr>
            <w:tcW w:w="989" w:type="pct"/>
            <w:gridSpan w:val="2"/>
            <w:vAlign w:val="center"/>
          </w:tcPr>
          <w:p w14:paraId="4B8E891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碳化物网状CN</w:t>
            </w:r>
            <w:r>
              <w:rPr>
                <w:rFonts w:hint="eastAsia" w:ascii="宋体" w:hAnsi="宋体" w:cs="宋体"/>
                <w:color w:val="auto"/>
                <w:kern w:val="0"/>
                <w:sz w:val="18"/>
                <w:szCs w:val="18"/>
                <w:highlight w:val="none"/>
                <w:lang w:val="en-US" w:eastAsia="zh-CN"/>
              </w:rPr>
              <w:t>5</w:t>
            </w:r>
          </w:p>
          <w:p w14:paraId="779A0CD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级，不大于</w:t>
            </w:r>
          </w:p>
        </w:tc>
        <w:tc>
          <w:tcPr>
            <w:tcW w:w="1036" w:type="pct"/>
            <w:vAlign w:val="center"/>
          </w:tcPr>
          <w:p w14:paraId="53617FB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碳化物带状CZ</w:t>
            </w:r>
            <w:r>
              <w:rPr>
                <w:rFonts w:hint="eastAsia" w:ascii="宋体" w:hAnsi="宋体" w:cs="宋体"/>
                <w:color w:val="auto"/>
                <w:kern w:val="0"/>
                <w:sz w:val="18"/>
                <w:szCs w:val="18"/>
                <w:highlight w:val="none"/>
                <w:lang w:val="en-US" w:eastAsia="zh-CN"/>
              </w:rPr>
              <w:t>6</w:t>
            </w:r>
          </w:p>
          <w:p w14:paraId="26E4FCB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级，不大于</w:t>
            </w:r>
          </w:p>
        </w:tc>
        <w:tc>
          <w:tcPr>
            <w:tcW w:w="991" w:type="pct"/>
            <w:gridSpan w:val="2"/>
            <w:vAlign w:val="center"/>
          </w:tcPr>
          <w:p w14:paraId="011F338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碳化物带状CZ</w:t>
            </w:r>
            <w:r>
              <w:rPr>
                <w:rFonts w:hint="eastAsia" w:ascii="宋体" w:hAnsi="宋体" w:cs="宋体"/>
                <w:color w:val="auto"/>
                <w:kern w:val="0"/>
                <w:sz w:val="18"/>
                <w:szCs w:val="18"/>
                <w:highlight w:val="none"/>
                <w:lang w:val="en-US" w:eastAsia="zh-CN"/>
              </w:rPr>
              <w:t>7</w:t>
            </w:r>
          </w:p>
          <w:p w14:paraId="0C6C7E4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级，不大于</w:t>
            </w:r>
          </w:p>
        </w:tc>
      </w:tr>
      <w:tr w14:paraId="4AAD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14" w:type="pct"/>
            <w:vMerge w:val="continue"/>
            <w:vAlign w:val="center"/>
          </w:tcPr>
          <w:p w14:paraId="47FDED6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eastAsia="zh-CN"/>
              </w:rPr>
            </w:pPr>
          </w:p>
        </w:tc>
        <w:tc>
          <w:tcPr>
            <w:tcW w:w="867" w:type="pct"/>
            <w:vMerge w:val="continue"/>
            <w:vAlign w:val="center"/>
          </w:tcPr>
          <w:p w14:paraId="2598301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eastAsia="zh-CN"/>
              </w:rPr>
            </w:pPr>
          </w:p>
        </w:tc>
        <w:tc>
          <w:tcPr>
            <w:tcW w:w="494" w:type="pct"/>
            <w:vAlign w:val="center"/>
          </w:tcPr>
          <w:p w14:paraId="1CBB42E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eastAsia="zh-CN"/>
              </w:rPr>
              <w:t>表面</w:t>
            </w:r>
            <w:r>
              <w:rPr>
                <w:rFonts w:hint="eastAsia" w:ascii="宋体" w:hAnsi="宋体" w:cs="宋体"/>
                <w:color w:val="auto"/>
                <w:kern w:val="0"/>
                <w:sz w:val="18"/>
                <w:szCs w:val="18"/>
                <w:highlight w:val="none"/>
                <w:vertAlign w:val="superscript"/>
                <w:lang w:val="en-US" w:eastAsia="zh-CN"/>
              </w:rPr>
              <w:t>a</w:t>
            </w:r>
          </w:p>
        </w:tc>
        <w:tc>
          <w:tcPr>
            <w:tcW w:w="495" w:type="pct"/>
            <w:vAlign w:val="center"/>
          </w:tcPr>
          <w:p w14:paraId="57E375E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心部</w:t>
            </w:r>
          </w:p>
        </w:tc>
        <w:tc>
          <w:tcPr>
            <w:tcW w:w="1036" w:type="pct"/>
            <w:vAlign w:val="center"/>
          </w:tcPr>
          <w:p w14:paraId="14AB182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表面</w:t>
            </w:r>
            <w:r>
              <w:rPr>
                <w:rFonts w:hint="eastAsia" w:ascii="宋体" w:hAnsi="宋体" w:cs="宋体"/>
                <w:color w:val="auto"/>
                <w:kern w:val="0"/>
                <w:sz w:val="18"/>
                <w:szCs w:val="18"/>
                <w:highlight w:val="none"/>
                <w:vertAlign w:val="superscript"/>
                <w:lang w:val="en-US" w:eastAsia="zh-CN"/>
              </w:rPr>
              <w:t>a</w:t>
            </w:r>
            <w:r>
              <w:rPr>
                <w:rFonts w:hint="eastAsia" w:ascii="宋体" w:hAnsi="宋体" w:cs="宋体"/>
                <w:color w:val="auto"/>
                <w:kern w:val="0"/>
                <w:sz w:val="18"/>
                <w:szCs w:val="18"/>
                <w:highlight w:val="none"/>
                <w:lang w:eastAsia="zh-CN"/>
              </w:rPr>
              <w:t>和心部</w:t>
            </w:r>
          </w:p>
        </w:tc>
        <w:tc>
          <w:tcPr>
            <w:tcW w:w="495" w:type="pct"/>
            <w:vAlign w:val="center"/>
          </w:tcPr>
          <w:p w14:paraId="605C103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eastAsia="zh-CN"/>
              </w:rPr>
              <w:t>表面</w:t>
            </w:r>
            <w:r>
              <w:rPr>
                <w:rFonts w:hint="eastAsia" w:ascii="宋体" w:hAnsi="宋体" w:cs="宋体"/>
                <w:color w:val="auto"/>
                <w:kern w:val="0"/>
                <w:sz w:val="18"/>
                <w:szCs w:val="18"/>
                <w:highlight w:val="none"/>
                <w:vertAlign w:val="superscript"/>
                <w:lang w:val="en-US" w:eastAsia="zh-CN"/>
              </w:rPr>
              <w:t>a</w:t>
            </w:r>
          </w:p>
        </w:tc>
        <w:tc>
          <w:tcPr>
            <w:tcW w:w="495" w:type="pct"/>
            <w:vAlign w:val="center"/>
          </w:tcPr>
          <w:p w14:paraId="5A7BD69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eastAsia="zh-CN"/>
              </w:rPr>
              <w:t>心部</w:t>
            </w:r>
          </w:p>
        </w:tc>
      </w:tr>
      <w:tr w14:paraId="34BC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14" w:type="pct"/>
            <w:vMerge w:val="restart"/>
            <w:vAlign w:val="center"/>
          </w:tcPr>
          <w:p w14:paraId="13FD33D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滚动体</w:t>
            </w:r>
            <w:r>
              <w:rPr>
                <w:rFonts w:hint="eastAsia" w:ascii="宋体" w:hAnsi="宋体" w:eastAsia="宋体" w:cs="宋体"/>
                <w:color w:val="auto"/>
                <w:kern w:val="0"/>
                <w:sz w:val="18"/>
                <w:szCs w:val="18"/>
                <w:highlight w:val="none"/>
                <w:lang w:eastAsia="zh-CN"/>
              </w:rPr>
              <w:t>用</w:t>
            </w:r>
          </w:p>
        </w:tc>
        <w:tc>
          <w:tcPr>
            <w:tcW w:w="867" w:type="pct"/>
            <w:vAlign w:val="center"/>
          </w:tcPr>
          <w:p w14:paraId="422893C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16</w:t>
            </w:r>
            <w:r>
              <w:rPr>
                <w:rFonts w:hint="eastAsia" w:ascii="宋体" w:hAnsi="宋体" w:eastAsia="宋体" w:cs="宋体"/>
                <w:color w:val="auto"/>
                <w:sz w:val="18"/>
                <w:szCs w:val="18"/>
                <w:highlight w:val="none"/>
              </w:rPr>
              <w:t>～</w:t>
            </w:r>
            <w:r>
              <w:rPr>
                <w:rFonts w:hint="eastAsia" w:ascii="宋体" w:hAnsi="宋体" w:eastAsia="宋体" w:cs="宋体"/>
                <w:color w:val="auto"/>
                <w:kern w:val="0"/>
                <w:sz w:val="18"/>
                <w:szCs w:val="18"/>
                <w:highlight w:val="none"/>
              </w:rPr>
              <w:t>100</w:t>
            </w:r>
          </w:p>
        </w:tc>
        <w:tc>
          <w:tcPr>
            <w:tcW w:w="494" w:type="pct"/>
            <w:vAlign w:val="center"/>
          </w:tcPr>
          <w:p w14:paraId="37DDE15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5.2</w:t>
            </w:r>
          </w:p>
        </w:tc>
        <w:tc>
          <w:tcPr>
            <w:tcW w:w="495" w:type="pct"/>
            <w:vAlign w:val="center"/>
          </w:tcPr>
          <w:p w14:paraId="17E38B2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5.6</w:t>
            </w:r>
          </w:p>
        </w:tc>
        <w:tc>
          <w:tcPr>
            <w:tcW w:w="1036" w:type="pct"/>
            <w:vMerge w:val="restart"/>
            <w:vAlign w:val="center"/>
          </w:tcPr>
          <w:p w14:paraId="260C028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6.2</w:t>
            </w:r>
          </w:p>
        </w:tc>
        <w:tc>
          <w:tcPr>
            <w:tcW w:w="495" w:type="pct"/>
            <w:vMerge w:val="restart"/>
            <w:vAlign w:val="center"/>
          </w:tcPr>
          <w:p w14:paraId="640B1DB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7.2</w:t>
            </w:r>
          </w:p>
        </w:tc>
        <w:tc>
          <w:tcPr>
            <w:tcW w:w="495" w:type="pct"/>
            <w:vMerge w:val="restart"/>
            <w:vAlign w:val="center"/>
          </w:tcPr>
          <w:p w14:paraId="1DF5EF4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7.6</w:t>
            </w:r>
          </w:p>
        </w:tc>
      </w:tr>
      <w:tr w14:paraId="72D7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4" w:type="pct"/>
            <w:vMerge w:val="continue"/>
            <w:vAlign w:val="center"/>
          </w:tcPr>
          <w:p w14:paraId="717435D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p>
        </w:tc>
        <w:tc>
          <w:tcPr>
            <w:tcW w:w="867" w:type="pct"/>
            <w:vAlign w:val="center"/>
          </w:tcPr>
          <w:p w14:paraId="30BDE7D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kern w:val="0"/>
                <w:sz w:val="18"/>
                <w:szCs w:val="18"/>
                <w:highlight w:val="none"/>
                <w:lang w:val="en-US" w:eastAsia="zh-CN"/>
              </w:rPr>
              <w:t>100</w:t>
            </w:r>
            <w:r>
              <w:rPr>
                <w:rFonts w:hint="eastAsia" w:ascii="宋体" w:hAnsi="宋体" w:eastAsia="宋体" w:cs="宋体"/>
                <w:color w:val="auto"/>
                <w:sz w:val="18"/>
                <w:szCs w:val="18"/>
                <w:highlight w:val="none"/>
              </w:rPr>
              <w:t>～</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rPr>
              <w:t>00</w:t>
            </w:r>
          </w:p>
        </w:tc>
        <w:tc>
          <w:tcPr>
            <w:tcW w:w="494" w:type="pct"/>
            <w:vAlign w:val="center"/>
          </w:tcPr>
          <w:p w14:paraId="7B57F69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5.2</w:t>
            </w:r>
          </w:p>
        </w:tc>
        <w:tc>
          <w:tcPr>
            <w:tcW w:w="495" w:type="pct"/>
            <w:vAlign w:val="center"/>
          </w:tcPr>
          <w:p w14:paraId="4040486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5.7</w:t>
            </w:r>
          </w:p>
        </w:tc>
        <w:tc>
          <w:tcPr>
            <w:tcW w:w="1036" w:type="pct"/>
            <w:vMerge w:val="continue"/>
            <w:vAlign w:val="center"/>
          </w:tcPr>
          <w:p w14:paraId="1F9A559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p>
        </w:tc>
        <w:tc>
          <w:tcPr>
            <w:tcW w:w="495" w:type="pct"/>
            <w:vMerge w:val="continue"/>
            <w:vAlign w:val="center"/>
          </w:tcPr>
          <w:p w14:paraId="71CA85C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p>
        </w:tc>
        <w:tc>
          <w:tcPr>
            <w:tcW w:w="495" w:type="pct"/>
            <w:vMerge w:val="continue"/>
            <w:vAlign w:val="center"/>
          </w:tcPr>
          <w:p w14:paraId="5C3C28D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p>
        </w:tc>
      </w:tr>
      <w:tr w14:paraId="3131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14" w:type="pct"/>
            <w:vAlign w:val="center"/>
          </w:tcPr>
          <w:p w14:paraId="07953A9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套圈用</w:t>
            </w:r>
          </w:p>
        </w:tc>
        <w:tc>
          <w:tcPr>
            <w:tcW w:w="867" w:type="pct"/>
            <w:vAlign w:val="center"/>
          </w:tcPr>
          <w:p w14:paraId="40089E3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16</w:t>
            </w:r>
            <w:r>
              <w:rPr>
                <w:rFonts w:hint="eastAsia" w:ascii="宋体" w:hAnsi="宋体" w:eastAsia="宋体" w:cs="宋体"/>
                <w:color w:val="auto"/>
                <w:sz w:val="18"/>
                <w:szCs w:val="18"/>
                <w:highlight w:val="none"/>
              </w:rPr>
              <w:t>～</w:t>
            </w:r>
            <w:r>
              <w:rPr>
                <w:rFonts w:hint="eastAsia" w:ascii="宋体" w:hAnsi="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rPr>
              <w:t>00</w:t>
            </w:r>
          </w:p>
        </w:tc>
        <w:tc>
          <w:tcPr>
            <w:tcW w:w="494" w:type="pct"/>
            <w:vAlign w:val="center"/>
          </w:tcPr>
          <w:p w14:paraId="33AE02F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5.2</w:t>
            </w:r>
          </w:p>
        </w:tc>
        <w:tc>
          <w:tcPr>
            <w:tcW w:w="495" w:type="pct"/>
            <w:vAlign w:val="center"/>
          </w:tcPr>
          <w:p w14:paraId="735B0E0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r>
              <w:rPr>
                <w:rFonts w:hint="eastAsia" w:ascii="宋体" w:hAnsi="宋体" w:eastAsia="宋体" w:cs="宋体"/>
                <w:color w:val="auto"/>
                <w:kern w:val="0"/>
                <w:sz w:val="18"/>
                <w:szCs w:val="18"/>
                <w:highlight w:val="none"/>
                <w:lang w:val="en-US" w:eastAsia="zh-CN"/>
              </w:rPr>
              <w:t>7</w:t>
            </w:r>
          </w:p>
        </w:tc>
        <w:tc>
          <w:tcPr>
            <w:tcW w:w="1036" w:type="pct"/>
            <w:vAlign w:val="center"/>
          </w:tcPr>
          <w:p w14:paraId="498C520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6.2</w:t>
            </w:r>
          </w:p>
        </w:tc>
        <w:tc>
          <w:tcPr>
            <w:tcW w:w="495" w:type="pct"/>
            <w:vAlign w:val="center"/>
          </w:tcPr>
          <w:p w14:paraId="70C36D3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7.2</w:t>
            </w:r>
          </w:p>
        </w:tc>
        <w:tc>
          <w:tcPr>
            <w:tcW w:w="495" w:type="pct"/>
            <w:vAlign w:val="center"/>
          </w:tcPr>
          <w:p w14:paraId="7BEDA43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w:t>
            </w:r>
            <w:r>
              <w:rPr>
                <w:rFonts w:hint="eastAsia" w:ascii="宋体" w:hAnsi="宋体" w:eastAsia="宋体" w:cs="宋体"/>
                <w:color w:val="auto"/>
                <w:kern w:val="0"/>
                <w:sz w:val="18"/>
                <w:szCs w:val="18"/>
                <w:highlight w:val="none"/>
                <w:lang w:val="en-US" w:eastAsia="zh-CN"/>
              </w:rPr>
              <w:t>7</w:t>
            </w:r>
          </w:p>
        </w:tc>
      </w:tr>
      <w:tr w14:paraId="7F83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008" w:type="pct"/>
            <w:gridSpan w:val="5"/>
            <w:vAlign w:val="center"/>
          </w:tcPr>
          <w:p w14:paraId="5B1BB1AB">
            <w:pPr>
              <w:keepNext w:val="0"/>
              <w:keepLines w:val="0"/>
              <w:pageBreakBefore w:val="0"/>
              <w:kinsoku/>
              <w:wordWrap/>
              <w:overflowPunct/>
              <w:topLinePunct w:val="0"/>
              <w:autoSpaceDE/>
              <w:autoSpaceDN/>
              <w:bidi w:val="0"/>
              <w:adjustRightInd w:val="0"/>
              <w:snapToGrid w:val="0"/>
              <w:spacing w:line="240" w:lineRule="auto"/>
              <w:ind w:firstLine="180" w:firstLineChars="100"/>
              <w:jc w:val="left"/>
              <w:textAlignment w:val="auto"/>
              <w:rPr>
                <w:rFonts w:hint="eastAsia" w:ascii="宋体" w:hAnsi="宋体" w:eastAsia="宋体" w:cs="宋体"/>
                <w:kern w:val="0"/>
                <w:sz w:val="18"/>
                <w:szCs w:val="18"/>
                <w:highlight w:val="none"/>
              </w:rPr>
            </w:pPr>
            <w:r>
              <w:rPr>
                <w:rFonts w:hint="eastAsia" w:ascii="宋体" w:hAnsi="宋体" w:cs="宋体"/>
                <w:sz w:val="18"/>
                <w:szCs w:val="18"/>
                <w:highlight w:val="none"/>
                <w:vertAlign w:val="superscript"/>
                <w:lang w:val="en-US" w:eastAsia="zh-CN"/>
              </w:rPr>
              <w:t>a</w:t>
            </w:r>
            <w:r>
              <w:rPr>
                <w:rFonts w:hint="eastAsia" w:ascii="宋体" w:hAnsi="宋体" w:eastAsia="宋体" w:cs="宋体"/>
                <w:sz w:val="18"/>
                <w:szCs w:val="18"/>
                <w:highlight w:val="none"/>
              </w:rPr>
              <w:t>表面</w:t>
            </w:r>
            <w:r>
              <w:rPr>
                <w:rFonts w:hint="eastAsia" w:ascii="宋体" w:hAnsi="宋体" w:cs="宋体"/>
                <w:sz w:val="18"/>
                <w:szCs w:val="18"/>
                <w:highlight w:val="none"/>
                <w:lang w:eastAsia="zh-CN"/>
              </w:rPr>
              <w:t>到</w:t>
            </w:r>
            <w:r>
              <w:rPr>
                <w:rFonts w:hint="eastAsia" w:ascii="宋体" w:hAnsi="宋体" w:eastAsia="宋体" w:cs="宋体"/>
                <w:sz w:val="18"/>
                <w:szCs w:val="18"/>
                <w:highlight w:val="none"/>
              </w:rPr>
              <w:t>皮下15</w:t>
            </w:r>
            <w:r>
              <w:rPr>
                <w:rFonts w:hint="eastAsia" w:ascii="宋体" w:hAnsi="宋体" w:eastAsia="宋体" w:cs="宋体"/>
                <w:sz w:val="18"/>
                <w:szCs w:val="18"/>
                <w:highlight w:val="none"/>
                <w:lang w:val="en-US" w:eastAsia="zh-CN"/>
              </w:rPr>
              <w:t xml:space="preserve"> </w:t>
            </w:r>
            <w:r>
              <w:rPr>
                <w:rFonts w:hint="eastAsia" w:ascii="宋体" w:hAnsi="宋体" w:eastAsia="宋体" w:cs="宋体"/>
                <w:sz w:val="18"/>
                <w:szCs w:val="18"/>
                <w:highlight w:val="none"/>
              </w:rPr>
              <w:t>m</w:t>
            </w:r>
            <w:r>
              <w:rPr>
                <w:rFonts w:hint="eastAsia" w:ascii="宋体" w:hAnsi="宋体" w:eastAsia="宋体" w:cs="宋体"/>
                <w:sz w:val="18"/>
                <w:szCs w:val="18"/>
                <w:highlight w:val="none"/>
                <w:lang w:val="en-US" w:eastAsia="zh-CN"/>
              </w:rPr>
              <w:t>m处</w:t>
            </w:r>
            <w:r>
              <w:rPr>
                <w:rFonts w:hint="eastAsia" w:ascii="宋体" w:hAnsi="宋体" w:eastAsia="宋体" w:cs="宋体"/>
                <w:sz w:val="18"/>
                <w:szCs w:val="18"/>
                <w:highlight w:val="none"/>
              </w:rPr>
              <w:t>。</w:t>
            </w:r>
          </w:p>
        </w:tc>
        <w:tc>
          <w:tcPr>
            <w:tcW w:w="991" w:type="pct"/>
            <w:gridSpan w:val="2"/>
            <w:vAlign w:val="center"/>
          </w:tcPr>
          <w:p w14:paraId="061DCA45">
            <w:pPr>
              <w:keepNext w:val="0"/>
              <w:keepLines w:val="0"/>
              <w:pageBreakBefore w:val="0"/>
              <w:kinsoku/>
              <w:wordWrap/>
              <w:overflowPunct/>
              <w:topLinePunct w:val="0"/>
              <w:autoSpaceDE/>
              <w:autoSpaceDN/>
              <w:bidi w:val="0"/>
              <w:adjustRightInd w:val="0"/>
              <w:snapToGrid w:val="0"/>
              <w:spacing w:line="240" w:lineRule="auto"/>
              <w:ind w:firstLine="180" w:firstLineChars="100"/>
              <w:jc w:val="center"/>
              <w:textAlignment w:val="auto"/>
              <w:rPr>
                <w:rFonts w:hint="eastAsia" w:ascii="黑体" w:hAnsi="黑体" w:eastAsia="黑体" w:cs="黑体"/>
                <w:sz w:val="18"/>
                <w:szCs w:val="18"/>
                <w:highlight w:val="none"/>
              </w:rPr>
            </w:pPr>
          </w:p>
        </w:tc>
      </w:tr>
    </w:tbl>
    <w:p w14:paraId="238A677D">
      <w:pPr>
        <w:pStyle w:val="47"/>
        <w:numPr>
          <w:ilvl w:val="1"/>
          <w:numId w:val="6"/>
        </w:numPr>
        <w:spacing w:before="156" w:after="156"/>
        <w:jc w:val="both"/>
        <w:rPr>
          <w:rFonts w:ascii="Times New Roman"/>
          <w:color w:val="auto"/>
          <w:highlight w:val="none"/>
        </w:rPr>
      </w:pPr>
      <w:r>
        <w:rPr>
          <w:rFonts w:ascii="Times New Roman"/>
          <w:color w:val="auto"/>
          <w:highlight w:val="none"/>
        </w:rPr>
        <w:t>显微孔隙</w:t>
      </w:r>
    </w:p>
    <w:p w14:paraId="1FF53A41">
      <w:pPr>
        <w:pStyle w:val="143"/>
        <w:rPr>
          <w:rFonts w:hint="eastAsia" w:ascii="宋体" w:hAnsi="宋体" w:eastAsia="宋体" w:cs="宋体"/>
          <w:color w:val="auto"/>
          <w:szCs w:val="21"/>
          <w:highlight w:val="none"/>
          <w:lang w:val="en-US" w:eastAsia="zh-CN"/>
        </w:rPr>
      </w:pPr>
      <w:r>
        <w:rPr>
          <w:rFonts w:hint="eastAsia" w:ascii="宋体" w:hAnsi="宋体" w:eastAsia="宋体" w:cs="宋体"/>
          <w:lang w:eastAsia="zh-CN"/>
        </w:rPr>
        <w:t>圆钢</w:t>
      </w:r>
      <w:r>
        <w:rPr>
          <w:rFonts w:hint="eastAsia" w:ascii="宋体" w:hAnsi="宋体" w:eastAsia="宋体" w:cs="宋体"/>
          <w:color w:val="auto"/>
          <w:szCs w:val="21"/>
          <w:highlight w:val="none"/>
          <w:lang w:eastAsia="zh-CN"/>
        </w:rPr>
        <w:t>的显微孔隙应符合表</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的规定。</w:t>
      </w:r>
    </w:p>
    <w:p w14:paraId="0588DD0E">
      <w:pPr>
        <w:pStyle w:val="77"/>
        <w:keepNext w:val="0"/>
        <w:keepLines w:val="0"/>
        <w:pageBreakBefore w:val="0"/>
        <w:widowControl/>
        <w:kinsoku/>
        <w:wordWrap/>
        <w:overflowPunct/>
        <w:topLinePunct w:val="0"/>
        <w:bidi w:val="0"/>
        <w:adjustRightInd/>
        <w:snapToGrid/>
        <w:spacing w:before="156" w:after="156"/>
        <w:ind w:left="0"/>
        <w:textAlignment w:val="auto"/>
        <w:rPr>
          <w:rFonts w:hint="eastAsia" w:ascii="Times New Roman"/>
          <w:color w:val="auto"/>
          <w:lang w:val="en-US" w:eastAsia="zh-CN"/>
        </w:rPr>
      </w:pPr>
      <w:r>
        <w:rPr>
          <w:rFonts w:hint="eastAsia" w:ascii="Times New Roman"/>
          <w:color w:val="auto"/>
          <w:lang w:val="en-US" w:eastAsia="zh-CN"/>
        </w:rPr>
        <w:t>显微孔隙合格级别</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0"/>
        <w:gridCol w:w="3190"/>
      </w:tblGrid>
      <w:tr w14:paraId="338D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190" w:type="dxa"/>
            <w:vAlign w:val="center"/>
          </w:tcPr>
          <w:p w14:paraId="1433E64C">
            <w:pPr>
              <w:pStyle w:val="22"/>
              <w:keepNext w:val="0"/>
              <w:keepLines w:val="0"/>
              <w:pageBreakBefore w:val="0"/>
              <w:widowControl/>
              <w:numPr>
                <w:ilvl w:val="0"/>
                <w:numId w:val="0"/>
              </w:numPr>
              <w:kinsoku/>
              <w:wordWrap/>
              <w:overflowPunct/>
              <w:topLinePunct w:val="0"/>
              <w:autoSpaceDE w:val="0"/>
              <w:autoSpaceDN w:val="0"/>
              <w:bidi w:val="0"/>
              <w:adjustRightInd w:val="0"/>
              <w:snapToGrid w:val="0"/>
              <w:ind w:left="0" w:leftChars="0"/>
              <w:jc w:val="center"/>
              <w:textAlignment w:val="auto"/>
              <w:rPr>
                <w:rFonts w:hint="default"/>
                <w:color w:val="auto"/>
                <w:sz w:val="18"/>
                <w:szCs w:val="18"/>
                <w:highlight w:val="none"/>
                <w:vertAlign w:val="baseline"/>
                <w:lang w:val="en-US" w:eastAsia="zh-CN"/>
              </w:rPr>
            </w:pPr>
            <w:r>
              <w:rPr>
                <w:rFonts w:hint="eastAsia"/>
                <w:color w:val="auto"/>
                <w:sz w:val="18"/>
                <w:szCs w:val="18"/>
                <w:highlight w:val="none"/>
                <w:vertAlign w:val="baseline"/>
                <w:lang w:eastAsia="zh-CN"/>
              </w:rPr>
              <w:t>公称直径</w:t>
            </w:r>
            <w:r>
              <w:rPr>
                <w:rFonts w:hint="eastAsia"/>
                <w:color w:val="auto"/>
                <w:sz w:val="18"/>
                <w:szCs w:val="18"/>
                <w:highlight w:val="none"/>
                <w:vertAlign w:val="baseline"/>
                <w:lang w:val="en-US" w:eastAsia="zh-CN"/>
              </w:rPr>
              <w:t>/mm</w:t>
            </w:r>
          </w:p>
        </w:tc>
        <w:tc>
          <w:tcPr>
            <w:tcW w:w="3190" w:type="dxa"/>
            <w:vAlign w:val="center"/>
          </w:tcPr>
          <w:p w14:paraId="509BC860">
            <w:pPr>
              <w:pStyle w:val="22"/>
              <w:keepNext w:val="0"/>
              <w:keepLines w:val="0"/>
              <w:pageBreakBefore w:val="0"/>
              <w:widowControl/>
              <w:numPr>
                <w:ilvl w:val="0"/>
                <w:numId w:val="0"/>
              </w:numPr>
              <w:kinsoku/>
              <w:wordWrap/>
              <w:overflowPunct/>
              <w:topLinePunct w:val="0"/>
              <w:autoSpaceDE w:val="0"/>
              <w:autoSpaceDN w:val="0"/>
              <w:bidi w:val="0"/>
              <w:adjustRightInd w:val="0"/>
              <w:snapToGrid w:val="0"/>
              <w:ind w:left="0" w:leftChars="0"/>
              <w:jc w:val="center"/>
              <w:textAlignment w:val="auto"/>
              <w:rPr>
                <w:rFonts w:hint="eastAsia"/>
                <w:color w:val="auto"/>
                <w:sz w:val="18"/>
                <w:szCs w:val="18"/>
                <w:highlight w:val="none"/>
                <w:vertAlign w:val="baseline"/>
                <w:lang w:eastAsia="zh-CN"/>
              </w:rPr>
            </w:pPr>
            <w:r>
              <w:rPr>
                <w:rFonts w:hint="eastAsia"/>
                <w:color w:val="auto"/>
                <w:sz w:val="18"/>
                <w:szCs w:val="18"/>
                <w:highlight w:val="none"/>
                <w:vertAlign w:val="baseline"/>
                <w:lang w:eastAsia="zh-CN"/>
              </w:rPr>
              <w:t>显微孔隙合格级别</w:t>
            </w:r>
          </w:p>
        </w:tc>
        <w:tc>
          <w:tcPr>
            <w:tcW w:w="3190" w:type="dxa"/>
            <w:vAlign w:val="center"/>
          </w:tcPr>
          <w:p w14:paraId="34DB8907">
            <w:pPr>
              <w:pStyle w:val="22"/>
              <w:keepNext w:val="0"/>
              <w:keepLines w:val="0"/>
              <w:pageBreakBefore w:val="0"/>
              <w:widowControl/>
              <w:numPr>
                <w:ilvl w:val="0"/>
                <w:numId w:val="0"/>
              </w:numPr>
              <w:kinsoku/>
              <w:wordWrap/>
              <w:overflowPunct/>
              <w:topLinePunct w:val="0"/>
              <w:autoSpaceDE w:val="0"/>
              <w:autoSpaceDN w:val="0"/>
              <w:bidi w:val="0"/>
              <w:adjustRightInd w:val="0"/>
              <w:snapToGrid w:val="0"/>
              <w:ind w:left="0"/>
              <w:jc w:val="center"/>
              <w:textAlignment w:val="auto"/>
              <w:rPr>
                <w:rFonts w:hint="eastAsia" w:eastAsia="宋体"/>
                <w:color w:val="auto"/>
                <w:sz w:val="18"/>
                <w:szCs w:val="18"/>
                <w:highlight w:val="none"/>
                <w:vertAlign w:val="baseline"/>
                <w:lang w:val="en-US" w:eastAsia="zh-CN"/>
              </w:rPr>
            </w:pPr>
            <w:r>
              <w:rPr>
                <w:rFonts w:hint="eastAsia" w:ascii="宋体" w:hAnsi="宋体"/>
                <w:color w:val="auto"/>
                <w:sz w:val="18"/>
                <w:szCs w:val="18"/>
              </w:rPr>
              <w:t>评级图</w:t>
            </w:r>
          </w:p>
        </w:tc>
      </w:tr>
      <w:tr w14:paraId="6236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90" w:type="dxa"/>
            <w:vAlign w:val="center"/>
          </w:tcPr>
          <w:p w14:paraId="3D308EF8">
            <w:pPr>
              <w:pStyle w:val="22"/>
              <w:keepNext w:val="0"/>
              <w:keepLines w:val="0"/>
              <w:pageBreakBefore w:val="0"/>
              <w:widowControl/>
              <w:numPr>
                <w:ilvl w:val="0"/>
                <w:numId w:val="0"/>
              </w:numPr>
              <w:kinsoku/>
              <w:wordWrap/>
              <w:overflowPunct/>
              <w:topLinePunct w:val="0"/>
              <w:autoSpaceDE w:val="0"/>
              <w:autoSpaceDN w:val="0"/>
              <w:bidi w:val="0"/>
              <w:adjustRightInd w:val="0"/>
              <w:snapToGrid w:val="0"/>
              <w:ind w:left="0" w:leftChars="0"/>
              <w:jc w:val="center"/>
              <w:textAlignment w:val="auto"/>
              <w:rPr>
                <w:rFonts w:hint="default" w:eastAsia="宋体"/>
                <w:color w:val="auto"/>
                <w:sz w:val="18"/>
                <w:szCs w:val="18"/>
                <w:highlight w:val="none"/>
                <w:vertAlign w:val="baseline"/>
                <w:lang w:val="en-US" w:eastAsia="zh-CN"/>
              </w:rPr>
            </w:pPr>
            <w:r>
              <w:rPr>
                <w:rFonts w:hint="eastAsia" w:ascii="宋体" w:hAnsi="宋体" w:eastAsia="宋体" w:cs="宋体"/>
                <w:color w:val="auto"/>
                <w:kern w:val="0"/>
                <w:sz w:val="18"/>
                <w:szCs w:val="18"/>
                <w:highlight w:val="none"/>
              </w:rPr>
              <w:t>16</w:t>
            </w:r>
            <w:r>
              <w:rPr>
                <w:rFonts w:hint="eastAsia" w:ascii="宋体" w:hAnsi="宋体"/>
                <w:color w:val="auto"/>
                <w:sz w:val="18"/>
                <w:szCs w:val="18"/>
                <w:highlight w:val="none"/>
              </w:rPr>
              <w:t>～</w:t>
            </w:r>
            <w:r>
              <w:rPr>
                <w:rFonts w:hint="eastAsia" w:hAnsi="宋体" w:cs="宋体"/>
                <w:color w:val="auto"/>
                <w:kern w:val="0"/>
                <w:sz w:val="18"/>
                <w:szCs w:val="18"/>
                <w:highlight w:val="none"/>
                <w:lang w:val="en-US" w:eastAsia="zh-CN"/>
              </w:rPr>
              <w:t>60</w:t>
            </w:r>
          </w:p>
        </w:tc>
        <w:tc>
          <w:tcPr>
            <w:tcW w:w="3190" w:type="dxa"/>
            <w:vAlign w:val="center"/>
          </w:tcPr>
          <w:p w14:paraId="42910BD2">
            <w:pPr>
              <w:pStyle w:val="22"/>
              <w:keepNext w:val="0"/>
              <w:keepLines w:val="0"/>
              <w:pageBreakBefore w:val="0"/>
              <w:widowControl/>
              <w:numPr>
                <w:ilvl w:val="0"/>
                <w:numId w:val="0"/>
              </w:numPr>
              <w:kinsoku/>
              <w:wordWrap/>
              <w:overflowPunct/>
              <w:topLinePunct w:val="0"/>
              <w:autoSpaceDE w:val="0"/>
              <w:autoSpaceDN w:val="0"/>
              <w:bidi w:val="0"/>
              <w:adjustRightInd w:val="0"/>
              <w:snapToGrid w:val="0"/>
              <w:ind w:left="0" w:leftChars="0"/>
              <w:jc w:val="center"/>
              <w:textAlignment w:val="auto"/>
              <w:rPr>
                <w:rFonts w:hint="eastAsia"/>
                <w:color w:val="auto"/>
                <w:sz w:val="18"/>
                <w:szCs w:val="18"/>
                <w:highlight w:val="none"/>
                <w:vertAlign w:val="baseline"/>
                <w:lang w:eastAsia="zh-CN"/>
              </w:rPr>
            </w:pPr>
            <w:r>
              <w:rPr>
                <w:rFonts w:hint="eastAsia"/>
                <w:color w:val="auto"/>
                <w:sz w:val="18"/>
                <w:szCs w:val="18"/>
                <w:highlight w:val="none"/>
                <w:vertAlign w:val="baseline"/>
                <w:lang w:eastAsia="zh-CN"/>
              </w:rPr>
              <w:t>不允许有</w:t>
            </w:r>
          </w:p>
        </w:tc>
        <w:tc>
          <w:tcPr>
            <w:tcW w:w="3190" w:type="dxa"/>
            <w:vMerge w:val="restart"/>
            <w:vAlign w:val="center"/>
          </w:tcPr>
          <w:p w14:paraId="6B789241">
            <w:pPr>
              <w:pStyle w:val="22"/>
              <w:keepNext w:val="0"/>
              <w:keepLines w:val="0"/>
              <w:pageBreakBefore w:val="0"/>
              <w:widowControl/>
              <w:numPr>
                <w:ilvl w:val="0"/>
                <w:numId w:val="0"/>
              </w:numPr>
              <w:kinsoku/>
              <w:wordWrap/>
              <w:overflowPunct/>
              <w:topLinePunct w:val="0"/>
              <w:autoSpaceDE w:val="0"/>
              <w:autoSpaceDN w:val="0"/>
              <w:bidi w:val="0"/>
              <w:adjustRightInd w:val="0"/>
              <w:snapToGrid w:val="0"/>
              <w:ind w:left="0" w:leftChars="0"/>
              <w:jc w:val="center"/>
              <w:textAlignment w:val="auto"/>
              <w:rPr>
                <w:rFonts w:hint="eastAsia"/>
                <w:color w:val="auto"/>
                <w:sz w:val="18"/>
                <w:szCs w:val="18"/>
                <w:highlight w:val="none"/>
                <w:vertAlign w:val="baseline"/>
                <w:lang w:eastAsia="zh-CN"/>
              </w:rPr>
            </w:pPr>
            <w:r>
              <w:rPr>
                <w:rFonts w:hint="eastAsia" w:ascii="宋体" w:hAnsi="宋体"/>
                <w:color w:val="auto"/>
                <w:sz w:val="18"/>
                <w:szCs w:val="18"/>
              </w:rPr>
              <w:t>GB/T 18254</w:t>
            </w:r>
            <w:r>
              <w:rPr>
                <w:rFonts w:hint="eastAsia" w:ascii="宋体" w:hAnsi="宋体"/>
                <w:color w:val="auto"/>
                <w:sz w:val="18"/>
                <w:szCs w:val="18"/>
                <w:lang w:eastAsia="zh-CN"/>
              </w:rPr>
              <w:t>—</w:t>
            </w:r>
            <w:r>
              <w:rPr>
                <w:rFonts w:hint="eastAsia" w:ascii="宋体" w:hAnsi="宋体"/>
                <w:color w:val="auto"/>
                <w:sz w:val="18"/>
                <w:szCs w:val="18"/>
              </w:rPr>
              <w:t>2016附录A</w:t>
            </w:r>
            <w:r>
              <w:rPr>
                <w:rFonts w:hint="eastAsia" w:ascii="宋体" w:hAnsi="宋体"/>
                <w:color w:val="auto"/>
                <w:sz w:val="18"/>
                <w:szCs w:val="18"/>
                <w:lang w:eastAsia="zh-CN"/>
              </w:rPr>
              <w:t>中</w:t>
            </w:r>
            <w:r>
              <w:rPr>
                <w:color w:val="auto"/>
                <w:sz w:val="18"/>
                <w:szCs w:val="18"/>
                <w:highlight w:val="none"/>
              </w:rPr>
              <w:t>第10级别图</w:t>
            </w:r>
          </w:p>
        </w:tc>
      </w:tr>
      <w:tr w14:paraId="762B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190" w:type="dxa"/>
            <w:vAlign w:val="center"/>
          </w:tcPr>
          <w:p w14:paraId="3C7323F3">
            <w:pPr>
              <w:pStyle w:val="22"/>
              <w:keepNext w:val="0"/>
              <w:keepLines w:val="0"/>
              <w:pageBreakBefore w:val="0"/>
              <w:widowControl/>
              <w:numPr>
                <w:ilvl w:val="0"/>
                <w:numId w:val="0"/>
              </w:numPr>
              <w:kinsoku/>
              <w:wordWrap/>
              <w:overflowPunct/>
              <w:topLinePunct w:val="0"/>
              <w:autoSpaceDE w:val="0"/>
              <w:autoSpaceDN w:val="0"/>
              <w:bidi w:val="0"/>
              <w:adjustRightInd w:val="0"/>
              <w:snapToGrid w:val="0"/>
              <w:ind w:left="0" w:leftChars="0"/>
              <w:jc w:val="center"/>
              <w:textAlignment w:val="auto"/>
              <w:rPr>
                <w:rFonts w:hint="eastAsia" w:ascii="宋体" w:hAnsi="宋体" w:eastAsia="宋体" w:cs="宋体"/>
                <w:color w:val="auto"/>
                <w:kern w:val="0"/>
                <w:sz w:val="18"/>
                <w:szCs w:val="18"/>
                <w:highlight w:val="yellow"/>
              </w:rPr>
            </w:pPr>
            <w:r>
              <w:rPr>
                <w:rFonts w:hint="eastAsia" w:ascii="宋体" w:hAnsi="宋体" w:eastAsia="宋体" w:cs="宋体"/>
                <w:color w:val="auto"/>
                <w:sz w:val="18"/>
                <w:szCs w:val="18"/>
              </w:rPr>
              <w:t>＞60</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200</w:t>
            </w:r>
          </w:p>
        </w:tc>
        <w:tc>
          <w:tcPr>
            <w:tcW w:w="3190" w:type="dxa"/>
            <w:vAlign w:val="center"/>
          </w:tcPr>
          <w:p w14:paraId="689B9B78">
            <w:pPr>
              <w:pStyle w:val="22"/>
              <w:keepNext w:val="0"/>
              <w:keepLines w:val="0"/>
              <w:pageBreakBefore w:val="0"/>
              <w:widowControl/>
              <w:numPr>
                <w:ilvl w:val="0"/>
                <w:numId w:val="0"/>
              </w:numPr>
              <w:kinsoku/>
              <w:wordWrap/>
              <w:overflowPunct/>
              <w:topLinePunct w:val="0"/>
              <w:autoSpaceDE w:val="0"/>
              <w:autoSpaceDN w:val="0"/>
              <w:bidi w:val="0"/>
              <w:adjustRightInd w:val="0"/>
              <w:snapToGrid w:val="0"/>
              <w:ind w:left="0" w:leftChars="0"/>
              <w:jc w:val="center"/>
              <w:textAlignment w:val="auto"/>
              <w:rPr>
                <w:rFonts w:hint="eastAsia"/>
                <w:color w:val="auto"/>
                <w:sz w:val="18"/>
                <w:szCs w:val="18"/>
                <w:vertAlign w:val="baseline"/>
                <w:lang w:eastAsia="zh-CN"/>
              </w:rPr>
            </w:pPr>
            <w:r>
              <w:rPr>
                <w:rFonts w:hint="eastAsia"/>
                <w:color w:val="auto"/>
                <w:sz w:val="18"/>
                <w:szCs w:val="18"/>
                <w:vertAlign w:val="baseline"/>
                <w:lang w:eastAsia="zh-CN"/>
              </w:rPr>
              <w:t>不超过</w:t>
            </w:r>
            <w:r>
              <w:rPr>
                <w:color w:val="auto"/>
                <w:sz w:val="18"/>
                <w:szCs w:val="18"/>
              </w:rPr>
              <w:t>GB/T 18254</w:t>
            </w:r>
            <w:r>
              <w:rPr>
                <w:rFonts w:hint="eastAsia"/>
                <w:color w:val="auto"/>
                <w:sz w:val="18"/>
                <w:szCs w:val="18"/>
                <w:highlight w:val="none"/>
                <w:lang w:val="en-US" w:eastAsia="zh-CN"/>
              </w:rPr>
              <w:t>—</w:t>
            </w:r>
            <w:r>
              <w:rPr>
                <w:rFonts w:hint="eastAsia"/>
                <w:color w:val="auto"/>
                <w:sz w:val="18"/>
                <w:szCs w:val="18"/>
                <w:lang w:val="en-US" w:eastAsia="zh-CN"/>
              </w:rPr>
              <w:t>2016</w:t>
            </w:r>
            <w:r>
              <w:rPr>
                <w:rFonts w:hint="eastAsia" w:ascii="宋体" w:hAnsi="宋体"/>
                <w:color w:val="auto"/>
                <w:sz w:val="18"/>
                <w:szCs w:val="18"/>
              </w:rPr>
              <w:t>附录A</w:t>
            </w:r>
            <w:r>
              <w:rPr>
                <w:rFonts w:hint="eastAsia" w:ascii="宋体" w:hAnsi="宋体"/>
                <w:color w:val="auto"/>
                <w:sz w:val="18"/>
                <w:szCs w:val="18"/>
                <w:lang w:eastAsia="zh-CN"/>
              </w:rPr>
              <w:t>中</w:t>
            </w:r>
            <w:r>
              <w:rPr>
                <w:color w:val="auto"/>
                <w:sz w:val="18"/>
                <w:szCs w:val="18"/>
              </w:rPr>
              <w:t>第10级别图</w:t>
            </w:r>
          </w:p>
        </w:tc>
        <w:tc>
          <w:tcPr>
            <w:tcW w:w="3190" w:type="dxa"/>
            <w:vMerge w:val="continue"/>
            <w:vAlign w:val="center"/>
          </w:tcPr>
          <w:p w14:paraId="2FFC40B1">
            <w:pPr>
              <w:pStyle w:val="22"/>
              <w:keepNext w:val="0"/>
              <w:keepLines w:val="0"/>
              <w:pageBreakBefore w:val="0"/>
              <w:widowControl/>
              <w:numPr>
                <w:ilvl w:val="0"/>
                <w:numId w:val="1"/>
              </w:numPr>
              <w:kinsoku/>
              <w:wordWrap/>
              <w:overflowPunct/>
              <w:topLinePunct w:val="0"/>
              <w:autoSpaceDE w:val="0"/>
              <w:autoSpaceDN w:val="0"/>
              <w:bidi w:val="0"/>
              <w:adjustRightInd w:val="0"/>
              <w:snapToGrid w:val="0"/>
              <w:ind w:left="0"/>
              <w:jc w:val="center"/>
              <w:textAlignment w:val="auto"/>
              <w:rPr>
                <w:rFonts w:hint="eastAsia"/>
                <w:sz w:val="18"/>
                <w:szCs w:val="18"/>
                <w:vertAlign w:val="baseline"/>
                <w:lang w:eastAsia="zh-CN"/>
              </w:rPr>
            </w:pPr>
          </w:p>
        </w:tc>
      </w:tr>
    </w:tbl>
    <w:p w14:paraId="05E77747">
      <w:pPr>
        <w:pStyle w:val="47"/>
        <w:numPr>
          <w:ilvl w:val="1"/>
          <w:numId w:val="6"/>
        </w:numPr>
        <w:spacing w:before="156" w:after="156"/>
        <w:jc w:val="both"/>
        <w:rPr>
          <w:rFonts w:ascii="Times New Roman"/>
        </w:rPr>
      </w:pPr>
      <w:r>
        <w:rPr>
          <w:rFonts w:ascii="Times New Roman"/>
        </w:rPr>
        <w:t>表面质量</w:t>
      </w:r>
    </w:p>
    <w:p w14:paraId="6258A9FD">
      <w:pPr>
        <w:widowControl/>
        <w:numPr>
          <w:ilvl w:val="2"/>
          <w:numId w:val="6"/>
        </w:numPr>
        <w:tabs>
          <w:tab w:val="center" w:pos="4620"/>
          <w:tab w:val="right" w:pos="9460"/>
        </w:tabs>
        <w:spacing w:before="156" w:beforeLines="50" w:after="156" w:afterLines="50"/>
        <w:ind w:left="0"/>
        <w:jc w:val="left"/>
        <w:outlineLvl w:val="3"/>
        <w:rPr>
          <w:rFonts w:hint="eastAsia" w:ascii="宋体" w:hAnsi="宋体" w:eastAsia="宋体" w:cs="宋体"/>
        </w:rPr>
      </w:pPr>
      <w:r>
        <w:rPr>
          <w:rFonts w:hint="eastAsia" w:ascii="宋体" w:hAnsi="宋体" w:eastAsia="宋体" w:cs="宋体"/>
          <w:lang w:eastAsia="zh-CN"/>
        </w:rPr>
        <w:t>圆钢</w:t>
      </w:r>
      <w:r>
        <w:rPr>
          <w:rFonts w:hint="eastAsia" w:ascii="宋体" w:hAnsi="宋体" w:eastAsia="宋体" w:cs="宋体"/>
        </w:rPr>
        <w:t>应加工良好，表面不应有裂纹、折叠、拉裂、结疤和夹杂等其他对使用有害的缺陷。如有上述缺陷，供方应清除，清除深度应符合表</w:t>
      </w:r>
      <w:r>
        <w:rPr>
          <w:rFonts w:hint="eastAsia" w:ascii="宋体" w:hAnsi="宋体" w:cs="宋体"/>
          <w:lang w:val="en-US" w:eastAsia="zh-CN"/>
        </w:rPr>
        <w:t>10</w:t>
      </w:r>
      <w:r>
        <w:rPr>
          <w:rFonts w:hint="eastAsia" w:ascii="宋体" w:hAnsi="宋体" w:eastAsia="宋体" w:cs="宋体"/>
        </w:rPr>
        <w:t>的规定。</w:t>
      </w:r>
    </w:p>
    <w:p w14:paraId="7D03BD7A">
      <w:pPr>
        <w:widowControl/>
        <w:numPr>
          <w:ilvl w:val="0"/>
          <w:numId w:val="0"/>
        </w:numPr>
        <w:tabs>
          <w:tab w:val="center" w:pos="4620"/>
          <w:tab w:val="right" w:pos="9460"/>
        </w:tabs>
        <w:spacing w:before="156" w:beforeLines="50" w:after="156" w:afterLines="50"/>
        <w:ind w:leftChars="0"/>
        <w:jc w:val="left"/>
        <w:outlineLvl w:val="3"/>
        <w:rPr>
          <w:rFonts w:hint="eastAsia" w:ascii="宋体" w:hAnsi="宋体" w:eastAsia="宋体" w:cs="宋体"/>
        </w:rPr>
      </w:pPr>
    </w:p>
    <w:p w14:paraId="4412090B">
      <w:pPr>
        <w:pStyle w:val="77"/>
        <w:keepNext w:val="0"/>
        <w:keepLines w:val="0"/>
        <w:pageBreakBefore w:val="0"/>
        <w:widowControl/>
        <w:kinsoku/>
        <w:wordWrap/>
        <w:overflowPunct/>
        <w:topLinePunct w:val="0"/>
        <w:bidi w:val="0"/>
        <w:adjustRightInd/>
        <w:snapToGrid/>
        <w:spacing w:before="156" w:after="156"/>
        <w:ind w:left="0"/>
        <w:textAlignment w:val="auto"/>
        <w:rPr>
          <w:rFonts w:hint="eastAsia" w:ascii="Times New Roman"/>
          <w:color w:val="auto"/>
          <w:lang w:val="en-US" w:eastAsia="zh-CN"/>
        </w:rPr>
      </w:pPr>
      <w:r>
        <w:rPr>
          <w:rFonts w:hint="eastAsia" w:ascii="Times New Roman"/>
          <w:color w:val="auto"/>
          <w:lang w:val="en-US" w:eastAsia="zh-CN"/>
        </w:rPr>
        <w:t>表面有害缺陷允许清除深度</w:t>
      </w:r>
    </w:p>
    <w:tbl>
      <w:tblPr>
        <w:tblStyle w:val="3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52"/>
        <w:gridCol w:w="5812"/>
      </w:tblGrid>
      <w:tr w14:paraId="2266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61" w:type="pct"/>
            <w:shd w:val="clear" w:color="auto" w:fill="auto"/>
            <w:vAlign w:val="center"/>
          </w:tcPr>
          <w:p w14:paraId="759ED748">
            <w:pPr>
              <w:pStyle w:val="22"/>
              <w:keepNext w:val="0"/>
              <w:keepLines w:val="0"/>
              <w:pageBreakBefore w:val="0"/>
              <w:widowControl/>
              <w:numPr>
                <w:ilvl w:val="0"/>
                <w:numId w:val="0"/>
              </w:numPr>
              <w:kinsoku/>
              <w:wordWrap/>
              <w:overflowPunct/>
              <w:topLinePunct w:val="0"/>
              <w:autoSpaceDE w:val="0"/>
              <w:autoSpaceDN w:val="0"/>
              <w:bidi w:val="0"/>
              <w:adjustRightInd w:val="0"/>
              <w:snapToGrid w:val="0"/>
              <w:ind w:lef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公称直径</w:t>
            </w:r>
            <w:r>
              <w:rPr>
                <w:rFonts w:hint="eastAsia" w:ascii="宋体" w:hAnsi="宋体" w:eastAsia="宋体" w:cs="宋体"/>
                <w:color w:val="auto"/>
                <w:sz w:val="18"/>
                <w:szCs w:val="18"/>
                <w:highlight w:val="none"/>
                <w:vertAlign w:val="baseline"/>
                <w:lang w:val="en-US" w:eastAsia="zh-CN"/>
              </w:rPr>
              <w:t>/mm</w:t>
            </w:r>
          </w:p>
        </w:tc>
        <w:tc>
          <w:tcPr>
            <w:tcW w:w="3038" w:type="pct"/>
            <w:shd w:val="clear" w:color="auto" w:fill="auto"/>
            <w:vAlign w:val="center"/>
          </w:tcPr>
          <w:p w14:paraId="3A65641D">
            <w:pPr>
              <w:pStyle w:val="22"/>
              <w:keepNext w:val="0"/>
              <w:keepLines w:val="0"/>
              <w:pageBreakBefore w:val="0"/>
              <w:widowControl/>
              <w:numPr>
                <w:ilvl w:val="0"/>
                <w:numId w:val="0"/>
              </w:numPr>
              <w:kinsoku/>
              <w:wordWrap/>
              <w:overflowPunct/>
              <w:topLinePunct w:val="0"/>
              <w:autoSpaceDE w:val="0"/>
              <w:autoSpaceDN w:val="0"/>
              <w:bidi w:val="0"/>
              <w:adjustRightInd w:val="0"/>
              <w:snapToGrid w:val="0"/>
              <w:ind w:lef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表面有害缺陷允许清除深度</w:t>
            </w:r>
          </w:p>
        </w:tc>
      </w:tr>
      <w:tr w14:paraId="18A1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961" w:type="pct"/>
            <w:shd w:val="clear" w:color="auto" w:fill="auto"/>
            <w:vAlign w:val="center"/>
          </w:tcPr>
          <w:p w14:paraId="75C62105">
            <w:pPr>
              <w:pStyle w:val="22"/>
              <w:keepNext w:val="0"/>
              <w:keepLines w:val="0"/>
              <w:pageBreakBefore w:val="0"/>
              <w:widowControl/>
              <w:numPr>
                <w:ilvl w:val="0"/>
                <w:numId w:val="0"/>
              </w:numPr>
              <w:kinsoku/>
              <w:wordWrap/>
              <w:overflowPunct/>
              <w:topLinePunct w:val="0"/>
              <w:autoSpaceDE w:val="0"/>
              <w:autoSpaceDN w:val="0"/>
              <w:bidi w:val="0"/>
              <w:adjustRightInd w:val="0"/>
              <w:snapToGrid w:val="0"/>
              <w:ind w:lef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16</w:t>
            </w:r>
            <w:r>
              <w:rPr>
                <w:rFonts w:hint="eastAsia" w:ascii="宋体" w:hAnsi="宋体" w:eastAsia="宋体" w:cs="宋体"/>
                <w:color w:val="auto"/>
                <w:sz w:val="18"/>
                <w:szCs w:val="18"/>
                <w:highlight w:val="none"/>
              </w:rPr>
              <w:t>～80</w:t>
            </w:r>
          </w:p>
        </w:tc>
        <w:tc>
          <w:tcPr>
            <w:tcW w:w="3038" w:type="pct"/>
            <w:shd w:val="clear" w:color="auto" w:fill="auto"/>
            <w:vAlign w:val="center"/>
          </w:tcPr>
          <w:p w14:paraId="4AA26C20">
            <w:pPr>
              <w:pStyle w:val="22"/>
              <w:keepNext w:val="0"/>
              <w:keepLines w:val="0"/>
              <w:pageBreakBefore w:val="0"/>
              <w:widowControl/>
              <w:numPr>
                <w:ilvl w:val="0"/>
                <w:numId w:val="0"/>
              </w:numPr>
              <w:kinsoku/>
              <w:wordWrap/>
              <w:overflowPunct/>
              <w:topLinePunct w:val="0"/>
              <w:autoSpaceDE w:val="0"/>
              <w:autoSpaceDN w:val="0"/>
              <w:bidi w:val="0"/>
              <w:adjustRightInd w:val="0"/>
              <w:snapToGrid w:val="0"/>
              <w:ind w:lef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从实际尺寸算起不超过公称尺寸公差之半</w:t>
            </w:r>
          </w:p>
        </w:tc>
      </w:tr>
      <w:tr w14:paraId="2AF6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61" w:type="pct"/>
            <w:shd w:val="clear" w:color="auto" w:fill="auto"/>
            <w:vAlign w:val="center"/>
          </w:tcPr>
          <w:p w14:paraId="445EA11D">
            <w:pPr>
              <w:pStyle w:val="22"/>
              <w:keepNext w:val="0"/>
              <w:keepLines w:val="0"/>
              <w:pageBreakBefore w:val="0"/>
              <w:widowControl/>
              <w:numPr>
                <w:ilvl w:val="0"/>
                <w:numId w:val="0"/>
              </w:numPr>
              <w:kinsoku/>
              <w:wordWrap/>
              <w:overflowPunct/>
              <w:topLinePunct w:val="0"/>
              <w:autoSpaceDE w:val="0"/>
              <w:autoSpaceDN w:val="0"/>
              <w:bidi w:val="0"/>
              <w:adjustRightInd w:val="0"/>
              <w:snapToGrid w:val="0"/>
              <w:ind w:lef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＞80～200</w:t>
            </w:r>
          </w:p>
        </w:tc>
        <w:tc>
          <w:tcPr>
            <w:tcW w:w="3038" w:type="pct"/>
            <w:shd w:val="clear" w:color="auto" w:fill="auto"/>
            <w:vAlign w:val="center"/>
          </w:tcPr>
          <w:p w14:paraId="44D76307">
            <w:pPr>
              <w:pStyle w:val="22"/>
              <w:keepNext w:val="0"/>
              <w:keepLines w:val="0"/>
              <w:pageBreakBefore w:val="0"/>
              <w:widowControl/>
              <w:numPr>
                <w:ilvl w:val="0"/>
                <w:numId w:val="0"/>
              </w:numPr>
              <w:kinsoku/>
              <w:wordWrap/>
              <w:overflowPunct/>
              <w:topLinePunct w:val="0"/>
              <w:autoSpaceDE w:val="0"/>
              <w:autoSpaceDN w:val="0"/>
              <w:bidi w:val="0"/>
              <w:adjustRightInd w:val="0"/>
              <w:snapToGrid w:val="0"/>
              <w:ind w:lef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从实际尺寸算起不超过公称尺寸公差</w:t>
            </w:r>
          </w:p>
        </w:tc>
      </w:tr>
    </w:tbl>
    <w:p w14:paraId="1B62F2CA">
      <w:pPr>
        <w:keepNext w:val="0"/>
        <w:keepLines w:val="0"/>
        <w:pageBreakBefore w:val="0"/>
        <w:widowControl/>
        <w:numPr>
          <w:ilvl w:val="2"/>
          <w:numId w:val="6"/>
        </w:numPr>
        <w:tabs>
          <w:tab w:val="center" w:pos="4620"/>
          <w:tab w:val="right" w:pos="9460"/>
        </w:tabs>
        <w:kinsoku/>
        <w:wordWrap/>
        <w:overflowPunct/>
        <w:topLinePunct w:val="0"/>
        <w:autoSpaceDE/>
        <w:autoSpaceDN/>
        <w:bidi w:val="0"/>
        <w:adjustRightInd/>
        <w:snapToGrid/>
        <w:spacing w:after="156" w:afterLines="50"/>
        <w:ind w:left="0"/>
        <w:jc w:val="left"/>
        <w:textAlignment w:val="auto"/>
        <w:outlineLvl w:val="3"/>
      </w:pPr>
      <w:r>
        <w:t>经剥皮、磨光或车光的</w:t>
      </w:r>
      <w:r>
        <w:rPr>
          <w:rFonts w:hint="eastAsia" w:ascii="宋体" w:hAnsi="宋体" w:eastAsia="宋体" w:cs="宋体"/>
          <w:lang w:eastAsia="zh-CN"/>
        </w:rPr>
        <w:t>圆钢</w:t>
      </w:r>
      <w:r>
        <w:t>表面不应有缺陷。</w:t>
      </w:r>
    </w:p>
    <w:p w14:paraId="62C96359">
      <w:pPr>
        <w:pStyle w:val="47"/>
        <w:numPr>
          <w:ilvl w:val="1"/>
          <w:numId w:val="6"/>
        </w:numPr>
        <w:spacing w:before="156" w:after="156"/>
        <w:jc w:val="both"/>
        <w:rPr>
          <w:rFonts w:ascii="Times New Roman"/>
        </w:rPr>
      </w:pPr>
      <w:r>
        <w:rPr>
          <w:rFonts w:hint="eastAsia" w:ascii="Times New Roman"/>
        </w:rPr>
        <w:t>超声检测</w:t>
      </w:r>
    </w:p>
    <w:p w14:paraId="7D08D7AE">
      <w:pPr>
        <w:ind w:firstLine="420" w:firstLineChars="200"/>
        <w:rPr>
          <w:rFonts w:hint="eastAsia" w:ascii="宋体" w:hAnsi="宋体" w:eastAsia="宋体" w:cs="宋体"/>
          <w:color w:val="auto"/>
          <w:szCs w:val="21"/>
          <w:highlight w:val="none"/>
        </w:rPr>
      </w:pPr>
      <w:r>
        <w:rPr>
          <w:rFonts w:hint="eastAsia" w:ascii="宋体" w:hAnsi="宋体" w:eastAsia="宋体" w:cs="宋体"/>
          <w:lang w:eastAsia="zh-CN"/>
        </w:rPr>
        <w:t>圆钢</w:t>
      </w:r>
      <w:r>
        <w:rPr>
          <w:rFonts w:hint="eastAsia" w:ascii="宋体" w:hAnsi="宋体" w:cs="宋体"/>
          <w:color w:val="auto"/>
          <w:szCs w:val="21"/>
          <w:highlight w:val="none"/>
          <w:lang w:eastAsia="zh-CN"/>
        </w:rPr>
        <w:t>应</w:t>
      </w:r>
      <w:r>
        <w:rPr>
          <w:rFonts w:hint="eastAsia" w:ascii="宋体" w:hAnsi="宋体" w:eastAsia="宋体" w:cs="宋体"/>
          <w:color w:val="auto"/>
          <w:szCs w:val="21"/>
          <w:highlight w:val="none"/>
        </w:rPr>
        <w:t>按GB/T 4162</w:t>
      </w:r>
      <w:r>
        <w:rPr>
          <w:rFonts w:hint="eastAsia" w:ascii="宋体" w:hAnsi="宋体" w:cs="宋体"/>
          <w:color w:val="auto"/>
          <w:szCs w:val="21"/>
          <w:highlight w:val="none"/>
          <w:lang w:val="en-US" w:eastAsia="zh-CN"/>
        </w:rPr>
        <w:t>—2022进行</w:t>
      </w:r>
      <w:r>
        <w:rPr>
          <w:rFonts w:hint="eastAsia" w:ascii="宋体" w:hAnsi="宋体" w:eastAsia="宋体" w:cs="宋体"/>
          <w:color w:val="auto"/>
          <w:szCs w:val="21"/>
          <w:highlight w:val="none"/>
        </w:rPr>
        <w:t>超声</w:t>
      </w:r>
      <w:r>
        <w:rPr>
          <w:rFonts w:hint="eastAsia" w:ascii="宋体" w:hAnsi="宋体" w:cs="宋体"/>
          <w:color w:val="auto"/>
          <w:szCs w:val="21"/>
          <w:highlight w:val="none"/>
          <w:lang w:eastAsia="zh-CN"/>
        </w:rPr>
        <w:t>检测，公称直径不大于</w:t>
      </w:r>
      <w:r>
        <w:rPr>
          <w:rFonts w:hint="eastAsia" w:ascii="宋体" w:hAnsi="宋体" w:cs="宋体"/>
          <w:color w:val="auto"/>
          <w:szCs w:val="21"/>
          <w:highlight w:val="none"/>
          <w:lang w:val="en-US" w:eastAsia="zh-CN"/>
        </w:rPr>
        <w:t>120 mm的</w:t>
      </w:r>
      <w:r>
        <w:rPr>
          <w:rFonts w:hint="eastAsia" w:ascii="宋体" w:hAnsi="宋体" w:eastAsia="宋体" w:cs="宋体"/>
          <w:lang w:eastAsia="zh-CN"/>
        </w:rPr>
        <w:t>圆钢</w:t>
      </w:r>
      <w:r>
        <w:rPr>
          <w:rFonts w:hint="eastAsia" w:ascii="宋体" w:hAnsi="宋体" w:cs="宋体"/>
          <w:color w:val="auto"/>
          <w:szCs w:val="21"/>
          <w:highlight w:val="none"/>
          <w:lang w:val="en-US" w:eastAsia="zh-CN"/>
        </w:rPr>
        <w:t>，其合格级别为A级；</w:t>
      </w:r>
      <w:r>
        <w:rPr>
          <w:rFonts w:hint="eastAsia" w:ascii="宋体" w:hAnsi="宋体" w:cs="宋体"/>
          <w:color w:val="auto"/>
          <w:szCs w:val="21"/>
          <w:highlight w:val="none"/>
          <w:lang w:eastAsia="zh-CN"/>
        </w:rPr>
        <w:t>公称</w:t>
      </w:r>
      <w:r>
        <w:rPr>
          <w:rFonts w:hint="eastAsia" w:ascii="宋体" w:hAnsi="宋体" w:cs="宋体"/>
          <w:color w:val="auto"/>
          <w:szCs w:val="21"/>
          <w:highlight w:val="none"/>
          <w:lang w:val="en-US" w:eastAsia="zh-CN"/>
        </w:rPr>
        <w:t>直径大于120 mm的</w:t>
      </w:r>
      <w:r>
        <w:rPr>
          <w:rFonts w:hint="eastAsia" w:ascii="宋体" w:hAnsi="宋体" w:eastAsia="宋体" w:cs="宋体"/>
          <w:lang w:eastAsia="zh-CN"/>
        </w:rPr>
        <w:t>圆钢</w:t>
      </w:r>
      <w:r>
        <w:rPr>
          <w:rFonts w:hint="eastAsia" w:ascii="宋体" w:hAnsi="宋体" w:cs="宋体"/>
          <w:color w:val="auto"/>
          <w:szCs w:val="21"/>
          <w:highlight w:val="none"/>
          <w:lang w:val="en-US" w:eastAsia="zh-CN"/>
        </w:rPr>
        <w:t>，其合格级别为B级</w:t>
      </w:r>
      <w:r>
        <w:rPr>
          <w:rFonts w:hint="eastAsia" w:ascii="宋体" w:hAnsi="宋体" w:eastAsia="宋体" w:cs="宋体"/>
          <w:color w:val="auto"/>
          <w:szCs w:val="21"/>
          <w:highlight w:val="none"/>
        </w:rPr>
        <w:t>。</w:t>
      </w:r>
    </w:p>
    <w:p w14:paraId="6EFB1496">
      <w:pPr>
        <w:pStyle w:val="47"/>
        <w:numPr>
          <w:ilvl w:val="1"/>
          <w:numId w:val="6"/>
        </w:numPr>
        <w:spacing w:before="156" w:after="156"/>
        <w:jc w:val="both"/>
        <w:rPr>
          <w:rFonts w:ascii="Times New Roman"/>
        </w:rPr>
      </w:pPr>
      <w:r>
        <w:rPr>
          <w:rFonts w:ascii="Times New Roman"/>
        </w:rPr>
        <w:t>尺寸、外形、重量</w:t>
      </w:r>
    </w:p>
    <w:p w14:paraId="0F869C9F">
      <w:pPr>
        <w:widowControl/>
        <w:numPr>
          <w:ilvl w:val="2"/>
          <w:numId w:val="6"/>
        </w:numPr>
        <w:tabs>
          <w:tab w:val="center" w:pos="4620"/>
          <w:tab w:val="right" w:pos="9460"/>
        </w:tabs>
        <w:spacing w:before="156" w:beforeLines="50" w:after="156" w:afterLines="50"/>
        <w:ind w:left="0"/>
        <w:jc w:val="left"/>
        <w:outlineLvl w:val="3"/>
        <w:rPr>
          <w:rFonts w:eastAsia="黑体"/>
        </w:rPr>
      </w:pPr>
      <w:r>
        <w:rPr>
          <w:rFonts w:eastAsia="黑体"/>
        </w:rPr>
        <w:t>尺寸及其允许偏差</w:t>
      </w:r>
    </w:p>
    <w:p w14:paraId="45CD2E37">
      <w:pPr>
        <w:pStyle w:val="163"/>
        <w:numPr>
          <w:ilvl w:val="4"/>
          <w:numId w:val="0"/>
        </w:numPr>
        <w:ind w:leftChars="0"/>
        <w:rPr>
          <w:rFonts w:hint="eastAsia"/>
          <w:color w:val="auto"/>
        </w:rPr>
      </w:pPr>
      <w:r>
        <w:rPr>
          <w:rFonts w:hint="eastAsia" w:ascii="黑体" w:hAnsi="黑体" w:eastAsia="黑体" w:cs="黑体"/>
          <w:color w:val="auto"/>
          <w:lang w:val="en-US" w:eastAsia="zh-CN"/>
        </w:rPr>
        <w:t xml:space="preserve">6.12.1.1 </w:t>
      </w:r>
      <w:r>
        <w:rPr>
          <w:rFonts w:hint="eastAsia"/>
          <w:color w:val="auto"/>
          <w:lang w:val="en-US" w:eastAsia="zh-CN"/>
        </w:rPr>
        <w:t xml:space="preserve"> </w:t>
      </w:r>
      <w:r>
        <w:rPr>
          <w:rFonts w:hint="eastAsia" w:ascii="宋体" w:hAnsi="宋体" w:eastAsia="宋体" w:cs="宋体"/>
          <w:lang w:eastAsia="zh-CN"/>
        </w:rPr>
        <w:t>圆钢</w:t>
      </w:r>
      <w:r>
        <w:rPr>
          <w:rFonts w:hint="eastAsia"/>
          <w:color w:val="auto"/>
        </w:rPr>
        <w:t>的尺寸及其允许偏差应符合GB/T 702</w:t>
      </w:r>
      <w:r>
        <w:rPr>
          <w:rFonts w:hint="eastAsia"/>
          <w:color w:val="auto"/>
          <w:lang w:eastAsia="zh-CN"/>
        </w:rPr>
        <w:t>—</w:t>
      </w:r>
      <w:r>
        <w:rPr>
          <w:rFonts w:hint="eastAsia"/>
          <w:color w:val="auto"/>
          <w:lang w:val="en-US" w:eastAsia="zh-CN"/>
        </w:rPr>
        <w:t>2017表1中</w:t>
      </w:r>
      <w:r>
        <w:rPr>
          <w:rFonts w:hint="eastAsia"/>
          <w:color w:val="auto"/>
        </w:rPr>
        <w:t>第2组的规定。</w:t>
      </w:r>
    </w:p>
    <w:p w14:paraId="215C8E01">
      <w:pPr>
        <w:pStyle w:val="163"/>
        <w:numPr>
          <w:ilvl w:val="4"/>
          <w:numId w:val="0"/>
        </w:numPr>
        <w:ind w:leftChars="0"/>
        <w:rPr>
          <w:rFonts w:hint="eastAsia"/>
          <w:color w:val="auto"/>
        </w:rPr>
      </w:pPr>
      <w:r>
        <w:rPr>
          <w:rFonts w:hint="eastAsia" w:ascii="黑体" w:hAnsi="黑体" w:eastAsia="黑体" w:cs="黑体"/>
          <w:color w:val="auto"/>
          <w:lang w:val="en-US" w:eastAsia="zh-CN"/>
        </w:rPr>
        <w:t xml:space="preserve">6.12.1.2 </w:t>
      </w:r>
      <w:r>
        <w:rPr>
          <w:rFonts w:hint="eastAsia"/>
          <w:color w:val="auto"/>
          <w:lang w:val="en-US" w:eastAsia="zh-CN"/>
        </w:rPr>
        <w:t xml:space="preserve"> </w:t>
      </w:r>
      <w:r>
        <w:rPr>
          <w:rFonts w:hint="eastAsia" w:ascii="宋体" w:hAnsi="宋体" w:eastAsia="宋体" w:cs="宋体"/>
          <w:lang w:eastAsia="zh-CN"/>
        </w:rPr>
        <w:t>圆钢</w:t>
      </w:r>
      <w:r>
        <w:rPr>
          <w:rFonts w:hint="eastAsia"/>
          <w:color w:val="auto"/>
        </w:rPr>
        <w:t>的</w:t>
      </w:r>
      <w:r>
        <w:rPr>
          <w:rFonts w:hint="eastAsia"/>
          <w:color w:val="auto"/>
          <w:lang w:eastAsia="zh-CN"/>
        </w:rPr>
        <w:t>通常</w:t>
      </w:r>
      <w:r>
        <w:rPr>
          <w:rFonts w:hint="eastAsia"/>
          <w:color w:val="auto"/>
        </w:rPr>
        <w:t>长度为3</w:t>
      </w:r>
      <w:r>
        <w:rPr>
          <w:rFonts w:hint="eastAsia"/>
          <w:color w:val="auto"/>
          <w:lang w:val="en-US" w:eastAsia="zh-CN"/>
        </w:rPr>
        <w:t xml:space="preserve"> </w:t>
      </w:r>
      <w:r>
        <w:rPr>
          <w:rFonts w:hint="eastAsia"/>
          <w:color w:val="auto"/>
        </w:rPr>
        <w:t>000</w:t>
      </w:r>
      <w:r>
        <w:rPr>
          <w:rFonts w:hint="eastAsia"/>
          <w:color w:val="auto"/>
          <w:lang w:val="en-US" w:eastAsia="zh-CN"/>
        </w:rPr>
        <w:t xml:space="preserve"> </w:t>
      </w:r>
      <w:r>
        <w:rPr>
          <w:rFonts w:hint="eastAsia"/>
          <w:color w:val="auto"/>
        </w:rPr>
        <w:t>mm～8</w:t>
      </w:r>
      <w:r>
        <w:rPr>
          <w:rFonts w:hint="eastAsia"/>
          <w:color w:val="auto"/>
          <w:lang w:val="en-US" w:eastAsia="zh-CN"/>
        </w:rPr>
        <w:t xml:space="preserve"> </w:t>
      </w:r>
      <w:r>
        <w:rPr>
          <w:rFonts w:hint="eastAsia"/>
          <w:color w:val="auto"/>
        </w:rPr>
        <w:t>000</w:t>
      </w:r>
      <w:r>
        <w:rPr>
          <w:rFonts w:hint="eastAsia"/>
          <w:color w:val="auto"/>
          <w:lang w:val="en-US" w:eastAsia="zh-CN"/>
        </w:rPr>
        <w:t xml:space="preserve"> </w:t>
      </w:r>
      <w:r>
        <w:rPr>
          <w:rFonts w:hint="eastAsia"/>
          <w:color w:val="auto"/>
        </w:rPr>
        <w:t>mm；</w:t>
      </w:r>
      <w:r>
        <w:rPr>
          <w:rFonts w:hint="eastAsia" w:ascii="宋体" w:hAnsi="宋体" w:eastAsia="宋体" w:cs="宋体"/>
          <w:lang w:eastAsia="zh-CN"/>
        </w:rPr>
        <w:t>圆钢</w:t>
      </w:r>
      <w:r>
        <w:rPr>
          <w:rFonts w:hint="eastAsia"/>
          <w:color w:val="auto"/>
        </w:rPr>
        <w:t>应在规定长度范围内以齐尺长度交货，每捆中最长与最短</w:t>
      </w:r>
      <w:r>
        <w:rPr>
          <w:rFonts w:hint="eastAsia" w:ascii="宋体" w:hAnsi="宋体" w:eastAsia="宋体" w:cs="宋体"/>
          <w:lang w:eastAsia="zh-CN"/>
        </w:rPr>
        <w:t>圆钢</w:t>
      </w:r>
      <w:r>
        <w:rPr>
          <w:rFonts w:hint="eastAsia"/>
          <w:color w:val="auto"/>
        </w:rPr>
        <w:t>的长度差应不大于1</w:t>
      </w:r>
      <w:r>
        <w:rPr>
          <w:rFonts w:hint="eastAsia"/>
          <w:color w:val="auto"/>
          <w:lang w:val="en-US" w:eastAsia="zh-CN"/>
        </w:rPr>
        <w:t xml:space="preserve"> </w:t>
      </w:r>
      <w:r>
        <w:rPr>
          <w:rFonts w:hint="eastAsia"/>
          <w:color w:val="auto"/>
        </w:rPr>
        <w:t>000</w:t>
      </w:r>
      <w:r>
        <w:rPr>
          <w:rFonts w:hint="eastAsia"/>
          <w:color w:val="auto"/>
          <w:lang w:val="en-US" w:eastAsia="zh-CN"/>
        </w:rPr>
        <w:t xml:space="preserve"> </w:t>
      </w:r>
      <w:r>
        <w:rPr>
          <w:rFonts w:hint="eastAsia"/>
          <w:color w:val="auto"/>
        </w:rPr>
        <w:t>mm</w:t>
      </w:r>
      <w:r>
        <w:rPr>
          <w:rFonts w:hint="eastAsia"/>
          <w:color w:val="auto"/>
          <w:lang w:eastAsia="zh-CN"/>
        </w:rPr>
        <w:t>。</w:t>
      </w:r>
    </w:p>
    <w:p w14:paraId="7F09784E">
      <w:pPr>
        <w:pStyle w:val="163"/>
        <w:numPr>
          <w:ilvl w:val="4"/>
          <w:numId w:val="0"/>
        </w:numPr>
        <w:ind w:leftChars="0"/>
        <w:rPr>
          <w:rFonts w:hint="eastAsia"/>
          <w:color w:val="auto"/>
          <w:lang w:eastAsia="zh-CN"/>
        </w:rPr>
      </w:pPr>
      <w:r>
        <w:rPr>
          <w:rFonts w:hint="eastAsia" w:ascii="黑体" w:hAnsi="黑体" w:eastAsia="黑体" w:cs="黑体"/>
          <w:color w:val="auto"/>
          <w:lang w:val="en-US" w:eastAsia="zh-CN"/>
        </w:rPr>
        <w:t xml:space="preserve">6.12.1.3  </w:t>
      </w:r>
      <w:r>
        <w:rPr>
          <w:rFonts w:hint="eastAsia"/>
          <w:color w:val="auto"/>
          <w:lang w:eastAsia="zh-CN"/>
        </w:rPr>
        <w:t>按定尺或倍尺交货的</w:t>
      </w:r>
      <w:r>
        <w:rPr>
          <w:rFonts w:hint="eastAsia" w:ascii="宋体" w:hAnsi="宋体" w:eastAsia="宋体" w:cs="宋体"/>
          <w:lang w:eastAsia="zh-CN"/>
        </w:rPr>
        <w:t>圆钢</w:t>
      </w:r>
      <w:r>
        <w:rPr>
          <w:rFonts w:hint="eastAsia"/>
          <w:color w:val="auto"/>
          <w:lang w:eastAsia="zh-CN"/>
        </w:rPr>
        <w:t>，其长度允许偏差应不超过</w:t>
      </w:r>
      <w:r>
        <w:rPr>
          <w:rFonts w:hint="eastAsia"/>
          <w:color w:val="auto"/>
          <w:lang w:eastAsia="zh-CN"/>
          <w:eastAsianLayout w:id="5" w:combine="1"/>
        </w:rPr>
        <w:t>+50   0</w:t>
      </w:r>
      <w:r>
        <w:rPr>
          <w:rFonts w:hint="eastAsia"/>
          <w:color w:val="auto"/>
          <w:lang w:eastAsia="zh-CN"/>
        </w:rPr>
        <w:t xml:space="preserve"> mm。</w:t>
      </w:r>
    </w:p>
    <w:p w14:paraId="18BD0E94">
      <w:pPr>
        <w:widowControl/>
        <w:numPr>
          <w:ilvl w:val="2"/>
          <w:numId w:val="6"/>
        </w:numPr>
        <w:tabs>
          <w:tab w:val="center" w:pos="4620"/>
          <w:tab w:val="right" w:pos="9460"/>
        </w:tabs>
        <w:spacing w:before="156" w:beforeLines="50" w:after="156" w:afterLines="50"/>
        <w:ind w:left="0"/>
        <w:jc w:val="left"/>
        <w:outlineLvl w:val="3"/>
        <w:rPr>
          <w:rFonts w:hint="default" w:eastAsia="黑体"/>
          <w:color w:val="auto"/>
          <w:highlight w:val="yellow"/>
          <w:lang w:val="en-US"/>
        </w:rPr>
      </w:pPr>
      <w:r>
        <w:rPr>
          <w:rFonts w:hint="eastAsia" w:eastAsia="黑体"/>
          <w:color w:val="auto"/>
          <w:lang w:eastAsia="zh-CN"/>
        </w:rPr>
        <w:t>不圆度</w:t>
      </w:r>
    </w:p>
    <w:p w14:paraId="2E7037B0">
      <w:pPr>
        <w:keepNext w:val="0"/>
        <w:keepLines w:val="0"/>
        <w:pageBreakBefore w:val="0"/>
        <w:widowControl/>
        <w:numPr>
          <w:ilvl w:val="0"/>
          <w:numId w:val="0"/>
        </w:numPr>
        <w:tabs>
          <w:tab w:val="center" w:pos="4620"/>
          <w:tab w:val="right" w:pos="9460"/>
        </w:tabs>
        <w:kinsoku/>
        <w:wordWrap/>
        <w:overflowPunct/>
        <w:topLinePunct w:val="0"/>
        <w:autoSpaceDE/>
        <w:autoSpaceDN/>
        <w:bidi w:val="0"/>
        <w:adjustRightInd/>
        <w:snapToGrid/>
        <w:ind w:leftChars="0" w:firstLine="420" w:firstLineChars="200"/>
        <w:jc w:val="left"/>
        <w:textAlignment w:val="auto"/>
        <w:outlineLvl w:val="3"/>
        <w:rPr>
          <w:rFonts w:hint="eastAsia" w:ascii="宋体" w:hAnsi="宋体" w:eastAsia="宋体" w:cs="宋体"/>
          <w:color w:val="auto"/>
          <w:sz w:val="21"/>
          <w:szCs w:val="21"/>
          <w:highlight w:val="none"/>
          <w:lang w:eastAsia="zh-CN"/>
        </w:rPr>
      </w:pPr>
      <w:r>
        <w:rPr>
          <w:rFonts w:hint="eastAsia" w:ascii="宋体" w:hAnsi="宋体" w:eastAsia="宋体" w:cs="宋体"/>
          <w:lang w:eastAsia="zh-CN"/>
        </w:rPr>
        <w:t>圆钢</w:t>
      </w:r>
      <w:r>
        <w:rPr>
          <w:rFonts w:hint="eastAsia" w:ascii="宋体" w:hAnsi="宋体" w:eastAsia="宋体" w:cs="宋体"/>
          <w:color w:val="auto"/>
          <w:sz w:val="21"/>
          <w:szCs w:val="21"/>
          <w:highlight w:val="none"/>
          <w:lang w:eastAsia="zh-CN"/>
        </w:rPr>
        <w:t>的不圆度应符合GB/T 702—</w:t>
      </w:r>
      <w:r>
        <w:rPr>
          <w:rFonts w:hint="eastAsia" w:ascii="宋体" w:hAnsi="宋体" w:eastAsia="宋体" w:cs="宋体"/>
          <w:color w:val="auto"/>
          <w:sz w:val="21"/>
          <w:szCs w:val="21"/>
          <w:highlight w:val="none"/>
          <w:lang w:val="en-US" w:eastAsia="zh-CN"/>
        </w:rPr>
        <w:t>2017</w:t>
      </w:r>
      <w:r>
        <w:rPr>
          <w:rFonts w:hint="eastAsia" w:ascii="宋体" w:hAnsi="宋体" w:eastAsia="宋体" w:cs="宋体"/>
          <w:color w:val="auto"/>
          <w:sz w:val="21"/>
          <w:szCs w:val="21"/>
          <w:highlight w:val="none"/>
          <w:lang w:eastAsia="zh-CN"/>
        </w:rPr>
        <w:t>的规定。</w:t>
      </w:r>
    </w:p>
    <w:p w14:paraId="26D6E964">
      <w:pPr>
        <w:widowControl/>
        <w:numPr>
          <w:ilvl w:val="2"/>
          <w:numId w:val="6"/>
        </w:numPr>
        <w:tabs>
          <w:tab w:val="center" w:pos="4620"/>
          <w:tab w:val="right" w:pos="9460"/>
        </w:tabs>
        <w:spacing w:before="156" w:beforeLines="50" w:after="156" w:afterLines="50"/>
        <w:ind w:left="0"/>
        <w:jc w:val="left"/>
        <w:outlineLvl w:val="3"/>
        <w:rPr>
          <w:rFonts w:hint="eastAsia" w:eastAsia="黑体"/>
          <w:color w:val="auto"/>
          <w:lang w:eastAsia="zh-CN"/>
        </w:rPr>
      </w:pPr>
      <w:r>
        <w:rPr>
          <w:rFonts w:hint="eastAsia" w:eastAsia="黑体"/>
          <w:color w:val="auto"/>
          <w:lang w:eastAsia="zh-CN"/>
        </w:rPr>
        <w:t>弯曲度</w:t>
      </w:r>
    </w:p>
    <w:p w14:paraId="5E4474B0">
      <w:pPr>
        <w:keepNext w:val="0"/>
        <w:keepLines w:val="0"/>
        <w:pageBreakBefore w:val="0"/>
        <w:widowControl/>
        <w:numPr>
          <w:ilvl w:val="0"/>
          <w:numId w:val="0"/>
        </w:numPr>
        <w:tabs>
          <w:tab w:val="center" w:pos="4620"/>
          <w:tab w:val="right" w:pos="9460"/>
        </w:tabs>
        <w:kinsoku/>
        <w:wordWrap/>
        <w:overflowPunct/>
        <w:topLinePunct w:val="0"/>
        <w:autoSpaceDE/>
        <w:autoSpaceDN/>
        <w:bidi w:val="0"/>
        <w:adjustRightInd/>
        <w:snapToGrid/>
        <w:ind w:leftChars="0" w:firstLine="420" w:firstLineChars="200"/>
        <w:jc w:val="left"/>
        <w:textAlignment w:val="auto"/>
        <w:outlineLvl w:val="3"/>
        <w:rPr>
          <w:rFonts w:hint="eastAsia" w:ascii="宋体" w:hAnsi="宋体" w:eastAsia="宋体" w:cs="宋体"/>
          <w:color w:val="auto"/>
          <w:sz w:val="21"/>
          <w:szCs w:val="21"/>
          <w:highlight w:val="none"/>
          <w:lang w:eastAsia="zh-CN"/>
        </w:rPr>
      </w:pPr>
      <w:r>
        <w:rPr>
          <w:rFonts w:hint="eastAsia" w:ascii="宋体" w:hAnsi="宋体" w:eastAsia="宋体" w:cs="宋体"/>
          <w:lang w:eastAsia="zh-CN"/>
        </w:rPr>
        <w:t>圆钢</w:t>
      </w:r>
      <w:r>
        <w:rPr>
          <w:rFonts w:hint="eastAsia" w:ascii="宋体" w:hAnsi="宋体" w:cs="宋体"/>
          <w:color w:val="auto"/>
          <w:sz w:val="21"/>
          <w:szCs w:val="21"/>
          <w:highlight w:val="none"/>
          <w:lang w:eastAsia="zh-CN"/>
        </w:rPr>
        <w:t>的每米弯曲度应不大于</w:t>
      </w:r>
      <w:r>
        <w:rPr>
          <w:rFonts w:hint="eastAsia" w:ascii="宋体" w:hAnsi="宋体" w:cs="宋体"/>
          <w:color w:val="auto"/>
          <w:sz w:val="21"/>
          <w:szCs w:val="21"/>
          <w:highlight w:val="none"/>
          <w:lang w:val="en-US" w:eastAsia="zh-CN"/>
        </w:rPr>
        <w:t>3.0 mm，总弯曲度应不大于</w:t>
      </w:r>
      <w:r>
        <w:rPr>
          <w:rFonts w:hint="eastAsia" w:ascii="宋体" w:hAnsi="宋体" w:eastAsia="宋体" w:cs="宋体"/>
          <w:lang w:eastAsia="zh-CN"/>
        </w:rPr>
        <w:t>圆钢</w:t>
      </w:r>
      <w:r>
        <w:rPr>
          <w:rFonts w:hint="eastAsia" w:ascii="宋体" w:hAnsi="宋体" w:cs="宋体"/>
          <w:color w:val="auto"/>
          <w:sz w:val="21"/>
          <w:szCs w:val="21"/>
          <w:highlight w:val="none"/>
          <w:lang w:val="en-US" w:eastAsia="zh-CN"/>
        </w:rPr>
        <w:t>长度的0.3%。</w:t>
      </w:r>
    </w:p>
    <w:p w14:paraId="099AB072">
      <w:pPr>
        <w:widowControl/>
        <w:numPr>
          <w:ilvl w:val="2"/>
          <w:numId w:val="6"/>
        </w:numPr>
        <w:tabs>
          <w:tab w:val="center" w:pos="4620"/>
          <w:tab w:val="right" w:pos="9460"/>
        </w:tabs>
        <w:spacing w:before="156" w:beforeLines="50" w:after="156" w:afterLines="50"/>
        <w:ind w:left="0"/>
        <w:jc w:val="left"/>
        <w:outlineLvl w:val="3"/>
        <w:rPr>
          <w:rFonts w:hint="eastAsia" w:eastAsia="黑体"/>
          <w:lang w:eastAsia="zh-CN"/>
        </w:rPr>
      </w:pPr>
      <w:r>
        <w:rPr>
          <w:rFonts w:hint="eastAsia" w:eastAsia="黑体"/>
          <w:lang w:eastAsia="zh-CN"/>
        </w:rPr>
        <w:t>扭转</w:t>
      </w:r>
    </w:p>
    <w:p w14:paraId="3F56CBD7">
      <w:pPr>
        <w:pStyle w:val="22"/>
        <w:rPr>
          <w:rFonts w:ascii="Times New Roman"/>
        </w:rPr>
      </w:pPr>
      <w:r>
        <w:rPr>
          <w:rFonts w:hint="eastAsia" w:ascii="宋体" w:hAnsi="宋体" w:eastAsia="宋体" w:cs="宋体"/>
          <w:lang w:eastAsia="zh-CN"/>
        </w:rPr>
        <w:t>圆钢</w:t>
      </w:r>
      <w:r>
        <w:rPr>
          <w:rFonts w:ascii="Times New Roman"/>
        </w:rPr>
        <w:t>不应有显著扭转。</w:t>
      </w:r>
    </w:p>
    <w:p w14:paraId="64B4EF6A">
      <w:pPr>
        <w:widowControl/>
        <w:numPr>
          <w:ilvl w:val="2"/>
          <w:numId w:val="6"/>
        </w:numPr>
        <w:tabs>
          <w:tab w:val="center" w:pos="4620"/>
          <w:tab w:val="right" w:pos="9460"/>
        </w:tabs>
        <w:spacing w:before="156" w:beforeLines="50" w:after="156" w:afterLines="50"/>
        <w:ind w:left="0"/>
        <w:jc w:val="left"/>
        <w:outlineLvl w:val="3"/>
        <w:rPr>
          <w:rFonts w:hint="eastAsia" w:eastAsia="黑体"/>
          <w:lang w:eastAsia="zh-CN"/>
        </w:rPr>
      </w:pPr>
      <w:r>
        <w:rPr>
          <w:rFonts w:hint="eastAsia" w:eastAsia="黑体"/>
          <w:lang w:eastAsia="zh-CN"/>
        </w:rPr>
        <w:t>端头形状</w:t>
      </w:r>
    </w:p>
    <w:p w14:paraId="65133C00">
      <w:pPr>
        <w:pStyle w:val="22"/>
        <w:rPr>
          <w:rFonts w:hint="eastAsia" w:hAnsi="宋体"/>
          <w:kern w:val="2"/>
          <w:szCs w:val="24"/>
        </w:rPr>
      </w:pPr>
      <w:r>
        <w:rPr>
          <w:rFonts w:hint="eastAsia" w:ascii="宋体" w:hAnsi="宋体" w:eastAsia="宋体" w:cs="宋体"/>
          <w:lang w:eastAsia="zh-CN"/>
        </w:rPr>
        <w:t>圆钢</w:t>
      </w:r>
      <w:r>
        <w:rPr>
          <w:rFonts w:hint="eastAsia" w:hAnsi="宋体"/>
          <w:kern w:val="2"/>
          <w:szCs w:val="24"/>
        </w:rPr>
        <w:t>端头应锯切或剪切整齐，不应有飞边、毛刺及影响使用的切斜和压扁。</w:t>
      </w:r>
      <w:r>
        <w:rPr>
          <w:rFonts w:hint="eastAsia" w:ascii="宋体" w:hAnsi="宋体" w:eastAsia="宋体" w:cs="宋体"/>
          <w:lang w:eastAsia="zh-CN"/>
        </w:rPr>
        <w:t>圆钢</w:t>
      </w:r>
      <w:r>
        <w:rPr>
          <w:rFonts w:hint="eastAsia" w:hAnsi="宋体"/>
          <w:kern w:val="2"/>
          <w:szCs w:val="24"/>
        </w:rPr>
        <w:t>不允许气割。</w:t>
      </w:r>
      <w:r>
        <w:rPr>
          <w:rFonts w:hint="eastAsia" w:ascii="宋体" w:hAnsi="宋体" w:eastAsia="宋体" w:cs="宋体"/>
          <w:lang w:eastAsia="zh-CN"/>
        </w:rPr>
        <w:t>圆钢</w:t>
      </w:r>
      <w:r>
        <w:rPr>
          <w:rFonts w:hint="eastAsia" w:hAnsi="宋体"/>
          <w:kern w:val="2"/>
          <w:szCs w:val="24"/>
          <w:lang w:eastAsia="zh-CN"/>
        </w:rPr>
        <w:t>如需倒角，应在合同中注明</w:t>
      </w:r>
      <w:r>
        <w:rPr>
          <w:rFonts w:hint="eastAsia" w:hAnsi="宋体"/>
          <w:kern w:val="2"/>
          <w:szCs w:val="24"/>
        </w:rPr>
        <w:t>。</w:t>
      </w:r>
    </w:p>
    <w:p w14:paraId="1DC601D5">
      <w:pPr>
        <w:widowControl/>
        <w:numPr>
          <w:ilvl w:val="2"/>
          <w:numId w:val="6"/>
        </w:numPr>
        <w:tabs>
          <w:tab w:val="center" w:pos="4620"/>
          <w:tab w:val="right" w:pos="9460"/>
        </w:tabs>
        <w:spacing w:before="156" w:beforeLines="50" w:after="156" w:afterLines="50"/>
        <w:ind w:left="0"/>
        <w:jc w:val="left"/>
        <w:outlineLvl w:val="3"/>
        <w:rPr>
          <w:rFonts w:hint="eastAsia" w:eastAsia="黑体"/>
          <w:lang w:eastAsia="zh-CN"/>
        </w:rPr>
      </w:pPr>
      <w:r>
        <w:rPr>
          <w:rFonts w:hint="eastAsia" w:eastAsia="黑体"/>
          <w:lang w:eastAsia="zh-CN"/>
        </w:rPr>
        <w:t>重量</w:t>
      </w:r>
    </w:p>
    <w:p w14:paraId="5A027CA5">
      <w:pPr>
        <w:pStyle w:val="22"/>
        <w:rPr>
          <w:rFonts w:ascii="Times New Roman"/>
        </w:rPr>
      </w:pPr>
      <w:r>
        <w:rPr>
          <w:rFonts w:hint="eastAsia" w:ascii="宋体" w:hAnsi="宋体" w:eastAsia="宋体" w:cs="宋体"/>
          <w:lang w:eastAsia="zh-CN"/>
        </w:rPr>
        <w:t>圆钢</w:t>
      </w:r>
      <w:r>
        <w:rPr>
          <w:rFonts w:ascii="Times New Roman"/>
        </w:rPr>
        <w:t>按实际重量交货。</w:t>
      </w:r>
    </w:p>
    <w:p w14:paraId="2CE5D2D8">
      <w:pPr>
        <w:pStyle w:val="47"/>
        <w:numPr>
          <w:ilvl w:val="1"/>
          <w:numId w:val="6"/>
        </w:numPr>
        <w:spacing w:before="156" w:after="156"/>
        <w:jc w:val="both"/>
        <w:rPr>
          <w:rFonts w:ascii="Times New Roman"/>
        </w:rPr>
      </w:pPr>
      <w:r>
        <w:rPr>
          <w:rFonts w:ascii="Times New Roman"/>
        </w:rPr>
        <w:t>特殊要求</w:t>
      </w:r>
    </w:p>
    <w:p w14:paraId="5DD58021">
      <w:pPr>
        <w:pStyle w:val="22"/>
        <w:rPr>
          <w:rFonts w:ascii="Times New Roman"/>
        </w:rPr>
      </w:pPr>
      <w:r>
        <w:rPr>
          <w:rFonts w:ascii="Times New Roman"/>
        </w:rPr>
        <w:t>根据需方要求，经供需双方协商，并在合同中注明，可提出下列特殊要求：</w:t>
      </w:r>
    </w:p>
    <w:p w14:paraId="2F866384">
      <w:pPr>
        <w:pStyle w:val="22"/>
        <w:numPr>
          <w:ilvl w:val="0"/>
          <w:numId w:val="9"/>
        </w:numPr>
        <w:tabs>
          <w:tab w:val="left" w:pos="840"/>
        </w:tabs>
        <w:rPr>
          <w:rFonts w:ascii="Times New Roman"/>
        </w:rPr>
      </w:pPr>
      <w:r>
        <w:rPr>
          <w:rFonts w:ascii="Times New Roman"/>
        </w:rPr>
        <w:t>加严表面质量；</w:t>
      </w:r>
    </w:p>
    <w:p w14:paraId="6ADABA72">
      <w:pPr>
        <w:pStyle w:val="22"/>
        <w:numPr>
          <w:ilvl w:val="0"/>
          <w:numId w:val="9"/>
        </w:numPr>
        <w:tabs>
          <w:tab w:val="left" w:pos="840"/>
        </w:tabs>
        <w:rPr>
          <w:rFonts w:ascii="Times New Roman"/>
        </w:rPr>
      </w:pPr>
      <w:r>
        <w:rPr>
          <w:rFonts w:ascii="Times New Roman"/>
        </w:rPr>
        <w:t>其他特殊要求。</w:t>
      </w:r>
    </w:p>
    <w:p w14:paraId="40C39A80">
      <w:pPr>
        <w:pStyle w:val="45"/>
        <w:numPr>
          <w:ilvl w:val="0"/>
          <w:numId w:val="6"/>
        </w:numPr>
        <w:spacing w:before="312" w:after="312"/>
        <w:rPr>
          <w:rFonts w:ascii="Times New Roman"/>
        </w:rPr>
      </w:pPr>
      <w:r>
        <w:rPr>
          <w:rFonts w:ascii="Times New Roman"/>
        </w:rPr>
        <w:t>试验方法</w:t>
      </w:r>
      <w:bookmarkEnd w:id="7"/>
    </w:p>
    <w:p w14:paraId="1BD1D66D">
      <w:pPr>
        <w:widowControl/>
        <w:numPr>
          <w:ilvl w:val="1"/>
          <w:numId w:val="6"/>
        </w:numPr>
        <w:tabs>
          <w:tab w:val="center" w:pos="4620"/>
          <w:tab w:val="right" w:pos="9460"/>
        </w:tabs>
        <w:spacing w:before="156" w:beforeLines="50" w:after="156" w:afterLines="50"/>
        <w:jc w:val="left"/>
        <w:outlineLvl w:val="3"/>
        <w:rPr>
          <w:rFonts w:ascii="黑体" w:hAnsi="黑体" w:eastAsia="黑体" w:cs="黑体"/>
        </w:rPr>
      </w:pPr>
      <w:bookmarkStart w:id="9" w:name="_Toc24955"/>
      <w:bookmarkStart w:id="10" w:name="_Toc103246232"/>
      <w:r>
        <w:rPr>
          <w:rFonts w:hint="eastAsia" w:ascii="黑体" w:hAnsi="黑体" w:eastAsia="黑体" w:cs="黑体"/>
        </w:rPr>
        <w:t>化学成分</w:t>
      </w:r>
    </w:p>
    <w:p w14:paraId="3C3AE32A">
      <w:pPr>
        <w:pStyle w:val="47"/>
        <w:numPr>
          <w:ilvl w:val="2"/>
          <w:numId w:val="10"/>
        </w:numPr>
        <w:spacing w:before="50" w:beforeLines="0" w:after="50" w:afterLines="0"/>
        <w:ind w:left="0"/>
        <w:jc w:val="both"/>
        <w:rPr>
          <w:rFonts w:hint="eastAsia" w:ascii="宋体" w:hAnsi="宋体" w:eastAsia="宋体" w:cs="宋体"/>
          <w:color w:val="auto"/>
        </w:rPr>
      </w:pPr>
      <w:r>
        <w:rPr>
          <w:rFonts w:hint="eastAsia" w:ascii="宋体" w:hAnsi="宋体" w:eastAsia="宋体" w:cs="宋体"/>
          <w:color w:val="auto"/>
          <w:lang w:eastAsia="zh-CN"/>
        </w:rPr>
        <w:t>钢的</w:t>
      </w:r>
      <w:r>
        <w:rPr>
          <w:rFonts w:hint="eastAsia" w:ascii="宋体" w:hAnsi="宋体" w:eastAsia="宋体" w:cs="宋体"/>
          <w:color w:val="auto"/>
        </w:rPr>
        <w:t>化学分析方法按GB/T 223</w:t>
      </w:r>
      <w:r>
        <w:rPr>
          <w:rFonts w:hint="eastAsia" w:ascii="宋体" w:hAnsi="宋体" w:eastAsia="宋体" w:cs="宋体"/>
          <w:color w:val="auto"/>
          <w:lang w:eastAsia="zh-CN"/>
        </w:rPr>
        <w:t>（所有部分）、</w:t>
      </w:r>
      <w:r>
        <w:rPr>
          <w:rFonts w:hint="eastAsia" w:ascii="宋体" w:hAnsi="宋体" w:eastAsia="宋体" w:cs="宋体"/>
          <w:color w:val="auto"/>
        </w:rPr>
        <w:t>GB/T 4336、GB/T 20123、GB/T 20125</w:t>
      </w:r>
      <w:r>
        <w:rPr>
          <w:rFonts w:hint="eastAsia" w:ascii="宋体" w:hAnsi="宋体" w:eastAsia="宋体" w:cs="宋体"/>
          <w:color w:val="auto"/>
          <w:lang w:eastAsia="zh-CN"/>
        </w:rPr>
        <w:t>或</w:t>
      </w:r>
      <w:r>
        <w:rPr>
          <w:rFonts w:hint="eastAsia" w:ascii="宋体" w:hAnsi="宋体" w:eastAsia="宋体" w:cs="宋体"/>
          <w:color w:val="auto"/>
        </w:rPr>
        <w:t>通用</w:t>
      </w:r>
      <w:r>
        <w:rPr>
          <w:rFonts w:hint="eastAsia" w:ascii="宋体" w:hAnsi="宋体" w:eastAsia="宋体" w:cs="宋体"/>
          <w:color w:val="auto"/>
          <w:lang w:eastAsia="zh-CN"/>
        </w:rPr>
        <w:t>的</w:t>
      </w:r>
      <w:r>
        <w:rPr>
          <w:rFonts w:hint="eastAsia" w:ascii="宋体" w:hAnsi="宋体" w:eastAsia="宋体" w:cs="宋体"/>
          <w:color w:val="auto"/>
        </w:rPr>
        <w:t>方法进行，仲裁时</w:t>
      </w:r>
      <w:r>
        <w:rPr>
          <w:rFonts w:hint="eastAsia" w:ascii="宋体" w:hAnsi="宋体" w:eastAsia="宋体" w:cs="宋体"/>
          <w:color w:val="auto"/>
          <w:lang w:eastAsia="zh-CN"/>
        </w:rPr>
        <w:t>由供需双方协商确定</w:t>
      </w:r>
      <w:r>
        <w:rPr>
          <w:rFonts w:hint="eastAsia" w:ascii="宋体" w:hAnsi="宋体" w:eastAsia="宋体" w:cs="宋体"/>
          <w:color w:val="auto"/>
        </w:rPr>
        <w:t>。</w:t>
      </w:r>
    </w:p>
    <w:bookmarkEnd w:id="9"/>
    <w:p w14:paraId="0A67289B">
      <w:pPr>
        <w:pStyle w:val="47"/>
        <w:numPr>
          <w:ilvl w:val="2"/>
          <w:numId w:val="10"/>
        </w:numPr>
        <w:spacing w:before="50" w:beforeLines="0" w:after="50" w:afterLines="0"/>
        <w:ind w:left="0"/>
        <w:jc w:val="both"/>
        <w:rPr>
          <w:rFonts w:hint="eastAsia" w:ascii="宋体" w:hAnsi="宋体" w:eastAsia="宋体" w:cs="宋体"/>
          <w:color w:val="auto"/>
        </w:rPr>
      </w:pPr>
      <w:r>
        <w:rPr>
          <w:rFonts w:hint="eastAsia" w:ascii="宋体" w:hAnsi="宋体" w:eastAsia="宋体" w:cs="宋体"/>
          <w:color w:val="auto"/>
        </w:rPr>
        <w:t>氧含量试样应充分去除脱碳层后检验，其分析方法按GB/T 11261进行。</w:t>
      </w:r>
    </w:p>
    <w:p w14:paraId="7C2DED64">
      <w:pPr>
        <w:pStyle w:val="47"/>
        <w:numPr>
          <w:ilvl w:val="2"/>
          <w:numId w:val="10"/>
        </w:numPr>
        <w:spacing w:before="50" w:beforeLines="0" w:after="50" w:afterLines="0"/>
        <w:ind w:left="0"/>
        <w:jc w:val="both"/>
        <w:rPr>
          <w:rFonts w:hint="eastAsia" w:ascii="宋体" w:hAnsi="宋体" w:eastAsia="宋体" w:cs="宋体"/>
          <w:color w:val="auto"/>
        </w:rPr>
      </w:pPr>
      <w:r>
        <w:rPr>
          <w:rFonts w:hint="eastAsia" w:ascii="宋体" w:hAnsi="宋体" w:eastAsia="宋体" w:cs="宋体"/>
          <w:color w:val="auto"/>
        </w:rPr>
        <w:t>钛含量分析方法由供需双方协商确定。</w:t>
      </w:r>
    </w:p>
    <w:p w14:paraId="559CF7F8">
      <w:pPr>
        <w:widowControl/>
        <w:numPr>
          <w:ilvl w:val="1"/>
          <w:numId w:val="6"/>
        </w:numPr>
        <w:tabs>
          <w:tab w:val="center" w:pos="4620"/>
          <w:tab w:val="right" w:pos="9460"/>
        </w:tabs>
        <w:spacing w:before="156" w:beforeLines="50" w:after="156" w:afterLines="50"/>
        <w:jc w:val="left"/>
        <w:outlineLvl w:val="3"/>
        <w:rPr>
          <w:rFonts w:ascii="黑体" w:hAnsi="黑体" w:eastAsia="黑体" w:cs="黑体"/>
        </w:rPr>
      </w:pPr>
      <w:r>
        <w:rPr>
          <w:rFonts w:hint="eastAsia" w:ascii="黑体" w:hAnsi="黑体" w:eastAsia="黑体" w:cs="黑体"/>
        </w:rPr>
        <w:t>硬度</w:t>
      </w:r>
    </w:p>
    <w:p w14:paraId="151CE036">
      <w:pPr>
        <w:pStyle w:val="22"/>
        <w:rPr>
          <w:rFonts w:hint="eastAsia" w:ascii="宋体" w:hAnsi="宋体" w:eastAsia="宋体" w:cs="宋体"/>
          <w:color w:val="auto"/>
        </w:rPr>
      </w:pPr>
      <w:r>
        <w:rPr>
          <w:rFonts w:hint="eastAsia" w:ascii="宋体" w:hAnsi="宋体" w:eastAsia="宋体" w:cs="宋体"/>
          <w:color w:val="auto"/>
        </w:rPr>
        <w:t>布氏硬度试验方法按GB/T 231.1的规定</w:t>
      </w:r>
      <w:r>
        <w:rPr>
          <w:rFonts w:hint="eastAsia" w:ascii="宋体" w:hAnsi="宋体" w:eastAsia="宋体" w:cs="宋体"/>
          <w:color w:val="auto"/>
          <w:lang w:val="en-US" w:eastAsia="zh-CN"/>
        </w:rPr>
        <w:t>进行</w:t>
      </w:r>
      <w:r>
        <w:rPr>
          <w:rFonts w:hint="eastAsia" w:ascii="宋体" w:hAnsi="宋体" w:eastAsia="宋体" w:cs="宋体"/>
          <w:color w:val="auto"/>
        </w:rPr>
        <w:t>。</w:t>
      </w:r>
    </w:p>
    <w:p w14:paraId="33B496DB">
      <w:pPr>
        <w:widowControl/>
        <w:numPr>
          <w:ilvl w:val="1"/>
          <w:numId w:val="6"/>
        </w:numPr>
        <w:tabs>
          <w:tab w:val="center" w:pos="4620"/>
          <w:tab w:val="right" w:pos="9460"/>
        </w:tabs>
        <w:spacing w:before="156" w:beforeLines="50" w:after="156" w:afterLines="50"/>
        <w:jc w:val="left"/>
        <w:outlineLvl w:val="3"/>
        <w:rPr>
          <w:rFonts w:ascii="黑体" w:hAnsi="黑体" w:eastAsia="黑体" w:cs="黑体"/>
        </w:rPr>
      </w:pPr>
      <w:r>
        <w:rPr>
          <w:rFonts w:hint="eastAsia" w:ascii="黑体" w:hAnsi="黑体" w:eastAsia="黑体" w:cs="黑体"/>
        </w:rPr>
        <w:t>低倍</w:t>
      </w:r>
    </w:p>
    <w:p w14:paraId="25F5082B">
      <w:pPr>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rPr>
        <w:t>低倍</w:t>
      </w:r>
      <w:r>
        <w:rPr>
          <w:rFonts w:hint="eastAsia" w:ascii="宋体" w:hAnsi="宋体" w:eastAsia="宋体" w:cs="宋体"/>
          <w:color w:val="auto"/>
          <w:lang w:eastAsia="zh-CN"/>
        </w:rPr>
        <w:t>酸浸试验方法按</w:t>
      </w:r>
      <w:r>
        <w:rPr>
          <w:rFonts w:hint="eastAsia" w:ascii="宋体" w:hAnsi="宋体" w:eastAsia="宋体" w:cs="宋体"/>
          <w:color w:val="auto"/>
          <w:lang w:val="en-US" w:eastAsia="zh-CN"/>
        </w:rPr>
        <w:t>GB/T 226的规定进行，评定方法及评级图按GB/T 1979和GB/T 18254—2016附录A中第1评级图</w:t>
      </w:r>
      <w:r>
        <w:rPr>
          <w:rFonts w:hint="eastAsia" w:ascii="宋体" w:hAnsi="宋体" w:eastAsia="宋体" w:cs="宋体"/>
          <w:color w:val="auto"/>
          <w:sz w:val="21"/>
          <w:szCs w:val="21"/>
          <w:highlight w:val="none"/>
        </w:rPr>
        <w:t>～</w:t>
      </w:r>
      <w:r>
        <w:rPr>
          <w:rFonts w:hint="eastAsia" w:ascii="宋体" w:hAnsi="宋体" w:eastAsia="宋体" w:cs="宋体"/>
          <w:color w:val="auto"/>
          <w:lang w:val="en-US" w:eastAsia="zh-CN"/>
        </w:rPr>
        <w:t>第4评级图。</w:t>
      </w:r>
    </w:p>
    <w:p w14:paraId="3EC8C19A">
      <w:pPr>
        <w:widowControl/>
        <w:numPr>
          <w:ilvl w:val="1"/>
          <w:numId w:val="6"/>
        </w:numPr>
        <w:tabs>
          <w:tab w:val="center" w:pos="4620"/>
          <w:tab w:val="right" w:pos="9460"/>
        </w:tabs>
        <w:spacing w:before="156" w:beforeLines="50" w:after="156" w:afterLines="50"/>
        <w:jc w:val="left"/>
        <w:outlineLvl w:val="3"/>
        <w:rPr>
          <w:rFonts w:ascii="黑体" w:hAnsi="黑体" w:eastAsia="黑体" w:cs="黑体"/>
          <w:color w:val="auto"/>
        </w:rPr>
      </w:pPr>
      <w:r>
        <w:rPr>
          <w:rFonts w:hint="eastAsia" w:ascii="黑体" w:hAnsi="黑体" w:eastAsia="黑体" w:cs="黑体"/>
          <w:color w:val="auto"/>
          <w:lang w:eastAsia="zh-CN"/>
        </w:rPr>
        <w:t>宏观夹杂物</w:t>
      </w:r>
    </w:p>
    <w:p w14:paraId="442D3058">
      <w:pPr>
        <w:pStyle w:val="22"/>
        <w:rPr>
          <w:rFonts w:hint="default" w:ascii="宋体" w:hAnsi="宋体" w:eastAsia="宋体" w:cs="宋体"/>
          <w:color w:val="auto"/>
          <w:lang w:val="en-US"/>
        </w:rPr>
      </w:pPr>
      <w:r>
        <w:rPr>
          <w:rFonts w:hint="eastAsia" w:ascii="宋体" w:hAnsi="宋体" w:eastAsia="宋体" w:cs="宋体"/>
          <w:color w:val="auto"/>
          <w:lang w:eastAsia="zh-CN"/>
        </w:rPr>
        <w:t>宏观夹杂物</w:t>
      </w:r>
      <w:r>
        <w:rPr>
          <w:rFonts w:hint="eastAsia" w:hAnsi="宋体" w:cs="宋体"/>
          <w:color w:val="auto"/>
          <w:lang w:eastAsia="zh-CN"/>
        </w:rPr>
        <w:t>检验</w:t>
      </w:r>
      <w:r>
        <w:rPr>
          <w:rFonts w:hint="eastAsia" w:ascii="宋体" w:hAnsi="宋体" w:eastAsia="宋体" w:cs="宋体"/>
          <w:color w:val="auto"/>
          <w:lang w:eastAsia="zh-CN"/>
        </w:rPr>
        <w:t>按</w:t>
      </w:r>
      <w:r>
        <w:rPr>
          <w:rFonts w:hint="eastAsia" w:ascii="宋体" w:hAnsi="宋体" w:eastAsia="宋体" w:cs="宋体"/>
          <w:color w:val="auto"/>
          <w:lang w:val="en-US" w:eastAsia="zh-CN"/>
        </w:rPr>
        <w:t>GB/T 38683</w:t>
      </w:r>
      <w:r>
        <w:rPr>
          <w:rFonts w:hint="eastAsia" w:hAnsi="宋体" w:cs="宋体"/>
          <w:color w:val="auto"/>
          <w:lang w:val="en-US" w:eastAsia="zh-CN"/>
        </w:rPr>
        <w:t>—2020中灵敏度4级</w:t>
      </w:r>
      <w:r>
        <w:rPr>
          <w:rFonts w:hint="eastAsia" w:ascii="宋体" w:hAnsi="宋体" w:eastAsia="宋体" w:cs="宋体"/>
          <w:color w:val="auto"/>
          <w:lang w:val="en-US" w:eastAsia="zh-CN"/>
        </w:rPr>
        <w:t>的规定进行。</w:t>
      </w:r>
    </w:p>
    <w:p w14:paraId="3202D716">
      <w:pPr>
        <w:widowControl/>
        <w:numPr>
          <w:ilvl w:val="1"/>
          <w:numId w:val="6"/>
        </w:numPr>
        <w:tabs>
          <w:tab w:val="center" w:pos="4620"/>
          <w:tab w:val="right" w:pos="9460"/>
        </w:tabs>
        <w:spacing w:before="156" w:beforeLines="50" w:after="156" w:afterLines="50"/>
        <w:jc w:val="left"/>
        <w:outlineLvl w:val="3"/>
        <w:rPr>
          <w:rFonts w:ascii="黑体" w:hAnsi="黑体" w:eastAsia="黑体" w:cs="黑体"/>
        </w:rPr>
      </w:pPr>
      <w:r>
        <w:rPr>
          <w:rFonts w:hint="eastAsia" w:ascii="黑体" w:hAnsi="黑体" w:eastAsia="黑体" w:cs="黑体"/>
        </w:rPr>
        <w:t>非金属夹杂物</w:t>
      </w:r>
    </w:p>
    <w:p w14:paraId="423A67CD">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非金属夹杂物</w:t>
      </w:r>
      <w:r>
        <w:rPr>
          <w:rFonts w:hint="eastAsia" w:ascii="宋体" w:hAnsi="宋体" w:eastAsia="宋体" w:cs="宋体"/>
          <w:color w:val="auto"/>
          <w:szCs w:val="21"/>
          <w:lang w:eastAsia="zh-CN"/>
        </w:rPr>
        <w:t>试样</w:t>
      </w:r>
      <w:r>
        <w:rPr>
          <w:rFonts w:hint="eastAsia" w:ascii="宋体" w:hAnsi="宋体" w:eastAsia="宋体" w:cs="宋体"/>
          <w:color w:val="auto"/>
          <w:szCs w:val="21"/>
        </w:rPr>
        <w:t>按7.1</w:t>
      </w:r>
      <w:r>
        <w:rPr>
          <w:rFonts w:hint="eastAsia" w:ascii="宋体" w:hAnsi="宋体" w:cs="宋体"/>
          <w:color w:val="auto"/>
          <w:szCs w:val="21"/>
          <w:lang w:val="en-US" w:eastAsia="zh-CN"/>
        </w:rPr>
        <w:t>3</w:t>
      </w:r>
      <w:r>
        <w:rPr>
          <w:rFonts w:hint="eastAsia" w:ascii="宋体" w:hAnsi="宋体" w:eastAsia="宋体" w:cs="宋体"/>
          <w:color w:val="auto"/>
          <w:szCs w:val="21"/>
        </w:rPr>
        <w:t>进行</w:t>
      </w:r>
      <w:r>
        <w:rPr>
          <w:rFonts w:hint="eastAsia" w:ascii="宋体" w:hAnsi="宋体" w:eastAsia="宋体" w:cs="宋体"/>
          <w:color w:val="auto"/>
          <w:highlight w:val="none"/>
        </w:rPr>
        <w:t>淬火回火</w:t>
      </w:r>
      <w:r>
        <w:rPr>
          <w:rFonts w:hint="eastAsia" w:ascii="宋体" w:hAnsi="宋体" w:eastAsia="宋体" w:cs="宋体"/>
          <w:color w:val="auto"/>
          <w:szCs w:val="21"/>
        </w:rPr>
        <w:t>后放大100倍观察，评定方法及评级图按GB/T 10561</w:t>
      </w:r>
      <w:r>
        <w:rPr>
          <w:rFonts w:hint="eastAsia" w:ascii="宋体" w:hAnsi="宋体" w:eastAsia="宋体" w:cs="宋体"/>
          <w:color w:val="auto"/>
          <w:lang w:val="en-US" w:eastAsia="zh-CN"/>
        </w:rPr>
        <w:t>—</w:t>
      </w:r>
      <w:r>
        <w:rPr>
          <w:rFonts w:hint="eastAsia" w:ascii="宋体" w:hAnsi="宋体" w:eastAsia="宋体" w:cs="宋体"/>
          <w:color w:val="auto"/>
          <w:szCs w:val="21"/>
        </w:rPr>
        <w:t>20</w:t>
      </w:r>
      <w:r>
        <w:rPr>
          <w:rFonts w:hint="eastAsia" w:ascii="宋体" w:hAnsi="宋体" w:cs="宋体"/>
          <w:color w:val="auto"/>
          <w:szCs w:val="21"/>
          <w:lang w:val="en-US" w:eastAsia="zh-CN"/>
        </w:rPr>
        <w:t>23</w:t>
      </w:r>
      <w:r>
        <w:rPr>
          <w:rFonts w:hint="eastAsia" w:ascii="宋体" w:hAnsi="宋体" w:eastAsia="宋体" w:cs="宋体"/>
          <w:color w:val="auto"/>
          <w:szCs w:val="21"/>
        </w:rPr>
        <w:t>中A法进行。</w:t>
      </w:r>
    </w:p>
    <w:p w14:paraId="178C5C9E">
      <w:pPr>
        <w:widowControl/>
        <w:numPr>
          <w:ilvl w:val="1"/>
          <w:numId w:val="6"/>
        </w:numPr>
        <w:tabs>
          <w:tab w:val="center" w:pos="4620"/>
          <w:tab w:val="right" w:pos="9460"/>
        </w:tabs>
        <w:spacing w:before="156" w:beforeLines="50" w:after="156" w:afterLines="50"/>
        <w:jc w:val="left"/>
        <w:outlineLvl w:val="3"/>
        <w:rPr>
          <w:rFonts w:hint="eastAsia" w:ascii="黑体" w:hAnsi="黑体" w:eastAsia="黑体" w:cs="黑体"/>
          <w:color w:val="auto"/>
          <w:lang w:eastAsia="zh-CN"/>
        </w:rPr>
      </w:pPr>
      <w:r>
        <w:rPr>
          <w:rFonts w:hint="eastAsia" w:ascii="黑体" w:hAnsi="黑体" w:eastAsia="黑体" w:cs="黑体"/>
          <w:color w:val="auto"/>
        </w:rPr>
        <w:t>脱碳</w:t>
      </w:r>
      <w:r>
        <w:rPr>
          <w:rFonts w:hint="eastAsia" w:ascii="黑体" w:hAnsi="黑体" w:eastAsia="黑体" w:cs="黑体"/>
          <w:color w:val="auto"/>
          <w:lang w:eastAsia="zh-CN"/>
        </w:rPr>
        <w:t>层</w:t>
      </w:r>
    </w:p>
    <w:p w14:paraId="0F0787DE">
      <w:pPr>
        <w:pStyle w:val="22"/>
        <w:rPr>
          <w:rFonts w:hint="eastAsia" w:ascii="宋体" w:hAnsi="宋体" w:eastAsia="宋体" w:cs="宋体"/>
          <w:color w:val="auto"/>
        </w:rPr>
      </w:pPr>
      <w:r>
        <w:rPr>
          <w:rFonts w:hint="eastAsia" w:ascii="宋体" w:hAnsi="宋体" w:eastAsia="宋体" w:cs="宋体"/>
          <w:color w:val="auto"/>
        </w:rPr>
        <w:t>脱碳层按GB/T 224</w:t>
      </w:r>
      <w:r>
        <w:rPr>
          <w:rFonts w:hint="eastAsia" w:ascii="宋体" w:hAnsi="宋体" w:eastAsia="宋体" w:cs="宋体"/>
          <w:color w:val="auto"/>
          <w:lang w:val="en-US" w:eastAsia="zh-CN"/>
        </w:rPr>
        <w:t>—</w:t>
      </w:r>
      <w:r>
        <w:rPr>
          <w:rFonts w:hint="eastAsia" w:ascii="宋体" w:hAnsi="宋体" w:eastAsia="宋体" w:cs="宋体"/>
          <w:color w:val="auto"/>
        </w:rPr>
        <w:t>20</w:t>
      </w:r>
      <w:r>
        <w:rPr>
          <w:rFonts w:hint="eastAsia" w:hAnsi="宋体" w:cs="宋体"/>
          <w:color w:val="auto"/>
          <w:lang w:val="en-US" w:eastAsia="zh-CN"/>
        </w:rPr>
        <w:t>19</w:t>
      </w:r>
      <w:r>
        <w:rPr>
          <w:rFonts w:hint="eastAsia" w:ascii="宋体" w:hAnsi="宋体" w:eastAsia="宋体" w:cs="宋体"/>
          <w:color w:val="auto"/>
        </w:rPr>
        <w:t>中的金相法进行。</w:t>
      </w:r>
    </w:p>
    <w:p w14:paraId="3CE1C7AE">
      <w:pPr>
        <w:widowControl/>
        <w:numPr>
          <w:ilvl w:val="1"/>
          <w:numId w:val="6"/>
        </w:numPr>
        <w:tabs>
          <w:tab w:val="center" w:pos="4620"/>
          <w:tab w:val="right" w:pos="9460"/>
        </w:tabs>
        <w:spacing w:before="156" w:beforeLines="50" w:after="156" w:afterLines="50"/>
        <w:jc w:val="left"/>
        <w:outlineLvl w:val="3"/>
        <w:rPr>
          <w:rFonts w:hint="eastAsia" w:ascii="黑体" w:hAnsi="黑体" w:eastAsia="黑体" w:cs="黑体"/>
        </w:rPr>
      </w:pPr>
      <w:r>
        <w:rPr>
          <w:rFonts w:hint="eastAsia" w:ascii="黑体" w:hAnsi="黑体" w:eastAsia="黑体" w:cs="黑体"/>
        </w:rPr>
        <w:t>显微组织</w:t>
      </w:r>
    </w:p>
    <w:p w14:paraId="44418BAB">
      <w:pPr>
        <w:pStyle w:val="22"/>
        <w:rPr>
          <w:rFonts w:hint="eastAsia" w:ascii="宋体" w:hAnsi="宋体" w:eastAsia="宋体" w:cs="宋体"/>
          <w:color w:val="auto"/>
        </w:rPr>
      </w:pPr>
      <w:r>
        <w:rPr>
          <w:rFonts w:hint="eastAsia" w:ascii="宋体" w:hAnsi="宋体" w:eastAsia="宋体" w:cs="宋体"/>
          <w:color w:val="auto"/>
        </w:rPr>
        <w:t>显微组织检验取横向试样，抛光面用2%硝酸酒精溶液浸蚀后，放大500倍或1</w:t>
      </w:r>
      <w:r>
        <w:rPr>
          <w:rFonts w:hint="eastAsia" w:hAnsi="宋体" w:cs="宋体"/>
          <w:color w:val="auto"/>
          <w:lang w:val="en-US" w:eastAsia="zh-CN"/>
        </w:rPr>
        <w:t xml:space="preserve"> </w:t>
      </w:r>
      <w:r>
        <w:rPr>
          <w:rFonts w:hint="eastAsia" w:ascii="宋体" w:hAnsi="宋体" w:eastAsia="宋体" w:cs="宋体"/>
          <w:color w:val="auto"/>
        </w:rPr>
        <w:t>000倍观察(仲裁时以1000倍为准)，按GB/T</w:t>
      </w:r>
      <w:r>
        <w:rPr>
          <w:rFonts w:hint="eastAsia" w:hAnsi="宋体" w:cs="宋体"/>
          <w:color w:val="auto"/>
          <w:lang w:val="en-US" w:eastAsia="zh-CN"/>
        </w:rPr>
        <w:t xml:space="preserve"> </w:t>
      </w:r>
      <w:r>
        <w:rPr>
          <w:rFonts w:hint="eastAsia" w:ascii="宋体" w:hAnsi="宋体" w:eastAsia="宋体" w:cs="宋体"/>
          <w:color w:val="auto"/>
        </w:rPr>
        <w:t>18254</w:t>
      </w:r>
      <w:r>
        <w:rPr>
          <w:rFonts w:hint="eastAsia" w:ascii="宋体" w:hAnsi="宋体" w:eastAsia="宋体" w:cs="宋体"/>
          <w:color w:val="auto"/>
          <w:lang w:val="en-US" w:eastAsia="zh-CN"/>
        </w:rPr>
        <w:t>—</w:t>
      </w:r>
      <w:r>
        <w:rPr>
          <w:rFonts w:hint="eastAsia" w:ascii="宋体" w:hAnsi="宋体" w:eastAsia="宋体" w:cs="宋体"/>
          <w:color w:val="auto"/>
        </w:rPr>
        <w:t>2016附录A中第5评级</w:t>
      </w:r>
      <w:r>
        <w:rPr>
          <w:rFonts w:hint="eastAsia" w:hAnsi="宋体" w:cs="宋体"/>
          <w:color w:val="auto"/>
          <w:lang w:eastAsia="zh-CN"/>
        </w:rPr>
        <w:t>图</w:t>
      </w:r>
      <w:r>
        <w:rPr>
          <w:rFonts w:hint="eastAsia" w:ascii="宋体" w:hAnsi="宋体" w:eastAsia="宋体" w:cs="宋体"/>
          <w:color w:val="auto"/>
        </w:rPr>
        <w:t>进行评级。</w:t>
      </w:r>
    </w:p>
    <w:p w14:paraId="1E74940F">
      <w:pPr>
        <w:widowControl/>
        <w:numPr>
          <w:ilvl w:val="1"/>
          <w:numId w:val="6"/>
        </w:numPr>
        <w:tabs>
          <w:tab w:val="center" w:pos="4620"/>
          <w:tab w:val="right" w:pos="9460"/>
        </w:tabs>
        <w:spacing w:before="156" w:beforeLines="50" w:after="156" w:afterLines="50"/>
        <w:jc w:val="left"/>
        <w:outlineLvl w:val="3"/>
        <w:rPr>
          <w:rFonts w:hint="eastAsia" w:ascii="黑体" w:hAnsi="黑体" w:eastAsia="黑体" w:cs="黑体"/>
          <w:color w:val="auto"/>
        </w:rPr>
      </w:pPr>
      <w:r>
        <w:rPr>
          <w:rFonts w:hint="eastAsia" w:ascii="黑体" w:hAnsi="黑体" w:eastAsia="黑体" w:cs="黑体"/>
          <w:color w:val="auto"/>
        </w:rPr>
        <w:t>碳化物不均匀性</w:t>
      </w:r>
    </w:p>
    <w:p w14:paraId="4ADACB62">
      <w:pPr>
        <w:keepNext w:val="0"/>
        <w:keepLines w:val="0"/>
        <w:pageBreakBefore w:val="0"/>
        <w:widowControl/>
        <w:numPr>
          <w:ilvl w:val="0"/>
          <w:numId w:val="0"/>
        </w:numPr>
        <w:tabs>
          <w:tab w:val="center" w:pos="4620"/>
          <w:tab w:val="right" w:pos="9460"/>
        </w:tabs>
        <w:kinsoku/>
        <w:wordWrap/>
        <w:overflowPunct/>
        <w:topLinePunct w:val="0"/>
        <w:autoSpaceDE/>
        <w:autoSpaceDN/>
        <w:bidi w:val="0"/>
        <w:adjustRightInd/>
        <w:snapToGrid/>
        <w:ind w:leftChars="0" w:firstLine="420" w:firstLineChars="200"/>
        <w:jc w:val="left"/>
        <w:textAlignment w:val="auto"/>
        <w:outlineLvl w:val="3"/>
        <w:rPr>
          <w:rFonts w:hint="eastAsia" w:ascii="宋体" w:hAnsi="宋体" w:eastAsia="宋体" w:cs="宋体"/>
          <w:color w:val="auto"/>
          <w:highlight w:val="none"/>
        </w:rPr>
      </w:pPr>
      <w:r>
        <w:rPr>
          <w:rFonts w:hint="eastAsia" w:ascii="宋体" w:hAnsi="宋体" w:eastAsia="宋体" w:cs="宋体"/>
          <w:color w:val="auto"/>
          <w:highlight w:val="none"/>
        </w:rPr>
        <w:t>碳化物网状</w:t>
      </w:r>
      <w:r>
        <w:rPr>
          <w:rFonts w:hint="eastAsia" w:ascii="宋体" w:hAnsi="宋体" w:cs="宋体"/>
          <w:color w:val="auto"/>
          <w:highlight w:val="none"/>
          <w:lang w:eastAsia="zh-CN"/>
        </w:rPr>
        <w:t>和</w:t>
      </w:r>
      <w:r>
        <w:rPr>
          <w:rFonts w:hint="eastAsia" w:ascii="宋体" w:hAnsi="宋体" w:eastAsia="宋体" w:cs="宋体"/>
          <w:color w:val="auto"/>
          <w:highlight w:val="none"/>
        </w:rPr>
        <w:t>碳化物</w:t>
      </w:r>
      <w:r>
        <w:rPr>
          <w:rFonts w:hint="eastAsia" w:ascii="宋体" w:hAnsi="宋体" w:cs="宋体"/>
          <w:color w:val="auto"/>
          <w:highlight w:val="none"/>
          <w:lang w:eastAsia="zh-CN"/>
        </w:rPr>
        <w:t>带状</w:t>
      </w:r>
      <w:r>
        <w:rPr>
          <w:rFonts w:hint="eastAsia" w:ascii="宋体" w:hAnsi="宋体" w:eastAsia="宋体" w:cs="宋体"/>
          <w:color w:val="auto"/>
          <w:highlight w:val="none"/>
        </w:rPr>
        <w:t>按7.1</w:t>
      </w:r>
      <w:r>
        <w:rPr>
          <w:rFonts w:hint="eastAsia" w:ascii="宋体" w:hAnsi="宋体" w:cs="宋体"/>
          <w:color w:val="auto"/>
          <w:highlight w:val="none"/>
          <w:lang w:val="en-US" w:eastAsia="zh-CN"/>
        </w:rPr>
        <w:t>3</w:t>
      </w:r>
      <w:r>
        <w:rPr>
          <w:rFonts w:hint="eastAsia" w:ascii="宋体" w:hAnsi="宋体" w:eastAsia="宋体" w:cs="宋体"/>
          <w:color w:val="auto"/>
          <w:highlight w:val="none"/>
        </w:rPr>
        <w:t>进行淬火回火</w:t>
      </w:r>
      <w:r>
        <w:rPr>
          <w:rFonts w:hint="eastAsia" w:ascii="宋体" w:hAnsi="宋体" w:cs="宋体"/>
          <w:color w:val="auto"/>
          <w:highlight w:val="none"/>
          <w:lang w:eastAsia="zh-CN"/>
        </w:rPr>
        <w:t>后分别放大</w:t>
      </w:r>
      <w:r>
        <w:rPr>
          <w:rFonts w:hint="eastAsia" w:ascii="宋体" w:hAnsi="宋体" w:cs="宋体"/>
          <w:color w:val="auto"/>
          <w:highlight w:val="none"/>
          <w:lang w:val="en-US" w:eastAsia="zh-CN"/>
        </w:rPr>
        <w:t>200倍和100倍，</w:t>
      </w:r>
      <w:r>
        <w:rPr>
          <w:rFonts w:hint="eastAsia" w:ascii="宋体" w:hAnsi="宋体" w:eastAsia="宋体" w:cs="宋体"/>
          <w:color w:val="auto"/>
          <w:highlight w:val="none"/>
        </w:rPr>
        <w:t xml:space="preserve">按SEP </w:t>
      </w:r>
      <w:r>
        <w:rPr>
          <w:rFonts w:hint="eastAsia" w:ascii="宋体" w:hAnsi="宋体" w:eastAsia="宋体" w:cs="宋体"/>
          <w:color w:val="auto"/>
          <w:szCs w:val="21"/>
          <w:highlight w:val="none"/>
        </w:rPr>
        <w:t>1520</w:t>
      </w:r>
      <w:r>
        <w:rPr>
          <w:rFonts w:hint="eastAsia" w:ascii="宋体" w:hAnsi="宋体" w:cs="宋体"/>
          <w:color w:val="auto"/>
          <w:szCs w:val="21"/>
          <w:highlight w:val="none"/>
          <w:lang w:val="en-US" w:eastAsia="zh-CN"/>
        </w:rPr>
        <w:t>:1998</w:t>
      </w:r>
      <w:r>
        <w:rPr>
          <w:rFonts w:hint="eastAsia" w:ascii="宋体" w:hAnsi="宋体" w:eastAsia="宋体" w:cs="宋体"/>
          <w:color w:val="auto"/>
          <w:highlight w:val="none"/>
        </w:rPr>
        <w:t>进行评</w:t>
      </w:r>
      <w:r>
        <w:rPr>
          <w:rFonts w:hint="eastAsia" w:ascii="宋体" w:hAnsi="宋体" w:cs="宋体"/>
          <w:color w:val="auto"/>
          <w:highlight w:val="none"/>
          <w:lang w:eastAsia="zh-CN"/>
        </w:rPr>
        <w:t>级</w:t>
      </w:r>
      <w:r>
        <w:rPr>
          <w:rFonts w:hint="eastAsia" w:ascii="宋体" w:hAnsi="宋体" w:eastAsia="宋体" w:cs="宋体"/>
          <w:color w:val="auto"/>
          <w:highlight w:val="none"/>
        </w:rPr>
        <w:t xml:space="preserve">。 </w:t>
      </w:r>
    </w:p>
    <w:p w14:paraId="497BCC46">
      <w:pPr>
        <w:widowControl/>
        <w:numPr>
          <w:ilvl w:val="1"/>
          <w:numId w:val="6"/>
        </w:numPr>
        <w:tabs>
          <w:tab w:val="center" w:pos="4620"/>
          <w:tab w:val="right" w:pos="9460"/>
        </w:tabs>
        <w:spacing w:before="156" w:beforeLines="50" w:after="156" w:afterLines="50"/>
        <w:jc w:val="left"/>
        <w:outlineLvl w:val="3"/>
        <w:rPr>
          <w:rFonts w:hint="eastAsia" w:ascii="黑体" w:hAnsi="黑体" w:eastAsia="黑体" w:cs="黑体"/>
        </w:rPr>
      </w:pPr>
      <w:r>
        <w:rPr>
          <w:rFonts w:hint="eastAsia" w:ascii="黑体" w:hAnsi="黑体" w:eastAsia="黑体" w:cs="黑体"/>
        </w:rPr>
        <w:t>显微孔隙</w:t>
      </w:r>
    </w:p>
    <w:p w14:paraId="4A498B19">
      <w:pPr>
        <w:pStyle w:val="22"/>
        <w:rPr>
          <w:rFonts w:hint="eastAsia" w:ascii="宋体" w:hAnsi="宋体" w:eastAsia="宋体" w:cs="宋体"/>
        </w:rPr>
      </w:pPr>
      <w:r>
        <w:rPr>
          <w:rFonts w:hint="eastAsia" w:hAnsi="宋体" w:cs="宋体"/>
          <w:lang w:eastAsia="zh-CN"/>
        </w:rPr>
        <w:t>显微孔隙</w:t>
      </w:r>
      <w:r>
        <w:rPr>
          <w:rFonts w:hint="eastAsia" w:ascii="宋体" w:hAnsi="宋体" w:eastAsia="宋体" w:cs="宋体"/>
        </w:rPr>
        <w:t>检验取纵向试样按7.1</w:t>
      </w:r>
      <w:r>
        <w:rPr>
          <w:rFonts w:hint="eastAsia" w:hAnsi="宋体" w:cs="宋体"/>
          <w:lang w:val="en-US" w:eastAsia="zh-CN"/>
        </w:rPr>
        <w:t>3</w:t>
      </w:r>
      <w:r>
        <w:rPr>
          <w:rFonts w:hint="eastAsia" w:ascii="宋体" w:hAnsi="宋体" w:eastAsia="宋体" w:cs="宋体"/>
        </w:rPr>
        <w:t>进行淬火回火后放大100倍，按GB/T</w:t>
      </w:r>
      <w:r>
        <w:rPr>
          <w:rFonts w:hint="eastAsia" w:hAnsi="宋体" w:cs="宋体"/>
          <w:lang w:val="en-US" w:eastAsia="zh-CN"/>
        </w:rPr>
        <w:t xml:space="preserve"> </w:t>
      </w:r>
      <w:r>
        <w:rPr>
          <w:rFonts w:hint="eastAsia" w:ascii="宋体" w:hAnsi="宋体" w:eastAsia="宋体" w:cs="宋体"/>
        </w:rPr>
        <w:t>18254</w:t>
      </w:r>
      <w:r>
        <w:rPr>
          <w:rFonts w:hint="eastAsia" w:hAnsi="宋体" w:cs="宋体"/>
          <w:lang w:eastAsia="zh-CN"/>
        </w:rPr>
        <w:t>—</w:t>
      </w:r>
      <w:r>
        <w:rPr>
          <w:rFonts w:hint="eastAsia" w:ascii="宋体" w:hAnsi="宋体" w:eastAsia="宋体" w:cs="宋体"/>
        </w:rPr>
        <w:t>2016附录A中</w:t>
      </w:r>
      <w:r>
        <w:rPr>
          <w:rFonts w:hint="eastAsia" w:hAnsi="宋体" w:cs="宋体"/>
          <w:lang w:eastAsia="zh-CN"/>
        </w:rPr>
        <w:t>第</w:t>
      </w:r>
      <w:r>
        <w:rPr>
          <w:rFonts w:hint="eastAsia" w:ascii="宋体" w:hAnsi="宋体" w:eastAsia="宋体" w:cs="宋体"/>
        </w:rPr>
        <w:t>10评级图</w:t>
      </w:r>
      <w:r>
        <w:rPr>
          <w:rFonts w:hint="eastAsia" w:ascii="宋体" w:hAnsi="宋体" w:eastAsia="宋体" w:cs="宋体"/>
          <w:color w:val="auto"/>
        </w:rPr>
        <w:t>进行</w:t>
      </w:r>
      <w:r>
        <w:rPr>
          <w:rFonts w:hint="eastAsia" w:ascii="宋体" w:hAnsi="宋体" w:eastAsia="宋体" w:cs="宋体"/>
        </w:rPr>
        <w:t>评</w:t>
      </w:r>
      <w:r>
        <w:rPr>
          <w:rFonts w:hint="eastAsia" w:ascii="宋体" w:hAnsi="宋体" w:eastAsia="宋体" w:cs="宋体"/>
          <w:color w:val="auto"/>
        </w:rPr>
        <w:t>级</w:t>
      </w:r>
      <w:r>
        <w:rPr>
          <w:rFonts w:hint="eastAsia" w:ascii="宋体" w:hAnsi="宋体" w:eastAsia="宋体" w:cs="宋体"/>
        </w:rPr>
        <w:t>。</w:t>
      </w:r>
    </w:p>
    <w:p w14:paraId="73BFBD72">
      <w:pPr>
        <w:widowControl/>
        <w:numPr>
          <w:ilvl w:val="1"/>
          <w:numId w:val="6"/>
        </w:numPr>
        <w:tabs>
          <w:tab w:val="center" w:pos="4620"/>
          <w:tab w:val="right" w:pos="9460"/>
        </w:tabs>
        <w:spacing w:before="156" w:beforeLines="50" w:after="156" w:afterLines="50"/>
        <w:jc w:val="left"/>
        <w:outlineLvl w:val="3"/>
        <w:rPr>
          <w:rFonts w:hint="eastAsia" w:ascii="黑体" w:hAnsi="黑体" w:eastAsia="黑体" w:cs="黑体"/>
        </w:rPr>
      </w:pPr>
      <w:r>
        <w:rPr>
          <w:rFonts w:hint="eastAsia" w:ascii="黑体" w:hAnsi="黑体" w:eastAsia="黑体" w:cs="黑体"/>
        </w:rPr>
        <w:t>表面质量</w:t>
      </w:r>
    </w:p>
    <w:p w14:paraId="0FF46846">
      <w:pPr>
        <w:pStyle w:val="22"/>
        <w:tabs>
          <w:tab w:val="left" w:pos="9030"/>
        </w:tabs>
        <w:rPr>
          <w:rFonts w:ascii="Times New Roman"/>
        </w:rPr>
      </w:pPr>
      <w:r>
        <w:rPr>
          <w:rFonts w:ascii="Times New Roman"/>
        </w:rPr>
        <w:t>表面质量用目视或其他有效方法检查。</w:t>
      </w:r>
    </w:p>
    <w:p w14:paraId="34CDEEBB">
      <w:pPr>
        <w:widowControl/>
        <w:numPr>
          <w:ilvl w:val="1"/>
          <w:numId w:val="6"/>
        </w:numPr>
        <w:tabs>
          <w:tab w:val="center" w:pos="4620"/>
          <w:tab w:val="right" w:pos="9460"/>
        </w:tabs>
        <w:spacing w:before="156" w:beforeLines="50" w:after="156" w:afterLines="50"/>
        <w:jc w:val="left"/>
        <w:outlineLvl w:val="3"/>
        <w:rPr>
          <w:rFonts w:hint="eastAsia" w:ascii="黑体" w:hAnsi="黑体" w:eastAsia="黑体" w:cs="黑体"/>
        </w:rPr>
      </w:pPr>
      <w:r>
        <w:rPr>
          <w:rFonts w:hint="eastAsia" w:ascii="黑体" w:hAnsi="黑体" w:eastAsia="黑体" w:cs="黑体"/>
        </w:rPr>
        <w:t>超声检测</w:t>
      </w:r>
    </w:p>
    <w:p w14:paraId="51849ECE">
      <w:pPr>
        <w:pStyle w:val="22"/>
        <w:rPr>
          <w:rFonts w:hint="eastAsia" w:ascii="宋体" w:hAnsi="宋体" w:eastAsia="宋体" w:cs="宋体"/>
          <w:color w:val="auto"/>
        </w:rPr>
      </w:pPr>
      <w:r>
        <w:rPr>
          <w:rFonts w:ascii="Times New Roman"/>
          <w:color w:val="auto"/>
        </w:rPr>
        <w:t>超声检</w:t>
      </w:r>
      <w:r>
        <w:rPr>
          <w:rFonts w:hint="eastAsia" w:ascii="宋体" w:hAnsi="宋体" w:eastAsia="宋体" w:cs="宋体"/>
          <w:color w:val="auto"/>
        </w:rPr>
        <w:t>测</w:t>
      </w:r>
      <w:r>
        <w:rPr>
          <w:rFonts w:hint="eastAsia" w:ascii="宋体" w:hAnsi="宋体" w:eastAsia="宋体" w:cs="宋体"/>
          <w:color w:val="auto"/>
          <w:lang w:eastAsia="zh-CN"/>
        </w:rPr>
        <w:t>按</w:t>
      </w:r>
      <w:r>
        <w:rPr>
          <w:rFonts w:hint="eastAsia" w:ascii="宋体" w:hAnsi="宋体" w:eastAsia="宋体" w:cs="宋体"/>
          <w:color w:val="auto"/>
          <w:lang w:val="en-US" w:eastAsia="zh-CN"/>
        </w:rPr>
        <w:t>GB/T 4162</w:t>
      </w:r>
      <w:r>
        <w:rPr>
          <w:rFonts w:hint="eastAsia" w:hAnsi="宋体" w:cs="宋体"/>
          <w:color w:val="auto"/>
          <w:lang w:val="en-US" w:eastAsia="zh-CN"/>
        </w:rPr>
        <w:t>—</w:t>
      </w:r>
      <w:r>
        <w:rPr>
          <w:rFonts w:hint="eastAsia" w:ascii="宋体" w:hAnsi="宋体" w:eastAsia="宋体" w:cs="宋体"/>
          <w:color w:val="auto"/>
          <w:lang w:val="en-US" w:eastAsia="zh-CN"/>
        </w:rPr>
        <w:t>2022的规定</w:t>
      </w:r>
      <w:r>
        <w:rPr>
          <w:rFonts w:hint="eastAsia" w:ascii="宋体" w:hAnsi="宋体" w:eastAsia="宋体" w:cs="宋体"/>
          <w:color w:val="auto"/>
        </w:rPr>
        <w:t>进行。</w:t>
      </w:r>
    </w:p>
    <w:p w14:paraId="773EF0D7">
      <w:pPr>
        <w:widowControl/>
        <w:numPr>
          <w:ilvl w:val="1"/>
          <w:numId w:val="6"/>
        </w:numPr>
        <w:tabs>
          <w:tab w:val="center" w:pos="4620"/>
          <w:tab w:val="right" w:pos="9460"/>
        </w:tabs>
        <w:spacing w:before="156" w:beforeLines="50" w:after="156" w:afterLines="50"/>
        <w:jc w:val="left"/>
        <w:outlineLvl w:val="3"/>
        <w:rPr>
          <w:rFonts w:eastAsia="黑体"/>
        </w:rPr>
      </w:pPr>
      <w:r>
        <w:rPr>
          <w:rFonts w:eastAsia="黑体"/>
        </w:rPr>
        <w:t>尺寸、外形</w:t>
      </w:r>
    </w:p>
    <w:p w14:paraId="35A1C346">
      <w:pPr>
        <w:pStyle w:val="22"/>
        <w:rPr>
          <w:rFonts w:hint="eastAsia" w:ascii="宋体" w:hAnsi="宋体" w:eastAsia="宋体" w:cs="宋体"/>
          <w:color w:val="auto"/>
        </w:rPr>
      </w:pPr>
      <w:r>
        <w:rPr>
          <w:rFonts w:ascii="Times New Roman"/>
        </w:rPr>
        <w:t>尺寸</w:t>
      </w:r>
      <w:r>
        <w:rPr>
          <w:rFonts w:hint="eastAsia" w:ascii="Times New Roman"/>
          <w:lang w:eastAsia="zh-CN"/>
        </w:rPr>
        <w:t>、外形</w:t>
      </w:r>
      <w:r>
        <w:rPr>
          <w:rFonts w:ascii="Times New Roman"/>
        </w:rPr>
        <w:t>测量，采用能保证必要准确度的卡尺或样板进行。</w:t>
      </w:r>
    </w:p>
    <w:p w14:paraId="6F9B228B">
      <w:pPr>
        <w:widowControl/>
        <w:numPr>
          <w:ilvl w:val="1"/>
          <w:numId w:val="6"/>
        </w:numPr>
        <w:tabs>
          <w:tab w:val="center" w:pos="4620"/>
          <w:tab w:val="right" w:pos="9460"/>
        </w:tabs>
        <w:spacing w:before="156" w:beforeLines="50" w:after="156" w:afterLines="50"/>
        <w:jc w:val="left"/>
        <w:outlineLvl w:val="3"/>
        <w:rPr>
          <w:rFonts w:hint="eastAsia" w:ascii="黑体" w:hAnsi="黑体" w:eastAsia="黑体" w:cs="黑体"/>
        </w:rPr>
      </w:pPr>
      <w:r>
        <w:rPr>
          <w:rFonts w:hint="eastAsia" w:ascii="黑体" w:hAnsi="黑体" w:eastAsia="黑体" w:cs="黑体"/>
        </w:rPr>
        <w:t>试样热处理制度</w:t>
      </w:r>
    </w:p>
    <w:p w14:paraId="482CF6F3">
      <w:pPr>
        <w:pStyle w:val="22"/>
        <w:rPr>
          <w:rFonts w:hint="eastAsia" w:ascii="宋体" w:hAnsi="宋体" w:eastAsia="宋体" w:cs="宋体"/>
        </w:rPr>
      </w:pPr>
      <w:r>
        <w:rPr>
          <w:rFonts w:hint="eastAsia" w:ascii="宋体" w:hAnsi="宋体" w:eastAsia="宋体" w:cs="宋体"/>
        </w:rPr>
        <w:t>检验非金属夹杂物、碳化物网状、碳化物带状、显微孔隙的试样需按下列规定进行处理：</w:t>
      </w:r>
    </w:p>
    <w:p w14:paraId="72FA8464">
      <w:pPr>
        <w:pStyle w:val="22"/>
        <w:numPr>
          <w:ilvl w:val="0"/>
          <w:numId w:val="11"/>
        </w:numPr>
        <w:tabs>
          <w:tab w:val="left" w:pos="840"/>
        </w:tabs>
        <w:rPr>
          <w:rFonts w:hint="eastAsia" w:ascii="宋体" w:hAnsi="宋体" w:eastAsia="宋体" w:cs="宋体"/>
          <w:color w:val="auto"/>
        </w:rPr>
      </w:pPr>
      <w:r>
        <w:rPr>
          <w:rFonts w:hint="eastAsia" w:ascii="宋体" w:hAnsi="宋体" w:eastAsia="宋体" w:cs="宋体"/>
          <w:color w:val="auto"/>
        </w:rPr>
        <w:t>淬火加热温度：8</w:t>
      </w:r>
      <w:r>
        <w:rPr>
          <w:rFonts w:hint="eastAsia" w:hAnsi="宋体" w:cs="宋体"/>
          <w:color w:val="auto"/>
          <w:lang w:val="en-US" w:eastAsia="zh-CN"/>
        </w:rPr>
        <w:t>4</w:t>
      </w:r>
      <w:r>
        <w:rPr>
          <w:rFonts w:hint="eastAsia" w:ascii="宋体" w:hAnsi="宋体" w:eastAsia="宋体" w:cs="宋体"/>
          <w:color w:val="auto"/>
        </w:rPr>
        <w:t>0</w:t>
      </w:r>
      <w:r>
        <w:rPr>
          <w:rFonts w:hint="eastAsia" w:hAnsi="宋体" w:cs="宋体"/>
          <w:color w:val="auto"/>
          <w:lang w:val="en-US" w:eastAsia="zh-CN"/>
        </w:rPr>
        <w:t xml:space="preserve"> </w:t>
      </w:r>
      <w:r>
        <w:rPr>
          <w:rFonts w:hint="eastAsia" w:ascii="宋体" w:hAnsi="宋体" w:eastAsia="宋体" w:cs="宋体"/>
          <w:color w:val="auto"/>
        </w:rPr>
        <w:t>℃</w:t>
      </w:r>
      <w:r>
        <w:rPr>
          <w:rFonts w:hint="eastAsia" w:ascii="宋体" w:hAnsi="宋体" w:eastAsia="宋体" w:cs="宋体"/>
          <w:color w:val="auto"/>
          <w:sz w:val="21"/>
          <w:szCs w:val="21"/>
          <w:highlight w:val="none"/>
        </w:rPr>
        <w:t>～</w:t>
      </w:r>
      <w:r>
        <w:rPr>
          <w:rFonts w:hint="eastAsia" w:ascii="宋体" w:hAnsi="宋体" w:eastAsia="宋体" w:cs="宋体"/>
          <w:color w:val="auto"/>
        </w:rPr>
        <w:t>8</w:t>
      </w:r>
      <w:r>
        <w:rPr>
          <w:rFonts w:hint="eastAsia" w:hAnsi="宋体" w:cs="宋体"/>
          <w:color w:val="auto"/>
          <w:lang w:val="en-US" w:eastAsia="zh-CN"/>
        </w:rPr>
        <w:t>8</w:t>
      </w:r>
      <w:r>
        <w:rPr>
          <w:rFonts w:hint="eastAsia" w:ascii="宋体" w:hAnsi="宋体" w:eastAsia="宋体" w:cs="宋体"/>
          <w:color w:val="auto"/>
        </w:rPr>
        <w:t>0</w:t>
      </w:r>
      <w:r>
        <w:rPr>
          <w:rFonts w:hint="eastAsia" w:hAnsi="宋体" w:cs="宋体"/>
          <w:color w:val="auto"/>
          <w:lang w:val="en-US" w:eastAsia="zh-CN"/>
        </w:rPr>
        <w:t xml:space="preserve"> </w:t>
      </w:r>
      <w:r>
        <w:rPr>
          <w:rFonts w:hint="eastAsia" w:ascii="宋体" w:hAnsi="宋体" w:eastAsia="宋体" w:cs="宋体"/>
          <w:color w:val="auto"/>
        </w:rPr>
        <w:t>℃；</w:t>
      </w:r>
    </w:p>
    <w:p w14:paraId="28BAD2B7">
      <w:pPr>
        <w:pStyle w:val="22"/>
        <w:numPr>
          <w:ilvl w:val="0"/>
          <w:numId w:val="11"/>
        </w:numPr>
        <w:tabs>
          <w:tab w:val="left" w:pos="840"/>
        </w:tabs>
        <w:rPr>
          <w:rFonts w:hint="eastAsia" w:ascii="宋体" w:hAnsi="宋体" w:eastAsia="宋体" w:cs="宋体"/>
        </w:rPr>
      </w:pPr>
      <w:r>
        <w:rPr>
          <w:rFonts w:hint="eastAsia" w:ascii="宋体" w:hAnsi="宋体" w:eastAsia="宋体" w:cs="宋体"/>
        </w:rPr>
        <w:t>淬火加热时间：按试样直径或厚度每1</w:t>
      </w:r>
      <w:r>
        <w:rPr>
          <w:rFonts w:hint="eastAsia" w:hAnsi="宋体" w:cs="宋体"/>
          <w:lang w:val="en-US" w:eastAsia="zh-CN"/>
        </w:rPr>
        <w:t xml:space="preserve"> </w:t>
      </w:r>
      <w:r>
        <w:rPr>
          <w:rFonts w:hint="eastAsia" w:ascii="宋体" w:hAnsi="宋体" w:eastAsia="宋体" w:cs="宋体"/>
        </w:rPr>
        <w:t>mm保温1.5</w:t>
      </w:r>
      <w:r>
        <w:rPr>
          <w:rFonts w:hint="eastAsia" w:hAnsi="宋体" w:cs="宋体"/>
          <w:lang w:val="en-US" w:eastAsia="zh-CN"/>
        </w:rPr>
        <w:t xml:space="preserve"> </w:t>
      </w:r>
      <w:r>
        <w:rPr>
          <w:rFonts w:hint="eastAsia" w:ascii="宋体" w:hAnsi="宋体" w:eastAsia="宋体" w:cs="宋体"/>
        </w:rPr>
        <w:t>min；</w:t>
      </w:r>
    </w:p>
    <w:p w14:paraId="19A3A012">
      <w:pPr>
        <w:pStyle w:val="22"/>
        <w:numPr>
          <w:ilvl w:val="0"/>
          <w:numId w:val="11"/>
        </w:numPr>
        <w:tabs>
          <w:tab w:val="left" w:pos="840"/>
        </w:tabs>
        <w:rPr>
          <w:rFonts w:hint="eastAsia" w:ascii="宋体" w:hAnsi="宋体" w:eastAsia="宋体" w:cs="宋体"/>
        </w:rPr>
      </w:pPr>
      <w:r>
        <w:rPr>
          <w:rFonts w:hint="eastAsia" w:ascii="宋体" w:hAnsi="宋体" w:eastAsia="宋体" w:cs="宋体"/>
        </w:rPr>
        <w:t>冷却剂：油；</w:t>
      </w:r>
    </w:p>
    <w:p w14:paraId="48B9A9F6">
      <w:pPr>
        <w:pStyle w:val="22"/>
        <w:numPr>
          <w:ilvl w:val="0"/>
          <w:numId w:val="11"/>
        </w:numPr>
        <w:tabs>
          <w:tab w:val="left" w:pos="840"/>
        </w:tabs>
        <w:rPr>
          <w:rFonts w:hint="eastAsia" w:ascii="宋体" w:hAnsi="宋体" w:eastAsia="宋体" w:cs="宋体"/>
          <w:highlight w:val="none"/>
        </w:rPr>
      </w:pPr>
      <w:r>
        <w:rPr>
          <w:rFonts w:hint="eastAsia" w:ascii="宋体" w:hAnsi="宋体" w:eastAsia="宋体" w:cs="宋体"/>
        </w:rPr>
        <w:t>回火温度</w:t>
      </w:r>
      <w:r>
        <w:rPr>
          <w:rFonts w:hint="eastAsia" w:ascii="宋体" w:hAnsi="宋体" w:eastAsia="宋体" w:cs="宋体"/>
          <w:highlight w:val="none"/>
        </w:rPr>
        <w:t>：</w:t>
      </w:r>
      <w:r>
        <w:rPr>
          <w:rFonts w:hint="eastAsia" w:hAnsi="宋体" w:cs="宋体"/>
          <w:highlight w:val="none"/>
          <w:lang w:eastAsia="zh-CN"/>
        </w:rPr>
        <w:t>≤</w:t>
      </w:r>
      <w:r>
        <w:rPr>
          <w:rFonts w:hint="eastAsia" w:hAnsi="宋体" w:cs="宋体"/>
          <w:highlight w:val="none"/>
          <w:lang w:val="en-US" w:eastAsia="zh-CN"/>
        </w:rPr>
        <w:t>300 ℃</w:t>
      </w:r>
      <w:r>
        <w:rPr>
          <w:rFonts w:hint="eastAsia" w:ascii="宋体" w:hAnsi="宋体" w:eastAsia="宋体" w:cs="宋体"/>
          <w:highlight w:val="none"/>
        </w:rPr>
        <w:t>；</w:t>
      </w:r>
    </w:p>
    <w:p w14:paraId="721E8450">
      <w:pPr>
        <w:pStyle w:val="22"/>
        <w:numPr>
          <w:ilvl w:val="0"/>
          <w:numId w:val="11"/>
        </w:numPr>
        <w:tabs>
          <w:tab w:val="left" w:pos="840"/>
          <w:tab w:val="left" w:pos="1060"/>
        </w:tabs>
        <w:rPr>
          <w:rFonts w:hint="eastAsia" w:ascii="宋体" w:hAnsi="宋体" w:eastAsia="宋体" w:cs="宋体"/>
          <w:highlight w:val="none"/>
        </w:rPr>
      </w:pPr>
      <w:r>
        <w:rPr>
          <w:rFonts w:hint="eastAsia" w:ascii="宋体" w:hAnsi="宋体" w:eastAsia="宋体" w:cs="宋体"/>
          <w:highlight w:val="none"/>
        </w:rPr>
        <w:t>回火时间：</w:t>
      </w:r>
      <w:r>
        <w:rPr>
          <w:rFonts w:hint="eastAsia" w:hAnsi="宋体" w:cs="宋体"/>
          <w:highlight w:val="none"/>
          <w:lang w:eastAsia="zh-CN"/>
        </w:rPr>
        <w:t>≥</w:t>
      </w:r>
      <w:r>
        <w:rPr>
          <w:rFonts w:hint="eastAsia" w:hAnsi="宋体" w:cs="宋体"/>
          <w:highlight w:val="none"/>
          <w:lang w:val="en-US" w:eastAsia="zh-CN"/>
        </w:rPr>
        <w:t xml:space="preserve">1 </w:t>
      </w:r>
      <w:r>
        <w:rPr>
          <w:rFonts w:hint="eastAsia" w:ascii="宋体" w:hAnsi="宋体" w:eastAsia="宋体" w:cs="宋体"/>
          <w:highlight w:val="none"/>
        </w:rPr>
        <w:t>h。</w:t>
      </w:r>
    </w:p>
    <w:p w14:paraId="4EA069D8">
      <w:pPr>
        <w:widowControl/>
        <w:numPr>
          <w:ilvl w:val="1"/>
          <w:numId w:val="6"/>
        </w:numPr>
        <w:tabs>
          <w:tab w:val="center" w:pos="4620"/>
          <w:tab w:val="right" w:pos="9460"/>
        </w:tabs>
        <w:spacing w:before="156" w:beforeLines="50" w:after="156" w:afterLines="50"/>
        <w:jc w:val="left"/>
        <w:outlineLvl w:val="3"/>
        <w:rPr>
          <w:rFonts w:hint="eastAsia" w:ascii="黑体" w:hAnsi="黑体" w:eastAsia="黑体" w:cs="黑体"/>
        </w:rPr>
      </w:pPr>
      <w:r>
        <w:rPr>
          <w:rFonts w:hint="eastAsia" w:ascii="黑体" w:hAnsi="黑体" w:eastAsia="黑体" w:cs="黑体"/>
        </w:rPr>
        <w:t>评级原则</w:t>
      </w:r>
    </w:p>
    <w:p w14:paraId="6037AA95">
      <w:pPr>
        <w:pStyle w:val="22"/>
        <w:rPr>
          <w:rFonts w:hint="eastAsia" w:ascii="Times New Roman"/>
        </w:rPr>
      </w:pPr>
      <w:r>
        <w:rPr>
          <w:rFonts w:ascii="Times New Roman"/>
        </w:rPr>
        <w:t>所有检验项目均在试样检验面上以最严重的视场和</w:t>
      </w:r>
      <w:r>
        <w:rPr>
          <w:rFonts w:hint="eastAsia" w:ascii="Times New Roman"/>
          <w:lang w:eastAsia="zh-CN"/>
        </w:rPr>
        <w:t>区域</w:t>
      </w:r>
      <w:r>
        <w:rPr>
          <w:rFonts w:ascii="Times New Roman"/>
        </w:rPr>
        <w:t>作为评级依据</w:t>
      </w:r>
      <w:r>
        <w:rPr>
          <w:rFonts w:hint="eastAsia" w:ascii="Times New Roman"/>
        </w:rPr>
        <w:t>。</w:t>
      </w:r>
    </w:p>
    <w:bookmarkEnd w:id="10"/>
    <w:p w14:paraId="605DA1BE">
      <w:pPr>
        <w:pStyle w:val="45"/>
        <w:numPr>
          <w:ilvl w:val="0"/>
          <w:numId w:val="10"/>
        </w:numPr>
        <w:spacing w:before="312" w:after="312"/>
        <w:rPr>
          <w:rFonts w:ascii="Times New Roman"/>
        </w:rPr>
      </w:pPr>
      <w:r>
        <w:rPr>
          <w:rFonts w:ascii="Times New Roman"/>
        </w:rPr>
        <w:t>检验规则</w:t>
      </w:r>
    </w:p>
    <w:p w14:paraId="69906538">
      <w:pPr>
        <w:pStyle w:val="47"/>
        <w:numPr>
          <w:ilvl w:val="1"/>
          <w:numId w:val="10"/>
        </w:numPr>
        <w:spacing w:before="156" w:after="156"/>
        <w:jc w:val="both"/>
        <w:rPr>
          <w:rFonts w:ascii="Times New Roman"/>
        </w:rPr>
      </w:pPr>
      <w:r>
        <w:rPr>
          <w:rFonts w:ascii="Times New Roman"/>
        </w:rPr>
        <w:t>检查</w:t>
      </w:r>
      <w:r>
        <w:rPr>
          <w:rFonts w:hint="eastAsia" w:ascii="Times New Roman"/>
        </w:rPr>
        <w:t>与</w:t>
      </w:r>
      <w:r>
        <w:rPr>
          <w:rFonts w:ascii="Times New Roman"/>
        </w:rPr>
        <w:t>验收</w:t>
      </w:r>
    </w:p>
    <w:p w14:paraId="65423461">
      <w:pPr>
        <w:pStyle w:val="47"/>
        <w:numPr>
          <w:ilvl w:val="1"/>
          <w:numId w:val="0"/>
        </w:numPr>
        <w:spacing w:beforeLines="0" w:afterLines="0"/>
        <w:ind w:leftChars="0" w:firstLine="420" w:firstLineChars="200"/>
        <w:jc w:val="both"/>
        <w:rPr>
          <w:rFonts w:ascii="Times New Roman" w:eastAsia="宋体"/>
        </w:rPr>
      </w:pPr>
      <w:r>
        <w:rPr>
          <w:rFonts w:hint="eastAsia" w:ascii="Times New Roman" w:eastAsia="宋体"/>
          <w:lang w:eastAsia="zh-CN"/>
        </w:rPr>
        <w:t>圆钢</w:t>
      </w:r>
      <w:r>
        <w:rPr>
          <w:rFonts w:ascii="Times New Roman" w:eastAsia="宋体"/>
        </w:rPr>
        <w:t>由供方质量技术监督部门进行</w:t>
      </w:r>
      <w:r>
        <w:rPr>
          <w:rFonts w:hint="eastAsia" w:ascii="Times New Roman" w:eastAsia="宋体"/>
          <w:lang w:eastAsia="zh-CN"/>
        </w:rPr>
        <w:t>质量检查与验收</w:t>
      </w:r>
      <w:r>
        <w:rPr>
          <w:rFonts w:ascii="Times New Roman" w:eastAsia="宋体"/>
        </w:rPr>
        <w:t>。</w:t>
      </w:r>
    </w:p>
    <w:p w14:paraId="47E0E9D6">
      <w:pPr>
        <w:pStyle w:val="47"/>
        <w:numPr>
          <w:ilvl w:val="1"/>
          <w:numId w:val="10"/>
        </w:numPr>
        <w:spacing w:before="156" w:after="156"/>
        <w:jc w:val="both"/>
        <w:rPr>
          <w:rFonts w:ascii="Times New Roman"/>
        </w:rPr>
      </w:pPr>
      <w:r>
        <w:rPr>
          <w:rFonts w:ascii="Times New Roman"/>
        </w:rPr>
        <w:t>组批规则</w:t>
      </w:r>
    </w:p>
    <w:p w14:paraId="0FE2E4C0">
      <w:pPr>
        <w:pStyle w:val="22"/>
      </w:pPr>
      <w:r>
        <w:rPr>
          <w:rFonts w:hint="eastAsia" w:ascii="Times New Roman" w:eastAsia="宋体"/>
          <w:lang w:eastAsia="zh-CN"/>
        </w:rPr>
        <w:t>圆钢</w:t>
      </w:r>
      <w:r>
        <w:t>应按批进行检查和验收</w:t>
      </w:r>
      <w:r>
        <w:rPr>
          <w:rFonts w:hint="eastAsia"/>
        </w:rPr>
        <w:t>，</w:t>
      </w:r>
      <w:r>
        <w:t>每批应由同一炉号</w:t>
      </w:r>
      <w:r>
        <w:rPr>
          <w:rFonts w:hint="eastAsia"/>
          <w:lang w:eastAsia="zh-CN"/>
        </w:rPr>
        <w:t>、</w:t>
      </w:r>
      <w:r>
        <w:t>同一牌号</w:t>
      </w:r>
      <w:r>
        <w:rPr>
          <w:rFonts w:hint="eastAsia"/>
          <w:lang w:eastAsia="zh-CN"/>
        </w:rPr>
        <w:t>、</w:t>
      </w:r>
      <w:r>
        <w:t>同一尺寸</w:t>
      </w:r>
      <w:r>
        <w:rPr>
          <w:rFonts w:hint="eastAsia"/>
          <w:lang w:eastAsia="zh-CN"/>
        </w:rPr>
        <w:t>、</w:t>
      </w:r>
      <w:r>
        <w:t>同一交货状态和同一热处理炉批的</w:t>
      </w:r>
      <w:r>
        <w:rPr>
          <w:rFonts w:hint="eastAsia" w:ascii="Times New Roman" w:eastAsia="宋体"/>
          <w:lang w:eastAsia="zh-CN"/>
        </w:rPr>
        <w:t>圆钢</w:t>
      </w:r>
      <w:r>
        <w:t>组成。</w:t>
      </w:r>
    </w:p>
    <w:p w14:paraId="1675B7D4">
      <w:pPr>
        <w:pStyle w:val="47"/>
        <w:numPr>
          <w:ilvl w:val="1"/>
          <w:numId w:val="10"/>
        </w:numPr>
        <w:spacing w:before="156" w:after="156"/>
        <w:jc w:val="both"/>
      </w:pPr>
      <w:r>
        <w:rPr>
          <w:rFonts w:hint="eastAsia"/>
        </w:rPr>
        <w:t>取样数量和取样部位</w:t>
      </w:r>
    </w:p>
    <w:p w14:paraId="31BD9FA4">
      <w:pPr>
        <w:pStyle w:val="47"/>
        <w:numPr>
          <w:ilvl w:val="2"/>
          <w:numId w:val="10"/>
        </w:numPr>
        <w:spacing w:beforeLines="0" w:afterLines="0"/>
        <w:ind w:left="0"/>
        <w:jc w:val="both"/>
        <w:rPr>
          <w:rFonts w:ascii="Times New Roman" w:eastAsia="宋体"/>
        </w:rPr>
      </w:pPr>
      <w:r>
        <w:rPr>
          <w:rFonts w:hint="eastAsia" w:ascii="宋体" w:hAnsi="宋体" w:eastAsia="宋体" w:cs="宋体"/>
          <w:lang w:eastAsia="zh-CN"/>
        </w:rPr>
        <w:t>圆钢</w:t>
      </w:r>
      <w:r>
        <w:rPr>
          <w:rFonts w:ascii="Times New Roman" w:eastAsia="宋体"/>
        </w:rPr>
        <w:t>的取样数量和取样部</w:t>
      </w:r>
      <w:r>
        <w:rPr>
          <w:rFonts w:hint="eastAsia" w:ascii="宋体" w:hAnsi="宋体" w:eastAsia="宋体" w:cs="宋体"/>
        </w:rPr>
        <w:t>位</w:t>
      </w:r>
      <w:r>
        <w:rPr>
          <w:rFonts w:hint="eastAsia" w:ascii="宋体" w:hAnsi="宋体" w:eastAsia="宋体" w:cs="宋体"/>
          <w:lang w:eastAsia="zh-CN"/>
        </w:rPr>
        <w:t>应符合</w:t>
      </w:r>
      <w:r>
        <w:rPr>
          <w:rFonts w:hint="eastAsia" w:ascii="宋体" w:hAnsi="宋体" w:eastAsia="宋体" w:cs="宋体"/>
        </w:rPr>
        <w:t>表1</w:t>
      </w:r>
      <w:r>
        <w:rPr>
          <w:rFonts w:hint="eastAsia" w:ascii="宋体" w:hAnsi="宋体" w:eastAsia="宋体" w:cs="宋体"/>
          <w:lang w:val="en-US" w:eastAsia="zh-CN"/>
        </w:rPr>
        <w:t>1的</w:t>
      </w:r>
      <w:r>
        <w:rPr>
          <w:rFonts w:hint="eastAsia" w:ascii="宋体" w:hAnsi="宋体" w:eastAsia="宋体" w:cs="宋体"/>
        </w:rPr>
        <w:t>规定</w:t>
      </w:r>
      <w:r>
        <w:rPr>
          <w:rFonts w:ascii="Times New Roman" w:eastAsia="宋体"/>
        </w:rPr>
        <w:t>。</w:t>
      </w:r>
    </w:p>
    <w:p w14:paraId="718AC312">
      <w:pPr>
        <w:pStyle w:val="77"/>
        <w:keepNext w:val="0"/>
        <w:keepLines w:val="0"/>
        <w:pageBreakBefore w:val="0"/>
        <w:widowControl/>
        <w:kinsoku/>
        <w:wordWrap/>
        <w:overflowPunct/>
        <w:topLinePunct w:val="0"/>
        <w:autoSpaceDE/>
        <w:autoSpaceDN/>
        <w:bidi w:val="0"/>
        <w:adjustRightInd/>
        <w:snapToGrid/>
        <w:spacing w:before="156" w:afterLines="0"/>
        <w:ind w:left="0"/>
        <w:textAlignment w:val="auto"/>
        <w:rPr>
          <w:rFonts w:hint="eastAsia" w:ascii="Times New Roman"/>
          <w:color w:val="auto"/>
          <w:lang w:val="en-US" w:eastAsia="zh-CN"/>
        </w:rPr>
      </w:pPr>
      <w:r>
        <w:rPr>
          <w:rFonts w:hint="eastAsia" w:ascii="Times New Roman"/>
          <w:color w:val="auto"/>
          <w:lang w:val="en-US" w:eastAsia="zh-CN"/>
        </w:rPr>
        <w:t>圆钢的检验项目表</w:t>
      </w:r>
    </w:p>
    <w:tbl>
      <w:tblPr>
        <w:tblStyle w:val="32"/>
        <w:tblpPr w:leftFromText="180" w:rightFromText="180" w:vertAnchor="text" w:horzAnchor="page" w:tblpX="1932" w:tblpY="28"/>
        <w:tblOverlap w:val="never"/>
        <w:tblW w:w="45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1395"/>
        <w:gridCol w:w="3007"/>
        <w:gridCol w:w="1419"/>
        <w:gridCol w:w="1245"/>
        <w:gridCol w:w="1006"/>
      </w:tblGrid>
      <w:tr w14:paraId="189F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jc w:val="center"/>
        </w:trPr>
        <w:tc>
          <w:tcPr>
            <w:tcW w:w="356" w:type="pct"/>
            <w:vAlign w:val="center"/>
          </w:tcPr>
          <w:p w14:paraId="491E6C74">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序号</w:t>
            </w:r>
          </w:p>
        </w:tc>
        <w:tc>
          <w:tcPr>
            <w:tcW w:w="802" w:type="pct"/>
            <w:vAlign w:val="center"/>
          </w:tcPr>
          <w:p w14:paraId="1FC38387">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检验项目</w:t>
            </w:r>
          </w:p>
        </w:tc>
        <w:tc>
          <w:tcPr>
            <w:tcW w:w="1729" w:type="pct"/>
            <w:vAlign w:val="center"/>
          </w:tcPr>
          <w:p w14:paraId="5826C4AC">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取样数量</w:t>
            </w:r>
          </w:p>
        </w:tc>
        <w:tc>
          <w:tcPr>
            <w:tcW w:w="816" w:type="pct"/>
            <w:vAlign w:val="center"/>
          </w:tcPr>
          <w:p w14:paraId="0AE67202">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取样部位</w:t>
            </w:r>
          </w:p>
        </w:tc>
        <w:tc>
          <w:tcPr>
            <w:tcW w:w="716" w:type="pct"/>
            <w:vAlign w:val="center"/>
          </w:tcPr>
          <w:p w14:paraId="185855EB">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要求的章条号</w:t>
            </w:r>
          </w:p>
        </w:tc>
        <w:tc>
          <w:tcPr>
            <w:tcW w:w="578" w:type="pct"/>
            <w:vAlign w:val="center"/>
          </w:tcPr>
          <w:p w14:paraId="355D5ED5">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试验方法的章条号</w:t>
            </w:r>
          </w:p>
        </w:tc>
      </w:tr>
      <w:tr w14:paraId="552C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356" w:type="pct"/>
            <w:vAlign w:val="center"/>
          </w:tcPr>
          <w:p w14:paraId="1B46071F">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802" w:type="pct"/>
            <w:vAlign w:val="center"/>
          </w:tcPr>
          <w:p w14:paraId="61905C98">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化学成分</w:t>
            </w:r>
          </w:p>
        </w:tc>
        <w:tc>
          <w:tcPr>
            <w:tcW w:w="1729" w:type="pct"/>
            <w:vAlign w:val="center"/>
          </w:tcPr>
          <w:p w14:paraId="7BA7CE0D">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1个</w:t>
            </w:r>
            <w:r>
              <w:rPr>
                <w:rFonts w:hint="eastAsia" w:ascii="宋体" w:hAnsi="宋体" w:eastAsia="宋体" w:cs="宋体"/>
                <w:color w:val="auto"/>
                <w:spacing w:val="0"/>
                <w:w w:val="100"/>
                <w:sz w:val="18"/>
                <w:szCs w:val="18"/>
                <w:lang w:val="en-US" w:eastAsia="zh-CN"/>
              </w:rPr>
              <w:t>/炉</w:t>
            </w:r>
          </w:p>
        </w:tc>
        <w:tc>
          <w:tcPr>
            <w:tcW w:w="816" w:type="pct"/>
            <w:vMerge w:val="restart"/>
            <w:vAlign w:val="center"/>
          </w:tcPr>
          <w:p w14:paraId="14D493EE">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8.3.2</w:t>
            </w:r>
          </w:p>
        </w:tc>
        <w:tc>
          <w:tcPr>
            <w:tcW w:w="716" w:type="pct"/>
            <w:vMerge w:val="restart"/>
            <w:vAlign w:val="center"/>
          </w:tcPr>
          <w:p w14:paraId="07D1EB4D">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6.1</w:t>
            </w:r>
          </w:p>
        </w:tc>
        <w:tc>
          <w:tcPr>
            <w:tcW w:w="578" w:type="pct"/>
            <w:vMerge w:val="restart"/>
            <w:vAlign w:val="center"/>
          </w:tcPr>
          <w:p w14:paraId="7B03E05E">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rPr>
              <w:t>7.</w:t>
            </w:r>
            <w:r>
              <w:rPr>
                <w:rFonts w:hint="eastAsia" w:ascii="宋体" w:hAnsi="宋体" w:eastAsia="宋体" w:cs="宋体"/>
                <w:color w:val="auto"/>
                <w:sz w:val="18"/>
                <w:szCs w:val="18"/>
                <w:lang w:val="en-US" w:eastAsia="zh-CN"/>
              </w:rPr>
              <w:t>1</w:t>
            </w:r>
          </w:p>
        </w:tc>
      </w:tr>
      <w:tr w14:paraId="6375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356" w:type="pct"/>
            <w:vAlign w:val="center"/>
          </w:tcPr>
          <w:p w14:paraId="5FBA4016">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2</w:t>
            </w:r>
          </w:p>
        </w:tc>
        <w:tc>
          <w:tcPr>
            <w:tcW w:w="802" w:type="pct"/>
            <w:vAlign w:val="center"/>
          </w:tcPr>
          <w:p w14:paraId="2B2A8623">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氧含量</w:t>
            </w:r>
          </w:p>
        </w:tc>
        <w:tc>
          <w:tcPr>
            <w:tcW w:w="1729" w:type="pct"/>
            <w:vAlign w:val="center"/>
          </w:tcPr>
          <w:p w14:paraId="16F1062D">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1个</w:t>
            </w:r>
            <w:r>
              <w:rPr>
                <w:rFonts w:hint="eastAsia" w:ascii="宋体" w:hAnsi="宋体" w:eastAsia="宋体" w:cs="宋体"/>
                <w:color w:val="auto"/>
                <w:spacing w:val="0"/>
                <w:w w:val="100"/>
                <w:sz w:val="18"/>
                <w:szCs w:val="18"/>
                <w:lang w:val="en-US" w:eastAsia="zh-CN"/>
              </w:rPr>
              <w:t>/</w:t>
            </w:r>
            <w:r>
              <w:rPr>
                <w:rFonts w:hint="eastAsia" w:hAnsi="宋体" w:cs="宋体"/>
                <w:color w:val="auto"/>
                <w:spacing w:val="0"/>
                <w:w w:val="100"/>
                <w:sz w:val="18"/>
                <w:szCs w:val="18"/>
                <w:lang w:val="en-US" w:eastAsia="zh-CN"/>
              </w:rPr>
              <w:t>批</w:t>
            </w:r>
          </w:p>
        </w:tc>
        <w:tc>
          <w:tcPr>
            <w:tcW w:w="816" w:type="pct"/>
            <w:vMerge w:val="continue"/>
            <w:vAlign w:val="center"/>
          </w:tcPr>
          <w:p w14:paraId="7B668A2B">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p>
        </w:tc>
        <w:tc>
          <w:tcPr>
            <w:tcW w:w="716" w:type="pct"/>
            <w:vMerge w:val="continue"/>
            <w:vAlign w:val="center"/>
          </w:tcPr>
          <w:p w14:paraId="20FF1303">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p>
        </w:tc>
        <w:tc>
          <w:tcPr>
            <w:tcW w:w="578" w:type="pct"/>
            <w:vMerge w:val="continue"/>
            <w:vAlign w:val="center"/>
          </w:tcPr>
          <w:p w14:paraId="255BBD2D">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p>
        </w:tc>
      </w:tr>
      <w:tr w14:paraId="40D1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356" w:type="pct"/>
            <w:vAlign w:val="center"/>
          </w:tcPr>
          <w:p w14:paraId="22EDEB13">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3</w:t>
            </w:r>
          </w:p>
        </w:tc>
        <w:tc>
          <w:tcPr>
            <w:tcW w:w="802" w:type="pct"/>
            <w:vAlign w:val="center"/>
          </w:tcPr>
          <w:p w14:paraId="3B01D321">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硬度</w:t>
            </w:r>
          </w:p>
        </w:tc>
        <w:tc>
          <w:tcPr>
            <w:tcW w:w="1729" w:type="pct"/>
            <w:vAlign w:val="center"/>
          </w:tcPr>
          <w:p w14:paraId="2E6E0E2C">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公称直径不大于60 mm，取5个/批</w:t>
            </w:r>
          </w:p>
          <w:p w14:paraId="051E952E">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SA"/>
              </w:rPr>
              <w:t>公称直径大于60 mm，取3个/批</w:t>
            </w:r>
          </w:p>
        </w:tc>
        <w:tc>
          <w:tcPr>
            <w:tcW w:w="816" w:type="pct"/>
            <w:vAlign w:val="center"/>
          </w:tcPr>
          <w:p w14:paraId="63B69764">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不同支</w:t>
            </w:r>
            <w:r>
              <w:rPr>
                <w:rFonts w:hint="eastAsia" w:hAnsi="宋体" w:cs="宋体"/>
                <w:color w:val="auto"/>
                <w:sz w:val="18"/>
                <w:szCs w:val="18"/>
                <w:lang w:eastAsia="zh-CN"/>
              </w:rPr>
              <w:t>圆钢</w:t>
            </w:r>
            <w:r>
              <w:rPr>
                <w:rFonts w:hint="eastAsia" w:ascii="宋体" w:hAnsi="宋体" w:eastAsia="宋体" w:cs="宋体"/>
                <w:color w:val="auto"/>
                <w:sz w:val="18"/>
                <w:szCs w:val="18"/>
              </w:rPr>
              <w:t>的端部</w:t>
            </w:r>
          </w:p>
        </w:tc>
        <w:tc>
          <w:tcPr>
            <w:tcW w:w="716" w:type="pct"/>
            <w:vAlign w:val="center"/>
          </w:tcPr>
          <w:p w14:paraId="1B13B522">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6.2</w:t>
            </w:r>
          </w:p>
        </w:tc>
        <w:tc>
          <w:tcPr>
            <w:tcW w:w="578" w:type="pct"/>
            <w:vAlign w:val="center"/>
          </w:tcPr>
          <w:p w14:paraId="20AD0BCC">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rPr>
              <w:t>7.</w:t>
            </w:r>
            <w:r>
              <w:rPr>
                <w:rFonts w:hint="eastAsia" w:ascii="宋体" w:hAnsi="宋体" w:eastAsia="宋体" w:cs="宋体"/>
                <w:color w:val="auto"/>
                <w:sz w:val="18"/>
                <w:szCs w:val="18"/>
                <w:lang w:val="en-US" w:eastAsia="zh-CN"/>
              </w:rPr>
              <w:t>2</w:t>
            </w:r>
          </w:p>
        </w:tc>
      </w:tr>
      <w:tr w14:paraId="249A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6" w:type="pct"/>
            <w:vAlign w:val="center"/>
          </w:tcPr>
          <w:p w14:paraId="5772B986">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4</w:t>
            </w:r>
          </w:p>
        </w:tc>
        <w:tc>
          <w:tcPr>
            <w:tcW w:w="802" w:type="pct"/>
            <w:vAlign w:val="center"/>
          </w:tcPr>
          <w:p w14:paraId="1745B5B4">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低倍</w:t>
            </w:r>
          </w:p>
        </w:tc>
        <w:tc>
          <w:tcPr>
            <w:tcW w:w="1729" w:type="pct"/>
            <w:vAlign w:val="center"/>
          </w:tcPr>
          <w:p w14:paraId="244AD647">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6个</w:t>
            </w:r>
            <w:r>
              <w:rPr>
                <w:rFonts w:hint="eastAsia" w:ascii="宋体" w:hAnsi="宋体" w:eastAsia="宋体" w:cs="宋体"/>
                <w:strike w:val="0"/>
                <w:dstrike w:val="0"/>
                <w:color w:val="auto"/>
                <w:spacing w:val="0"/>
                <w:w w:val="100"/>
                <w:sz w:val="18"/>
                <w:szCs w:val="18"/>
                <w:lang w:val="en-US" w:eastAsia="zh-CN"/>
              </w:rPr>
              <w:t>/批</w:t>
            </w:r>
          </w:p>
        </w:tc>
        <w:tc>
          <w:tcPr>
            <w:tcW w:w="816" w:type="pct"/>
            <w:vAlign w:val="center"/>
          </w:tcPr>
          <w:p w14:paraId="114B4218">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8.3.3</w:t>
            </w:r>
          </w:p>
        </w:tc>
        <w:tc>
          <w:tcPr>
            <w:tcW w:w="716" w:type="pct"/>
            <w:vAlign w:val="center"/>
          </w:tcPr>
          <w:p w14:paraId="59C62E61">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6.3</w:t>
            </w:r>
          </w:p>
        </w:tc>
        <w:tc>
          <w:tcPr>
            <w:tcW w:w="578" w:type="pct"/>
            <w:vAlign w:val="center"/>
          </w:tcPr>
          <w:p w14:paraId="34024107">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rPr>
              <w:t>7.</w:t>
            </w:r>
            <w:r>
              <w:rPr>
                <w:rFonts w:hint="eastAsia" w:ascii="宋体" w:hAnsi="宋体" w:eastAsia="宋体" w:cs="宋体"/>
                <w:color w:val="auto"/>
                <w:sz w:val="18"/>
                <w:szCs w:val="18"/>
                <w:lang w:val="en-US" w:eastAsia="zh-CN"/>
              </w:rPr>
              <w:t>3</w:t>
            </w:r>
          </w:p>
        </w:tc>
      </w:tr>
      <w:tr w14:paraId="6D25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56" w:type="pct"/>
            <w:vAlign w:val="center"/>
          </w:tcPr>
          <w:p w14:paraId="683973BF">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5</w:t>
            </w:r>
          </w:p>
        </w:tc>
        <w:tc>
          <w:tcPr>
            <w:tcW w:w="802" w:type="pct"/>
            <w:vAlign w:val="center"/>
          </w:tcPr>
          <w:p w14:paraId="26355DD6">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宏观夹杂物</w:t>
            </w:r>
          </w:p>
        </w:tc>
        <w:tc>
          <w:tcPr>
            <w:tcW w:w="1729" w:type="pct"/>
            <w:vAlign w:val="center"/>
          </w:tcPr>
          <w:p w14:paraId="4949F4D5">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hAnsi="宋体" w:cs="宋体"/>
                <w:color w:val="auto"/>
                <w:sz w:val="18"/>
                <w:szCs w:val="18"/>
                <w:lang w:val="en-US" w:eastAsia="zh-CN"/>
              </w:rPr>
              <w:t>测试体积</w:t>
            </w:r>
            <w:r>
              <w:rPr>
                <w:rFonts w:hint="eastAsia" w:ascii="宋体" w:hAnsi="宋体" w:eastAsia="宋体" w:cs="宋体"/>
                <w:color w:val="auto"/>
                <w:sz w:val="18"/>
                <w:szCs w:val="18"/>
                <w:lang w:val="en-US" w:eastAsia="zh-CN"/>
              </w:rPr>
              <w:t>不小于2 dm</w:t>
            </w:r>
            <w:r>
              <w:rPr>
                <w:rFonts w:hint="eastAsia" w:ascii="宋体" w:hAnsi="宋体" w:eastAsia="宋体" w:cs="宋体"/>
                <w:color w:val="auto"/>
                <w:sz w:val="18"/>
                <w:szCs w:val="18"/>
                <w:vertAlign w:val="superscript"/>
                <w:lang w:val="en-US" w:eastAsia="zh-CN"/>
              </w:rPr>
              <w:t>3</w:t>
            </w:r>
          </w:p>
        </w:tc>
        <w:tc>
          <w:tcPr>
            <w:tcW w:w="816" w:type="pct"/>
            <w:vAlign w:val="center"/>
          </w:tcPr>
          <w:p w14:paraId="16A89B7A">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不同支</w:t>
            </w:r>
            <w:r>
              <w:rPr>
                <w:rFonts w:hint="eastAsia" w:hAnsi="宋体" w:cs="宋体"/>
                <w:color w:val="auto"/>
                <w:sz w:val="18"/>
                <w:szCs w:val="18"/>
                <w:lang w:eastAsia="zh-CN"/>
              </w:rPr>
              <w:t>圆钢</w:t>
            </w:r>
            <w:r>
              <w:rPr>
                <w:rFonts w:hint="eastAsia" w:ascii="宋体" w:hAnsi="宋体" w:eastAsia="宋体" w:cs="宋体"/>
                <w:color w:val="auto"/>
                <w:sz w:val="18"/>
                <w:szCs w:val="18"/>
              </w:rPr>
              <w:t>的端部</w:t>
            </w:r>
          </w:p>
        </w:tc>
        <w:tc>
          <w:tcPr>
            <w:tcW w:w="716" w:type="pct"/>
            <w:vAlign w:val="center"/>
          </w:tcPr>
          <w:p w14:paraId="4D944775">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6.4</w:t>
            </w:r>
          </w:p>
        </w:tc>
        <w:tc>
          <w:tcPr>
            <w:tcW w:w="578" w:type="pct"/>
            <w:vAlign w:val="center"/>
          </w:tcPr>
          <w:p w14:paraId="2E9E14FE">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rPr>
              <w:t>7.</w:t>
            </w:r>
            <w:r>
              <w:rPr>
                <w:rFonts w:hint="eastAsia" w:ascii="宋体" w:hAnsi="宋体" w:eastAsia="宋体" w:cs="宋体"/>
                <w:color w:val="auto"/>
                <w:sz w:val="18"/>
                <w:szCs w:val="18"/>
                <w:lang w:val="en-US" w:eastAsia="zh-CN"/>
              </w:rPr>
              <w:t>4</w:t>
            </w:r>
          </w:p>
        </w:tc>
      </w:tr>
      <w:tr w14:paraId="545E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6" w:type="pct"/>
            <w:vAlign w:val="center"/>
          </w:tcPr>
          <w:p w14:paraId="78BA22B0">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6</w:t>
            </w:r>
          </w:p>
        </w:tc>
        <w:tc>
          <w:tcPr>
            <w:tcW w:w="802" w:type="pct"/>
            <w:vAlign w:val="center"/>
          </w:tcPr>
          <w:p w14:paraId="4070B97C">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非金属夹杂物</w:t>
            </w:r>
          </w:p>
        </w:tc>
        <w:tc>
          <w:tcPr>
            <w:tcW w:w="1729" w:type="pct"/>
            <w:vAlign w:val="center"/>
          </w:tcPr>
          <w:p w14:paraId="3F2C2169">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6个</w:t>
            </w:r>
            <w:r>
              <w:rPr>
                <w:rFonts w:hint="eastAsia" w:ascii="宋体" w:hAnsi="宋体" w:eastAsia="宋体" w:cs="宋体"/>
                <w:strike w:val="0"/>
                <w:dstrike w:val="0"/>
                <w:color w:val="auto"/>
                <w:spacing w:val="0"/>
                <w:w w:val="100"/>
                <w:sz w:val="18"/>
                <w:szCs w:val="18"/>
                <w:lang w:val="en-US" w:eastAsia="zh-CN"/>
              </w:rPr>
              <w:t>/批</w:t>
            </w:r>
          </w:p>
        </w:tc>
        <w:tc>
          <w:tcPr>
            <w:tcW w:w="816" w:type="pct"/>
            <w:vAlign w:val="center"/>
          </w:tcPr>
          <w:p w14:paraId="2241E18F">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8.3.4</w:t>
            </w:r>
          </w:p>
        </w:tc>
        <w:tc>
          <w:tcPr>
            <w:tcW w:w="716" w:type="pct"/>
            <w:vAlign w:val="center"/>
          </w:tcPr>
          <w:p w14:paraId="1ED46380">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6.5</w:t>
            </w:r>
          </w:p>
        </w:tc>
        <w:tc>
          <w:tcPr>
            <w:tcW w:w="578" w:type="pct"/>
            <w:vAlign w:val="center"/>
          </w:tcPr>
          <w:p w14:paraId="7EEF72F0">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7.5</w:t>
            </w:r>
          </w:p>
        </w:tc>
      </w:tr>
      <w:tr w14:paraId="33CB9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56" w:type="pct"/>
            <w:vAlign w:val="center"/>
          </w:tcPr>
          <w:p w14:paraId="030EBFA8">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7</w:t>
            </w:r>
          </w:p>
        </w:tc>
        <w:tc>
          <w:tcPr>
            <w:tcW w:w="802" w:type="pct"/>
            <w:vAlign w:val="center"/>
          </w:tcPr>
          <w:p w14:paraId="080DCCE5">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脱碳层</w:t>
            </w:r>
          </w:p>
        </w:tc>
        <w:tc>
          <w:tcPr>
            <w:tcW w:w="1729" w:type="pct"/>
            <w:vMerge w:val="restart"/>
            <w:vAlign w:val="center"/>
          </w:tcPr>
          <w:p w14:paraId="61AA0712">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公称直径不大于60 mm，取5个/批</w:t>
            </w:r>
          </w:p>
          <w:p w14:paraId="45B3FD75">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SA"/>
              </w:rPr>
              <w:t>公称直径大于60 mm，取3个/批</w:t>
            </w:r>
          </w:p>
        </w:tc>
        <w:tc>
          <w:tcPr>
            <w:tcW w:w="816" w:type="pct"/>
            <w:vMerge w:val="restart"/>
            <w:vAlign w:val="center"/>
          </w:tcPr>
          <w:p w14:paraId="21237103">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不同支</w:t>
            </w:r>
            <w:r>
              <w:rPr>
                <w:rFonts w:hint="eastAsia" w:hAnsi="宋体" w:cs="宋体"/>
                <w:color w:val="auto"/>
                <w:sz w:val="18"/>
                <w:szCs w:val="18"/>
                <w:lang w:eastAsia="zh-CN"/>
              </w:rPr>
              <w:t>圆钢</w:t>
            </w:r>
            <w:r>
              <w:rPr>
                <w:rFonts w:hint="eastAsia" w:ascii="宋体" w:hAnsi="宋体" w:eastAsia="宋体" w:cs="宋体"/>
                <w:color w:val="auto"/>
                <w:sz w:val="18"/>
                <w:szCs w:val="18"/>
              </w:rPr>
              <w:t>的端部</w:t>
            </w:r>
          </w:p>
        </w:tc>
        <w:tc>
          <w:tcPr>
            <w:tcW w:w="716" w:type="pct"/>
            <w:vAlign w:val="center"/>
          </w:tcPr>
          <w:p w14:paraId="722927CE">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6.6</w:t>
            </w:r>
          </w:p>
        </w:tc>
        <w:tc>
          <w:tcPr>
            <w:tcW w:w="578" w:type="pct"/>
            <w:vAlign w:val="center"/>
          </w:tcPr>
          <w:p w14:paraId="709AE447">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7.6</w:t>
            </w:r>
          </w:p>
        </w:tc>
      </w:tr>
      <w:tr w14:paraId="63A8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6" w:type="pct"/>
            <w:vAlign w:val="center"/>
          </w:tcPr>
          <w:p w14:paraId="546D171F">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8</w:t>
            </w:r>
          </w:p>
        </w:tc>
        <w:tc>
          <w:tcPr>
            <w:tcW w:w="802" w:type="pct"/>
            <w:vAlign w:val="center"/>
          </w:tcPr>
          <w:p w14:paraId="7C4496D0">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显微组织</w:t>
            </w:r>
          </w:p>
        </w:tc>
        <w:tc>
          <w:tcPr>
            <w:tcW w:w="1729" w:type="pct"/>
            <w:vMerge w:val="continue"/>
            <w:vAlign w:val="center"/>
          </w:tcPr>
          <w:p w14:paraId="1099534C">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p>
        </w:tc>
        <w:tc>
          <w:tcPr>
            <w:tcW w:w="816" w:type="pct"/>
            <w:vMerge w:val="continue"/>
            <w:vAlign w:val="center"/>
          </w:tcPr>
          <w:p w14:paraId="19FCBD1B">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p>
        </w:tc>
        <w:tc>
          <w:tcPr>
            <w:tcW w:w="716" w:type="pct"/>
            <w:vAlign w:val="center"/>
          </w:tcPr>
          <w:p w14:paraId="4D88C3E6">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6.7</w:t>
            </w:r>
          </w:p>
        </w:tc>
        <w:tc>
          <w:tcPr>
            <w:tcW w:w="578" w:type="pct"/>
            <w:vAlign w:val="center"/>
          </w:tcPr>
          <w:p w14:paraId="475EF8C7">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7.7</w:t>
            </w:r>
          </w:p>
        </w:tc>
      </w:tr>
      <w:tr w14:paraId="41A1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56" w:type="pct"/>
            <w:vAlign w:val="center"/>
          </w:tcPr>
          <w:p w14:paraId="44945155">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9</w:t>
            </w:r>
          </w:p>
        </w:tc>
        <w:tc>
          <w:tcPr>
            <w:tcW w:w="802" w:type="pct"/>
            <w:vAlign w:val="center"/>
          </w:tcPr>
          <w:p w14:paraId="1EFCB07D">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碳化物网状</w:t>
            </w:r>
          </w:p>
        </w:tc>
        <w:tc>
          <w:tcPr>
            <w:tcW w:w="1729" w:type="pct"/>
            <w:vMerge w:val="continue"/>
            <w:vAlign w:val="center"/>
          </w:tcPr>
          <w:p w14:paraId="07C4C2AC">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p>
        </w:tc>
        <w:tc>
          <w:tcPr>
            <w:tcW w:w="816" w:type="pct"/>
            <w:vMerge w:val="continue"/>
            <w:vAlign w:val="center"/>
          </w:tcPr>
          <w:p w14:paraId="4EF85C03">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p>
        </w:tc>
        <w:tc>
          <w:tcPr>
            <w:tcW w:w="716" w:type="pct"/>
            <w:vMerge w:val="restart"/>
            <w:vAlign w:val="center"/>
          </w:tcPr>
          <w:p w14:paraId="40B70BE0">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6.8</w:t>
            </w:r>
          </w:p>
        </w:tc>
        <w:tc>
          <w:tcPr>
            <w:tcW w:w="578" w:type="pct"/>
            <w:vMerge w:val="restart"/>
            <w:vAlign w:val="center"/>
          </w:tcPr>
          <w:p w14:paraId="40C5E12C">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7.8</w:t>
            </w:r>
          </w:p>
        </w:tc>
      </w:tr>
      <w:tr w14:paraId="7857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56" w:type="pct"/>
            <w:vAlign w:val="center"/>
          </w:tcPr>
          <w:p w14:paraId="1932A291">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0</w:t>
            </w:r>
          </w:p>
        </w:tc>
        <w:tc>
          <w:tcPr>
            <w:tcW w:w="802" w:type="pct"/>
            <w:vAlign w:val="center"/>
          </w:tcPr>
          <w:p w14:paraId="3FB81DD4">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碳化物带状</w:t>
            </w:r>
          </w:p>
        </w:tc>
        <w:tc>
          <w:tcPr>
            <w:tcW w:w="1729" w:type="pct"/>
            <w:vMerge w:val="continue"/>
            <w:vAlign w:val="center"/>
          </w:tcPr>
          <w:p w14:paraId="218ADC90">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p>
        </w:tc>
        <w:tc>
          <w:tcPr>
            <w:tcW w:w="816" w:type="pct"/>
            <w:vMerge w:val="continue"/>
            <w:vAlign w:val="center"/>
          </w:tcPr>
          <w:p w14:paraId="2785D090">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p>
        </w:tc>
        <w:tc>
          <w:tcPr>
            <w:tcW w:w="716" w:type="pct"/>
            <w:vMerge w:val="continue"/>
            <w:vAlign w:val="center"/>
          </w:tcPr>
          <w:p w14:paraId="76ACD72D">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p>
        </w:tc>
        <w:tc>
          <w:tcPr>
            <w:tcW w:w="578" w:type="pct"/>
            <w:vMerge w:val="continue"/>
            <w:vAlign w:val="center"/>
          </w:tcPr>
          <w:p w14:paraId="28F752A8">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p>
        </w:tc>
      </w:tr>
      <w:tr w14:paraId="47CB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56" w:type="pct"/>
            <w:vAlign w:val="center"/>
          </w:tcPr>
          <w:p w14:paraId="5950D011">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eastAsia="zh-CN"/>
              </w:rPr>
              <w:t>1</w:t>
            </w:r>
            <w:r>
              <w:rPr>
                <w:rFonts w:hint="eastAsia" w:ascii="宋体" w:hAnsi="宋体" w:eastAsia="宋体" w:cs="宋体"/>
                <w:color w:val="auto"/>
                <w:sz w:val="18"/>
                <w:szCs w:val="18"/>
                <w:lang w:val="en-US" w:eastAsia="zh-CN"/>
              </w:rPr>
              <w:t>1</w:t>
            </w:r>
          </w:p>
        </w:tc>
        <w:tc>
          <w:tcPr>
            <w:tcW w:w="802" w:type="pct"/>
            <w:vAlign w:val="center"/>
          </w:tcPr>
          <w:p w14:paraId="710D3495">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显微孔隙</w:t>
            </w:r>
          </w:p>
        </w:tc>
        <w:tc>
          <w:tcPr>
            <w:tcW w:w="1729" w:type="pct"/>
            <w:vMerge w:val="continue"/>
            <w:vAlign w:val="center"/>
          </w:tcPr>
          <w:p w14:paraId="415A7BC2">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p>
        </w:tc>
        <w:tc>
          <w:tcPr>
            <w:tcW w:w="816" w:type="pct"/>
            <w:vMerge w:val="continue"/>
            <w:vAlign w:val="center"/>
          </w:tcPr>
          <w:p w14:paraId="67CBBD6F">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p>
        </w:tc>
        <w:tc>
          <w:tcPr>
            <w:tcW w:w="716" w:type="pct"/>
            <w:vAlign w:val="center"/>
          </w:tcPr>
          <w:p w14:paraId="32A6CDB1">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6.9</w:t>
            </w:r>
          </w:p>
        </w:tc>
        <w:tc>
          <w:tcPr>
            <w:tcW w:w="578" w:type="pct"/>
            <w:vAlign w:val="center"/>
          </w:tcPr>
          <w:p w14:paraId="01A76638">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7.9</w:t>
            </w:r>
          </w:p>
        </w:tc>
      </w:tr>
      <w:tr w14:paraId="27AD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56" w:type="pct"/>
            <w:vAlign w:val="center"/>
          </w:tcPr>
          <w:p w14:paraId="1701B343">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2</w:t>
            </w:r>
          </w:p>
        </w:tc>
        <w:tc>
          <w:tcPr>
            <w:tcW w:w="802" w:type="pct"/>
            <w:vAlign w:val="center"/>
          </w:tcPr>
          <w:p w14:paraId="79A47F11">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表面质量</w:t>
            </w:r>
          </w:p>
        </w:tc>
        <w:tc>
          <w:tcPr>
            <w:tcW w:w="1729" w:type="pct"/>
            <w:vAlign w:val="center"/>
          </w:tcPr>
          <w:p w14:paraId="264FBBF3">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逐支</w:t>
            </w:r>
          </w:p>
        </w:tc>
        <w:tc>
          <w:tcPr>
            <w:tcW w:w="816" w:type="pct"/>
            <w:vAlign w:val="center"/>
          </w:tcPr>
          <w:p w14:paraId="60A1C4DC">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整支</w:t>
            </w:r>
            <w:r>
              <w:rPr>
                <w:rFonts w:hint="eastAsia" w:hAnsi="宋体" w:cs="宋体"/>
                <w:color w:val="auto"/>
                <w:sz w:val="18"/>
                <w:szCs w:val="18"/>
                <w:lang w:eastAsia="zh-CN"/>
              </w:rPr>
              <w:t>圆钢</w:t>
            </w:r>
          </w:p>
        </w:tc>
        <w:tc>
          <w:tcPr>
            <w:tcW w:w="716" w:type="pct"/>
            <w:vAlign w:val="center"/>
          </w:tcPr>
          <w:p w14:paraId="6DB4E5A0">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6.10</w:t>
            </w:r>
          </w:p>
        </w:tc>
        <w:tc>
          <w:tcPr>
            <w:tcW w:w="578" w:type="pct"/>
            <w:vAlign w:val="center"/>
          </w:tcPr>
          <w:p w14:paraId="3A1D1ECF">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7.10</w:t>
            </w:r>
          </w:p>
        </w:tc>
      </w:tr>
      <w:tr w14:paraId="482B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356" w:type="pct"/>
            <w:vAlign w:val="center"/>
          </w:tcPr>
          <w:p w14:paraId="0C2E51B2">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3</w:t>
            </w:r>
          </w:p>
        </w:tc>
        <w:tc>
          <w:tcPr>
            <w:tcW w:w="802" w:type="pct"/>
            <w:vAlign w:val="center"/>
          </w:tcPr>
          <w:p w14:paraId="2D733884">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超声检测</w:t>
            </w:r>
          </w:p>
        </w:tc>
        <w:tc>
          <w:tcPr>
            <w:tcW w:w="1729" w:type="pct"/>
            <w:vAlign w:val="center"/>
          </w:tcPr>
          <w:p w14:paraId="65124EE6">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逐支</w:t>
            </w:r>
          </w:p>
        </w:tc>
        <w:tc>
          <w:tcPr>
            <w:tcW w:w="816" w:type="pct"/>
            <w:vAlign w:val="center"/>
          </w:tcPr>
          <w:p w14:paraId="0E4A751C">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716" w:type="pct"/>
            <w:vAlign w:val="center"/>
          </w:tcPr>
          <w:p w14:paraId="7F86A531">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6.11</w:t>
            </w:r>
          </w:p>
        </w:tc>
        <w:tc>
          <w:tcPr>
            <w:tcW w:w="578" w:type="pct"/>
            <w:vAlign w:val="center"/>
          </w:tcPr>
          <w:p w14:paraId="0BAEAFEF">
            <w:pPr>
              <w:pStyle w:val="22"/>
              <w:keepNext w:val="0"/>
              <w:keepLines w:val="0"/>
              <w:pageBreakBefore w:val="0"/>
              <w:widowControl/>
              <w:numPr>
                <w:ilvl w:val="0"/>
                <w:numId w:val="0"/>
              </w:numPr>
              <w:kinsoku/>
              <w:wordWrap/>
              <w:overflowPunct/>
              <w:topLinePunct w:val="0"/>
              <w:autoSpaceDE w:val="0"/>
              <w:autoSpaceDN w:val="0"/>
              <w:bidi w:val="0"/>
              <w:adjustRightInd/>
              <w:snapToGrid/>
              <w:ind w:lef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7.11</w:t>
            </w:r>
          </w:p>
        </w:tc>
      </w:tr>
      <w:tr w14:paraId="289F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56" w:type="pct"/>
            <w:vAlign w:val="center"/>
          </w:tcPr>
          <w:p w14:paraId="5C7241B6">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14</w:t>
            </w:r>
          </w:p>
        </w:tc>
        <w:tc>
          <w:tcPr>
            <w:tcW w:w="802" w:type="pct"/>
            <w:vAlign w:val="center"/>
          </w:tcPr>
          <w:p w14:paraId="605435FF">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尺寸、外形</w:t>
            </w:r>
          </w:p>
        </w:tc>
        <w:tc>
          <w:tcPr>
            <w:tcW w:w="1729" w:type="pct"/>
            <w:vAlign w:val="center"/>
          </w:tcPr>
          <w:p w14:paraId="7300D6C5">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逐支</w:t>
            </w:r>
          </w:p>
        </w:tc>
        <w:tc>
          <w:tcPr>
            <w:tcW w:w="816" w:type="pct"/>
            <w:vAlign w:val="center"/>
          </w:tcPr>
          <w:p w14:paraId="5518764F">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w:t>
            </w:r>
          </w:p>
        </w:tc>
        <w:tc>
          <w:tcPr>
            <w:tcW w:w="716" w:type="pct"/>
            <w:vAlign w:val="center"/>
          </w:tcPr>
          <w:p w14:paraId="550FE07E">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6.1</w:t>
            </w:r>
            <w:r>
              <w:rPr>
                <w:rFonts w:hint="eastAsia" w:ascii="宋体" w:hAnsi="宋体" w:eastAsia="宋体" w:cs="宋体"/>
                <w:color w:val="auto"/>
                <w:sz w:val="18"/>
                <w:szCs w:val="18"/>
                <w:lang w:val="en-US" w:eastAsia="zh-CN"/>
              </w:rPr>
              <w:t>2</w:t>
            </w:r>
          </w:p>
        </w:tc>
        <w:tc>
          <w:tcPr>
            <w:tcW w:w="578" w:type="pct"/>
            <w:vAlign w:val="center"/>
          </w:tcPr>
          <w:p w14:paraId="70C5F080">
            <w:pPr>
              <w:pStyle w:val="22"/>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7.1</w:t>
            </w:r>
            <w:r>
              <w:rPr>
                <w:rFonts w:hint="eastAsia" w:ascii="宋体" w:hAnsi="宋体" w:eastAsia="宋体" w:cs="宋体"/>
                <w:color w:val="auto"/>
                <w:sz w:val="18"/>
                <w:szCs w:val="18"/>
                <w:lang w:val="en-US" w:eastAsia="zh-CN"/>
              </w:rPr>
              <w:t>2</w:t>
            </w:r>
          </w:p>
        </w:tc>
      </w:tr>
    </w:tbl>
    <w:p w14:paraId="784E1716">
      <w:pPr>
        <w:pStyle w:val="47"/>
        <w:numPr>
          <w:ilvl w:val="2"/>
          <w:numId w:val="10"/>
        </w:numPr>
        <w:spacing w:beforeLines="0" w:afterLines="0"/>
        <w:ind w:left="0"/>
        <w:jc w:val="both"/>
        <w:rPr>
          <w:rFonts w:hint="eastAsia" w:ascii="宋体" w:hAnsi="宋体" w:eastAsia="宋体" w:cs="宋体"/>
        </w:rPr>
      </w:pPr>
      <w:r>
        <w:rPr>
          <w:rFonts w:hint="eastAsia" w:ascii="宋体" w:hAnsi="宋体" w:eastAsia="宋体" w:cs="宋体"/>
        </w:rPr>
        <w:t>化学分析用试样取样按GB/T 20066</w:t>
      </w:r>
      <w:r>
        <w:rPr>
          <w:rFonts w:hint="eastAsia" w:ascii="宋体" w:hAnsi="宋体" w:eastAsia="宋体" w:cs="宋体"/>
          <w:lang w:eastAsia="zh-CN"/>
        </w:rPr>
        <w:t>的</w:t>
      </w:r>
      <w:r>
        <w:rPr>
          <w:rFonts w:hint="eastAsia" w:ascii="宋体" w:hAnsi="宋体" w:eastAsia="宋体" w:cs="宋体"/>
        </w:rPr>
        <w:t>规定进行，氧含量在</w:t>
      </w:r>
      <w:r>
        <w:rPr>
          <w:rFonts w:hint="eastAsia" w:ascii="宋体" w:hAnsi="宋体" w:eastAsia="宋体" w:cs="宋体"/>
          <w:lang w:eastAsia="zh-CN"/>
        </w:rPr>
        <w:t>圆钢</w:t>
      </w:r>
      <w:r>
        <w:rPr>
          <w:rFonts w:hint="eastAsia" w:ascii="宋体" w:hAnsi="宋体" w:eastAsia="宋体" w:cs="宋体"/>
        </w:rPr>
        <w:t>上测定，其取样部位：公称直径不小于20</w:t>
      </w:r>
      <w:r>
        <w:rPr>
          <w:rFonts w:hint="eastAsia" w:ascii="宋体" w:hAnsi="宋体" w:eastAsia="宋体" w:cs="宋体"/>
          <w:lang w:val="en-US" w:eastAsia="zh-CN"/>
        </w:rPr>
        <w:t xml:space="preserve"> </w:t>
      </w:r>
      <w:r>
        <w:rPr>
          <w:rFonts w:hint="eastAsia" w:ascii="宋体" w:hAnsi="宋体" w:eastAsia="宋体" w:cs="宋体"/>
        </w:rPr>
        <w:t>mm，在</w:t>
      </w:r>
      <w:r>
        <w:rPr>
          <w:rFonts w:hint="eastAsia" w:ascii="宋体" w:hAnsi="宋体" w:eastAsia="宋体" w:cs="宋体"/>
          <w:lang w:eastAsia="zh-CN"/>
        </w:rPr>
        <w:t>圆钢</w:t>
      </w:r>
      <w:r>
        <w:rPr>
          <w:rFonts w:hint="eastAsia" w:ascii="宋体" w:hAnsi="宋体" w:eastAsia="宋体" w:cs="宋体"/>
        </w:rPr>
        <w:t>半径二分之一处；公称直径小于20</w:t>
      </w:r>
      <w:r>
        <w:rPr>
          <w:rFonts w:hint="eastAsia" w:ascii="宋体" w:hAnsi="宋体" w:eastAsia="宋体" w:cs="宋体"/>
          <w:lang w:val="en-US" w:eastAsia="zh-CN"/>
        </w:rPr>
        <w:t xml:space="preserve"> </w:t>
      </w:r>
      <w:r>
        <w:rPr>
          <w:rFonts w:hint="eastAsia" w:ascii="宋体" w:hAnsi="宋体" w:eastAsia="宋体" w:cs="宋体"/>
        </w:rPr>
        <w:t>mm，在</w:t>
      </w:r>
      <w:r>
        <w:rPr>
          <w:rFonts w:hint="eastAsia" w:ascii="宋体" w:hAnsi="宋体" w:eastAsia="宋体" w:cs="宋体"/>
          <w:lang w:eastAsia="zh-CN"/>
        </w:rPr>
        <w:t>圆钢</w:t>
      </w:r>
      <w:r>
        <w:rPr>
          <w:rFonts w:hint="eastAsia" w:ascii="宋体" w:hAnsi="宋体" w:eastAsia="宋体" w:cs="宋体"/>
        </w:rPr>
        <w:t>中心处。</w:t>
      </w:r>
    </w:p>
    <w:p w14:paraId="58AB7815">
      <w:pPr>
        <w:pStyle w:val="47"/>
        <w:numPr>
          <w:ilvl w:val="2"/>
          <w:numId w:val="10"/>
        </w:numPr>
        <w:spacing w:beforeLines="0" w:afterLines="0"/>
        <w:ind w:left="0"/>
        <w:jc w:val="both"/>
        <w:rPr>
          <w:rFonts w:hint="eastAsia" w:ascii="宋体" w:hAnsi="宋体" w:eastAsia="宋体" w:cs="宋体"/>
        </w:rPr>
      </w:pPr>
      <w:r>
        <w:rPr>
          <w:rFonts w:hint="eastAsia" w:ascii="宋体" w:hAnsi="宋体" w:eastAsia="宋体" w:cs="宋体"/>
        </w:rPr>
        <w:t>低倍的取样部位按如下规定：</w:t>
      </w:r>
    </w:p>
    <w:p w14:paraId="48669100">
      <w:pPr>
        <w:pStyle w:val="159"/>
        <w:keepNext w:val="0"/>
        <w:keepLines w:val="0"/>
        <w:pageBreakBefore w:val="0"/>
        <w:widowControl w:val="0"/>
        <w:numPr>
          <w:ilvl w:val="0"/>
          <w:numId w:val="12"/>
        </w:numPr>
        <w:kinsoku/>
        <w:wordWrap/>
        <w:overflowPunct/>
        <w:topLinePunct w:val="0"/>
        <w:autoSpaceDE/>
        <w:autoSpaceDN/>
        <w:bidi w:val="0"/>
        <w:adjustRightInd/>
        <w:snapToGrid/>
        <w:ind w:left="630" w:leftChars="0" w:firstLineChars="0"/>
        <w:textAlignment w:val="auto"/>
        <w:rPr>
          <w:rFonts w:hint="eastAsia"/>
          <w:color w:val="auto"/>
          <w:highlight w:val="none"/>
        </w:rPr>
      </w:pPr>
      <w:r>
        <w:rPr>
          <w:rFonts w:hint="eastAsia"/>
          <w:color w:val="auto"/>
          <w:highlight w:val="none"/>
          <w:lang w:val="en-US" w:eastAsia="zh-CN"/>
        </w:rPr>
        <w:t xml:space="preserve"> </w:t>
      </w:r>
      <w:r>
        <w:rPr>
          <w:rFonts w:hint="eastAsia"/>
          <w:color w:val="auto"/>
          <w:highlight w:val="none"/>
        </w:rPr>
        <w:t>模铸钢：生产厂应对每炉钢从浇注开始、</w:t>
      </w:r>
      <w:r>
        <w:rPr>
          <w:rFonts w:hint="eastAsia"/>
          <w:color w:val="auto"/>
          <w:highlight w:val="none"/>
          <w:lang w:eastAsia="zh-CN"/>
        </w:rPr>
        <w:t>中间和</w:t>
      </w:r>
      <w:r>
        <w:rPr>
          <w:rFonts w:hint="eastAsia"/>
          <w:color w:val="auto"/>
          <w:highlight w:val="none"/>
        </w:rPr>
        <w:t>最后一个锭盘的任意钢锭的头部和尾部各取1个，共6个试样；若一炉钢只浇二个锭盘时，则从第一个锭盘中任取一支钢锭，从第二个锭盘中任取二支钢锭，共三支钢锭，在其头部和尾部各取一个试样；若一炉钢只浇一个锭盘时，则任取三个钢锭，在其头部和尾部各取一个试样，试样应从成材前的轧坯或材上相应部位切取；</w:t>
      </w:r>
    </w:p>
    <w:p w14:paraId="71EEC3C2">
      <w:pPr>
        <w:pStyle w:val="159"/>
        <w:keepNext w:val="0"/>
        <w:keepLines w:val="0"/>
        <w:pageBreakBefore w:val="0"/>
        <w:widowControl w:val="0"/>
        <w:numPr>
          <w:ilvl w:val="0"/>
          <w:numId w:val="12"/>
        </w:numPr>
        <w:kinsoku/>
        <w:wordWrap/>
        <w:overflowPunct/>
        <w:topLinePunct w:val="0"/>
        <w:autoSpaceDE/>
        <w:autoSpaceDN/>
        <w:bidi w:val="0"/>
        <w:adjustRightInd/>
        <w:snapToGrid/>
        <w:ind w:left="630" w:leftChars="0" w:firstLine="0" w:firstLineChars="0"/>
        <w:textAlignment w:val="auto"/>
        <w:rPr>
          <w:rFonts w:hint="eastAsia"/>
          <w:color w:val="auto"/>
          <w:highlight w:val="none"/>
        </w:rPr>
      </w:pPr>
      <w:r>
        <w:rPr>
          <w:rFonts w:hint="eastAsia"/>
          <w:color w:val="auto"/>
          <w:highlight w:val="none"/>
          <w:lang w:val="en-US" w:eastAsia="zh-CN"/>
        </w:rPr>
        <w:t xml:space="preserve"> </w:t>
      </w:r>
      <w:r>
        <w:rPr>
          <w:rFonts w:hint="eastAsia"/>
          <w:color w:val="auto"/>
          <w:highlight w:val="none"/>
        </w:rPr>
        <w:t>连铸钢：若在</w:t>
      </w:r>
      <w:r>
        <w:rPr>
          <w:rFonts w:hint="eastAsia" w:ascii="宋体" w:hAnsi="宋体" w:eastAsia="宋体" w:cs="宋体"/>
          <w:lang w:eastAsia="zh-CN"/>
        </w:rPr>
        <w:t>圆钢</w:t>
      </w:r>
      <w:r>
        <w:rPr>
          <w:rFonts w:hint="eastAsia"/>
          <w:color w:val="auto"/>
          <w:highlight w:val="none"/>
        </w:rPr>
        <w:t>上进行检验，则从任意6支</w:t>
      </w:r>
      <w:r>
        <w:rPr>
          <w:rFonts w:hint="eastAsia" w:ascii="宋体" w:hAnsi="宋体" w:eastAsia="宋体" w:cs="宋体"/>
          <w:lang w:eastAsia="zh-CN"/>
        </w:rPr>
        <w:t>圆钢</w:t>
      </w:r>
      <w:r>
        <w:rPr>
          <w:rFonts w:hint="eastAsia"/>
          <w:color w:val="auto"/>
          <w:highlight w:val="none"/>
        </w:rPr>
        <w:t>的任意端各取1个试样。</w:t>
      </w:r>
    </w:p>
    <w:p w14:paraId="6EF47B6A">
      <w:pPr>
        <w:pStyle w:val="47"/>
        <w:numPr>
          <w:ilvl w:val="2"/>
          <w:numId w:val="10"/>
        </w:numPr>
        <w:spacing w:before="50" w:beforeLines="0" w:after="50" w:afterLines="0"/>
        <w:ind w:left="0"/>
        <w:jc w:val="both"/>
        <w:rPr>
          <w:rFonts w:hint="eastAsia" w:ascii="宋体" w:hAnsi="宋体" w:eastAsia="宋体" w:cs="宋体"/>
        </w:rPr>
      </w:pPr>
      <w:r>
        <w:rPr>
          <w:rFonts w:hint="eastAsia" w:ascii="宋体" w:hAnsi="宋体" w:eastAsia="宋体" w:cs="宋体"/>
        </w:rPr>
        <w:t>非金属夹杂物的取样部位按如下规定：</w:t>
      </w:r>
    </w:p>
    <w:p w14:paraId="0C2D9830">
      <w:pPr>
        <w:pStyle w:val="159"/>
        <w:keepNext w:val="0"/>
        <w:keepLines w:val="0"/>
        <w:pageBreakBefore w:val="0"/>
        <w:widowControl w:val="0"/>
        <w:numPr>
          <w:ilvl w:val="0"/>
          <w:numId w:val="13"/>
        </w:numPr>
        <w:kinsoku/>
        <w:wordWrap/>
        <w:overflowPunct/>
        <w:topLinePunct w:val="0"/>
        <w:autoSpaceDE/>
        <w:autoSpaceDN/>
        <w:bidi w:val="0"/>
        <w:adjustRightInd/>
        <w:snapToGrid/>
        <w:ind w:left="630" w:leftChars="0"/>
        <w:textAlignment w:val="auto"/>
        <w:rPr>
          <w:rFonts w:hint="eastAsia"/>
          <w:color w:val="auto"/>
          <w:highlight w:val="none"/>
        </w:rPr>
      </w:pPr>
      <w:r>
        <w:rPr>
          <w:rFonts w:hint="eastAsia"/>
          <w:color w:val="auto"/>
          <w:highlight w:val="none"/>
          <w:lang w:val="en-US" w:eastAsia="zh-CN"/>
        </w:rPr>
        <w:t xml:space="preserve"> </w:t>
      </w:r>
      <w:r>
        <w:rPr>
          <w:rFonts w:hint="eastAsia"/>
          <w:color w:val="auto"/>
          <w:highlight w:val="none"/>
        </w:rPr>
        <w:t>模铸钢：生产厂应对每炉钢从浇注开始、中间和最后一个锭盘的任意钢锭的头部和尾部各取1个，共6个试样；若一炉钢只浇二个锭盘时，则从第一个锭盘中任取一支钢锭，从第二个锭盘中任取二支钢锭，共三支钢锭，在其头部和尾部各取一个试样；若一炉钢只浇一个锭盘时，则任取三个钢锭，在其头部和尾部各取一个试样，试样应从成材前的轧坯或材上相应部位切取；</w:t>
      </w:r>
    </w:p>
    <w:p w14:paraId="743D4F5A">
      <w:pPr>
        <w:pStyle w:val="159"/>
        <w:keepNext w:val="0"/>
        <w:keepLines w:val="0"/>
        <w:pageBreakBefore w:val="0"/>
        <w:widowControl w:val="0"/>
        <w:numPr>
          <w:ilvl w:val="0"/>
          <w:numId w:val="13"/>
        </w:numPr>
        <w:kinsoku/>
        <w:wordWrap/>
        <w:overflowPunct/>
        <w:topLinePunct w:val="0"/>
        <w:autoSpaceDE/>
        <w:autoSpaceDN/>
        <w:bidi w:val="0"/>
        <w:adjustRightInd/>
        <w:snapToGrid/>
        <w:ind w:left="630" w:leftChars="0"/>
        <w:textAlignment w:val="auto"/>
        <w:rPr>
          <w:rFonts w:hint="eastAsia"/>
          <w:color w:val="auto"/>
          <w:highlight w:val="none"/>
        </w:rPr>
      </w:pPr>
      <w:r>
        <w:rPr>
          <w:rFonts w:hint="eastAsia"/>
          <w:color w:val="auto"/>
          <w:highlight w:val="none"/>
          <w:lang w:val="en-US" w:eastAsia="zh-CN"/>
        </w:rPr>
        <w:t xml:space="preserve"> </w:t>
      </w:r>
      <w:r>
        <w:rPr>
          <w:rFonts w:hint="eastAsia"/>
          <w:color w:val="auto"/>
          <w:highlight w:val="none"/>
        </w:rPr>
        <w:t>连铸钢：若在</w:t>
      </w:r>
      <w:r>
        <w:rPr>
          <w:rFonts w:hint="eastAsia" w:ascii="宋体" w:hAnsi="宋体" w:eastAsia="宋体" w:cs="宋体"/>
          <w:lang w:eastAsia="zh-CN"/>
        </w:rPr>
        <w:t>圆钢</w:t>
      </w:r>
      <w:r>
        <w:rPr>
          <w:rFonts w:hint="eastAsia"/>
          <w:color w:val="auto"/>
          <w:highlight w:val="none"/>
        </w:rPr>
        <w:t>上进行检验，则从任意6支</w:t>
      </w:r>
      <w:r>
        <w:rPr>
          <w:rFonts w:hint="eastAsia" w:ascii="宋体" w:hAnsi="宋体" w:eastAsia="宋体" w:cs="宋体"/>
          <w:lang w:eastAsia="zh-CN"/>
        </w:rPr>
        <w:t>圆钢</w:t>
      </w:r>
      <w:r>
        <w:rPr>
          <w:rFonts w:hint="eastAsia"/>
          <w:color w:val="auto"/>
          <w:highlight w:val="none"/>
        </w:rPr>
        <w:t>的任意端各取1个试样。</w:t>
      </w:r>
    </w:p>
    <w:p w14:paraId="4C66CF40">
      <w:pPr>
        <w:pStyle w:val="159"/>
        <w:keepNext w:val="0"/>
        <w:keepLines w:val="0"/>
        <w:pageBreakBefore w:val="0"/>
        <w:widowControl w:val="0"/>
        <w:numPr>
          <w:ilvl w:val="0"/>
          <w:numId w:val="13"/>
        </w:numPr>
        <w:kinsoku/>
        <w:wordWrap/>
        <w:overflowPunct/>
        <w:topLinePunct w:val="0"/>
        <w:autoSpaceDE/>
        <w:autoSpaceDN/>
        <w:bidi w:val="0"/>
        <w:adjustRightInd/>
        <w:snapToGrid/>
        <w:ind w:left="630" w:leftChars="0"/>
        <w:textAlignment w:val="auto"/>
        <w:rPr>
          <w:rFonts w:hint="eastAsia"/>
          <w:color w:val="auto"/>
          <w:highlight w:val="none"/>
        </w:rPr>
      </w:pPr>
      <w:r>
        <w:rPr>
          <w:rFonts w:hint="eastAsia"/>
          <w:color w:val="auto"/>
          <w:highlight w:val="none"/>
          <w:lang w:val="en-US" w:eastAsia="zh-CN"/>
        </w:rPr>
        <w:t xml:space="preserve"> </w:t>
      </w:r>
      <w:r>
        <w:rPr>
          <w:rFonts w:hint="eastAsia"/>
          <w:color w:val="auto"/>
          <w:highlight w:val="none"/>
        </w:rPr>
        <w:t>试样从直径或边长为100</w:t>
      </w:r>
      <w:r>
        <w:rPr>
          <w:rFonts w:hint="eastAsia"/>
          <w:color w:val="auto"/>
          <w:highlight w:val="none"/>
          <w:lang w:val="en-US" w:eastAsia="zh-CN"/>
        </w:rPr>
        <w:t xml:space="preserve"> </w:t>
      </w:r>
      <w:r>
        <w:rPr>
          <w:rFonts w:hint="eastAsia"/>
          <w:color w:val="auto"/>
          <w:highlight w:val="none"/>
        </w:rPr>
        <w:t>mm的轧坯或材上于中心到外表面中间部位切取，亦可在直径或边长为80</w:t>
      </w:r>
      <w:r>
        <w:rPr>
          <w:rFonts w:hint="eastAsia"/>
          <w:color w:val="auto"/>
          <w:highlight w:val="none"/>
          <w:lang w:val="en-US" w:eastAsia="zh-CN"/>
        </w:rPr>
        <w:t xml:space="preserve"> </w:t>
      </w:r>
      <w:r>
        <w:rPr>
          <w:rFonts w:hint="eastAsia"/>
          <w:color w:val="auto"/>
          <w:highlight w:val="none"/>
        </w:rPr>
        <w:t>mm～120</w:t>
      </w:r>
      <w:r>
        <w:rPr>
          <w:rFonts w:hint="eastAsia"/>
          <w:color w:val="auto"/>
          <w:highlight w:val="none"/>
          <w:lang w:val="en-US" w:eastAsia="zh-CN"/>
        </w:rPr>
        <w:t xml:space="preserve"> </w:t>
      </w:r>
      <w:r>
        <w:rPr>
          <w:rFonts w:hint="eastAsia"/>
          <w:color w:val="auto"/>
          <w:highlight w:val="none"/>
        </w:rPr>
        <w:t>mm坯或材上相应部位切取。经供需双方协议，试样亦可在更大或更小的截面上切取；试样尺寸为10</w:t>
      </w:r>
      <w:r>
        <w:rPr>
          <w:rFonts w:hint="eastAsia"/>
          <w:color w:val="auto"/>
          <w:highlight w:val="none"/>
          <w:lang w:val="en-US" w:eastAsia="zh-CN"/>
        </w:rPr>
        <w:t xml:space="preserve"> </w:t>
      </w:r>
      <w:r>
        <w:rPr>
          <w:rFonts w:hint="eastAsia"/>
          <w:color w:val="auto"/>
          <w:highlight w:val="none"/>
        </w:rPr>
        <w:t>mm×20</w:t>
      </w:r>
      <w:r>
        <w:rPr>
          <w:rFonts w:hint="eastAsia"/>
          <w:color w:val="auto"/>
          <w:highlight w:val="none"/>
          <w:lang w:val="en-US" w:eastAsia="zh-CN"/>
        </w:rPr>
        <w:t xml:space="preserve"> </w:t>
      </w:r>
      <w:r>
        <w:rPr>
          <w:rFonts w:hint="eastAsia"/>
          <w:color w:val="auto"/>
          <w:highlight w:val="none"/>
        </w:rPr>
        <w:t>mm，抛光面应与轧制方向平行。</w:t>
      </w:r>
    </w:p>
    <w:p w14:paraId="3304E7A9">
      <w:pPr>
        <w:pStyle w:val="47"/>
        <w:numPr>
          <w:ilvl w:val="1"/>
          <w:numId w:val="10"/>
        </w:numPr>
        <w:spacing w:before="156" w:after="156"/>
        <w:jc w:val="both"/>
        <w:rPr>
          <w:rFonts w:hint="eastAsia"/>
        </w:rPr>
      </w:pPr>
      <w:r>
        <w:rPr>
          <w:rFonts w:hint="eastAsia"/>
        </w:rPr>
        <w:t>复验与判定规则</w:t>
      </w:r>
    </w:p>
    <w:p w14:paraId="5DACD8E0">
      <w:pPr>
        <w:pStyle w:val="47"/>
        <w:numPr>
          <w:ilvl w:val="2"/>
          <w:numId w:val="10"/>
        </w:numPr>
        <w:spacing w:beforeLines="0" w:afterLines="0"/>
        <w:ind w:left="0"/>
        <w:jc w:val="both"/>
        <w:rPr>
          <w:rFonts w:hint="eastAsia" w:ascii="宋体" w:hAnsi="宋体" w:eastAsia="宋体" w:cs="宋体"/>
        </w:rPr>
      </w:pPr>
      <w:r>
        <w:rPr>
          <w:rFonts w:hint="eastAsia" w:ascii="宋体" w:hAnsi="宋体" w:eastAsia="宋体" w:cs="宋体"/>
        </w:rPr>
        <w:t>若检验项目中有任一检验项目不合格时</w:t>
      </w:r>
      <w:r>
        <w:rPr>
          <w:rFonts w:hint="eastAsia" w:ascii="宋体" w:hAnsi="宋体" w:eastAsia="宋体" w:cs="宋体"/>
          <w:lang w:eastAsia="zh-CN"/>
        </w:rPr>
        <w:t>（</w:t>
      </w:r>
      <w:r>
        <w:rPr>
          <w:rFonts w:hint="eastAsia" w:ascii="宋体" w:hAnsi="宋体" w:eastAsia="宋体" w:cs="宋体"/>
        </w:rPr>
        <w:t>白点、非金属夹杂物除外</w:t>
      </w:r>
      <w:r>
        <w:rPr>
          <w:rFonts w:hint="eastAsia" w:ascii="宋体" w:hAnsi="宋体" w:eastAsia="宋体" w:cs="宋体"/>
          <w:lang w:eastAsia="zh-CN"/>
        </w:rPr>
        <w:t>）</w:t>
      </w:r>
      <w:r>
        <w:rPr>
          <w:rFonts w:hint="eastAsia" w:ascii="宋体" w:hAnsi="宋体" w:eastAsia="宋体" w:cs="宋体"/>
        </w:rPr>
        <w:t>，可重新取样对不合格项目进行复验，取样数量与初验相同</w:t>
      </w:r>
      <w:r>
        <w:rPr>
          <w:rFonts w:hint="eastAsia" w:ascii="宋体" w:hAnsi="宋体" w:eastAsia="宋体" w:cs="宋体"/>
          <w:lang w:eastAsia="zh-CN"/>
        </w:rPr>
        <w:t>（</w:t>
      </w:r>
      <w:r>
        <w:rPr>
          <w:rFonts w:hint="eastAsia" w:ascii="宋体" w:hAnsi="宋体" w:eastAsia="宋体" w:cs="宋体"/>
        </w:rPr>
        <w:t>氧含量除外</w:t>
      </w:r>
      <w:r>
        <w:rPr>
          <w:rFonts w:hint="eastAsia" w:ascii="宋体" w:hAnsi="宋体" w:eastAsia="宋体" w:cs="宋体"/>
          <w:lang w:eastAsia="zh-CN"/>
        </w:rPr>
        <w:t>）</w:t>
      </w:r>
      <w:r>
        <w:rPr>
          <w:rFonts w:hint="eastAsia" w:ascii="宋体" w:hAnsi="宋体" w:eastAsia="宋体" w:cs="宋体"/>
        </w:rPr>
        <w:t>。复验合格则该批</w:t>
      </w:r>
      <w:r>
        <w:rPr>
          <w:rFonts w:hint="eastAsia" w:ascii="宋体" w:hAnsi="宋体" w:eastAsia="宋体" w:cs="宋体"/>
          <w:lang w:eastAsia="zh-CN"/>
        </w:rPr>
        <w:t>圆钢</w:t>
      </w:r>
      <w:r>
        <w:rPr>
          <w:rFonts w:hint="eastAsia" w:ascii="宋体" w:hAnsi="宋体" w:eastAsia="宋体" w:cs="宋体"/>
        </w:rPr>
        <w:t>判定合格；复验仍不合格，则该批</w:t>
      </w:r>
      <w:r>
        <w:rPr>
          <w:rFonts w:hint="eastAsia" w:ascii="宋体" w:hAnsi="宋体" w:eastAsia="宋体" w:cs="宋体"/>
          <w:lang w:eastAsia="zh-CN"/>
        </w:rPr>
        <w:t>圆钢</w:t>
      </w:r>
      <w:r>
        <w:rPr>
          <w:rFonts w:hint="eastAsia" w:ascii="宋体" w:hAnsi="宋体" w:eastAsia="宋体" w:cs="宋体"/>
        </w:rPr>
        <w:t>应判为不合格。</w:t>
      </w:r>
    </w:p>
    <w:p w14:paraId="63049B49">
      <w:pPr>
        <w:pStyle w:val="47"/>
        <w:numPr>
          <w:ilvl w:val="2"/>
          <w:numId w:val="10"/>
        </w:numPr>
        <w:spacing w:beforeLines="0" w:afterLines="0"/>
        <w:ind w:left="0"/>
        <w:jc w:val="both"/>
        <w:rPr>
          <w:rFonts w:hint="eastAsia" w:ascii="宋体" w:hAnsi="宋体" w:eastAsia="宋体" w:cs="宋体"/>
        </w:rPr>
      </w:pPr>
      <w:r>
        <w:rPr>
          <w:rFonts w:hint="eastAsia" w:ascii="宋体" w:hAnsi="宋体" w:eastAsia="宋体" w:cs="宋体"/>
        </w:rPr>
        <w:t>氧含量不合格时，可在不同</w:t>
      </w:r>
      <w:r>
        <w:rPr>
          <w:rFonts w:hint="eastAsia" w:ascii="宋体" w:hAnsi="宋体" w:eastAsia="宋体" w:cs="宋体"/>
          <w:lang w:eastAsia="zh-CN"/>
        </w:rPr>
        <w:t>圆钢（</w:t>
      </w:r>
      <w:r>
        <w:rPr>
          <w:rFonts w:hint="eastAsia" w:ascii="宋体" w:hAnsi="宋体" w:eastAsia="宋体" w:cs="宋体"/>
        </w:rPr>
        <w:t>坯</w:t>
      </w:r>
      <w:r>
        <w:rPr>
          <w:rFonts w:hint="eastAsia" w:ascii="宋体" w:hAnsi="宋体" w:eastAsia="宋体" w:cs="宋体"/>
          <w:lang w:eastAsia="zh-CN"/>
        </w:rPr>
        <w:t>）</w:t>
      </w:r>
      <w:r>
        <w:rPr>
          <w:rFonts w:hint="eastAsia" w:ascii="宋体" w:hAnsi="宋体" w:eastAsia="宋体" w:cs="宋体"/>
        </w:rPr>
        <w:t>上任意取3个试样进行复验，其检验结果的平均值应不大于</w:t>
      </w:r>
      <w:r>
        <w:rPr>
          <w:rFonts w:hint="eastAsia" w:ascii="宋体" w:hAnsi="宋体" w:eastAsia="宋体" w:cs="宋体"/>
          <w:lang w:eastAsia="zh-CN"/>
        </w:rPr>
        <w:t>本文件</w:t>
      </w:r>
      <w:r>
        <w:rPr>
          <w:rFonts w:hint="eastAsia" w:ascii="宋体" w:hAnsi="宋体" w:eastAsia="宋体" w:cs="宋体"/>
        </w:rPr>
        <w:t>的规定值，其中允许有1个试样超过</w:t>
      </w:r>
      <w:r>
        <w:rPr>
          <w:rFonts w:hint="eastAsia" w:ascii="宋体" w:hAnsi="宋体" w:eastAsia="宋体" w:cs="宋体"/>
          <w:lang w:eastAsia="zh-CN"/>
        </w:rPr>
        <w:t>本文件</w:t>
      </w:r>
      <w:r>
        <w:rPr>
          <w:rFonts w:hint="eastAsia" w:ascii="宋体" w:hAnsi="宋体" w:eastAsia="宋体" w:cs="宋体"/>
        </w:rPr>
        <w:t>规定值，但不应超过</w:t>
      </w:r>
      <w:r>
        <w:rPr>
          <w:rFonts w:hint="eastAsia" w:ascii="宋体" w:hAnsi="宋体" w:eastAsia="宋体" w:cs="宋体"/>
          <w:lang w:eastAsia="zh-CN"/>
        </w:rPr>
        <w:t>本文件</w:t>
      </w:r>
      <w:r>
        <w:rPr>
          <w:rFonts w:hint="eastAsia" w:ascii="宋体" w:hAnsi="宋体" w:eastAsia="宋体" w:cs="宋体"/>
        </w:rPr>
        <w:t>规定值加0.000</w:t>
      </w:r>
      <w:r>
        <w:rPr>
          <w:rFonts w:hint="eastAsia" w:ascii="宋体" w:hAnsi="宋体" w:eastAsia="宋体" w:cs="宋体"/>
          <w:lang w:val="en-US" w:eastAsia="zh-CN"/>
        </w:rPr>
        <w:t xml:space="preserve"> </w:t>
      </w:r>
      <w:r>
        <w:rPr>
          <w:rFonts w:hint="eastAsia" w:ascii="宋体" w:hAnsi="宋体" w:eastAsia="宋体" w:cs="宋体"/>
        </w:rPr>
        <w:t>3%。</w:t>
      </w:r>
    </w:p>
    <w:p w14:paraId="5A4F015B">
      <w:pPr>
        <w:pStyle w:val="47"/>
        <w:numPr>
          <w:ilvl w:val="2"/>
          <w:numId w:val="10"/>
        </w:numPr>
        <w:spacing w:beforeLines="0" w:afterLines="0"/>
        <w:ind w:left="0"/>
        <w:jc w:val="both"/>
        <w:rPr>
          <w:rFonts w:hint="eastAsia" w:ascii="宋体" w:hAnsi="宋体" w:eastAsia="宋体" w:cs="宋体"/>
        </w:rPr>
      </w:pPr>
      <w:r>
        <w:rPr>
          <w:rFonts w:hint="eastAsia" w:ascii="宋体" w:hAnsi="宋体" w:eastAsia="宋体" w:cs="宋体"/>
        </w:rPr>
        <w:t>若初验不合格的试样超过检验试样的一半时，说明该批</w:t>
      </w:r>
      <w:r>
        <w:rPr>
          <w:rFonts w:hint="eastAsia" w:ascii="宋体" w:hAnsi="宋体" w:eastAsia="宋体" w:cs="宋体"/>
          <w:lang w:eastAsia="zh-CN"/>
        </w:rPr>
        <w:t>圆钢</w:t>
      </w:r>
      <w:r>
        <w:rPr>
          <w:rFonts w:hint="eastAsia" w:ascii="宋体" w:hAnsi="宋体" w:eastAsia="宋体" w:cs="宋体"/>
        </w:rPr>
        <w:t>质量较差，则不允许复验，但供方可以重新处理和组批，作为新的一批检查和验收。</w:t>
      </w:r>
    </w:p>
    <w:p w14:paraId="64AE4435">
      <w:pPr>
        <w:pStyle w:val="47"/>
        <w:numPr>
          <w:ilvl w:val="2"/>
          <w:numId w:val="10"/>
        </w:numPr>
        <w:spacing w:beforeLines="0" w:afterLines="0"/>
        <w:ind w:left="0"/>
        <w:jc w:val="both"/>
        <w:rPr>
          <w:rFonts w:hint="eastAsia" w:ascii="宋体" w:hAnsi="宋体" w:eastAsia="宋体" w:cs="宋体"/>
        </w:rPr>
      </w:pPr>
      <w:r>
        <w:rPr>
          <w:rFonts w:hint="eastAsia" w:ascii="宋体" w:hAnsi="宋体" w:eastAsia="宋体" w:cs="宋体"/>
        </w:rPr>
        <w:t>对同一炉</w:t>
      </w:r>
      <w:r>
        <w:rPr>
          <w:rFonts w:hint="eastAsia" w:ascii="宋体" w:hAnsi="宋体" w:eastAsia="宋体" w:cs="宋体"/>
          <w:lang w:eastAsia="zh-CN"/>
        </w:rPr>
        <w:t>圆钢</w:t>
      </w:r>
      <w:r>
        <w:rPr>
          <w:rFonts w:hint="eastAsia" w:ascii="宋体" w:hAnsi="宋体" w:eastAsia="宋体" w:cs="宋体"/>
        </w:rPr>
        <w:t>的低倍和非金属夹杂物，允许以坯代材，以大代小。</w:t>
      </w:r>
    </w:p>
    <w:p w14:paraId="5D97D7BA">
      <w:pPr>
        <w:pStyle w:val="47"/>
        <w:numPr>
          <w:ilvl w:val="1"/>
          <w:numId w:val="10"/>
        </w:numPr>
        <w:spacing w:before="156" w:after="156"/>
        <w:jc w:val="both"/>
        <w:rPr>
          <w:rFonts w:hint="eastAsia"/>
          <w:color w:val="auto"/>
          <w:lang w:eastAsia="zh-CN"/>
        </w:rPr>
      </w:pPr>
      <w:r>
        <w:rPr>
          <w:rFonts w:hint="eastAsia"/>
          <w:color w:val="auto"/>
          <w:lang w:eastAsia="zh-CN"/>
        </w:rPr>
        <w:t>数值修约</w:t>
      </w:r>
    </w:p>
    <w:p w14:paraId="59E99F65">
      <w:pPr>
        <w:pStyle w:val="161"/>
        <w:ind w:firstLine="420"/>
        <w:rPr>
          <w:color w:val="auto"/>
          <w:highlight w:val="none"/>
        </w:rPr>
      </w:pPr>
      <w:r>
        <w:rPr>
          <w:rFonts w:hint="eastAsia" w:ascii="宋体" w:hAnsi="宋体" w:eastAsia="宋体" w:cs="宋体"/>
          <w:lang w:eastAsia="zh-CN"/>
        </w:rPr>
        <w:t>圆钢</w:t>
      </w:r>
      <w:r>
        <w:rPr>
          <w:rFonts w:hint="eastAsia"/>
          <w:color w:val="auto"/>
          <w:highlight w:val="none"/>
          <w:u w:val="none"/>
        </w:rPr>
        <w:t>的数值判定采用修约值比较法，数值修约应符合GB/T 8170的规定。</w:t>
      </w:r>
    </w:p>
    <w:p w14:paraId="537A3E65">
      <w:pPr>
        <w:pStyle w:val="45"/>
        <w:numPr>
          <w:ilvl w:val="0"/>
          <w:numId w:val="10"/>
        </w:numPr>
        <w:spacing w:before="312" w:after="312"/>
        <w:rPr>
          <w:rFonts w:ascii="Times New Roman"/>
          <w:color w:val="auto"/>
        </w:rPr>
      </w:pPr>
      <w:r>
        <w:rPr>
          <w:rFonts w:ascii="Times New Roman"/>
          <w:color w:val="auto"/>
        </w:rPr>
        <w:t>包装、标志及质量证明书</w:t>
      </w:r>
    </w:p>
    <w:p w14:paraId="164BE55C">
      <w:pPr>
        <w:pStyle w:val="47"/>
        <w:keepNext w:val="0"/>
        <w:keepLines w:val="0"/>
        <w:pageBreakBefore w:val="0"/>
        <w:widowControl/>
        <w:numPr>
          <w:ilvl w:val="1"/>
          <w:numId w:val="10"/>
        </w:numPr>
        <w:kinsoku/>
        <w:wordWrap/>
        <w:overflowPunct/>
        <w:topLinePunct w:val="0"/>
        <w:autoSpaceDE/>
        <w:autoSpaceDN/>
        <w:bidi w:val="0"/>
        <w:adjustRightInd/>
        <w:snapToGrid/>
        <w:spacing w:beforeLines="0" w:afterLines="0"/>
        <w:jc w:val="both"/>
        <w:textAlignment w:val="auto"/>
        <w:rPr>
          <w:rFonts w:ascii="Times New Roman"/>
          <w:color w:val="auto"/>
          <w:szCs w:val="20"/>
        </w:rPr>
      </w:pPr>
      <w:r>
        <w:rPr>
          <w:rFonts w:hint="eastAsia" w:ascii="宋体" w:hAnsi="宋体" w:eastAsia="宋体" w:cs="宋体"/>
          <w:lang w:eastAsia="zh-CN"/>
        </w:rPr>
        <w:t>圆钢</w:t>
      </w:r>
      <w:r>
        <w:rPr>
          <w:rFonts w:hint="eastAsia" w:ascii="宋体" w:hAnsi="宋体" w:eastAsia="宋体" w:cs="宋体"/>
          <w:color w:val="auto"/>
        </w:rPr>
        <w:t>的包装</w:t>
      </w:r>
      <w:r>
        <w:rPr>
          <w:rFonts w:hint="eastAsia" w:ascii="宋体" w:hAnsi="宋体" w:eastAsia="宋体" w:cs="宋体"/>
          <w:color w:val="auto"/>
          <w:lang w:eastAsia="zh-CN"/>
        </w:rPr>
        <w:t>、标志及</w:t>
      </w:r>
      <w:r>
        <w:rPr>
          <w:rFonts w:hint="eastAsia" w:ascii="宋体" w:hAnsi="宋体" w:eastAsia="宋体" w:cs="宋体"/>
          <w:color w:val="auto"/>
        </w:rPr>
        <w:t>质量证明书</w:t>
      </w:r>
      <w:r>
        <w:rPr>
          <w:rFonts w:hint="eastAsia" w:ascii="宋体" w:hAnsi="宋体" w:eastAsia="宋体" w:cs="宋体"/>
          <w:color w:val="auto"/>
          <w:lang w:eastAsia="zh-CN"/>
        </w:rPr>
        <w:t>应符合</w:t>
      </w:r>
      <w:r>
        <w:rPr>
          <w:rFonts w:hint="eastAsia" w:ascii="宋体" w:hAnsi="宋体" w:eastAsia="宋体" w:cs="宋体"/>
          <w:color w:val="auto"/>
        </w:rPr>
        <w:t>GB/T 2101的规定。</w:t>
      </w:r>
    </w:p>
    <w:p w14:paraId="20F2D6FF">
      <w:pPr>
        <w:pStyle w:val="47"/>
        <w:keepNext w:val="0"/>
        <w:keepLines w:val="0"/>
        <w:pageBreakBefore w:val="0"/>
        <w:widowControl/>
        <w:numPr>
          <w:ilvl w:val="1"/>
          <w:numId w:val="0"/>
        </w:numPr>
        <w:kinsoku/>
        <w:wordWrap/>
        <w:overflowPunct/>
        <w:topLinePunct w:val="0"/>
        <w:autoSpaceDE/>
        <w:autoSpaceDN/>
        <w:bidi w:val="0"/>
        <w:adjustRightInd/>
        <w:snapToGrid/>
        <w:spacing w:beforeLines="0" w:afterLines="0"/>
        <w:ind w:leftChars="0"/>
        <w:jc w:val="both"/>
        <w:textAlignment w:val="auto"/>
        <w:rPr>
          <w:rFonts w:ascii="Times New Roman"/>
          <w:szCs w:val="20"/>
        </w:rPr>
      </w:pPr>
      <w:r>
        <w:rPr>
          <w:rFonts w:hint="eastAsia" w:ascii="黑体" w:hAnsi="黑体" w:eastAsia="黑体" w:cs="黑体"/>
          <w:color w:val="auto"/>
        </w:rPr>
        <mc:AlternateContent>
          <mc:Choice Requires="wps">
            <w:drawing>
              <wp:anchor distT="0" distB="0" distL="114300" distR="114300" simplePos="0" relativeHeight="251661312" behindDoc="0" locked="0" layoutInCell="1" allowOverlap="1">
                <wp:simplePos x="0" y="0"/>
                <wp:positionH relativeFrom="column">
                  <wp:posOffset>2066925</wp:posOffset>
                </wp:positionH>
                <wp:positionV relativeFrom="paragraph">
                  <wp:posOffset>594995</wp:posOffset>
                </wp:positionV>
                <wp:extent cx="1924050" cy="0"/>
                <wp:effectExtent l="0" t="0" r="0" b="0"/>
                <wp:wrapNone/>
                <wp:docPr id="2" name="AutoShape 3"/>
                <wp:cNvGraphicFramePr/>
                <a:graphic xmlns:a="http://schemas.openxmlformats.org/drawingml/2006/main">
                  <a:graphicData uri="http://schemas.microsoft.com/office/word/2010/wordprocessingShape">
                    <wps:wsp>
                      <wps:cNvCnPr>
                        <a:cxnSpLocks noChangeShapeType="1"/>
                      </wps:cNvCnPr>
                      <wps:spPr bwMode="auto">
                        <a:xfrm>
                          <a:off x="2967355" y="6791960"/>
                          <a:ext cx="1924050" cy="0"/>
                        </a:xfrm>
                        <a:prstGeom prst="straightConnector1">
                          <a:avLst/>
                        </a:prstGeom>
                        <a:noFill/>
                        <a:ln w="9525">
                          <a:solidFill>
                            <a:srgbClr val="000000"/>
                          </a:solidFill>
                          <a:round/>
                        </a:ln>
                      </wps:spPr>
                      <wps:bodyPr/>
                    </wps:wsp>
                  </a:graphicData>
                </a:graphic>
              </wp:anchor>
            </w:drawing>
          </mc:Choice>
          <mc:Fallback>
            <w:pict>
              <v:shape id="AutoShape 3" o:spid="_x0000_s1026" o:spt="32" type="#_x0000_t32" style="position:absolute;left:0pt;margin-left:162.75pt;margin-top:46.85pt;height:0pt;width:151.5pt;z-index:251661312;mso-width-relative:page;mso-height-relative:page;" filled="f" stroked="t" coordsize="21600,21600" o:gfxdata="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K6ridcAAAAJ&#10;AQAADwAAAAAAAAABACAAAAAiAAAAZHJzL2Rvd25yZXYueG1sUEsBAhQAFAAAAAgAh07iQIU1U4Dk&#10;AQAAvgMAAA4AAAAAAAAAAQAgAAAAJgEAAGRycy9lMm9Eb2MueG1sUEsFBgAAAAAGAAYAWQEAAHwF&#10;AAAAAA==&#10;">
                <v:fill on="f" focussize="0,0"/>
                <v:stroke color="#000000" joinstyle="round"/>
                <v:imagedata o:title=""/>
                <o:lock v:ext="edit" aspectratio="f"/>
              </v:shape>
            </w:pict>
          </mc:Fallback>
        </mc:AlternateContent>
      </w:r>
      <w:r>
        <w:rPr>
          <w:rFonts w:hint="eastAsia" w:ascii="黑体" w:hAnsi="黑体" w:eastAsia="黑体" w:cs="黑体"/>
          <w:color w:val="auto"/>
          <w:lang w:val="en-US" w:eastAsia="zh-CN"/>
        </w:rPr>
        <w:t>9.2</w:t>
      </w:r>
      <w:r>
        <w:rPr>
          <w:rFonts w:hint="eastAsia" w:ascii="宋体" w:hAnsi="宋体" w:eastAsia="宋体" w:cs="宋体"/>
          <w:color w:val="auto"/>
          <w:lang w:val="en-US" w:eastAsia="zh-CN"/>
        </w:rPr>
        <w:t xml:space="preserve">  </w:t>
      </w:r>
      <w:r>
        <w:rPr>
          <w:rFonts w:hint="eastAsia" w:ascii="宋体" w:hAnsi="宋体" w:eastAsia="宋体" w:cs="宋体"/>
          <w:color w:val="auto"/>
          <w:lang w:eastAsia="zh-CN"/>
        </w:rPr>
        <w:t>根据需方要求，经供需双方协商，并在合同中注明，可提出色标要求。</w:t>
      </w:r>
      <w:r>
        <w:rPr>
          <w:rFonts w:ascii="Times New Roman"/>
          <w:szCs w:val="20"/>
        </w:rPr>
        <mc:AlternateContent>
          <mc:Choice Requires="wps">
            <w:drawing>
              <wp:anchor distT="0" distB="0" distL="114300" distR="114300" simplePos="0" relativeHeight="251660288" behindDoc="0" locked="0" layoutInCell="1" allowOverlap="1">
                <wp:simplePos x="0" y="0"/>
                <wp:positionH relativeFrom="column">
                  <wp:posOffset>2066925</wp:posOffset>
                </wp:positionH>
                <wp:positionV relativeFrom="paragraph">
                  <wp:posOffset>594995</wp:posOffset>
                </wp:positionV>
                <wp:extent cx="1924050" cy="0"/>
                <wp:effectExtent l="0" t="4445" r="0" b="5080"/>
                <wp:wrapNone/>
                <wp:docPr id="12" name="AutoShape 3"/>
                <wp:cNvGraphicFramePr/>
                <a:graphic xmlns:a="http://schemas.openxmlformats.org/drawingml/2006/main">
                  <a:graphicData uri="http://schemas.microsoft.com/office/word/2010/wordprocessingShape">
                    <wps:wsp>
                      <wps:cNvCnPr>
                        <a:cxnSpLocks noChangeShapeType="1"/>
                      </wps:cNvCnPr>
                      <wps:spPr bwMode="auto">
                        <a:xfrm>
                          <a:off x="2967355" y="6791960"/>
                          <a:ext cx="1924050" cy="0"/>
                        </a:xfrm>
                        <a:prstGeom prst="straightConnector1">
                          <a:avLst/>
                        </a:prstGeom>
                        <a:noFill/>
                        <a:ln w="9525">
                          <a:solidFill>
                            <a:srgbClr val="000000"/>
                          </a:solidFill>
                          <a:round/>
                        </a:ln>
                      </wps:spPr>
                      <wps:bodyPr/>
                    </wps:wsp>
                  </a:graphicData>
                </a:graphic>
              </wp:anchor>
            </w:drawing>
          </mc:Choice>
          <mc:Fallback>
            <w:pict>
              <v:shape id="AutoShape 3" o:spid="_x0000_s1026" o:spt="32" type="#_x0000_t32" style="position:absolute;left:0pt;margin-left:162.75pt;margin-top:46.85pt;height:0pt;width:151.5pt;z-index:251660288;mso-width-relative:page;mso-height-relative:page;" filled="f" stroked="t" coordsize="21600,21600" o:gfxdata="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iuq4nXAAAA&#10;CQEAAA8AAAAAAAAAAQAgAAAAIgAAAGRycy9kb3ducmV2LnhtbFBLAQIUABQAAAAIAIdO4kDFY7z6&#10;5QEAAL8DAAAOAAAAAAAAAAEAIAAAACYBAABkcnMvZTJvRG9jLnhtbFBLBQYAAAAABgAGAFkBAAB9&#10;BQAAAAA=&#10;">
                <v:fill on="f" focussize="0,0"/>
                <v:stroke color="#000000" joinstyle="round"/>
                <v:imagedata o:title=""/>
                <o:lock v:ext="edit" aspectratio="f"/>
              </v:shape>
            </w:pict>
          </mc:Fallback>
        </mc:AlternateContent>
      </w:r>
    </w:p>
    <w:sectPr>
      <w:headerReference r:id="rId12" w:type="default"/>
      <w:footerReference r:id="rId13" w:type="default"/>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273E1">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201CD">
    <w:pPr>
      <w:pStyle w:val="92"/>
    </w:pPr>
    <w:r>
      <w:fldChar w:fldCharType="begin"/>
    </w:r>
    <w:r>
      <w:instrText xml:space="preserve"> PAGE  \* MERGEFORMAT </w:instrText>
    </w:r>
    <w:r>
      <w:fldChar w:fldCharType="separate"/>
    </w:r>
    <w: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1861434"/>
    </w:sdtPr>
    <w:sdtContent>
      <w:p w14:paraId="615612FA">
        <w:pPr>
          <w:pStyle w:val="16"/>
          <w:jc w:val="left"/>
        </w:pPr>
        <w:r>
          <w:fldChar w:fldCharType="begin"/>
        </w:r>
        <w:r>
          <w:instrText xml:space="preserve">PAGE   \* MERGEFORMAT</w:instrText>
        </w:r>
        <w:r>
          <w:fldChar w:fldCharType="separate"/>
        </w:r>
        <w:r>
          <w:rPr>
            <w:lang w:val="zh-CN"/>
          </w:rPr>
          <w:t>8</w:t>
        </w:r>
        <w:r>
          <w:fldChar w:fldCharType="end"/>
        </w:r>
      </w:p>
    </w:sdtContent>
  </w:sdt>
  <w:p w14:paraId="37C9C24C">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83714">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098E7">
    <w:pPr>
      <w:pStyle w:val="92"/>
    </w:pPr>
    <w:r>
      <w:fldChar w:fldCharType="begin"/>
    </w:r>
    <w:r>
      <w:instrText xml:space="preserve"> PAGE  \* MERGEFORMAT </w:instrText>
    </w:r>
    <w:r>
      <w:fldChar w:fldCharType="separate"/>
    </w:r>
    <w: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D688C">
    <w:pPr>
      <w:pStyle w:val="17"/>
      <w:wordWrap w:val="0"/>
      <w:jc w:val="right"/>
      <w:rPr>
        <w:rFonts w:ascii="黑体" w:eastAsia="黑体"/>
        <w:b/>
        <w:sz w:val="21"/>
        <w:szCs w:val="21"/>
      </w:rPr>
    </w:pPr>
    <w:r>
      <w:rPr>
        <w:rFonts w:ascii="黑体" w:eastAsia="黑体"/>
        <w:i/>
        <w:sz w:val="21"/>
        <w:szCs w:val="21"/>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A17A8">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CD3BB">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57C6E">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BEF27">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D0240">
    <w:pPr>
      <w:pStyle w:val="17"/>
      <w:jc w:val="right"/>
      <w:rPr>
        <w:rFonts w:ascii="黑体" w:eastAsia="黑体" w:cs="黑体"/>
        <w:b/>
        <w:bCs/>
        <w:sz w:val="21"/>
        <w:szCs w:val="21"/>
      </w:rPr>
    </w:pPr>
    <w:r>
      <w:rPr>
        <w:rFonts w:hint="eastAsia" w:ascii="黑体" w:eastAsia="黑体" w:cs="黑体"/>
        <w:b/>
        <w:bCs/>
        <w:sz w:val="21"/>
        <w:szCs w:val="21"/>
      </w:rPr>
      <w:t>T/SSEA</w:t>
    </w:r>
    <w:r>
      <w:rPr>
        <w:rFonts w:hint="eastAsia" w:ascii="黑体" w:cs="黑体"/>
        <w:b/>
        <w:bCs/>
        <w:sz w:val="21"/>
        <w:szCs w:val="21"/>
      </w:rPr>
      <w:t xml:space="preserve"> XXXX</w:t>
    </w:r>
    <w:r>
      <w:rPr>
        <w:rFonts w:hint="eastAsia" w:ascii="黑体" w:eastAsia="黑体" w:cs="黑体"/>
        <w:b/>
        <w:bCs/>
        <w:sz w:val="21"/>
        <w:szCs w:val="21"/>
      </w:rPr>
      <w:t>-</w:t>
    </w:r>
    <w:r>
      <w:rPr>
        <w:rFonts w:ascii="黑体" w:eastAsia="黑体" w:cs="黑体"/>
        <w:b/>
        <w:bCs/>
        <w:sz w:val="21"/>
        <w:szCs w:val="21"/>
      </w:rPr>
      <w:t>XXXX</w:t>
    </w:r>
  </w:p>
  <w:p w14:paraId="2C6E790C">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E990A9"/>
    <w:multiLevelType w:val="singleLevel"/>
    <w:tmpl w:val="B8E990A9"/>
    <w:lvl w:ilvl="0" w:tentative="0">
      <w:start w:val="1"/>
      <w:numFmt w:val="lowerLetter"/>
      <w:lvlText w:val="%1）"/>
      <w:lvlJc w:val="left"/>
    </w:lvl>
  </w:abstractNum>
  <w:abstractNum w:abstractNumId="1">
    <w:nsid w:val="F809DE5F"/>
    <w:multiLevelType w:val="multilevel"/>
    <w:tmpl w:val="F809DE5F"/>
    <w:lvl w:ilvl="0" w:tentative="0">
      <w:start w:val="1"/>
      <w:numFmt w:val="decimal"/>
      <w:suff w:val="nothing"/>
      <w:lvlText w:val="%1"/>
      <w:lvlJc w:val="left"/>
      <w:pPr>
        <w:tabs>
          <w:tab w:val="left" w:pos="0"/>
        </w:tabs>
        <w:ind w:left="0" w:firstLine="0"/>
      </w:pPr>
      <w:rPr>
        <w:rFonts w:hint="default" w:ascii="黑体" w:hAnsi="黑体" w:eastAsia="黑体" w:cs="黑体"/>
        <w:b w:val="0"/>
        <w:i w:val="0"/>
        <w:sz w:val="21"/>
        <w:szCs w:val="21"/>
      </w:rPr>
    </w:lvl>
    <w:lvl w:ilvl="1" w:tentative="0">
      <w:start w:val="1"/>
      <w:numFmt w:val="decimal"/>
      <w:pStyle w:val="47"/>
      <w:suff w:val="nothing"/>
      <w:lvlText w:val="%1.%2　"/>
      <w:lvlJc w:val="left"/>
      <w:pPr>
        <w:tabs>
          <w:tab w:val="left" w:pos="0"/>
        </w:tabs>
        <w:ind w:left="567" w:firstLine="0"/>
      </w:pPr>
      <w:rPr>
        <w:rFonts w:hint="default"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0"/>
      <w:suff w:val="nothing"/>
      <w:lvlText w:val="%1.%2.%3　"/>
      <w:lvlJc w:val="left"/>
      <w:pPr>
        <w:ind w:left="709" w:firstLine="0"/>
      </w:pPr>
      <w:rPr>
        <w:rFonts w:hint="default" w:ascii="黑体" w:hAnsi="Times New Roman" w:eastAsia="黑体"/>
        <w:b w:val="0"/>
        <w:i w:val="0"/>
        <w:sz w:val="21"/>
        <w:highlight w:val="none"/>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14943371"/>
    <w:multiLevelType w:val="multilevel"/>
    <w:tmpl w:val="14943371"/>
    <w:lvl w:ilvl="0" w:tentative="0">
      <w:start w:val="1"/>
      <w:numFmt w:val="lowerLetter"/>
      <w:lvlText w:val="%1)"/>
      <w:lvlJc w:val="left"/>
      <w:pPr>
        <w:tabs>
          <w:tab w:val="left" w:pos="839"/>
        </w:tabs>
        <w:ind w:left="839" w:hanging="419"/>
      </w:pPr>
      <w:rPr>
        <w:rFonts w:hint="eastAsia" w:ascii="宋体" w:hAnsi="宋体" w:eastAsia="宋体" w:cs="Times New Roman"/>
        <w:b w:val="0"/>
        <w:bCs w:val="0"/>
        <w:i w:val="0"/>
        <w:iCs w:val="0"/>
        <w:sz w:val="21"/>
        <w:szCs w:val="21"/>
      </w:rPr>
    </w:lvl>
    <w:lvl w:ilvl="1" w:tentative="0">
      <w:start w:val="1"/>
      <w:numFmt w:val="decimal"/>
      <w:lvlText w:val="%2)"/>
      <w:lvlJc w:val="left"/>
      <w:pPr>
        <w:tabs>
          <w:tab w:val="left" w:pos="1259"/>
        </w:tabs>
        <w:ind w:left="1259" w:hanging="420"/>
      </w:pPr>
      <w:rPr>
        <w:rFonts w:hint="eastAsia" w:ascii="宋体" w:hAnsi="宋体" w:eastAsia="宋体" w:cs="Times New Roman"/>
        <w:b w:val="0"/>
        <w:bCs w:val="0"/>
        <w:i w:val="0"/>
        <w:iCs w:val="0"/>
        <w:sz w:val="20"/>
        <w:szCs w:val="20"/>
      </w:rPr>
    </w:lvl>
    <w:lvl w:ilvl="2" w:tentative="0">
      <w:start w:val="1"/>
      <w:numFmt w:val="decimal"/>
      <w:lvlText w:val="(%3)"/>
      <w:lvlJc w:val="left"/>
      <w:pPr>
        <w:tabs>
          <w:tab w:val="left" w:pos="0"/>
        </w:tabs>
        <w:ind w:left="1678" w:hanging="419"/>
      </w:pPr>
      <w:rPr>
        <w:rFonts w:hint="eastAsia" w:ascii="宋体" w:hAnsi="宋体" w:eastAsia="宋体" w:cs="Times New Roman"/>
        <w:b w:val="0"/>
        <w:bCs w:val="0"/>
        <w:i w:val="0"/>
        <w:iCs w:val="0"/>
        <w:sz w:val="21"/>
        <w:szCs w:val="21"/>
      </w:rPr>
    </w:lvl>
    <w:lvl w:ilvl="3" w:tentative="0">
      <w:start w:val="1"/>
      <w:numFmt w:val="decimal"/>
      <w:lvlText w:val="%4."/>
      <w:lvlJc w:val="left"/>
      <w:pPr>
        <w:tabs>
          <w:tab w:val="left" w:pos="2098"/>
        </w:tabs>
        <w:ind w:left="2098" w:hanging="420"/>
      </w:pPr>
      <w:rPr>
        <w:rFonts w:hint="eastAsia" w:cs="Times New Roman"/>
      </w:rPr>
    </w:lvl>
    <w:lvl w:ilvl="4" w:tentative="0">
      <w:start w:val="1"/>
      <w:numFmt w:val="lowerLetter"/>
      <w:lvlText w:val="%5)"/>
      <w:lvlJc w:val="left"/>
      <w:pPr>
        <w:tabs>
          <w:tab w:val="left" w:pos="2517"/>
        </w:tabs>
        <w:ind w:left="2517" w:hanging="419"/>
      </w:pPr>
      <w:rPr>
        <w:rFonts w:hint="eastAsia" w:cs="Times New Roman"/>
      </w:rPr>
    </w:lvl>
    <w:lvl w:ilvl="5" w:tentative="0">
      <w:start w:val="1"/>
      <w:numFmt w:val="lowerRoman"/>
      <w:lvlText w:val="%6."/>
      <w:lvlJc w:val="right"/>
      <w:pPr>
        <w:tabs>
          <w:tab w:val="left" w:pos="2942"/>
        </w:tabs>
        <w:ind w:left="2937" w:hanging="420"/>
      </w:pPr>
      <w:rPr>
        <w:rFonts w:hint="eastAsia" w:cs="Times New Roman"/>
      </w:rPr>
    </w:lvl>
    <w:lvl w:ilvl="6" w:tentative="0">
      <w:start w:val="1"/>
      <w:numFmt w:val="decimal"/>
      <w:lvlText w:val="%7."/>
      <w:lvlJc w:val="left"/>
      <w:pPr>
        <w:tabs>
          <w:tab w:val="left" w:pos="3362"/>
        </w:tabs>
        <w:ind w:left="3356" w:hanging="414"/>
      </w:pPr>
      <w:rPr>
        <w:rFonts w:hint="eastAsia" w:cs="Times New Roman"/>
      </w:rPr>
    </w:lvl>
    <w:lvl w:ilvl="7" w:tentative="0">
      <w:start w:val="1"/>
      <w:numFmt w:val="lowerLetter"/>
      <w:lvlText w:val="%8)"/>
      <w:lvlJc w:val="left"/>
      <w:pPr>
        <w:tabs>
          <w:tab w:val="left" w:pos="3781"/>
        </w:tabs>
        <w:ind w:left="3776" w:hanging="414"/>
      </w:pPr>
      <w:rPr>
        <w:rFonts w:hint="eastAsia" w:cs="Times New Roman"/>
      </w:rPr>
    </w:lvl>
    <w:lvl w:ilvl="8" w:tentative="0">
      <w:start w:val="1"/>
      <w:numFmt w:val="lowerRoman"/>
      <w:lvlText w:val="%9."/>
      <w:lvlJc w:val="right"/>
      <w:pPr>
        <w:tabs>
          <w:tab w:val="left" w:pos="4201"/>
        </w:tabs>
        <w:ind w:left="4201" w:hanging="420"/>
      </w:pPr>
      <w:rPr>
        <w:rFonts w:hint="eastAsia" w:cs="Times New Roman"/>
      </w:rPr>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4536" w:firstLine="0"/>
      </w:pPr>
      <w:rPr>
        <w:rFonts w:hint="default" w:ascii="黑体" w:hAnsi="Times New Roman" w:eastAsia="黑体"/>
        <w:b w:val="0"/>
        <w:i w:val="0"/>
        <w:sz w:val="21"/>
        <w:highlight w:val="none"/>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C7AD96B"/>
    <w:multiLevelType w:val="singleLevel"/>
    <w:tmpl w:val="2C7AD96B"/>
    <w:lvl w:ilvl="0" w:tentative="0">
      <w:start w:val="1"/>
      <w:numFmt w:val="lowerLetter"/>
      <w:suff w:val="space"/>
      <w:lvlText w:val="%1）"/>
      <w:lvlJc w:val="left"/>
      <w:pPr>
        <w:ind w:left="206"/>
      </w:pPr>
    </w:lvl>
  </w:abstractNum>
  <w:abstractNum w:abstractNumId="5">
    <w:nsid w:val="44C50F90"/>
    <w:multiLevelType w:val="multilevel"/>
    <w:tmpl w:val="44C50F90"/>
    <w:lvl w:ilvl="0" w:tentative="0">
      <w:start w:val="1"/>
      <w:numFmt w:val="lowerLetter"/>
      <w:pStyle w:val="162"/>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9D6BDC6"/>
    <w:multiLevelType w:val="singleLevel"/>
    <w:tmpl w:val="49D6BDC6"/>
    <w:lvl w:ilvl="0" w:tentative="0">
      <w:start w:val="1"/>
      <w:numFmt w:val="lowerLetter"/>
      <w:suff w:val="space"/>
      <w:lvlText w:val="%1)"/>
      <w:lvlJc w:val="left"/>
    </w:lvl>
  </w:abstractNum>
  <w:abstractNum w:abstractNumId="7">
    <w:nsid w:val="573FB2EC"/>
    <w:multiLevelType w:val="singleLevel"/>
    <w:tmpl w:val="573FB2EC"/>
    <w:lvl w:ilvl="0" w:tentative="0">
      <w:start w:val="1"/>
      <w:numFmt w:val="lowerLetter"/>
      <w:lvlText w:val="%1）"/>
      <w:lvlJc w:val="left"/>
      <w:rPr>
        <w:rFonts w:hint="default" w:ascii="宋体" w:hAnsi="宋体" w:eastAsia="宋体" w:cs="宋体"/>
      </w:rPr>
    </w:lvl>
  </w:abstractNum>
  <w:abstractNum w:abstractNumId="8">
    <w:nsid w:val="646260FA"/>
    <w:multiLevelType w:val="multilevel"/>
    <w:tmpl w:val="646260FA"/>
    <w:lvl w:ilvl="0" w:tentative="0">
      <w:start w:val="1"/>
      <w:numFmt w:val="decimal"/>
      <w:pStyle w:val="77"/>
      <w:suff w:val="nothing"/>
      <w:lvlText w:val="表%1　"/>
      <w:lvlJc w:val="left"/>
      <w:pPr>
        <w:ind w:left="3828"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6F21F56"/>
    <w:multiLevelType w:val="multilevel"/>
    <w:tmpl w:val="66F21F5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0">
    <w:nsid w:val="6958AC42"/>
    <w:multiLevelType w:val="singleLevel"/>
    <w:tmpl w:val="6958AC42"/>
    <w:lvl w:ilvl="0" w:tentative="0">
      <w:start w:val="1"/>
      <w:numFmt w:val="lowerLetter"/>
      <w:suff w:val="space"/>
      <w:lvlText w:val="%1）"/>
      <w:lvlJc w:val="left"/>
    </w:lvl>
  </w:abstractNum>
  <w:abstractNum w:abstractNumId="1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156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60"/>
      <w:suff w:val="nothing"/>
      <w:lvlText w:val="%1%2.%3.%4　"/>
      <w:lvlJc w:val="left"/>
      <w:pPr>
        <w:ind w:left="0" w:firstLine="0"/>
      </w:pPr>
      <w:rPr>
        <w:rFonts w:hint="eastAsia" w:ascii="黑体" w:eastAsia="黑体"/>
        <w:b w:val="0"/>
        <w:i w:val="0"/>
        <w:strike w:val="0"/>
        <w:color w:val="auto"/>
        <w:sz w:val="21"/>
      </w:rPr>
    </w:lvl>
    <w:lvl w:ilvl="4" w:tentative="0">
      <w:start w:val="1"/>
      <w:numFmt w:val="decimal"/>
      <w:pStyle w:val="164"/>
      <w:suff w:val="nothing"/>
      <w:lvlText w:val="%1%2.%3.%4.%5　"/>
      <w:lvlJc w:val="left"/>
      <w:pPr>
        <w:ind w:left="1277"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9"/>
  </w:num>
  <w:num w:numId="2">
    <w:abstractNumId w:val="1"/>
  </w:num>
  <w:num w:numId="3">
    <w:abstractNumId w:val="8"/>
  </w:num>
  <w:num w:numId="4">
    <w:abstractNumId w:val="11"/>
  </w:num>
  <w:num w:numId="5">
    <w:abstractNumId w:val="5"/>
  </w:num>
  <w:num w:numId="6">
    <w:abstractNumId w:val="3"/>
  </w:num>
  <w:num w:numId="7">
    <w:abstractNumId w:val="2"/>
  </w:num>
  <w:num w:numId="8">
    <w:abstractNumId w:val="6"/>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7"/>
    <w:rsid w:val="00000244"/>
    <w:rsid w:val="00000411"/>
    <w:rsid w:val="0000185F"/>
    <w:rsid w:val="00004F27"/>
    <w:rsid w:val="0000586F"/>
    <w:rsid w:val="00005D79"/>
    <w:rsid w:val="00007340"/>
    <w:rsid w:val="000106A3"/>
    <w:rsid w:val="000120F0"/>
    <w:rsid w:val="00013D86"/>
    <w:rsid w:val="00013E02"/>
    <w:rsid w:val="00014FCB"/>
    <w:rsid w:val="00017E7B"/>
    <w:rsid w:val="00020414"/>
    <w:rsid w:val="0002143C"/>
    <w:rsid w:val="00022016"/>
    <w:rsid w:val="0002324C"/>
    <w:rsid w:val="000238EC"/>
    <w:rsid w:val="00025A65"/>
    <w:rsid w:val="000267B2"/>
    <w:rsid w:val="00026C31"/>
    <w:rsid w:val="00027280"/>
    <w:rsid w:val="000306E3"/>
    <w:rsid w:val="000320A7"/>
    <w:rsid w:val="00033E3D"/>
    <w:rsid w:val="00035925"/>
    <w:rsid w:val="000366F4"/>
    <w:rsid w:val="00037DAC"/>
    <w:rsid w:val="00041127"/>
    <w:rsid w:val="00043E47"/>
    <w:rsid w:val="00045C9B"/>
    <w:rsid w:val="000466F7"/>
    <w:rsid w:val="000639E9"/>
    <w:rsid w:val="00063E76"/>
    <w:rsid w:val="00067CDF"/>
    <w:rsid w:val="0007275D"/>
    <w:rsid w:val="00074FBE"/>
    <w:rsid w:val="000772BB"/>
    <w:rsid w:val="00077E45"/>
    <w:rsid w:val="000818DD"/>
    <w:rsid w:val="00083A09"/>
    <w:rsid w:val="0008553D"/>
    <w:rsid w:val="00086717"/>
    <w:rsid w:val="00087148"/>
    <w:rsid w:val="0009005E"/>
    <w:rsid w:val="00090E08"/>
    <w:rsid w:val="00092857"/>
    <w:rsid w:val="00094BD2"/>
    <w:rsid w:val="000A01C1"/>
    <w:rsid w:val="000A20A9"/>
    <w:rsid w:val="000A48B1"/>
    <w:rsid w:val="000A5495"/>
    <w:rsid w:val="000A7E11"/>
    <w:rsid w:val="000B3143"/>
    <w:rsid w:val="000C30C7"/>
    <w:rsid w:val="000C6B05"/>
    <w:rsid w:val="000C6DD6"/>
    <w:rsid w:val="000C73D4"/>
    <w:rsid w:val="000D03F1"/>
    <w:rsid w:val="000D114F"/>
    <w:rsid w:val="000D3D4C"/>
    <w:rsid w:val="000D4406"/>
    <w:rsid w:val="000D4505"/>
    <w:rsid w:val="000D4F51"/>
    <w:rsid w:val="000D652B"/>
    <w:rsid w:val="000D718B"/>
    <w:rsid w:val="000E0C46"/>
    <w:rsid w:val="000E3EC7"/>
    <w:rsid w:val="000E4C8D"/>
    <w:rsid w:val="000F030C"/>
    <w:rsid w:val="000F04B4"/>
    <w:rsid w:val="000F129C"/>
    <w:rsid w:val="000F1619"/>
    <w:rsid w:val="000F6ED9"/>
    <w:rsid w:val="000F7DED"/>
    <w:rsid w:val="00100288"/>
    <w:rsid w:val="00100F07"/>
    <w:rsid w:val="0010159F"/>
    <w:rsid w:val="001056DE"/>
    <w:rsid w:val="0010656B"/>
    <w:rsid w:val="00111863"/>
    <w:rsid w:val="001124C0"/>
    <w:rsid w:val="00115EF9"/>
    <w:rsid w:val="00117D23"/>
    <w:rsid w:val="001241EE"/>
    <w:rsid w:val="00125108"/>
    <w:rsid w:val="00127802"/>
    <w:rsid w:val="001278EF"/>
    <w:rsid w:val="00130087"/>
    <w:rsid w:val="001312F5"/>
    <w:rsid w:val="0013175F"/>
    <w:rsid w:val="00134999"/>
    <w:rsid w:val="001401A3"/>
    <w:rsid w:val="00143F81"/>
    <w:rsid w:val="001512B4"/>
    <w:rsid w:val="00152179"/>
    <w:rsid w:val="00154746"/>
    <w:rsid w:val="00154A8E"/>
    <w:rsid w:val="00156D41"/>
    <w:rsid w:val="00160652"/>
    <w:rsid w:val="001620A5"/>
    <w:rsid w:val="00164E53"/>
    <w:rsid w:val="0016699D"/>
    <w:rsid w:val="001701E9"/>
    <w:rsid w:val="00171E0B"/>
    <w:rsid w:val="0017259F"/>
    <w:rsid w:val="00172A27"/>
    <w:rsid w:val="00172C54"/>
    <w:rsid w:val="00175159"/>
    <w:rsid w:val="00176208"/>
    <w:rsid w:val="0017711B"/>
    <w:rsid w:val="0018211B"/>
    <w:rsid w:val="001840D3"/>
    <w:rsid w:val="00187A9A"/>
    <w:rsid w:val="001900F8"/>
    <w:rsid w:val="0019112B"/>
    <w:rsid w:val="00191258"/>
    <w:rsid w:val="00192680"/>
    <w:rsid w:val="00193037"/>
    <w:rsid w:val="00193A2C"/>
    <w:rsid w:val="00197D88"/>
    <w:rsid w:val="001A01D4"/>
    <w:rsid w:val="001A288E"/>
    <w:rsid w:val="001A32EE"/>
    <w:rsid w:val="001A6E8F"/>
    <w:rsid w:val="001B1BCA"/>
    <w:rsid w:val="001B517E"/>
    <w:rsid w:val="001B5E5F"/>
    <w:rsid w:val="001B6DC2"/>
    <w:rsid w:val="001C149C"/>
    <w:rsid w:val="001C21AC"/>
    <w:rsid w:val="001C47BA"/>
    <w:rsid w:val="001C59EA"/>
    <w:rsid w:val="001D3695"/>
    <w:rsid w:val="001D406C"/>
    <w:rsid w:val="001D41EE"/>
    <w:rsid w:val="001D4EC2"/>
    <w:rsid w:val="001E0380"/>
    <w:rsid w:val="001E13B1"/>
    <w:rsid w:val="001E55B7"/>
    <w:rsid w:val="001E69DB"/>
    <w:rsid w:val="001F3A19"/>
    <w:rsid w:val="001F3FBF"/>
    <w:rsid w:val="002002E4"/>
    <w:rsid w:val="002046F0"/>
    <w:rsid w:val="002074AF"/>
    <w:rsid w:val="0022046A"/>
    <w:rsid w:val="002242CD"/>
    <w:rsid w:val="00227CCD"/>
    <w:rsid w:val="00231142"/>
    <w:rsid w:val="00231970"/>
    <w:rsid w:val="00234467"/>
    <w:rsid w:val="00237D8D"/>
    <w:rsid w:val="00240622"/>
    <w:rsid w:val="00240FE6"/>
    <w:rsid w:val="00241DA2"/>
    <w:rsid w:val="00245B95"/>
    <w:rsid w:val="00247FEE"/>
    <w:rsid w:val="00250E7D"/>
    <w:rsid w:val="002549B0"/>
    <w:rsid w:val="002565D5"/>
    <w:rsid w:val="00257415"/>
    <w:rsid w:val="00257C39"/>
    <w:rsid w:val="00260C96"/>
    <w:rsid w:val="002622C0"/>
    <w:rsid w:val="00262D2E"/>
    <w:rsid w:val="00264F9B"/>
    <w:rsid w:val="00267F38"/>
    <w:rsid w:val="002759BB"/>
    <w:rsid w:val="00275D41"/>
    <w:rsid w:val="00276B08"/>
    <w:rsid w:val="002778AE"/>
    <w:rsid w:val="0028022A"/>
    <w:rsid w:val="00281919"/>
    <w:rsid w:val="002824CB"/>
    <w:rsid w:val="0028269A"/>
    <w:rsid w:val="00283590"/>
    <w:rsid w:val="0028438B"/>
    <w:rsid w:val="00286973"/>
    <w:rsid w:val="002904AF"/>
    <w:rsid w:val="00292DB9"/>
    <w:rsid w:val="00294E70"/>
    <w:rsid w:val="002952CE"/>
    <w:rsid w:val="00296FB8"/>
    <w:rsid w:val="002A06B3"/>
    <w:rsid w:val="002A1924"/>
    <w:rsid w:val="002A7420"/>
    <w:rsid w:val="002B0262"/>
    <w:rsid w:val="002B0F12"/>
    <w:rsid w:val="002B1308"/>
    <w:rsid w:val="002B4449"/>
    <w:rsid w:val="002B4554"/>
    <w:rsid w:val="002B4FE3"/>
    <w:rsid w:val="002B524E"/>
    <w:rsid w:val="002C2696"/>
    <w:rsid w:val="002C45A5"/>
    <w:rsid w:val="002C72D8"/>
    <w:rsid w:val="002D11FA"/>
    <w:rsid w:val="002D3C25"/>
    <w:rsid w:val="002D545A"/>
    <w:rsid w:val="002E0DDF"/>
    <w:rsid w:val="002E1768"/>
    <w:rsid w:val="002E2906"/>
    <w:rsid w:val="002E5635"/>
    <w:rsid w:val="002E64C3"/>
    <w:rsid w:val="002E6A2C"/>
    <w:rsid w:val="002F1771"/>
    <w:rsid w:val="002F1D8C"/>
    <w:rsid w:val="002F21DA"/>
    <w:rsid w:val="002F31F1"/>
    <w:rsid w:val="002F3F0D"/>
    <w:rsid w:val="002F42E2"/>
    <w:rsid w:val="002F4512"/>
    <w:rsid w:val="002F57F3"/>
    <w:rsid w:val="0030007D"/>
    <w:rsid w:val="003016B7"/>
    <w:rsid w:val="00301F39"/>
    <w:rsid w:val="003038E8"/>
    <w:rsid w:val="00305812"/>
    <w:rsid w:val="003073E0"/>
    <w:rsid w:val="00310478"/>
    <w:rsid w:val="00315016"/>
    <w:rsid w:val="00317A37"/>
    <w:rsid w:val="0032071A"/>
    <w:rsid w:val="00320A01"/>
    <w:rsid w:val="00321B42"/>
    <w:rsid w:val="00325926"/>
    <w:rsid w:val="00327A8A"/>
    <w:rsid w:val="00331B03"/>
    <w:rsid w:val="00332987"/>
    <w:rsid w:val="00336610"/>
    <w:rsid w:val="00336FA5"/>
    <w:rsid w:val="00343F73"/>
    <w:rsid w:val="00345060"/>
    <w:rsid w:val="00346024"/>
    <w:rsid w:val="00350BC9"/>
    <w:rsid w:val="0035323B"/>
    <w:rsid w:val="00353A5A"/>
    <w:rsid w:val="00354A71"/>
    <w:rsid w:val="00356876"/>
    <w:rsid w:val="00360726"/>
    <w:rsid w:val="003609D2"/>
    <w:rsid w:val="0036149E"/>
    <w:rsid w:val="00361D4F"/>
    <w:rsid w:val="00363F22"/>
    <w:rsid w:val="003650D5"/>
    <w:rsid w:val="003659A4"/>
    <w:rsid w:val="00372DED"/>
    <w:rsid w:val="003732A9"/>
    <w:rsid w:val="00373F3A"/>
    <w:rsid w:val="0037473D"/>
    <w:rsid w:val="00375564"/>
    <w:rsid w:val="0037662F"/>
    <w:rsid w:val="003768C0"/>
    <w:rsid w:val="00383191"/>
    <w:rsid w:val="003839CA"/>
    <w:rsid w:val="003852DB"/>
    <w:rsid w:val="00386DED"/>
    <w:rsid w:val="00390D9E"/>
    <w:rsid w:val="003912E7"/>
    <w:rsid w:val="0039140F"/>
    <w:rsid w:val="00393947"/>
    <w:rsid w:val="00395FC4"/>
    <w:rsid w:val="003A1F65"/>
    <w:rsid w:val="003A2275"/>
    <w:rsid w:val="003A3F2D"/>
    <w:rsid w:val="003A48CA"/>
    <w:rsid w:val="003A494C"/>
    <w:rsid w:val="003A5141"/>
    <w:rsid w:val="003A6A4F"/>
    <w:rsid w:val="003A7088"/>
    <w:rsid w:val="003B00DF"/>
    <w:rsid w:val="003B0973"/>
    <w:rsid w:val="003B1275"/>
    <w:rsid w:val="003B1778"/>
    <w:rsid w:val="003B217D"/>
    <w:rsid w:val="003B6458"/>
    <w:rsid w:val="003B789C"/>
    <w:rsid w:val="003B7AC1"/>
    <w:rsid w:val="003C11CB"/>
    <w:rsid w:val="003C5654"/>
    <w:rsid w:val="003C6CC9"/>
    <w:rsid w:val="003C75F3"/>
    <w:rsid w:val="003C78A3"/>
    <w:rsid w:val="003D0240"/>
    <w:rsid w:val="003D721E"/>
    <w:rsid w:val="003E0318"/>
    <w:rsid w:val="003E0D6C"/>
    <w:rsid w:val="003E1867"/>
    <w:rsid w:val="003E5000"/>
    <w:rsid w:val="003E5729"/>
    <w:rsid w:val="003E592F"/>
    <w:rsid w:val="003E5A57"/>
    <w:rsid w:val="003F0E73"/>
    <w:rsid w:val="003F2010"/>
    <w:rsid w:val="003F4C2E"/>
    <w:rsid w:val="003F4EE0"/>
    <w:rsid w:val="00400C28"/>
    <w:rsid w:val="00402153"/>
    <w:rsid w:val="00402FC1"/>
    <w:rsid w:val="004063C3"/>
    <w:rsid w:val="004134DD"/>
    <w:rsid w:val="004145B9"/>
    <w:rsid w:val="004166CD"/>
    <w:rsid w:val="0041793A"/>
    <w:rsid w:val="00417D5B"/>
    <w:rsid w:val="0042124A"/>
    <w:rsid w:val="00423779"/>
    <w:rsid w:val="00423DBC"/>
    <w:rsid w:val="00425082"/>
    <w:rsid w:val="0042586F"/>
    <w:rsid w:val="00427051"/>
    <w:rsid w:val="004276C5"/>
    <w:rsid w:val="00431DEB"/>
    <w:rsid w:val="00433284"/>
    <w:rsid w:val="00433875"/>
    <w:rsid w:val="00442185"/>
    <w:rsid w:val="0044320D"/>
    <w:rsid w:val="00446B29"/>
    <w:rsid w:val="004509E6"/>
    <w:rsid w:val="00453F9A"/>
    <w:rsid w:val="0045659F"/>
    <w:rsid w:val="00471E91"/>
    <w:rsid w:val="00472AF6"/>
    <w:rsid w:val="00472C6E"/>
    <w:rsid w:val="00474675"/>
    <w:rsid w:val="0047470C"/>
    <w:rsid w:val="0047745F"/>
    <w:rsid w:val="00485828"/>
    <w:rsid w:val="00490762"/>
    <w:rsid w:val="0049441A"/>
    <w:rsid w:val="004A029F"/>
    <w:rsid w:val="004A0900"/>
    <w:rsid w:val="004A1108"/>
    <w:rsid w:val="004A24EB"/>
    <w:rsid w:val="004A2EB0"/>
    <w:rsid w:val="004A35F9"/>
    <w:rsid w:val="004B0CE2"/>
    <w:rsid w:val="004B1107"/>
    <w:rsid w:val="004B12EC"/>
    <w:rsid w:val="004B1EA1"/>
    <w:rsid w:val="004B24C1"/>
    <w:rsid w:val="004B3527"/>
    <w:rsid w:val="004B4141"/>
    <w:rsid w:val="004B7A61"/>
    <w:rsid w:val="004C0DE4"/>
    <w:rsid w:val="004C15CE"/>
    <w:rsid w:val="004C292F"/>
    <w:rsid w:val="004C3F1E"/>
    <w:rsid w:val="004C52B4"/>
    <w:rsid w:val="004C5F43"/>
    <w:rsid w:val="004C6D21"/>
    <w:rsid w:val="004D197C"/>
    <w:rsid w:val="004D5B31"/>
    <w:rsid w:val="004D618E"/>
    <w:rsid w:val="004E24DC"/>
    <w:rsid w:val="004E4034"/>
    <w:rsid w:val="004E504F"/>
    <w:rsid w:val="004E7695"/>
    <w:rsid w:val="004F10FB"/>
    <w:rsid w:val="004F11CA"/>
    <w:rsid w:val="00500A34"/>
    <w:rsid w:val="00510280"/>
    <w:rsid w:val="005107C9"/>
    <w:rsid w:val="00513480"/>
    <w:rsid w:val="00513D73"/>
    <w:rsid w:val="00514A43"/>
    <w:rsid w:val="0051589E"/>
    <w:rsid w:val="00516032"/>
    <w:rsid w:val="005174E5"/>
    <w:rsid w:val="00522393"/>
    <w:rsid w:val="00522620"/>
    <w:rsid w:val="00522F9A"/>
    <w:rsid w:val="00525656"/>
    <w:rsid w:val="00527CB8"/>
    <w:rsid w:val="0053269F"/>
    <w:rsid w:val="00534C02"/>
    <w:rsid w:val="00534D29"/>
    <w:rsid w:val="00534EC9"/>
    <w:rsid w:val="0054264B"/>
    <w:rsid w:val="00543786"/>
    <w:rsid w:val="00550AC2"/>
    <w:rsid w:val="005533D7"/>
    <w:rsid w:val="00556ABB"/>
    <w:rsid w:val="00560E0C"/>
    <w:rsid w:val="00561939"/>
    <w:rsid w:val="00564842"/>
    <w:rsid w:val="0056649F"/>
    <w:rsid w:val="005703DE"/>
    <w:rsid w:val="00575169"/>
    <w:rsid w:val="005777A5"/>
    <w:rsid w:val="00580B6B"/>
    <w:rsid w:val="005828EB"/>
    <w:rsid w:val="00582AD4"/>
    <w:rsid w:val="0058304B"/>
    <w:rsid w:val="0058464E"/>
    <w:rsid w:val="00587FD0"/>
    <w:rsid w:val="00592C13"/>
    <w:rsid w:val="005A01CB"/>
    <w:rsid w:val="005A3338"/>
    <w:rsid w:val="005A58FF"/>
    <w:rsid w:val="005A5BD3"/>
    <w:rsid w:val="005A5EAF"/>
    <w:rsid w:val="005A64C0"/>
    <w:rsid w:val="005B1AD6"/>
    <w:rsid w:val="005B3747"/>
    <w:rsid w:val="005B3C11"/>
    <w:rsid w:val="005B3CB5"/>
    <w:rsid w:val="005B73B1"/>
    <w:rsid w:val="005C1190"/>
    <w:rsid w:val="005C1C28"/>
    <w:rsid w:val="005C3767"/>
    <w:rsid w:val="005C40BF"/>
    <w:rsid w:val="005C6DB5"/>
    <w:rsid w:val="005C7E1D"/>
    <w:rsid w:val="005D0BD9"/>
    <w:rsid w:val="005D347A"/>
    <w:rsid w:val="005D4E43"/>
    <w:rsid w:val="005D670E"/>
    <w:rsid w:val="005E0135"/>
    <w:rsid w:val="005E19E7"/>
    <w:rsid w:val="005E5FB2"/>
    <w:rsid w:val="005E6138"/>
    <w:rsid w:val="005E6290"/>
    <w:rsid w:val="005E6661"/>
    <w:rsid w:val="005E71F4"/>
    <w:rsid w:val="005E7A66"/>
    <w:rsid w:val="005F1913"/>
    <w:rsid w:val="005F2504"/>
    <w:rsid w:val="005F5C44"/>
    <w:rsid w:val="005F7EFC"/>
    <w:rsid w:val="00603CAD"/>
    <w:rsid w:val="00604DF6"/>
    <w:rsid w:val="00605EE2"/>
    <w:rsid w:val="006119AA"/>
    <w:rsid w:val="006123BE"/>
    <w:rsid w:val="0061716C"/>
    <w:rsid w:val="0062170B"/>
    <w:rsid w:val="006243A1"/>
    <w:rsid w:val="0062654B"/>
    <w:rsid w:val="006268F1"/>
    <w:rsid w:val="006274A6"/>
    <w:rsid w:val="00627580"/>
    <w:rsid w:val="0063111E"/>
    <w:rsid w:val="00632E56"/>
    <w:rsid w:val="0063518F"/>
    <w:rsid w:val="00635CBA"/>
    <w:rsid w:val="00640464"/>
    <w:rsid w:val="00640D79"/>
    <w:rsid w:val="00641C62"/>
    <w:rsid w:val="006423A6"/>
    <w:rsid w:val="0064338B"/>
    <w:rsid w:val="00646542"/>
    <w:rsid w:val="00646A44"/>
    <w:rsid w:val="00646A5E"/>
    <w:rsid w:val="006504F4"/>
    <w:rsid w:val="00651D37"/>
    <w:rsid w:val="00652A8E"/>
    <w:rsid w:val="00653CBB"/>
    <w:rsid w:val="00654BC9"/>
    <w:rsid w:val="006552FD"/>
    <w:rsid w:val="006554A5"/>
    <w:rsid w:val="00662954"/>
    <w:rsid w:val="00663AF3"/>
    <w:rsid w:val="00666B6C"/>
    <w:rsid w:val="00672BEF"/>
    <w:rsid w:val="00676D9C"/>
    <w:rsid w:val="00682682"/>
    <w:rsid w:val="00682702"/>
    <w:rsid w:val="006862EB"/>
    <w:rsid w:val="006915B7"/>
    <w:rsid w:val="006916B9"/>
    <w:rsid w:val="00692368"/>
    <w:rsid w:val="00692DB1"/>
    <w:rsid w:val="00692EAF"/>
    <w:rsid w:val="00693648"/>
    <w:rsid w:val="006A299E"/>
    <w:rsid w:val="006A2EBC"/>
    <w:rsid w:val="006A5EA0"/>
    <w:rsid w:val="006A61D0"/>
    <w:rsid w:val="006A783B"/>
    <w:rsid w:val="006A7AEB"/>
    <w:rsid w:val="006A7B33"/>
    <w:rsid w:val="006B0009"/>
    <w:rsid w:val="006B2CAC"/>
    <w:rsid w:val="006B3B7D"/>
    <w:rsid w:val="006B47BB"/>
    <w:rsid w:val="006B4972"/>
    <w:rsid w:val="006B4E13"/>
    <w:rsid w:val="006B75DD"/>
    <w:rsid w:val="006C2097"/>
    <w:rsid w:val="006C2861"/>
    <w:rsid w:val="006C3EC4"/>
    <w:rsid w:val="006C5EC8"/>
    <w:rsid w:val="006C67E0"/>
    <w:rsid w:val="006C7820"/>
    <w:rsid w:val="006C7ABA"/>
    <w:rsid w:val="006D0D60"/>
    <w:rsid w:val="006D1122"/>
    <w:rsid w:val="006D2500"/>
    <w:rsid w:val="006D3C00"/>
    <w:rsid w:val="006E3675"/>
    <w:rsid w:val="006E4A7F"/>
    <w:rsid w:val="006E5E69"/>
    <w:rsid w:val="006F2AB3"/>
    <w:rsid w:val="006F3443"/>
    <w:rsid w:val="006F46BD"/>
    <w:rsid w:val="00702335"/>
    <w:rsid w:val="00704DF6"/>
    <w:rsid w:val="0070651C"/>
    <w:rsid w:val="00707D93"/>
    <w:rsid w:val="00710179"/>
    <w:rsid w:val="0071145F"/>
    <w:rsid w:val="00711B5A"/>
    <w:rsid w:val="007132A3"/>
    <w:rsid w:val="00714110"/>
    <w:rsid w:val="00716421"/>
    <w:rsid w:val="007167AF"/>
    <w:rsid w:val="00717651"/>
    <w:rsid w:val="00722084"/>
    <w:rsid w:val="00722D17"/>
    <w:rsid w:val="00724EFB"/>
    <w:rsid w:val="007256A3"/>
    <w:rsid w:val="00731FC9"/>
    <w:rsid w:val="00732949"/>
    <w:rsid w:val="00733E7A"/>
    <w:rsid w:val="007419C3"/>
    <w:rsid w:val="00743B4A"/>
    <w:rsid w:val="00744823"/>
    <w:rsid w:val="007467A7"/>
    <w:rsid w:val="007469DD"/>
    <w:rsid w:val="00747275"/>
    <w:rsid w:val="0074741B"/>
    <w:rsid w:val="0074759E"/>
    <w:rsid w:val="007478EA"/>
    <w:rsid w:val="00747A3C"/>
    <w:rsid w:val="00753E0E"/>
    <w:rsid w:val="0075415C"/>
    <w:rsid w:val="007560BA"/>
    <w:rsid w:val="00756956"/>
    <w:rsid w:val="00756E1F"/>
    <w:rsid w:val="00763424"/>
    <w:rsid w:val="00763502"/>
    <w:rsid w:val="00765463"/>
    <w:rsid w:val="00765465"/>
    <w:rsid w:val="00767D83"/>
    <w:rsid w:val="00771B48"/>
    <w:rsid w:val="00772DB9"/>
    <w:rsid w:val="00774E9B"/>
    <w:rsid w:val="007760D4"/>
    <w:rsid w:val="0078393F"/>
    <w:rsid w:val="007848C5"/>
    <w:rsid w:val="00784DB9"/>
    <w:rsid w:val="007913AB"/>
    <w:rsid w:val="007914F7"/>
    <w:rsid w:val="00797015"/>
    <w:rsid w:val="00797EBA"/>
    <w:rsid w:val="007B0C68"/>
    <w:rsid w:val="007B1625"/>
    <w:rsid w:val="007B1CDE"/>
    <w:rsid w:val="007B2AA6"/>
    <w:rsid w:val="007B427A"/>
    <w:rsid w:val="007B450C"/>
    <w:rsid w:val="007B551E"/>
    <w:rsid w:val="007B706E"/>
    <w:rsid w:val="007B71EB"/>
    <w:rsid w:val="007B7F4D"/>
    <w:rsid w:val="007C0816"/>
    <w:rsid w:val="007C0A15"/>
    <w:rsid w:val="007C2D77"/>
    <w:rsid w:val="007C31CC"/>
    <w:rsid w:val="007C34D9"/>
    <w:rsid w:val="007C44C3"/>
    <w:rsid w:val="007C487E"/>
    <w:rsid w:val="007C5598"/>
    <w:rsid w:val="007C5953"/>
    <w:rsid w:val="007C5C7E"/>
    <w:rsid w:val="007C6205"/>
    <w:rsid w:val="007C686A"/>
    <w:rsid w:val="007C728E"/>
    <w:rsid w:val="007D12D6"/>
    <w:rsid w:val="007D160B"/>
    <w:rsid w:val="007D2C53"/>
    <w:rsid w:val="007D3D60"/>
    <w:rsid w:val="007D58A1"/>
    <w:rsid w:val="007E1980"/>
    <w:rsid w:val="007E348A"/>
    <w:rsid w:val="007E4B76"/>
    <w:rsid w:val="007E4C8A"/>
    <w:rsid w:val="007E5EA8"/>
    <w:rsid w:val="007E6D3D"/>
    <w:rsid w:val="007E766D"/>
    <w:rsid w:val="007F0949"/>
    <w:rsid w:val="007F0CF1"/>
    <w:rsid w:val="007F12A5"/>
    <w:rsid w:val="007F2D6D"/>
    <w:rsid w:val="007F3B0B"/>
    <w:rsid w:val="007F4CF1"/>
    <w:rsid w:val="007F758D"/>
    <w:rsid w:val="007F7D52"/>
    <w:rsid w:val="00802398"/>
    <w:rsid w:val="0080654C"/>
    <w:rsid w:val="008071C6"/>
    <w:rsid w:val="00807940"/>
    <w:rsid w:val="008109D6"/>
    <w:rsid w:val="00811375"/>
    <w:rsid w:val="00811750"/>
    <w:rsid w:val="00811CB9"/>
    <w:rsid w:val="00815237"/>
    <w:rsid w:val="00817A00"/>
    <w:rsid w:val="00821C5F"/>
    <w:rsid w:val="008231BC"/>
    <w:rsid w:val="00824EF2"/>
    <w:rsid w:val="0083084A"/>
    <w:rsid w:val="00832776"/>
    <w:rsid w:val="00833A06"/>
    <w:rsid w:val="00834B6C"/>
    <w:rsid w:val="00835DB3"/>
    <w:rsid w:val="0083617B"/>
    <w:rsid w:val="008371BD"/>
    <w:rsid w:val="008504A8"/>
    <w:rsid w:val="00852371"/>
    <w:rsid w:val="0085282E"/>
    <w:rsid w:val="00852A0B"/>
    <w:rsid w:val="008533B6"/>
    <w:rsid w:val="00855E92"/>
    <w:rsid w:val="00857A3C"/>
    <w:rsid w:val="00862151"/>
    <w:rsid w:val="00864FB4"/>
    <w:rsid w:val="0087198C"/>
    <w:rsid w:val="00872896"/>
    <w:rsid w:val="00872C1F"/>
    <w:rsid w:val="00873B42"/>
    <w:rsid w:val="008743BC"/>
    <w:rsid w:val="00874A40"/>
    <w:rsid w:val="0087620B"/>
    <w:rsid w:val="008770F5"/>
    <w:rsid w:val="00877177"/>
    <w:rsid w:val="0087773E"/>
    <w:rsid w:val="00880B73"/>
    <w:rsid w:val="00880C26"/>
    <w:rsid w:val="0088194D"/>
    <w:rsid w:val="00882D2B"/>
    <w:rsid w:val="00885289"/>
    <w:rsid w:val="008856D8"/>
    <w:rsid w:val="00892E82"/>
    <w:rsid w:val="00894FC6"/>
    <w:rsid w:val="008A45E3"/>
    <w:rsid w:val="008A6C16"/>
    <w:rsid w:val="008C0D91"/>
    <w:rsid w:val="008C1B58"/>
    <w:rsid w:val="008C38FE"/>
    <w:rsid w:val="008C39AE"/>
    <w:rsid w:val="008C590D"/>
    <w:rsid w:val="008C6794"/>
    <w:rsid w:val="008C786F"/>
    <w:rsid w:val="008D009D"/>
    <w:rsid w:val="008D250B"/>
    <w:rsid w:val="008D4EA9"/>
    <w:rsid w:val="008E031B"/>
    <w:rsid w:val="008E17AB"/>
    <w:rsid w:val="008E2388"/>
    <w:rsid w:val="008E4014"/>
    <w:rsid w:val="008E5CDB"/>
    <w:rsid w:val="008E60E2"/>
    <w:rsid w:val="008E7029"/>
    <w:rsid w:val="008E7EF6"/>
    <w:rsid w:val="008F1F98"/>
    <w:rsid w:val="008F32D3"/>
    <w:rsid w:val="008F43A4"/>
    <w:rsid w:val="008F5765"/>
    <w:rsid w:val="008F6758"/>
    <w:rsid w:val="00900900"/>
    <w:rsid w:val="00902231"/>
    <w:rsid w:val="00902A08"/>
    <w:rsid w:val="0090326F"/>
    <w:rsid w:val="009040DD"/>
    <w:rsid w:val="00905B47"/>
    <w:rsid w:val="00906F0A"/>
    <w:rsid w:val="0090711E"/>
    <w:rsid w:val="0091331C"/>
    <w:rsid w:val="0091457E"/>
    <w:rsid w:val="00916945"/>
    <w:rsid w:val="009212EC"/>
    <w:rsid w:val="009236CF"/>
    <w:rsid w:val="009240E8"/>
    <w:rsid w:val="00924BA0"/>
    <w:rsid w:val="00926906"/>
    <w:rsid w:val="00926939"/>
    <w:rsid w:val="009279DE"/>
    <w:rsid w:val="00930116"/>
    <w:rsid w:val="00931C06"/>
    <w:rsid w:val="00933DC7"/>
    <w:rsid w:val="00935676"/>
    <w:rsid w:val="009363F2"/>
    <w:rsid w:val="0093742D"/>
    <w:rsid w:val="009375C7"/>
    <w:rsid w:val="00940FAC"/>
    <w:rsid w:val="00941421"/>
    <w:rsid w:val="0094212C"/>
    <w:rsid w:val="009421BE"/>
    <w:rsid w:val="00944733"/>
    <w:rsid w:val="00945D47"/>
    <w:rsid w:val="00946042"/>
    <w:rsid w:val="009504BC"/>
    <w:rsid w:val="009507F6"/>
    <w:rsid w:val="00951D89"/>
    <w:rsid w:val="009520CA"/>
    <w:rsid w:val="00953278"/>
    <w:rsid w:val="00954689"/>
    <w:rsid w:val="009562D4"/>
    <w:rsid w:val="00956480"/>
    <w:rsid w:val="009602EB"/>
    <w:rsid w:val="009617C9"/>
    <w:rsid w:val="00961C93"/>
    <w:rsid w:val="00962112"/>
    <w:rsid w:val="00963087"/>
    <w:rsid w:val="00965324"/>
    <w:rsid w:val="00966588"/>
    <w:rsid w:val="0097091E"/>
    <w:rsid w:val="0097172B"/>
    <w:rsid w:val="0097312C"/>
    <w:rsid w:val="009760D3"/>
    <w:rsid w:val="00977132"/>
    <w:rsid w:val="00980089"/>
    <w:rsid w:val="00981A4B"/>
    <w:rsid w:val="0098238C"/>
    <w:rsid w:val="00982501"/>
    <w:rsid w:val="00982765"/>
    <w:rsid w:val="0098485C"/>
    <w:rsid w:val="00985D50"/>
    <w:rsid w:val="00987386"/>
    <w:rsid w:val="009873C8"/>
    <w:rsid w:val="009877D3"/>
    <w:rsid w:val="00993617"/>
    <w:rsid w:val="00994AD9"/>
    <w:rsid w:val="00994E8F"/>
    <w:rsid w:val="009951DC"/>
    <w:rsid w:val="009959BB"/>
    <w:rsid w:val="00996669"/>
    <w:rsid w:val="00997158"/>
    <w:rsid w:val="009A01D6"/>
    <w:rsid w:val="009A02F0"/>
    <w:rsid w:val="009A3753"/>
    <w:rsid w:val="009A3A7C"/>
    <w:rsid w:val="009B24E9"/>
    <w:rsid w:val="009B2ADB"/>
    <w:rsid w:val="009B603A"/>
    <w:rsid w:val="009B6DCD"/>
    <w:rsid w:val="009B6E06"/>
    <w:rsid w:val="009C0960"/>
    <w:rsid w:val="009C0F68"/>
    <w:rsid w:val="009C2D0E"/>
    <w:rsid w:val="009C2F78"/>
    <w:rsid w:val="009C3685"/>
    <w:rsid w:val="009C3DAC"/>
    <w:rsid w:val="009C42E0"/>
    <w:rsid w:val="009C4EEC"/>
    <w:rsid w:val="009C5BD2"/>
    <w:rsid w:val="009C7DCB"/>
    <w:rsid w:val="009D28B6"/>
    <w:rsid w:val="009D2B49"/>
    <w:rsid w:val="009D2FEF"/>
    <w:rsid w:val="009D5362"/>
    <w:rsid w:val="009E09B4"/>
    <w:rsid w:val="009E1415"/>
    <w:rsid w:val="009E3ED4"/>
    <w:rsid w:val="009E4174"/>
    <w:rsid w:val="009E4E89"/>
    <w:rsid w:val="009E5238"/>
    <w:rsid w:val="009E5754"/>
    <w:rsid w:val="009E6116"/>
    <w:rsid w:val="009E6A1B"/>
    <w:rsid w:val="009F11B8"/>
    <w:rsid w:val="009F1B15"/>
    <w:rsid w:val="009F2135"/>
    <w:rsid w:val="009F2170"/>
    <w:rsid w:val="009F35AE"/>
    <w:rsid w:val="009F38E8"/>
    <w:rsid w:val="009F4C79"/>
    <w:rsid w:val="009F518E"/>
    <w:rsid w:val="009F51BD"/>
    <w:rsid w:val="009F73D8"/>
    <w:rsid w:val="00A00B9D"/>
    <w:rsid w:val="00A0112A"/>
    <w:rsid w:val="00A02E43"/>
    <w:rsid w:val="00A065F9"/>
    <w:rsid w:val="00A07F34"/>
    <w:rsid w:val="00A15157"/>
    <w:rsid w:val="00A22154"/>
    <w:rsid w:val="00A24393"/>
    <w:rsid w:val="00A25C38"/>
    <w:rsid w:val="00A25C63"/>
    <w:rsid w:val="00A26308"/>
    <w:rsid w:val="00A26A96"/>
    <w:rsid w:val="00A26BD6"/>
    <w:rsid w:val="00A27B20"/>
    <w:rsid w:val="00A31198"/>
    <w:rsid w:val="00A312D7"/>
    <w:rsid w:val="00A34775"/>
    <w:rsid w:val="00A34D69"/>
    <w:rsid w:val="00A34F7C"/>
    <w:rsid w:val="00A362EF"/>
    <w:rsid w:val="00A368A7"/>
    <w:rsid w:val="00A36BBE"/>
    <w:rsid w:val="00A41191"/>
    <w:rsid w:val="00A4307A"/>
    <w:rsid w:val="00A43097"/>
    <w:rsid w:val="00A463E9"/>
    <w:rsid w:val="00A47EBB"/>
    <w:rsid w:val="00A50675"/>
    <w:rsid w:val="00A516ED"/>
    <w:rsid w:val="00A51CDD"/>
    <w:rsid w:val="00A577E8"/>
    <w:rsid w:val="00A57CC7"/>
    <w:rsid w:val="00A6107E"/>
    <w:rsid w:val="00A6394B"/>
    <w:rsid w:val="00A6730D"/>
    <w:rsid w:val="00A6746D"/>
    <w:rsid w:val="00A711A2"/>
    <w:rsid w:val="00A71625"/>
    <w:rsid w:val="00A71B9B"/>
    <w:rsid w:val="00A751C7"/>
    <w:rsid w:val="00A828DE"/>
    <w:rsid w:val="00A828EA"/>
    <w:rsid w:val="00A835B8"/>
    <w:rsid w:val="00A87844"/>
    <w:rsid w:val="00A90AD1"/>
    <w:rsid w:val="00A92ADF"/>
    <w:rsid w:val="00A94C41"/>
    <w:rsid w:val="00A963B1"/>
    <w:rsid w:val="00A97D1F"/>
    <w:rsid w:val="00AA038C"/>
    <w:rsid w:val="00AA1737"/>
    <w:rsid w:val="00AA1997"/>
    <w:rsid w:val="00AA5780"/>
    <w:rsid w:val="00AA7A09"/>
    <w:rsid w:val="00AA7AD2"/>
    <w:rsid w:val="00AB2D90"/>
    <w:rsid w:val="00AB3B50"/>
    <w:rsid w:val="00AB3C6A"/>
    <w:rsid w:val="00AC05B1"/>
    <w:rsid w:val="00AC6F5A"/>
    <w:rsid w:val="00AD1A4B"/>
    <w:rsid w:val="00AD2DFC"/>
    <w:rsid w:val="00AD356C"/>
    <w:rsid w:val="00AE2914"/>
    <w:rsid w:val="00AE42A9"/>
    <w:rsid w:val="00AE6444"/>
    <w:rsid w:val="00AE6D15"/>
    <w:rsid w:val="00AE7BBA"/>
    <w:rsid w:val="00AF40A2"/>
    <w:rsid w:val="00AF421A"/>
    <w:rsid w:val="00AF4D12"/>
    <w:rsid w:val="00B01D5B"/>
    <w:rsid w:val="00B01FF6"/>
    <w:rsid w:val="00B03725"/>
    <w:rsid w:val="00B04182"/>
    <w:rsid w:val="00B07AE3"/>
    <w:rsid w:val="00B10F4F"/>
    <w:rsid w:val="00B11430"/>
    <w:rsid w:val="00B12D55"/>
    <w:rsid w:val="00B174A5"/>
    <w:rsid w:val="00B25987"/>
    <w:rsid w:val="00B27BA9"/>
    <w:rsid w:val="00B31219"/>
    <w:rsid w:val="00B3352A"/>
    <w:rsid w:val="00B33E35"/>
    <w:rsid w:val="00B34238"/>
    <w:rsid w:val="00B34A96"/>
    <w:rsid w:val="00B353EB"/>
    <w:rsid w:val="00B41AC9"/>
    <w:rsid w:val="00B439C4"/>
    <w:rsid w:val="00B4535E"/>
    <w:rsid w:val="00B50D6E"/>
    <w:rsid w:val="00B52074"/>
    <w:rsid w:val="00B52A8C"/>
    <w:rsid w:val="00B53C7E"/>
    <w:rsid w:val="00B60A4D"/>
    <w:rsid w:val="00B61289"/>
    <w:rsid w:val="00B61939"/>
    <w:rsid w:val="00B6239F"/>
    <w:rsid w:val="00B628F0"/>
    <w:rsid w:val="00B636A8"/>
    <w:rsid w:val="00B65085"/>
    <w:rsid w:val="00B651BB"/>
    <w:rsid w:val="00B665C6"/>
    <w:rsid w:val="00B66FA5"/>
    <w:rsid w:val="00B679EE"/>
    <w:rsid w:val="00B74AFC"/>
    <w:rsid w:val="00B74EB5"/>
    <w:rsid w:val="00B805AF"/>
    <w:rsid w:val="00B869EC"/>
    <w:rsid w:val="00B86D7D"/>
    <w:rsid w:val="00B9076F"/>
    <w:rsid w:val="00B9397A"/>
    <w:rsid w:val="00B95E90"/>
    <w:rsid w:val="00B9633D"/>
    <w:rsid w:val="00BA2EBE"/>
    <w:rsid w:val="00BA3169"/>
    <w:rsid w:val="00BA5F3B"/>
    <w:rsid w:val="00BA6E1A"/>
    <w:rsid w:val="00BA78BF"/>
    <w:rsid w:val="00BB0F28"/>
    <w:rsid w:val="00BB0F47"/>
    <w:rsid w:val="00BB41EA"/>
    <w:rsid w:val="00BB458A"/>
    <w:rsid w:val="00BC18E2"/>
    <w:rsid w:val="00BC2F1E"/>
    <w:rsid w:val="00BD00D3"/>
    <w:rsid w:val="00BD1659"/>
    <w:rsid w:val="00BD3AA9"/>
    <w:rsid w:val="00BD4A18"/>
    <w:rsid w:val="00BD6DB2"/>
    <w:rsid w:val="00BE042B"/>
    <w:rsid w:val="00BE11CF"/>
    <w:rsid w:val="00BE21AB"/>
    <w:rsid w:val="00BE2E40"/>
    <w:rsid w:val="00BE3956"/>
    <w:rsid w:val="00BE4E0E"/>
    <w:rsid w:val="00BE5274"/>
    <w:rsid w:val="00BE55CB"/>
    <w:rsid w:val="00BF356A"/>
    <w:rsid w:val="00BF617A"/>
    <w:rsid w:val="00C0216D"/>
    <w:rsid w:val="00C0379D"/>
    <w:rsid w:val="00C03931"/>
    <w:rsid w:val="00C05FE3"/>
    <w:rsid w:val="00C13D45"/>
    <w:rsid w:val="00C14A56"/>
    <w:rsid w:val="00C174F4"/>
    <w:rsid w:val="00C207DA"/>
    <w:rsid w:val="00C2136D"/>
    <w:rsid w:val="00C214EE"/>
    <w:rsid w:val="00C21E00"/>
    <w:rsid w:val="00C22A06"/>
    <w:rsid w:val="00C2314B"/>
    <w:rsid w:val="00C233BE"/>
    <w:rsid w:val="00C23EAB"/>
    <w:rsid w:val="00C24971"/>
    <w:rsid w:val="00C26BE5"/>
    <w:rsid w:val="00C26E4D"/>
    <w:rsid w:val="00C27909"/>
    <w:rsid w:val="00C27B03"/>
    <w:rsid w:val="00C3025F"/>
    <w:rsid w:val="00C30E45"/>
    <w:rsid w:val="00C314E1"/>
    <w:rsid w:val="00C31A79"/>
    <w:rsid w:val="00C32DD9"/>
    <w:rsid w:val="00C33EB7"/>
    <w:rsid w:val="00C34397"/>
    <w:rsid w:val="00C4095D"/>
    <w:rsid w:val="00C458E9"/>
    <w:rsid w:val="00C543C0"/>
    <w:rsid w:val="00C54EA9"/>
    <w:rsid w:val="00C55F2B"/>
    <w:rsid w:val="00C5655B"/>
    <w:rsid w:val="00C56DF0"/>
    <w:rsid w:val="00C60102"/>
    <w:rsid w:val="00C601D2"/>
    <w:rsid w:val="00C613DE"/>
    <w:rsid w:val="00C61CA0"/>
    <w:rsid w:val="00C61E58"/>
    <w:rsid w:val="00C636F9"/>
    <w:rsid w:val="00C64E94"/>
    <w:rsid w:val="00C657AB"/>
    <w:rsid w:val="00C65BCC"/>
    <w:rsid w:val="00C66970"/>
    <w:rsid w:val="00C70EBF"/>
    <w:rsid w:val="00C73BC7"/>
    <w:rsid w:val="00C74BF3"/>
    <w:rsid w:val="00C778A9"/>
    <w:rsid w:val="00C77B57"/>
    <w:rsid w:val="00C8126F"/>
    <w:rsid w:val="00C84F86"/>
    <w:rsid w:val="00C8585D"/>
    <w:rsid w:val="00C8691C"/>
    <w:rsid w:val="00C86A9E"/>
    <w:rsid w:val="00C90606"/>
    <w:rsid w:val="00C95B40"/>
    <w:rsid w:val="00C966B8"/>
    <w:rsid w:val="00CA0E56"/>
    <w:rsid w:val="00CA0EDD"/>
    <w:rsid w:val="00CA168A"/>
    <w:rsid w:val="00CA357E"/>
    <w:rsid w:val="00CA44F9"/>
    <w:rsid w:val="00CA4A69"/>
    <w:rsid w:val="00CA5C6E"/>
    <w:rsid w:val="00CB0703"/>
    <w:rsid w:val="00CB2D67"/>
    <w:rsid w:val="00CB40FD"/>
    <w:rsid w:val="00CC3E0C"/>
    <w:rsid w:val="00CC58D3"/>
    <w:rsid w:val="00CC784D"/>
    <w:rsid w:val="00CC7C90"/>
    <w:rsid w:val="00CD2F47"/>
    <w:rsid w:val="00CD3B5B"/>
    <w:rsid w:val="00CE2006"/>
    <w:rsid w:val="00CE51F7"/>
    <w:rsid w:val="00CE7442"/>
    <w:rsid w:val="00CF15CF"/>
    <w:rsid w:val="00CF74C0"/>
    <w:rsid w:val="00D0337B"/>
    <w:rsid w:val="00D04F64"/>
    <w:rsid w:val="00D05B87"/>
    <w:rsid w:val="00D079B2"/>
    <w:rsid w:val="00D114E9"/>
    <w:rsid w:val="00D11A67"/>
    <w:rsid w:val="00D11FDA"/>
    <w:rsid w:val="00D12894"/>
    <w:rsid w:val="00D221F1"/>
    <w:rsid w:val="00D2393C"/>
    <w:rsid w:val="00D242F8"/>
    <w:rsid w:val="00D24510"/>
    <w:rsid w:val="00D2632E"/>
    <w:rsid w:val="00D34E6B"/>
    <w:rsid w:val="00D37A4C"/>
    <w:rsid w:val="00D414A3"/>
    <w:rsid w:val="00D41BB5"/>
    <w:rsid w:val="00D429C6"/>
    <w:rsid w:val="00D47748"/>
    <w:rsid w:val="00D53922"/>
    <w:rsid w:val="00D54CC3"/>
    <w:rsid w:val="00D567B0"/>
    <w:rsid w:val="00D6041A"/>
    <w:rsid w:val="00D633EB"/>
    <w:rsid w:val="00D67EF9"/>
    <w:rsid w:val="00D71C2B"/>
    <w:rsid w:val="00D72991"/>
    <w:rsid w:val="00D72B18"/>
    <w:rsid w:val="00D72D6A"/>
    <w:rsid w:val="00D72DCE"/>
    <w:rsid w:val="00D73301"/>
    <w:rsid w:val="00D76DDA"/>
    <w:rsid w:val="00D77237"/>
    <w:rsid w:val="00D82FF7"/>
    <w:rsid w:val="00D835E7"/>
    <w:rsid w:val="00D83842"/>
    <w:rsid w:val="00D842DC"/>
    <w:rsid w:val="00D847FE"/>
    <w:rsid w:val="00D85F8E"/>
    <w:rsid w:val="00D86EC2"/>
    <w:rsid w:val="00D9561C"/>
    <w:rsid w:val="00D964EA"/>
    <w:rsid w:val="00D966D0"/>
    <w:rsid w:val="00D97DB6"/>
    <w:rsid w:val="00DA0C59"/>
    <w:rsid w:val="00DA3991"/>
    <w:rsid w:val="00DA43C3"/>
    <w:rsid w:val="00DB0B10"/>
    <w:rsid w:val="00DB12DE"/>
    <w:rsid w:val="00DB5F1D"/>
    <w:rsid w:val="00DB6E73"/>
    <w:rsid w:val="00DB7566"/>
    <w:rsid w:val="00DB7E6C"/>
    <w:rsid w:val="00DC1267"/>
    <w:rsid w:val="00DC3B61"/>
    <w:rsid w:val="00DC4BD1"/>
    <w:rsid w:val="00DC6D7E"/>
    <w:rsid w:val="00DD09D2"/>
    <w:rsid w:val="00DD5A29"/>
    <w:rsid w:val="00DD5D9D"/>
    <w:rsid w:val="00DE1E8C"/>
    <w:rsid w:val="00DE3168"/>
    <w:rsid w:val="00DE35CB"/>
    <w:rsid w:val="00DE54C0"/>
    <w:rsid w:val="00DE725D"/>
    <w:rsid w:val="00DE7421"/>
    <w:rsid w:val="00DE7716"/>
    <w:rsid w:val="00DF21E9"/>
    <w:rsid w:val="00DF2ABE"/>
    <w:rsid w:val="00DF3746"/>
    <w:rsid w:val="00DF3835"/>
    <w:rsid w:val="00DF45C6"/>
    <w:rsid w:val="00DF4689"/>
    <w:rsid w:val="00DF5466"/>
    <w:rsid w:val="00DF6269"/>
    <w:rsid w:val="00E00F14"/>
    <w:rsid w:val="00E014DB"/>
    <w:rsid w:val="00E01E2C"/>
    <w:rsid w:val="00E06386"/>
    <w:rsid w:val="00E06724"/>
    <w:rsid w:val="00E06A22"/>
    <w:rsid w:val="00E1006D"/>
    <w:rsid w:val="00E1593D"/>
    <w:rsid w:val="00E210C5"/>
    <w:rsid w:val="00E24EB4"/>
    <w:rsid w:val="00E320ED"/>
    <w:rsid w:val="00E32DF6"/>
    <w:rsid w:val="00E33AFB"/>
    <w:rsid w:val="00E34218"/>
    <w:rsid w:val="00E36B6A"/>
    <w:rsid w:val="00E37A5F"/>
    <w:rsid w:val="00E426D8"/>
    <w:rsid w:val="00E427A5"/>
    <w:rsid w:val="00E42900"/>
    <w:rsid w:val="00E42989"/>
    <w:rsid w:val="00E46282"/>
    <w:rsid w:val="00E47E10"/>
    <w:rsid w:val="00E51468"/>
    <w:rsid w:val="00E5216E"/>
    <w:rsid w:val="00E55461"/>
    <w:rsid w:val="00E57993"/>
    <w:rsid w:val="00E57BBB"/>
    <w:rsid w:val="00E608D9"/>
    <w:rsid w:val="00E60B84"/>
    <w:rsid w:val="00E669DF"/>
    <w:rsid w:val="00E675B3"/>
    <w:rsid w:val="00E702DF"/>
    <w:rsid w:val="00E70631"/>
    <w:rsid w:val="00E72A9E"/>
    <w:rsid w:val="00E74BE1"/>
    <w:rsid w:val="00E76C52"/>
    <w:rsid w:val="00E82344"/>
    <w:rsid w:val="00E84C82"/>
    <w:rsid w:val="00E84D64"/>
    <w:rsid w:val="00E86AF7"/>
    <w:rsid w:val="00E87408"/>
    <w:rsid w:val="00E914C4"/>
    <w:rsid w:val="00E934F5"/>
    <w:rsid w:val="00E96961"/>
    <w:rsid w:val="00EA72EC"/>
    <w:rsid w:val="00EB04E1"/>
    <w:rsid w:val="00EB11CB"/>
    <w:rsid w:val="00EB275A"/>
    <w:rsid w:val="00EB3E99"/>
    <w:rsid w:val="00EB786A"/>
    <w:rsid w:val="00EC1578"/>
    <w:rsid w:val="00EC1C72"/>
    <w:rsid w:val="00EC2945"/>
    <w:rsid w:val="00EC3CC9"/>
    <w:rsid w:val="00EC680A"/>
    <w:rsid w:val="00ED0130"/>
    <w:rsid w:val="00ED1196"/>
    <w:rsid w:val="00ED5121"/>
    <w:rsid w:val="00ED7AEE"/>
    <w:rsid w:val="00EE1BF1"/>
    <w:rsid w:val="00EE205B"/>
    <w:rsid w:val="00EE24C1"/>
    <w:rsid w:val="00EE2BED"/>
    <w:rsid w:val="00EE3414"/>
    <w:rsid w:val="00EE374B"/>
    <w:rsid w:val="00EE4805"/>
    <w:rsid w:val="00EE59FB"/>
    <w:rsid w:val="00EF10F8"/>
    <w:rsid w:val="00EF58BA"/>
    <w:rsid w:val="00EF7629"/>
    <w:rsid w:val="00F01332"/>
    <w:rsid w:val="00F11BB5"/>
    <w:rsid w:val="00F1417B"/>
    <w:rsid w:val="00F1787C"/>
    <w:rsid w:val="00F201B6"/>
    <w:rsid w:val="00F2727D"/>
    <w:rsid w:val="00F3390A"/>
    <w:rsid w:val="00F34B99"/>
    <w:rsid w:val="00F37A7F"/>
    <w:rsid w:val="00F420F2"/>
    <w:rsid w:val="00F42C92"/>
    <w:rsid w:val="00F44755"/>
    <w:rsid w:val="00F44F85"/>
    <w:rsid w:val="00F47EB1"/>
    <w:rsid w:val="00F50754"/>
    <w:rsid w:val="00F510E6"/>
    <w:rsid w:val="00F52DAB"/>
    <w:rsid w:val="00F53443"/>
    <w:rsid w:val="00F54196"/>
    <w:rsid w:val="00F543F0"/>
    <w:rsid w:val="00F55827"/>
    <w:rsid w:val="00F575F3"/>
    <w:rsid w:val="00F625C9"/>
    <w:rsid w:val="00F6373D"/>
    <w:rsid w:val="00F6624A"/>
    <w:rsid w:val="00F7057D"/>
    <w:rsid w:val="00F7074B"/>
    <w:rsid w:val="00F713C6"/>
    <w:rsid w:val="00F72314"/>
    <w:rsid w:val="00F72465"/>
    <w:rsid w:val="00F737AD"/>
    <w:rsid w:val="00F75807"/>
    <w:rsid w:val="00F80828"/>
    <w:rsid w:val="00F81158"/>
    <w:rsid w:val="00F816CA"/>
    <w:rsid w:val="00F81D29"/>
    <w:rsid w:val="00F81D61"/>
    <w:rsid w:val="00F81DC8"/>
    <w:rsid w:val="00F85910"/>
    <w:rsid w:val="00F90061"/>
    <w:rsid w:val="00F91C4D"/>
    <w:rsid w:val="00F92FD9"/>
    <w:rsid w:val="00F96BC5"/>
    <w:rsid w:val="00F976AD"/>
    <w:rsid w:val="00FA1947"/>
    <w:rsid w:val="00FA2541"/>
    <w:rsid w:val="00FA42EF"/>
    <w:rsid w:val="00FA6470"/>
    <w:rsid w:val="00FA6684"/>
    <w:rsid w:val="00FA705E"/>
    <w:rsid w:val="00FA731E"/>
    <w:rsid w:val="00FB0B66"/>
    <w:rsid w:val="00FB1366"/>
    <w:rsid w:val="00FB2B38"/>
    <w:rsid w:val="00FB3791"/>
    <w:rsid w:val="00FB3B9B"/>
    <w:rsid w:val="00FB653E"/>
    <w:rsid w:val="00FC6358"/>
    <w:rsid w:val="00FC6C90"/>
    <w:rsid w:val="00FD04BB"/>
    <w:rsid w:val="00FD066A"/>
    <w:rsid w:val="00FD320D"/>
    <w:rsid w:val="00FD379F"/>
    <w:rsid w:val="00FD570D"/>
    <w:rsid w:val="00FE05C6"/>
    <w:rsid w:val="00FE1498"/>
    <w:rsid w:val="00FE23DE"/>
    <w:rsid w:val="00FF2188"/>
    <w:rsid w:val="00FF6BC5"/>
    <w:rsid w:val="0121665C"/>
    <w:rsid w:val="019D7E34"/>
    <w:rsid w:val="027C25DA"/>
    <w:rsid w:val="02F93AE9"/>
    <w:rsid w:val="03BB2031"/>
    <w:rsid w:val="040E27E3"/>
    <w:rsid w:val="04DD3F64"/>
    <w:rsid w:val="057F779D"/>
    <w:rsid w:val="058A7C48"/>
    <w:rsid w:val="05AB144A"/>
    <w:rsid w:val="067526A6"/>
    <w:rsid w:val="06B50A2A"/>
    <w:rsid w:val="06CB2F55"/>
    <w:rsid w:val="06D559B1"/>
    <w:rsid w:val="06E02C82"/>
    <w:rsid w:val="06FD269B"/>
    <w:rsid w:val="07034A47"/>
    <w:rsid w:val="070944B5"/>
    <w:rsid w:val="07143A8F"/>
    <w:rsid w:val="071D10DE"/>
    <w:rsid w:val="074B0C5A"/>
    <w:rsid w:val="074D69D9"/>
    <w:rsid w:val="07762B7A"/>
    <w:rsid w:val="077E1A2E"/>
    <w:rsid w:val="07AC1CC0"/>
    <w:rsid w:val="08332819"/>
    <w:rsid w:val="08A41020"/>
    <w:rsid w:val="08AC1202"/>
    <w:rsid w:val="08CE0793"/>
    <w:rsid w:val="0949462F"/>
    <w:rsid w:val="09F9539C"/>
    <w:rsid w:val="09FA436A"/>
    <w:rsid w:val="0A52483B"/>
    <w:rsid w:val="0A803CD3"/>
    <w:rsid w:val="0A83110A"/>
    <w:rsid w:val="0A842761"/>
    <w:rsid w:val="0B4C689D"/>
    <w:rsid w:val="0B633415"/>
    <w:rsid w:val="0B6B4077"/>
    <w:rsid w:val="0BBB6B35"/>
    <w:rsid w:val="0BD62423"/>
    <w:rsid w:val="0BE34556"/>
    <w:rsid w:val="0C68411F"/>
    <w:rsid w:val="0C96376F"/>
    <w:rsid w:val="0D0444B3"/>
    <w:rsid w:val="0DA538A2"/>
    <w:rsid w:val="0DBB6E93"/>
    <w:rsid w:val="0DD7773F"/>
    <w:rsid w:val="0DF06AB6"/>
    <w:rsid w:val="0E5C05EF"/>
    <w:rsid w:val="0E8D76BF"/>
    <w:rsid w:val="0EC908BE"/>
    <w:rsid w:val="0EE26D46"/>
    <w:rsid w:val="0F7A2ADB"/>
    <w:rsid w:val="0F854D01"/>
    <w:rsid w:val="10A100D7"/>
    <w:rsid w:val="10F1151F"/>
    <w:rsid w:val="10FC5772"/>
    <w:rsid w:val="11032FA4"/>
    <w:rsid w:val="11116384"/>
    <w:rsid w:val="11627CCB"/>
    <w:rsid w:val="119D06BE"/>
    <w:rsid w:val="11F4267F"/>
    <w:rsid w:val="11F50B3F"/>
    <w:rsid w:val="128A1009"/>
    <w:rsid w:val="12D90F42"/>
    <w:rsid w:val="12DE368D"/>
    <w:rsid w:val="12E31DBF"/>
    <w:rsid w:val="13093380"/>
    <w:rsid w:val="13170F0C"/>
    <w:rsid w:val="13637D2A"/>
    <w:rsid w:val="13785584"/>
    <w:rsid w:val="13CA1E62"/>
    <w:rsid w:val="13FA03A8"/>
    <w:rsid w:val="142E658A"/>
    <w:rsid w:val="14661E08"/>
    <w:rsid w:val="14A423A8"/>
    <w:rsid w:val="14EA3EDE"/>
    <w:rsid w:val="154318D4"/>
    <w:rsid w:val="162D33AE"/>
    <w:rsid w:val="168B0D1F"/>
    <w:rsid w:val="16B42364"/>
    <w:rsid w:val="177E15D6"/>
    <w:rsid w:val="17D905BB"/>
    <w:rsid w:val="182E0907"/>
    <w:rsid w:val="18591376"/>
    <w:rsid w:val="18B90B18"/>
    <w:rsid w:val="19C72AD7"/>
    <w:rsid w:val="1A960114"/>
    <w:rsid w:val="1B274F60"/>
    <w:rsid w:val="1B3A75C2"/>
    <w:rsid w:val="1B776A68"/>
    <w:rsid w:val="1BB53F93"/>
    <w:rsid w:val="1BD9327F"/>
    <w:rsid w:val="1BEF178B"/>
    <w:rsid w:val="1C347186"/>
    <w:rsid w:val="1C3F451D"/>
    <w:rsid w:val="1C7227E5"/>
    <w:rsid w:val="1D184998"/>
    <w:rsid w:val="1D606596"/>
    <w:rsid w:val="1D7F59CD"/>
    <w:rsid w:val="1E8A615E"/>
    <w:rsid w:val="1F0E4FEE"/>
    <w:rsid w:val="1F3E57F5"/>
    <w:rsid w:val="1FE534E9"/>
    <w:rsid w:val="20B322F1"/>
    <w:rsid w:val="21333432"/>
    <w:rsid w:val="2136082C"/>
    <w:rsid w:val="215C14F1"/>
    <w:rsid w:val="21617F9F"/>
    <w:rsid w:val="21AC1248"/>
    <w:rsid w:val="21C20BD7"/>
    <w:rsid w:val="227132E9"/>
    <w:rsid w:val="22C42E23"/>
    <w:rsid w:val="22D9311C"/>
    <w:rsid w:val="231177A3"/>
    <w:rsid w:val="23EC563A"/>
    <w:rsid w:val="23F31162"/>
    <w:rsid w:val="241637A9"/>
    <w:rsid w:val="244E6320"/>
    <w:rsid w:val="24642242"/>
    <w:rsid w:val="24B255C5"/>
    <w:rsid w:val="24CC674D"/>
    <w:rsid w:val="255A72CB"/>
    <w:rsid w:val="25755DC7"/>
    <w:rsid w:val="259D0504"/>
    <w:rsid w:val="25A4313C"/>
    <w:rsid w:val="25AC6452"/>
    <w:rsid w:val="25C94365"/>
    <w:rsid w:val="2608255B"/>
    <w:rsid w:val="261D7B4D"/>
    <w:rsid w:val="263317DE"/>
    <w:rsid w:val="26D174D9"/>
    <w:rsid w:val="26E72CF4"/>
    <w:rsid w:val="27005B64"/>
    <w:rsid w:val="275E73AA"/>
    <w:rsid w:val="27B44FDE"/>
    <w:rsid w:val="27D87FFE"/>
    <w:rsid w:val="281178FD"/>
    <w:rsid w:val="28784CA4"/>
    <w:rsid w:val="29AE77EA"/>
    <w:rsid w:val="2AAF7B61"/>
    <w:rsid w:val="2B2B395D"/>
    <w:rsid w:val="2B5F5EEC"/>
    <w:rsid w:val="2B963B29"/>
    <w:rsid w:val="2B964CE9"/>
    <w:rsid w:val="2C4E2ECE"/>
    <w:rsid w:val="2C770676"/>
    <w:rsid w:val="2C9F197B"/>
    <w:rsid w:val="2D2B5693"/>
    <w:rsid w:val="2D526682"/>
    <w:rsid w:val="2D765812"/>
    <w:rsid w:val="2DDF4725"/>
    <w:rsid w:val="2E17007B"/>
    <w:rsid w:val="2E1C1A4E"/>
    <w:rsid w:val="2E2E2A74"/>
    <w:rsid w:val="2EE87E8E"/>
    <w:rsid w:val="2F160975"/>
    <w:rsid w:val="2F1C5580"/>
    <w:rsid w:val="30004E27"/>
    <w:rsid w:val="30493B22"/>
    <w:rsid w:val="307F6FC1"/>
    <w:rsid w:val="30C47B1A"/>
    <w:rsid w:val="30C52075"/>
    <w:rsid w:val="31390E29"/>
    <w:rsid w:val="321150C9"/>
    <w:rsid w:val="3234700A"/>
    <w:rsid w:val="327A0EC0"/>
    <w:rsid w:val="32DC7485"/>
    <w:rsid w:val="334E4251"/>
    <w:rsid w:val="33922A6E"/>
    <w:rsid w:val="33C6541B"/>
    <w:rsid w:val="33CF6FEA"/>
    <w:rsid w:val="33D150A0"/>
    <w:rsid w:val="34073DC1"/>
    <w:rsid w:val="34AE30A3"/>
    <w:rsid w:val="34E46AC5"/>
    <w:rsid w:val="353E2C88"/>
    <w:rsid w:val="35513FA6"/>
    <w:rsid w:val="359A28A4"/>
    <w:rsid w:val="359D2ADB"/>
    <w:rsid w:val="35A5709A"/>
    <w:rsid w:val="35E86141"/>
    <w:rsid w:val="36691691"/>
    <w:rsid w:val="36865C16"/>
    <w:rsid w:val="36D84407"/>
    <w:rsid w:val="36D93CDC"/>
    <w:rsid w:val="371B152F"/>
    <w:rsid w:val="373C25FC"/>
    <w:rsid w:val="373C4996"/>
    <w:rsid w:val="37C266E6"/>
    <w:rsid w:val="382A1FC1"/>
    <w:rsid w:val="386A6093"/>
    <w:rsid w:val="387D5266"/>
    <w:rsid w:val="38F82B3F"/>
    <w:rsid w:val="38FB262F"/>
    <w:rsid w:val="397562CE"/>
    <w:rsid w:val="39B21AF3"/>
    <w:rsid w:val="3AD73E74"/>
    <w:rsid w:val="3B1E43B3"/>
    <w:rsid w:val="3B532EF7"/>
    <w:rsid w:val="3B855FEA"/>
    <w:rsid w:val="3BEE0229"/>
    <w:rsid w:val="3CAD0641"/>
    <w:rsid w:val="3CBF318A"/>
    <w:rsid w:val="3CD62E19"/>
    <w:rsid w:val="3D023F8C"/>
    <w:rsid w:val="3D874491"/>
    <w:rsid w:val="3DBA03C3"/>
    <w:rsid w:val="3DBE2C48"/>
    <w:rsid w:val="3DFE0BF8"/>
    <w:rsid w:val="3E1D6BA4"/>
    <w:rsid w:val="3E2738A8"/>
    <w:rsid w:val="3E823D9C"/>
    <w:rsid w:val="3EF57EE3"/>
    <w:rsid w:val="3F0002E8"/>
    <w:rsid w:val="3F422D66"/>
    <w:rsid w:val="3F650E49"/>
    <w:rsid w:val="3F7B4088"/>
    <w:rsid w:val="3F896D1E"/>
    <w:rsid w:val="3F8F7432"/>
    <w:rsid w:val="3FA05CDE"/>
    <w:rsid w:val="3FEE0B1B"/>
    <w:rsid w:val="3FF62B90"/>
    <w:rsid w:val="40B02A44"/>
    <w:rsid w:val="412070D7"/>
    <w:rsid w:val="416961B4"/>
    <w:rsid w:val="42044303"/>
    <w:rsid w:val="43327E6D"/>
    <w:rsid w:val="436F6E9D"/>
    <w:rsid w:val="4374370A"/>
    <w:rsid w:val="43770767"/>
    <w:rsid w:val="43C149B3"/>
    <w:rsid w:val="43E4263E"/>
    <w:rsid w:val="43E53CC0"/>
    <w:rsid w:val="44366C11"/>
    <w:rsid w:val="448F230B"/>
    <w:rsid w:val="44A00C15"/>
    <w:rsid w:val="44B25E12"/>
    <w:rsid w:val="44C05F55"/>
    <w:rsid w:val="44E4666D"/>
    <w:rsid w:val="453C42DE"/>
    <w:rsid w:val="454B1FB5"/>
    <w:rsid w:val="45554639"/>
    <w:rsid w:val="45587617"/>
    <w:rsid w:val="458F482B"/>
    <w:rsid w:val="45D418B0"/>
    <w:rsid w:val="45EF0E26"/>
    <w:rsid w:val="463602FE"/>
    <w:rsid w:val="46B02CAB"/>
    <w:rsid w:val="46D379EE"/>
    <w:rsid w:val="47111F22"/>
    <w:rsid w:val="477535AD"/>
    <w:rsid w:val="478F0569"/>
    <w:rsid w:val="48C22822"/>
    <w:rsid w:val="49362386"/>
    <w:rsid w:val="494B4D38"/>
    <w:rsid w:val="4A280DAA"/>
    <w:rsid w:val="4A2B43F6"/>
    <w:rsid w:val="4AF665DB"/>
    <w:rsid w:val="4BF50E1B"/>
    <w:rsid w:val="4C6136BC"/>
    <w:rsid w:val="4D6709E0"/>
    <w:rsid w:val="4DC024C2"/>
    <w:rsid w:val="4E4903AB"/>
    <w:rsid w:val="4E5C24BE"/>
    <w:rsid w:val="4F072EB6"/>
    <w:rsid w:val="4F0973FC"/>
    <w:rsid w:val="4F4C553B"/>
    <w:rsid w:val="4F6B3C13"/>
    <w:rsid w:val="4F710AFD"/>
    <w:rsid w:val="4FA2487D"/>
    <w:rsid w:val="500C1BD0"/>
    <w:rsid w:val="50146059"/>
    <w:rsid w:val="502B3828"/>
    <w:rsid w:val="505A00E5"/>
    <w:rsid w:val="508724EC"/>
    <w:rsid w:val="509D098A"/>
    <w:rsid w:val="50B9275C"/>
    <w:rsid w:val="50DB6B76"/>
    <w:rsid w:val="50E7376D"/>
    <w:rsid w:val="50F419E6"/>
    <w:rsid w:val="51A84DA0"/>
    <w:rsid w:val="51C508AC"/>
    <w:rsid w:val="51F9323E"/>
    <w:rsid w:val="5201085F"/>
    <w:rsid w:val="530421B7"/>
    <w:rsid w:val="535C0F98"/>
    <w:rsid w:val="539A73DA"/>
    <w:rsid w:val="53C16C53"/>
    <w:rsid w:val="53FD794C"/>
    <w:rsid w:val="54C31DFB"/>
    <w:rsid w:val="54DE67DD"/>
    <w:rsid w:val="54EF05B0"/>
    <w:rsid w:val="55294815"/>
    <w:rsid w:val="55D70BBA"/>
    <w:rsid w:val="5603041A"/>
    <w:rsid w:val="56995E4A"/>
    <w:rsid w:val="56F16D72"/>
    <w:rsid w:val="570E3BC9"/>
    <w:rsid w:val="574C257C"/>
    <w:rsid w:val="578A6FDC"/>
    <w:rsid w:val="58591DB3"/>
    <w:rsid w:val="586364FE"/>
    <w:rsid w:val="587C3386"/>
    <w:rsid w:val="598750F8"/>
    <w:rsid w:val="598B3ADC"/>
    <w:rsid w:val="59DA0090"/>
    <w:rsid w:val="5A117165"/>
    <w:rsid w:val="5A165268"/>
    <w:rsid w:val="5AAC0B7B"/>
    <w:rsid w:val="5AE12A2F"/>
    <w:rsid w:val="5AF12404"/>
    <w:rsid w:val="5AFF5D23"/>
    <w:rsid w:val="5B465572"/>
    <w:rsid w:val="5B542BB5"/>
    <w:rsid w:val="5B7B3430"/>
    <w:rsid w:val="5B905602"/>
    <w:rsid w:val="5BFE196B"/>
    <w:rsid w:val="5C434B04"/>
    <w:rsid w:val="5C5F337B"/>
    <w:rsid w:val="5C606182"/>
    <w:rsid w:val="5C945650"/>
    <w:rsid w:val="5CCB5CF1"/>
    <w:rsid w:val="5CE24DE9"/>
    <w:rsid w:val="5D192F00"/>
    <w:rsid w:val="5D2957D4"/>
    <w:rsid w:val="5D3170F7"/>
    <w:rsid w:val="5D635F29"/>
    <w:rsid w:val="5E1A0690"/>
    <w:rsid w:val="5E443BB9"/>
    <w:rsid w:val="5E8E59DB"/>
    <w:rsid w:val="5E9C52FC"/>
    <w:rsid w:val="5EDA215A"/>
    <w:rsid w:val="5F7B5377"/>
    <w:rsid w:val="5FC5493D"/>
    <w:rsid w:val="5FDA668E"/>
    <w:rsid w:val="5FE817FC"/>
    <w:rsid w:val="60C662B0"/>
    <w:rsid w:val="614F5AAA"/>
    <w:rsid w:val="61612335"/>
    <w:rsid w:val="618B0314"/>
    <w:rsid w:val="618E617C"/>
    <w:rsid w:val="62210161"/>
    <w:rsid w:val="62426A55"/>
    <w:rsid w:val="62620EA5"/>
    <w:rsid w:val="636C322C"/>
    <w:rsid w:val="63A9542B"/>
    <w:rsid w:val="63C45248"/>
    <w:rsid w:val="64231A01"/>
    <w:rsid w:val="645C36D2"/>
    <w:rsid w:val="64A823EE"/>
    <w:rsid w:val="64F47DAF"/>
    <w:rsid w:val="653528A1"/>
    <w:rsid w:val="6568477B"/>
    <w:rsid w:val="65D9727E"/>
    <w:rsid w:val="66092190"/>
    <w:rsid w:val="6616004D"/>
    <w:rsid w:val="670C5E03"/>
    <w:rsid w:val="67297A59"/>
    <w:rsid w:val="673D77EB"/>
    <w:rsid w:val="674B0307"/>
    <w:rsid w:val="68056416"/>
    <w:rsid w:val="68AF6130"/>
    <w:rsid w:val="68D52A0C"/>
    <w:rsid w:val="69336592"/>
    <w:rsid w:val="694873CC"/>
    <w:rsid w:val="69697EAE"/>
    <w:rsid w:val="6A3221DF"/>
    <w:rsid w:val="6A634EBD"/>
    <w:rsid w:val="6B045A85"/>
    <w:rsid w:val="6B611FF3"/>
    <w:rsid w:val="6BBE5887"/>
    <w:rsid w:val="6C685538"/>
    <w:rsid w:val="6CBE0F61"/>
    <w:rsid w:val="6CF52916"/>
    <w:rsid w:val="6D3E3DB8"/>
    <w:rsid w:val="6D684F24"/>
    <w:rsid w:val="6D9640F9"/>
    <w:rsid w:val="6DA75F6F"/>
    <w:rsid w:val="6E2B19AF"/>
    <w:rsid w:val="6E4B2073"/>
    <w:rsid w:val="6E906FA7"/>
    <w:rsid w:val="6F213EE0"/>
    <w:rsid w:val="6F5F4C45"/>
    <w:rsid w:val="6F7D6439"/>
    <w:rsid w:val="6FEA072C"/>
    <w:rsid w:val="70193F05"/>
    <w:rsid w:val="706F62D9"/>
    <w:rsid w:val="70A578CD"/>
    <w:rsid w:val="70CC4358"/>
    <w:rsid w:val="70EE795A"/>
    <w:rsid w:val="71014B4C"/>
    <w:rsid w:val="710263A0"/>
    <w:rsid w:val="71794A72"/>
    <w:rsid w:val="71811B01"/>
    <w:rsid w:val="71942578"/>
    <w:rsid w:val="71C70D25"/>
    <w:rsid w:val="72273572"/>
    <w:rsid w:val="72742155"/>
    <w:rsid w:val="727C7D91"/>
    <w:rsid w:val="729F1A1A"/>
    <w:rsid w:val="72C139C6"/>
    <w:rsid w:val="73080CB7"/>
    <w:rsid w:val="73643DB0"/>
    <w:rsid w:val="73DD6CCD"/>
    <w:rsid w:val="74082F2F"/>
    <w:rsid w:val="74562606"/>
    <w:rsid w:val="745848E3"/>
    <w:rsid w:val="76832D41"/>
    <w:rsid w:val="76AB7194"/>
    <w:rsid w:val="76F07B02"/>
    <w:rsid w:val="771C22DF"/>
    <w:rsid w:val="776741D3"/>
    <w:rsid w:val="77731007"/>
    <w:rsid w:val="779F3BAA"/>
    <w:rsid w:val="77AF64E3"/>
    <w:rsid w:val="77EA6925"/>
    <w:rsid w:val="78256029"/>
    <w:rsid w:val="784729D6"/>
    <w:rsid w:val="78CA10FB"/>
    <w:rsid w:val="79336AD9"/>
    <w:rsid w:val="795B0DD1"/>
    <w:rsid w:val="79690914"/>
    <w:rsid w:val="797F1EE5"/>
    <w:rsid w:val="799C7E72"/>
    <w:rsid w:val="79B576B5"/>
    <w:rsid w:val="79CC547B"/>
    <w:rsid w:val="79FD082D"/>
    <w:rsid w:val="7A7D6734"/>
    <w:rsid w:val="7A9664B3"/>
    <w:rsid w:val="7AA82DF7"/>
    <w:rsid w:val="7AD46261"/>
    <w:rsid w:val="7B7A7500"/>
    <w:rsid w:val="7BFA4E06"/>
    <w:rsid w:val="7BFA6A5C"/>
    <w:rsid w:val="7C635AEE"/>
    <w:rsid w:val="7C8B6369"/>
    <w:rsid w:val="7C931859"/>
    <w:rsid w:val="7D6666ED"/>
    <w:rsid w:val="7DA915FA"/>
    <w:rsid w:val="7E8B4E88"/>
    <w:rsid w:val="7EDA3278"/>
    <w:rsid w:val="7F122F5D"/>
    <w:rsid w:val="7F831A0E"/>
    <w:rsid w:val="7FD31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0"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link w:val="146"/>
    <w:unhideWhenUsed/>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0"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link w:val="42"/>
    <w:qFormat/>
    <w:uiPriority w:val="0"/>
    <w:rPr>
      <w:sz w:val="18"/>
      <w:szCs w:val="18"/>
    </w:rPr>
  </w:style>
  <w:style w:type="paragraph" w:styleId="16">
    <w:name w:val="footer"/>
    <w:basedOn w:val="1"/>
    <w:link w:val="53"/>
    <w:qFormat/>
    <w:uiPriority w:val="99"/>
    <w:pPr>
      <w:snapToGrid w:val="0"/>
      <w:ind w:right="210" w:rightChars="100"/>
      <w:jc w:val="right"/>
    </w:pPr>
    <w:rPr>
      <w:sz w:val="18"/>
      <w:szCs w:val="18"/>
    </w:rPr>
  </w:style>
  <w:style w:type="paragraph" w:styleId="17">
    <w:name w:val="header"/>
    <w:basedOn w:val="1"/>
    <w:link w:val="41"/>
    <w:qFormat/>
    <w:uiPriority w:val="99"/>
    <w:pPr>
      <w:snapToGrid w:val="0"/>
      <w:jc w:val="left"/>
    </w:pPr>
    <w:rPr>
      <w:sz w:val="18"/>
      <w:szCs w:val="18"/>
    </w:rPr>
  </w:style>
  <w:style w:type="paragraph" w:styleId="18">
    <w:name w:val="toc 1"/>
    <w:basedOn w:val="1"/>
    <w:next w:val="1"/>
    <w:semiHidden/>
    <w:qFormat/>
    <w:uiPriority w:val="0"/>
    <w:pPr>
      <w:tabs>
        <w:tab w:val="right" w:leader="dot" w:pos="9242"/>
      </w:tabs>
      <w:spacing w:beforeLines="25" w:afterLines="25"/>
      <w:jc w:val="left"/>
    </w:pPr>
    <w:rPr>
      <w:rFonts w:ascii="宋体"/>
      <w:szCs w:val="21"/>
    </w:rPr>
  </w:style>
  <w:style w:type="paragraph" w:styleId="19">
    <w:name w:val="toc 4"/>
    <w:basedOn w:val="1"/>
    <w:next w:val="1"/>
    <w:semiHidden/>
    <w:qFormat/>
    <w:uiPriority w:val="0"/>
    <w:pPr>
      <w:tabs>
        <w:tab w:val="right" w:leader="dot" w:pos="9241"/>
      </w:tabs>
      <w:ind w:firstLine="200"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3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tabs>
        <w:tab w:val="left" w:pos="0"/>
      </w:tabs>
      <w:snapToGrid w:val="0"/>
      <w:ind w:left="720" w:hanging="357"/>
      <w:jc w:val="left"/>
    </w:pPr>
    <w:rPr>
      <w:rFonts w:ascii="宋体"/>
      <w:sz w:val="18"/>
      <w:szCs w:val="18"/>
    </w:rPr>
  </w:style>
  <w:style w:type="paragraph" w:styleId="24">
    <w:name w:val="toc 6"/>
    <w:basedOn w:val="1"/>
    <w:next w:val="1"/>
    <w:semiHidden/>
    <w:qFormat/>
    <w:uiPriority w:val="0"/>
    <w:pPr>
      <w:tabs>
        <w:tab w:val="right" w:leader="dot" w:pos="9241"/>
      </w:tabs>
      <w:ind w:firstLine="400"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2"/>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link w:val="147"/>
    <w:semiHidden/>
    <w:unhideWhenUsed/>
    <w:qFormat/>
    <w:uiPriority w:val="0"/>
    <w:rPr>
      <w:b/>
      <w:bCs/>
    </w:rPr>
  </w:style>
  <w:style w:type="table" w:styleId="32">
    <w:name w:val="Table Grid"/>
    <w:basedOn w:val="31"/>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Hyperlink"/>
    <w:qFormat/>
    <w:uiPriority w:val="0"/>
    <w:rPr>
      <w:color w:val="0000FF"/>
      <w:spacing w:val="0"/>
      <w:w w:val="100"/>
      <w:szCs w:val="21"/>
      <w:u w:val="single"/>
      <w:lang w:val="en-US" w:eastAsia="zh-CN"/>
    </w:rPr>
  </w:style>
  <w:style w:type="character" w:styleId="37">
    <w:name w:val="annotation reference"/>
    <w:basedOn w:val="33"/>
    <w:unhideWhenUsed/>
    <w:qFormat/>
    <w:uiPriority w:val="0"/>
    <w:rPr>
      <w:sz w:val="21"/>
      <w:szCs w:val="21"/>
    </w:rPr>
  </w:style>
  <w:style w:type="character" w:styleId="38">
    <w:name w:val="footnote reference"/>
    <w:semiHidden/>
    <w:qFormat/>
    <w:uiPriority w:val="0"/>
    <w:rPr>
      <w:vertAlign w:val="superscript"/>
    </w:rPr>
  </w:style>
  <w:style w:type="character" w:customStyle="1" w:styleId="39">
    <w:name w:val="段 Char"/>
    <w:link w:val="22"/>
    <w:qFormat/>
    <w:uiPriority w:val="0"/>
    <w:rPr>
      <w:rFonts w:ascii="宋体"/>
      <w:sz w:val="21"/>
      <w:lang w:val="en-US" w:eastAsia="zh-CN" w:bidi="ar-SA"/>
    </w:rPr>
  </w:style>
  <w:style w:type="character" w:customStyle="1" w:styleId="40">
    <w:name w:val="访问过的超链接1"/>
    <w:qFormat/>
    <w:uiPriority w:val="0"/>
    <w:rPr>
      <w:color w:val="800080"/>
      <w:u w:val="single"/>
    </w:rPr>
  </w:style>
  <w:style w:type="character" w:customStyle="1" w:styleId="41">
    <w:name w:val="页眉 字符"/>
    <w:link w:val="17"/>
    <w:qFormat/>
    <w:locked/>
    <w:uiPriority w:val="99"/>
    <w:rPr>
      <w:kern w:val="2"/>
      <w:sz w:val="18"/>
      <w:szCs w:val="18"/>
    </w:rPr>
  </w:style>
  <w:style w:type="character" w:customStyle="1" w:styleId="42">
    <w:name w:val="批注框文本 字符"/>
    <w:link w:val="15"/>
    <w:qFormat/>
    <w:uiPriority w:val="0"/>
    <w:rPr>
      <w:kern w:val="2"/>
      <w:sz w:val="18"/>
      <w:szCs w:val="18"/>
    </w:rPr>
  </w:style>
  <w:style w:type="character" w:customStyle="1" w:styleId="43">
    <w:name w:val="发布"/>
    <w:qFormat/>
    <w:uiPriority w:val="0"/>
    <w:rPr>
      <w:rFonts w:ascii="黑体" w:eastAsia="黑体"/>
      <w:spacing w:val="85"/>
      <w:w w:val="100"/>
      <w:position w:val="3"/>
      <w:sz w:val="28"/>
      <w:szCs w:val="28"/>
    </w:rPr>
  </w:style>
  <w:style w:type="character" w:customStyle="1" w:styleId="44">
    <w:name w:val="章标题 Char"/>
    <w:link w:val="45"/>
    <w:qFormat/>
    <w:locked/>
    <w:uiPriority w:val="0"/>
    <w:rPr>
      <w:rFonts w:ascii="黑体" w:eastAsia="黑体"/>
      <w:sz w:val="21"/>
    </w:rPr>
  </w:style>
  <w:style w:type="paragraph" w:customStyle="1" w:styleId="45">
    <w:name w:val="章标题"/>
    <w:next w:val="22"/>
    <w:link w:val="44"/>
    <w:qFormat/>
    <w:uiPriority w:val="0"/>
    <w:pPr>
      <w:spacing w:beforeLines="100" w:afterLines="100"/>
      <w:jc w:val="both"/>
      <w:outlineLvl w:val="1"/>
    </w:pPr>
    <w:rPr>
      <w:rFonts w:ascii="黑体" w:hAnsi="Times New Roman" w:eastAsia="黑体" w:cs="Times New Roman"/>
      <w:sz w:val="21"/>
      <w:lang w:val="en-US" w:eastAsia="zh-CN" w:bidi="ar-SA"/>
    </w:rPr>
  </w:style>
  <w:style w:type="character" w:customStyle="1" w:styleId="46">
    <w:name w:val="一级条标题 Char"/>
    <w:link w:val="47"/>
    <w:qFormat/>
    <w:locked/>
    <w:uiPriority w:val="0"/>
    <w:rPr>
      <w:rFonts w:ascii="黑体" w:eastAsia="黑体"/>
      <w:sz w:val="21"/>
      <w:szCs w:val="21"/>
    </w:rPr>
  </w:style>
  <w:style w:type="paragraph" w:customStyle="1" w:styleId="47">
    <w:name w:val="一级条标题"/>
    <w:next w:val="22"/>
    <w:link w:val="46"/>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48">
    <w:name w:val="二级无 Char"/>
    <w:link w:val="49"/>
    <w:qFormat/>
    <w:locked/>
    <w:uiPriority w:val="0"/>
    <w:rPr>
      <w:rFonts w:ascii="宋体"/>
      <w:sz w:val="21"/>
      <w:szCs w:val="21"/>
    </w:rPr>
  </w:style>
  <w:style w:type="paragraph" w:customStyle="1" w:styleId="49">
    <w:name w:val="二级无"/>
    <w:basedOn w:val="50"/>
    <w:link w:val="48"/>
    <w:qFormat/>
    <w:uiPriority w:val="0"/>
    <w:pPr>
      <w:tabs>
        <w:tab w:val="left" w:pos="0"/>
      </w:tabs>
      <w:spacing w:beforeLines="0" w:afterLines="0"/>
    </w:pPr>
    <w:rPr>
      <w:rFonts w:ascii="宋体" w:eastAsia="宋体"/>
    </w:rPr>
  </w:style>
  <w:style w:type="paragraph" w:customStyle="1" w:styleId="50">
    <w:name w:val="二级条标题"/>
    <w:basedOn w:val="47"/>
    <w:next w:val="22"/>
    <w:link w:val="145"/>
    <w:qFormat/>
    <w:uiPriority w:val="0"/>
    <w:pPr>
      <w:numPr>
        <w:ilvl w:val="2"/>
      </w:numPr>
      <w:spacing w:before="50" w:after="50"/>
      <w:outlineLvl w:val="3"/>
    </w:pPr>
  </w:style>
  <w:style w:type="character" w:customStyle="1" w:styleId="51">
    <w:name w:val="附录公式 Char"/>
    <w:basedOn w:val="39"/>
    <w:link w:val="52"/>
    <w:qFormat/>
    <w:uiPriority w:val="0"/>
    <w:rPr>
      <w:rFonts w:ascii="宋体"/>
      <w:sz w:val="21"/>
      <w:lang w:val="en-US" w:eastAsia="zh-CN" w:bidi="ar-SA"/>
    </w:rPr>
  </w:style>
  <w:style w:type="paragraph" w:customStyle="1" w:styleId="52">
    <w:name w:val="附录公式"/>
    <w:basedOn w:val="22"/>
    <w:next w:val="22"/>
    <w:link w:val="51"/>
    <w:qFormat/>
    <w:uiPriority w:val="0"/>
  </w:style>
  <w:style w:type="character" w:customStyle="1" w:styleId="53">
    <w:name w:val="页脚 字符"/>
    <w:link w:val="16"/>
    <w:qFormat/>
    <w:locked/>
    <w:uiPriority w:val="99"/>
    <w:rPr>
      <w:kern w:val="2"/>
      <w:sz w:val="18"/>
      <w:szCs w:val="18"/>
    </w:rPr>
  </w:style>
  <w:style w:type="character" w:customStyle="1" w:styleId="54">
    <w:name w:val="首示例 Char"/>
    <w:link w:val="55"/>
    <w:qFormat/>
    <w:uiPriority w:val="0"/>
    <w:rPr>
      <w:rFonts w:ascii="宋体" w:hAnsi="宋体"/>
      <w:kern w:val="2"/>
      <w:sz w:val="18"/>
      <w:szCs w:val="18"/>
    </w:rPr>
  </w:style>
  <w:style w:type="paragraph" w:customStyle="1" w:styleId="55">
    <w:name w:val="首示例"/>
    <w:next w:val="22"/>
    <w:link w:val="54"/>
    <w:qFormat/>
    <w:uiPriority w:val="0"/>
    <w:pPr>
      <w:tabs>
        <w:tab w:val="left" w:pos="360"/>
      </w:tabs>
    </w:pPr>
    <w:rPr>
      <w:rFonts w:ascii="宋体" w:hAnsi="宋体" w:eastAsia="宋体" w:cs="Times New Roman"/>
      <w:kern w:val="2"/>
      <w:sz w:val="18"/>
      <w:szCs w:val="18"/>
      <w:lang w:val="en-US" w:eastAsia="zh-CN" w:bidi="ar-SA"/>
    </w:rPr>
  </w:style>
  <w:style w:type="paragraph" w:customStyle="1" w:styleId="56">
    <w:name w:val="标准文件_附录一级条标题"/>
    <w:basedOn w:val="1"/>
    <w:next w:val="1"/>
    <w:qFormat/>
    <w:uiPriority w:val="0"/>
    <w:pPr>
      <w:widowControl/>
      <w:wordWrap w:val="0"/>
      <w:overflowPunct w:val="0"/>
      <w:autoSpaceDE w:val="0"/>
      <w:autoSpaceDN w:val="0"/>
      <w:ind w:left="-50" w:leftChars="-50" w:right="-50" w:rightChars="-50"/>
      <w:textAlignment w:val="baseline"/>
      <w:outlineLvl w:val="2"/>
    </w:pPr>
    <w:rPr>
      <w:rFonts w:ascii="黑体" w:eastAsia="黑体"/>
      <w:spacing w:val="2"/>
      <w:kern w:val="21"/>
      <w:szCs w:val="20"/>
    </w:rPr>
  </w:style>
  <w:style w:type="paragraph" w:customStyle="1" w:styleId="57">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8">
    <w:name w:val="目次、标准名称标题"/>
    <w:basedOn w:val="1"/>
    <w:next w:val="22"/>
    <w:qFormat/>
    <w:uiPriority w:val="9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9">
    <w:name w:val="正文图标题"/>
    <w:next w:val="22"/>
    <w:qFormat/>
    <w:uiPriority w:val="99"/>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6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61">
    <w:name w:val="示例后文字"/>
    <w:basedOn w:val="22"/>
    <w:next w:val="22"/>
    <w:qFormat/>
    <w:uiPriority w:val="0"/>
    <w:pPr>
      <w:ind w:firstLine="360"/>
    </w:pPr>
    <w:rPr>
      <w:sz w:val="18"/>
    </w:rPr>
  </w:style>
  <w:style w:type="paragraph" w:customStyle="1" w:styleId="6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63">
    <w:name w:val="标准书眉一"/>
    <w:qFormat/>
    <w:uiPriority w:val="0"/>
    <w:pPr>
      <w:jc w:val="both"/>
    </w:pPr>
    <w:rPr>
      <w:rFonts w:ascii="Times New Roman" w:hAnsi="Times New Roman" w:eastAsia="宋体" w:cs="Times New Roman"/>
      <w:lang w:val="en-US" w:eastAsia="zh-CN" w:bidi="ar-SA"/>
    </w:rPr>
  </w:style>
  <w:style w:type="paragraph" w:customStyle="1" w:styleId="64">
    <w:name w:val="附录表标号"/>
    <w:basedOn w:val="1"/>
    <w:next w:val="22"/>
    <w:qFormat/>
    <w:uiPriority w:val="0"/>
    <w:pPr>
      <w:spacing w:line="14" w:lineRule="exact"/>
      <w:ind w:left="811" w:hanging="448"/>
      <w:jc w:val="center"/>
      <w:outlineLvl w:val="0"/>
    </w:pPr>
    <w:rPr>
      <w:color w:val="FFFFFF"/>
    </w:rPr>
  </w:style>
  <w:style w:type="paragraph" w:customStyle="1" w:styleId="65">
    <w:name w:val="附录二级条标题"/>
    <w:basedOn w:val="1"/>
    <w:next w:val="22"/>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6">
    <w:name w:val="封面一致性程度标识"/>
    <w:basedOn w:val="67"/>
    <w:qFormat/>
    <w:uiPriority w:val="99"/>
    <w:pPr>
      <w:framePr w:wrap="around"/>
      <w:spacing w:before="440"/>
    </w:pPr>
    <w:rPr>
      <w:rFonts w:ascii="宋体" w:eastAsia="宋体"/>
    </w:rPr>
  </w:style>
  <w:style w:type="paragraph" w:customStyle="1" w:styleId="67">
    <w:name w:val="封面标准英文名称"/>
    <w:basedOn w:val="68"/>
    <w:qFormat/>
    <w:uiPriority w:val="0"/>
    <w:pPr>
      <w:framePr w:wrap="around"/>
      <w:spacing w:before="370" w:line="400" w:lineRule="exact"/>
    </w:pPr>
    <w:rPr>
      <w:rFonts w:ascii="Times New Roman"/>
      <w:sz w:val="28"/>
      <w:szCs w:val="28"/>
    </w:rPr>
  </w:style>
  <w:style w:type="paragraph" w:customStyle="1" w:styleId="6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9">
    <w:name w:val="附录二级无"/>
    <w:basedOn w:val="65"/>
    <w:qFormat/>
    <w:uiPriority w:val="0"/>
    <w:pPr>
      <w:tabs>
        <w:tab w:val="clear" w:pos="360"/>
      </w:tabs>
      <w:spacing w:beforeLines="0" w:afterLines="0"/>
    </w:pPr>
    <w:rPr>
      <w:rFonts w:ascii="宋体" w:eastAsia="宋体"/>
      <w:szCs w:val="21"/>
    </w:rPr>
  </w:style>
  <w:style w:type="paragraph" w:customStyle="1" w:styleId="70">
    <w:name w:val="一级无"/>
    <w:basedOn w:val="47"/>
    <w:qFormat/>
    <w:uiPriority w:val="0"/>
    <w:pPr>
      <w:spacing w:beforeLines="0" w:afterLines="0"/>
    </w:pPr>
    <w:rPr>
      <w:rFonts w:ascii="宋体" w:eastAsia="宋体"/>
    </w:rPr>
  </w:style>
  <w:style w:type="paragraph" w:customStyle="1" w:styleId="71">
    <w:name w:val="实施日期"/>
    <w:basedOn w:val="57"/>
    <w:qFormat/>
    <w:uiPriority w:val="0"/>
    <w:pPr>
      <w:framePr w:wrap="around" w:vAnchor="page" w:hAnchor="text"/>
      <w:jc w:val="right"/>
    </w:pPr>
  </w:style>
  <w:style w:type="paragraph" w:customStyle="1" w:styleId="72">
    <w:name w:val="四级无"/>
    <w:basedOn w:val="73"/>
    <w:qFormat/>
    <w:uiPriority w:val="0"/>
    <w:pPr>
      <w:tabs>
        <w:tab w:val="left" w:pos="0"/>
      </w:tabs>
      <w:spacing w:beforeLines="0" w:afterLines="0"/>
    </w:pPr>
    <w:rPr>
      <w:rFonts w:ascii="宋体" w:eastAsia="宋体"/>
    </w:rPr>
  </w:style>
  <w:style w:type="paragraph" w:customStyle="1" w:styleId="73">
    <w:name w:val="四级条标题"/>
    <w:basedOn w:val="74"/>
    <w:next w:val="22"/>
    <w:qFormat/>
    <w:uiPriority w:val="0"/>
    <w:pPr>
      <w:tabs>
        <w:tab w:val="left" w:pos="0"/>
      </w:tabs>
      <w:outlineLvl w:val="5"/>
    </w:pPr>
  </w:style>
  <w:style w:type="paragraph" w:customStyle="1" w:styleId="74">
    <w:name w:val="三级条标题"/>
    <w:basedOn w:val="50"/>
    <w:next w:val="22"/>
    <w:qFormat/>
    <w:uiPriority w:val="0"/>
    <w:pPr>
      <w:numPr>
        <w:ilvl w:val="0"/>
        <w:numId w:val="0"/>
      </w:numPr>
      <w:outlineLvl w:val="4"/>
    </w:pPr>
  </w:style>
  <w:style w:type="paragraph" w:customStyle="1" w:styleId="75">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76">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77">
    <w:name w:val="正文表标题"/>
    <w:next w:val="22"/>
    <w:qFormat/>
    <w:uiPriority w:val="0"/>
    <w:pPr>
      <w:numPr>
        <w:ilvl w:val="0"/>
        <w:numId w:val="3"/>
      </w:numPr>
      <w:tabs>
        <w:tab w:val="left" w:pos="360"/>
      </w:tabs>
      <w:spacing w:beforeLines="50" w:afterLines="50"/>
      <w:ind w:left="3118"/>
      <w:jc w:val="center"/>
    </w:pPr>
    <w:rPr>
      <w:rFonts w:ascii="黑体" w:hAnsi="Times New Roman" w:eastAsia="黑体" w:cs="Times New Roman"/>
      <w:sz w:val="21"/>
      <w:lang w:val="en-US" w:eastAsia="zh-CN" w:bidi="ar-SA"/>
    </w:rPr>
  </w:style>
  <w:style w:type="paragraph" w:customStyle="1" w:styleId="78">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79">
    <w:name w:val="图标脚注说明"/>
    <w:basedOn w:val="22"/>
    <w:qFormat/>
    <w:uiPriority w:val="0"/>
    <w:pPr>
      <w:ind w:left="840" w:hanging="420" w:firstLineChars="0"/>
    </w:pPr>
    <w:rPr>
      <w:sz w:val="18"/>
      <w:szCs w:val="18"/>
    </w:rPr>
  </w:style>
  <w:style w:type="paragraph" w:customStyle="1" w:styleId="80">
    <w:name w:val="列项◆（三级）"/>
    <w:basedOn w:val="1"/>
    <w:qFormat/>
    <w:uiPriority w:val="0"/>
    <w:pPr>
      <w:tabs>
        <w:tab w:val="left" w:pos="1678"/>
      </w:tabs>
      <w:ind w:left="1678" w:hanging="414"/>
    </w:pPr>
    <w:rPr>
      <w:rFonts w:ascii="宋体"/>
      <w:szCs w:val="21"/>
    </w:rPr>
  </w:style>
  <w:style w:type="paragraph" w:customStyle="1" w:styleId="8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2">
    <w:name w:val="附录三级条标题"/>
    <w:basedOn w:val="65"/>
    <w:next w:val="22"/>
    <w:qFormat/>
    <w:uiPriority w:val="0"/>
    <w:pPr>
      <w:outlineLvl w:val="4"/>
    </w:pPr>
  </w:style>
  <w:style w:type="paragraph" w:customStyle="1" w:styleId="8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4">
    <w:name w:val="附录五级无"/>
    <w:basedOn w:val="85"/>
    <w:qFormat/>
    <w:uiPriority w:val="0"/>
    <w:pPr>
      <w:tabs>
        <w:tab w:val="left" w:pos="360"/>
      </w:tabs>
      <w:spacing w:beforeLines="0" w:afterLines="0"/>
    </w:pPr>
    <w:rPr>
      <w:rFonts w:ascii="宋体" w:eastAsia="宋体"/>
      <w:szCs w:val="21"/>
    </w:rPr>
  </w:style>
  <w:style w:type="paragraph" w:customStyle="1" w:styleId="85">
    <w:name w:val="附录五级条标题"/>
    <w:basedOn w:val="86"/>
    <w:next w:val="22"/>
    <w:qFormat/>
    <w:uiPriority w:val="0"/>
    <w:pPr>
      <w:tabs>
        <w:tab w:val="left" w:pos="360"/>
      </w:tabs>
      <w:outlineLvl w:val="6"/>
    </w:pPr>
  </w:style>
  <w:style w:type="paragraph" w:customStyle="1" w:styleId="86">
    <w:name w:val="附录四级条标题"/>
    <w:basedOn w:val="82"/>
    <w:next w:val="22"/>
    <w:qFormat/>
    <w:uiPriority w:val="0"/>
    <w:pPr>
      <w:outlineLvl w:val="5"/>
    </w:pPr>
  </w:style>
  <w:style w:type="paragraph" w:customStyle="1" w:styleId="8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8">
    <w:name w:val="附录一级无"/>
    <w:basedOn w:val="89"/>
    <w:qFormat/>
    <w:uiPriority w:val="0"/>
    <w:pPr>
      <w:tabs>
        <w:tab w:val="left" w:pos="360"/>
      </w:tabs>
      <w:spacing w:beforeLines="0" w:afterLines="0"/>
    </w:pPr>
    <w:rPr>
      <w:rFonts w:ascii="宋体" w:eastAsia="宋体"/>
      <w:szCs w:val="21"/>
    </w:rPr>
  </w:style>
  <w:style w:type="paragraph" w:customStyle="1" w:styleId="89">
    <w:name w:val="附录一级条标题"/>
    <w:basedOn w:val="90"/>
    <w:next w:val="22"/>
    <w:qFormat/>
    <w:uiPriority w:val="0"/>
    <w:pPr>
      <w:tabs>
        <w:tab w:val="left" w:pos="360"/>
      </w:tabs>
      <w:autoSpaceDN w:val="0"/>
      <w:spacing w:beforeLines="50" w:afterLines="50"/>
      <w:outlineLvl w:val="2"/>
    </w:pPr>
  </w:style>
  <w:style w:type="paragraph" w:customStyle="1" w:styleId="90">
    <w:name w:val="附录章标题"/>
    <w:next w:val="22"/>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93">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4">
    <w:name w:val="附录图标题"/>
    <w:basedOn w:val="1"/>
    <w:next w:val="22"/>
    <w:qFormat/>
    <w:uiPriority w:val="0"/>
    <w:pPr>
      <w:tabs>
        <w:tab w:val="left" w:pos="363"/>
      </w:tabs>
      <w:spacing w:beforeLines="50" w:afterLines="50"/>
      <w:jc w:val="center"/>
    </w:pPr>
    <w:rPr>
      <w:rFonts w:ascii="黑体" w:eastAsia="黑体"/>
      <w:szCs w:val="21"/>
    </w:rPr>
  </w:style>
  <w:style w:type="paragraph" w:customStyle="1" w:styleId="95">
    <w:name w:val="注×："/>
    <w:qFormat/>
    <w:uiPriority w:val="99"/>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96">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98">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9">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00">
    <w:name w:val="条文脚注"/>
    <w:basedOn w:val="23"/>
    <w:qFormat/>
    <w:uiPriority w:val="0"/>
    <w:pPr>
      <w:ind w:left="0" w:firstLine="0"/>
      <w:jc w:val="both"/>
    </w:pPr>
  </w:style>
  <w:style w:type="paragraph" w:customStyle="1" w:styleId="10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2">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03">
    <w:name w:val="示例"/>
    <w:next w:val="104"/>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04">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05">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106">
    <w:name w:val="封面一致性程度标识2"/>
    <w:basedOn w:val="66"/>
    <w:qFormat/>
    <w:uiPriority w:val="0"/>
    <w:pPr>
      <w:framePr w:wrap="around" w:y="4469"/>
    </w:pPr>
  </w:style>
  <w:style w:type="paragraph" w:customStyle="1" w:styleId="107">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08">
    <w:name w:val="附录三级无"/>
    <w:basedOn w:val="82"/>
    <w:qFormat/>
    <w:uiPriority w:val="0"/>
    <w:pPr>
      <w:tabs>
        <w:tab w:val="clear" w:pos="360"/>
      </w:tabs>
      <w:spacing w:beforeLines="0" w:afterLines="0"/>
    </w:pPr>
    <w:rPr>
      <w:rFonts w:ascii="宋体" w:eastAsia="宋体"/>
      <w:szCs w:val="21"/>
    </w:rPr>
  </w:style>
  <w:style w:type="paragraph" w:customStyle="1" w:styleId="109">
    <w:name w:val="其他发布日期"/>
    <w:basedOn w:val="57"/>
    <w:qFormat/>
    <w:uiPriority w:val="99"/>
    <w:pPr>
      <w:framePr w:wrap="around" w:vAnchor="page" w:hAnchor="text" w:x="1419"/>
    </w:pPr>
  </w:style>
  <w:style w:type="paragraph" w:customStyle="1" w:styleId="110">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11">
    <w:name w:val="其他标准标志"/>
    <w:basedOn w:val="101"/>
    <w:qFormat/>
    <w:uiPriority w:val="0"/>
    <w:pPr>
      <w:framePr w:w="6101" w:wrap="around" w:vAnchor="page" w:hAnchor="page" w:x="4673" w:y="942"/>
    </w:pPr>
    <w:rPr>
      <w:w w:val="130"/>
    </w:rPr>
  </w:style>
  <w:style w:type="paragraph" w:customStyle="1" w:styleId="11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3">
    <w:name w:val="图表脚注说明"/>
    <w:basedOn w:val="1"/>
    <w:qFormat/>
    <w:uiPriority w:val="0"/>
    <w:pPr>
      <w:ind w:left="544" w:hanging="181"/>
    </w:pPr>
    <w:rPr>
      <w:rFonts w:ascii="宋体"/>
      <w:sz w:val="18"/>
      <w:szCs w:val="18"/>
    </w:rPr>
  </w:style>
  <w:style w:type="paragraph" w:customStyle="1" w:styleId="114">
    <w:name w:val="五级条标题"/>
    <w:basedOn w:val="73"/>
    <w:next w:val="22"/>
    <w:qFormat/>
    <w:uiPriority w:val="0"/>
    <w:pPr>
      <w:numPr>
        <w:ilvl w:val="5"/>
      </w:numPr>
      <w:outlineLvl w:val="6"/>
    </w:pPr>
  </w:style>
  <w:style w:type="paragraph" w:customStyle="1" w:styleId="115">
    <w:name w:val="封面标准文稿类别"/>
    <w:basedOn w:val="66"/>
    <w:qFormat/>
    <w:uiPriority w:val="0"/>
    <w:pPr>
      <w:framePr w:wrap="around"/>
      <w:spacing w:after="160" w:line="240" w:lineRule="auto"/>
    </w:pPr>
    <w:rPr>
      <w:sz w:val="24"/>
    </w:rPr>
  </w:style>
  <w:style w:type="paragraph" w:customStyle="1" w:styleId="11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7">
    <w:name w:val="示例×："/>
    <w:basedOn w:val="45"/>
    <w:qFormat/>
    <w:uiPriority w:val="0"/>
    <w:pPr>
      <w:spacing w:beforeLines="0" w:afterLines="0"/>
      <w:ind w:firstLine="363"/>
      <w:outlineLvl w:val="9"/>
    </w:pPr>
    <w:rPr>
      <w:rFonts w:ascii="宋体" w:eastAsia="宋体"/>
      <w:sz w:val="18"/>
      <w:szCs w:val="18"/>
    </w:rPr>
  </w:style>
  <w:style w:type="paragraph" w:customStyle="1" w:styleId="11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9">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120">
    <w:name w:val="附录标识"/>
    <w:basedOn w:val="1"/>
    <w:next w:val="22"/>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21">
    <w:name w:val="标准书眉_偶数页"/>
    <w:basedOn w:val="83"/>
    <w:next w:val="1"/>
    <w:qFormat/>
    <w:uiPriority w:val="0"/>
    <w:pPr>
      <w:jc w:val="left"/>
    </w:pPr>
  </w:style>
  <w:style w:type="paragraph" w:customStyle="1" w:styleId="122">
    <w:name w:val="封面标准文稿编辑信息"/>
    <w:basedOn w:val="115"/>
    <w:qFormat/>
    <w:uiPriority w:val="0"/>
    <w:pPr>
      <w:framePr w:wrap="around"/>
      <w:spacing w:before="180" w:line="180" w:lineRule="exact"/>
    </w:pPr>
    <w:rPr>
      <w:sz w:val="21"/>
    </w:rPr>
  </w:style>
  <w:style w:type="paragraph" w:customStyle="1" w:styleId="123">
    <w:name w:val="附录表标题"/>
    <w:basedOn w:val="1"/>
    <w:next w:val="22"/>
    <w:qFormat/>
    <w:uiPriority w:val="0"/>
    <w:pPr>
      <w:tabs>
        <w:tab w:val="left" w:pos="180"/>
      </w:tabs>
      <w:spacing w:beforeLines="50" w:afterLines="50"/>
      <w:jc w:val="center"/>
    </w:pPr>
    <w:rPr>
      <w:rFonts w:ascii="黑体" w:eastAsia="黑体"/>
      <w:szCs w:val="21"/>
    </w:rPr>
  </w:style>
  <w:style w:type="paragraph" w:customStyle="1" w:styleId="124">
    <w:name w:val="注："/>
    <w:next w:val="22"/>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25">
    <w:name w:val="注：（正文）"/>
    <w:basedOn w:val="124"/>
    <w:next w:val="22"/>
    <w:qFormat/>
    <w:uiPriority w:val="0"/>
  </w:style>
  <w:style w:type="paragraph" w:customStyle="1" w:styleId="126">
    <w:name w:val="封面正文"/>
    <w:qFormat/>
    <w:uiPriority w:val="0"/>
    <w:pPr>
      <w:jc w:val="both"/>
    </w:pPr>
    <w:rPr>
      <w:rFonts w:ascii="Times New Roman" w:hAnsi="Times New Roman" w:eastAsia="宋体" w:cs="Times New Roman"/>
      <w:lang w:val="en-US" w:eastAsia="zh-CN" w:bidi="ar-SA"/>
    </w:rPr>
  </w:style>
  <w:style w:type="paragraph" w:customStyle="1" w:styleId="127">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12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9">
    <w:name w:val="附录标题"/>
    <w:basedOn w:val="22"/>
    <w:next w:val="22"/>
    <w:qFormat/>
    <w:uiPriority w:val="0"/>
    <w:pPr>
      <w:ind w:firstLine="0" w:firstLineChars="0"/>
      <w:jc w:val="center"/>
    </w:pPr>
    <w:rPr>
      <w:rFonts w:ascii="黑体" w:eastAsia="黑体"/>
    </w:rPr>
  </w:style>
  <w:style w:type="paragraph" w:customStyle="1" w:styleId="130">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31">
    <w:name w:val="封面标准名称2"/>
    <w:basedOn w:val="68"/>
    <w:qFormat/>
    <w:uiPriority w:val="0"/>
    <w:pPr>
      <w:framePr w:wrap="around" w:y="4469"/>
      <w:spacing w:beforeLines="630"/>
    </w:pPr>
  </w:style>
  <w:style w:type="paragraph" w:customStyle="1" w:styleId="132">
    <w:name w:val="发布部门"/>
    <w:next w:val="22"/>
    <w:qFormat/>
    <w:uiPriority w:val="99"/>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33">
    <w:name w:val="封面标准文稿编辑信息2"/>
    <w:basedOn w:val="122"/>
    <w:qFormat/>
    <w:uiPriority w:val="0"/>
    <w:pPr>
      <w:framePr w:wrap="around" w:y="4469"/>
    </w:pPr>
  </w:style>
  <w:style w:type="paragraph" w:customStyle="1" w:styleId="134">
    <w:name w:val="其他发布部门"/>
    <w:basedOn w:val="132"/>
    <w:qFormat/>
    <w:uiPriority w:val="0"/>
    <w:pPr>
      <w:framePr w:wrap="around" w:y="15310"/>
      <w:spacing w:line="0" w:lineRule="atLeast"/>
    </w:pPr>
    <w:rPr>
      <w:rFonts w:ascii="黑体" w:eastAsia="黑体"/>
      <w:b w:val="0"/>
    </w:rPr>
  </w:style>
  <w:style w:type="paragraph" w:customStyle="1" w:styleId="135">
    <w:name w:val="附录四级无"/>
    <w:basedOn w:val="86"/>
    <w:qFormat/>
    <w:uiPriority w:val="0"/>
    <w:pPr>
      <w:tabs>
        <w:tab w:val="clear" w:pos="360"/>
      </w:tabs>
      <w:spacing w:beforeLines="0" w:afterLines="0"/>
    </w:pPr>
    <w:rPr>
      <w:rFonts w:ascii="宋体" w:eastAsia="宋体"/>
      <w:szCs w:val="21"/>
    </w:rPr>
  </w:style>
  <w:style w:type="paragraph" w:customStyle="1" w:styleId="136">
    <w:name w:val="三级无"/>
    <w:basedOn w:val="74"/>
    <w:qFormat/>
    <w:uiPriority w:val="0"/>
    <w:pPr>
      <w:spacing w:beforeLines="0" w:afterLines="0"/>
    </w:pPr>
    <w:rPr>
      <w:rFonts w:ascii="宋体" w:eastAsia="宋体"/>
    </w:rPr>
  </w:style>
  <w:style w:type="paragraph" w:customStyle="1" w:styleId="137">
    <w:name w:val="五级无"/>
    <w:basedOn w:val="114"/>
    <w:qFormat/>
    <w:uiPriority w:val="0"/>
    <w:pPr>
      <w:spacing w:beforeLines="0" w:afterLines="0"/>
    </w:pPr>
    <w:rPr>
      <w:rFonts w:ascii="宋体" w:eastAsia="宋体"/>
    </w:rPr>
  </w:style>
  <w:style w:type="paragraph" w:customStyle="1" w:styleId="138">
    <w:name w:val="正文公式编号制表符"/>
    <w:basedOn w:val="22"/>
    <w:next w:val="22"/>
    <w:qFormat/>
    <w:uiPriority w:val="0"/>
    <w:pPr>
      <w:ind w:firstLine="0" w:firstLineChars="0"/>
    </w:pPr>
  </w:style>
  <w:style w:type="paragraph" w:customStyle="1" w:styleId="139">
    <w:name w:val="终结线"/>
    <w:basedOn w:val="1"/>
    <w:qFormat/>
    <w:uiPriority w:val="0"/>
    <w:pPr>
      <w:framePr w:hSpace="181" w:vSpace="181" w:wrap="around" w:vAnchor="text" w:hAnchor="margin" w:xAlign="center" w:y="285"/>
    </w:pPr>
  </w:style>
  <w:style w:type="paragraph" w:customStyle="1" w:styleId="140">
    <w:name w:val="其他实施日期"/>
    <w:basedOn w:val="71"/>
    <w:qFormat/>
    <w:uiPriority w:val="99"/>
    <w:pPr>
      <w:framePr w:wrap="around"/>
    </w:pPr>
  </w:style>
  <w:style w:type="paragraph" w:customStyle="1" w:styleId="141">
    <w:name w:val="封面标准英文名称2"/>
    <w:basedOn w:val="67"/>
    <w:qFormat/>
    <w:uiPriority w:val="0"/>
    <w:pPr>
      <w:framePr w:wrap="around" w:y="4469"/>
    </w:pPr>
  </w:style>
  <w:style w:type="paragraph" w:customStyle="1" w:styleId="142">
    <w:name w:val="封面标准文稿类别2"/>
    <w:basedOn w:val="115"/>
    <w:qFormat/>
    <w:uiPriority w:val="0"/>
    <w:pPr>
      <w:framePr w:wrap="around" w:y="4469"/>
    </w:pPr>
  </w:style>
  <w:style w:type="paragraph" w:styleId="143">
    <w:name w:val="List Paragraph"/>
    <w:basedOn w:val="1"/>
    <w:qFormat/>
    <w:uiPriority w:val="34"/>
    <w:pPr>
      <w:ind w:firstLine="420" w:firstLineChars="200"/>
    </w:pPr>
    <w:rPr>
      <w:rFonts w:ascii="Calibri" w:hAnsi="Calibri"/>
      <w:szCs w:val="22"/>
    </w:rPr>
  </w:style>
  <w:style w:type="paragraph" w:customStyle="1" w:styleId="144">
    <w:name w:val="Char Char Char Char"/>
    <w:basedOn w:val="1"/>
    <w:qFormat/>
    <w:uiPriority w:val="0"/>
    <w:pPr>
      <w:adjustRightInd w:val="0"/>
      <w:spacing w:line="360" w:lineRule="auto"/>
    </w:pPr>
    <w:rPr>
      <w:kern w:val="0"/>
      <w:sz w:val="24"/>
      <w:szCs w:val="20"/>
    </w:rPr>
  </w:style>
  <w:style w:type="character" w:customStyle="1" w:styleId="145">
    <w:name w:val="二级条标题 Char"/>
    <w:link w:val="50"/>
    <w:qFormat/>
    <w:locked/>
    <w:uiPriority w:val="0"/>
    <w:rPr>
      <w:rFonts w:ascii="黑体" w:eastAsia="黑体"/>
      <w:sz w:val="21"/>
      <w:szCs w:val="21"/>
    </w:rPr>
  </w:style>
  <w:style w:type="character" w:customStyle="1" w:styleId="146">
    <w:name w:val="批注文字 字符"/>
    <w:basedOn w:val="33"/>
    <w:link w:val="7"/>
    <w:semiHidden/>
    <w:qFormat/>
    <w:uiPriority w:val="0"/>
    <w:rPr>
      <w:kern w:val="2"/>
      <w:sz w:val="21"/>
      <w:szCs w:val="24"/>
    </w:rPr>
  </w:style>
  <w:style w:type="character" w:customStyle="1" w:styleId="147">
    <w:name w:val="批注主题 字符"/>
    <w:basedOn w:val="146"/>
    <w:link w:val="30"/>
    <w:semiHidden/>
    <w:qFormat/>
    <w:uiPriority w:val="0"/>
    <w:rPr>
      <w:b/>
      <w:bCs/>
      <w:kern w:val="2"/>
      <w:sz w:val="21"/>
      <w:szCs w:val="24"/>
    </w:rPr>
  </w:style>
  <w:style w:type="table" w:customStyle="1" w:styleId="148">
    <w:name w:val="网格型1"/>
    <w:basedOn w:val="31"/>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9">
    <w:name w:val="网格型11"/>
    <w:basedOn w:val="31"/>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0">
    <w:name w:val="网格型2"/>
    <w:basedOn w:val="31"/>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1">
    <w:name w:val="网格型3"/>
    <w:basedOn w:val="31"/>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53">
    <w:name w:val="列出段落1"/>
    <w:basedOn w:val="1"/>
    <w:qFormat/>
    <w:uiPriority w:val="0"/>
    <w:pPr>
      <w:ind w:firstLine="420" w:firstLineChars="200"/>
    </w:pPr>
    <w:rPr>
      <w:rFonts w:ascii="Calibri" w:hAnsi="Calibri"/>
      <w:szCs w:val="22"/>
    </w:rPr>
  </w:style>
  <w:style w:type="paragraph" w:customStyle="1" w:styleId="154">
    <w:name w:val="列出段落2"/>
    <w:basedOn w:val="1"/>
    <w:qFormat/>
    <w:uiPriority w:val="0"/>
    <w:pPr>
      <w:ind w:firstLine="420" w:firstLineChars="200"/>
    </w:pPr>
    <w:rPr>
      <w:rFonts w:ascii="Calibri" w:hAnsi="Calibri"/>
      <w:szCs w:val="22"/>
    </w:rPr>
  </w:style>
  <w:style w:type="paragraph" w:customStyle="1" w:styleId="155">
    <w:name w:val="文档正文"/>
    <w:basedOn w:val="1"/>
    <w:link w:val="156"/>
    <w:qFormat/>
    <w:uiPriority w:val="0"/>
    <w:pPr>
      <w:widowControl/>
      <w:adjustRightInd w:val="0"/>
      <w:spacing w:line="300" w:lineRule="auto"/>
      <w:ind w:right="210" w:rightChars="100" w:firstLine="31" w:firstLineChars="15"/>
    </w:pPr>
    <w:rPr>
      <w:bCs/>
      <w:kern w:val="0"/>
      <w:szCs w:val="21"/>
    </w:rPr>
  </w:style>
  <w:style w:type="character" w:customStyle="1" w:styleId="156">
    <w:name w:val="文档正文 Char"/>
    <w:link w:val="155"/>
    <w:qFormat/>
    <w:uiPriority w:val="0"/>
    <w:rPr>
      <w:bCs/>
      <w:sz w:val="21"/>
      <w:szCs w:val="21"/>
    </w:rPr>
  </w:style>
  <w:style w:type="character" w:customStyle="1" w:styleId="157">
    <w:name w:val="fontstyle11"/>
    <w:basedOn w:val="33"/>
    <w:qFormat/>
    <w:uiPriority w:val="0"/>
    <w:rPr>
      <w:rFonts w:hint="eastAsia" w:ascii="宋体" w:hAnsi="宋体" w:eastAsia="宋体"/>
      <w:color w:val="000000"/>
      <w:sz w:val="22"/>
      <w:szCs w:val="22"/>
    </w:rPr>
  </w:style>
  <w:style w:type="character" w:customStyle="1" w:styleId="158">
    <w:name w:val="fontstyle21"/>
    <w:basedOn w:val="33"/>
    <w:qFormat/>
    <w:uiPriority w:val="0"/>
    <w:rPr>
      <w:rFonts w:hint="default" w:ascii="TimesNewRomanPSMT" w:hAnsi="TimesNewRomanPSMT"/>
      <w:color w:val="000000"/>
      <w:sz w:val="22"/>
      <w:szCs w:val="22"/>
    </w:rPr>
  </w:style>
  <w:style w:type="paragraph" w:customStyle="1" w:styleId="159">
    <w:name w:val="标准文件_二级无标题"/>
    <w:basedOn w:val="160"/>
    <w:qFormat/>
    <w:uiPriority w:val="0"/>
    <w:pPr>
      <w:numPr>
        <w:ilvl w:val="3"/>
        <w:numId w:val="4"/>
      </w:numPr>
      <w:spacing w:before="0" w:beforeLines="0" w:after="0" w:afterLines="0"/>
      <w:outlineLvl w:val="9"/>
    </w:pPr>
    <w:rPr>
      <w:rFonts w:ascii="宋体" w:eastAsia="宋体"/>
    </w:rPr>
  </w:style>
  <w:style w:type="paragraph" w:customStyle="1" w:styleId="160">
    <w:name w:val="标准文件_二级条标题"/>
    <w:next w:val="161"/>
    <w:qFormat/>
    <w:uiPriority w:val="0"/>
    <w:pPr>
      <w:widowControl w:val="0"/>
      <w:numPr>
        <w:ilvl w:val="3"/>
        <w:numId w:val="4"/>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6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2">
    <w:name w:val="标准文件_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163">
    <w:name w:val="标准文件_三级无标题"/>
    <w:basedOn w:val="164"/>
    <w:qFormat/>
    <w:uiPriority w:val="0"/>
    <w:pPr>
      <w:numPr>
        <w:ilvl w:val="4"/>
        <w:numId w:val="4"/>
      </w:numPr>
      <w:spacing w:before="0" w:beforeLines="0" w:after="0" w:afterLines="0"/>
      <w:outlineLvl w:val="9"/>
    </w:pPr>
    <w:rPr>
      <w:rFonts w:ascii="宋体" w:eastAsia="宋体"/>
    </w:rPr>
  </w:style>
  <w:style w:type="paragraph" w:customStyle="1" w:styleId="164">
    <w:name w:val="标准文件_三级条标题"/>
    <w:basedOn w:val="160"/>
    <w:next w:val="161"/>
    <w:qFormat/>
    <w:uiPriority w:val="0"/>
    <w:pPr>
      <w:widowControl/>
      <w:numPr>
        <w:ilvl w:val="4"/>
        <w:numId w:val="4"/>
      </w:numPr>
      <w:outlineLvl w:val="3"/>
    </w:pPr>
  </w:style>
  <w:style w:type="paragraph" w:customStyle="1" w:styleId="165">
    <w:name w:val="标准文件_正文表标题"/>
    <w:next w:val="161"/>
    <w:qFormat/>
    <w:uiPriority w:val="0"/>
    <w:pPr>
      <w:spacing w:before="50" w:beforeLines="50" w:after="50" w:afterLines="50"/>
      <w:jc w:val="center"/>
    </w:pPr>
    <w:rPr>
      <w:rFonts w:ascii="黑体" w:hAnsi="Times New Roman" w:eastAsia="黑体" w:cs="Times New Roman"/>
      <w:sz w:val="21"/>
      <w:lang w:val="en-US" w:eastAsia="zh-CN" w:bidi="ar-SA"/>
    </w:rPr>
  </w:style>
  <w:style w:type="paragraph" w:customStyle="1" w:styleId="16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microsoft.com/office/2006/relationships/keyMapCustomizations" Target="customizations.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2969</Words>
  <Characters>3778</Characters>
  <Lines>64</Lines>
  <Paragraphs>18</Paragraphs>
  <TotalTime>2</TotalTime>
  <ScaleCrop>false</ScaleCrop>
  <LinksUpToDate>false</LinksUpToDate>
  <CharactersWithSpaces>3932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2024-06-06T01:42:00Z</dcterms:created>
  <dcterms:modified xsi:type="dcterms:W3CDTF">2025-09-24T03:05:02Z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1A4BB785EA7842D58E6744DDAC5DB136_13</vt:lpwstr>
  </property>
  <property fmtid="{D5CDD505-2E9C-101B-9397-08002B2CF9AE}" pid="4" name="KSOTemplateDocerSaveRecord">
    <vt:lpwstr>eyJoZGlkIjoiODJmZDNmNmZiNjkzMGFiYzI4MGMwNDRjMjBjZDEyZGMiLCJ1c2VySWQiOiIzMzcyOTAwNTkifQ==</vt:lpwstr>
  </property>
</Properties>
</file>