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89B5">
      <w:pPr>
        <w:pStyle w:val="133"/>
        <w:framePr w:wrap="around"/>
        <w:rPr>
          <w:rFonts w:ascii="Times New Roman"/>
        </w:rPr>
      </w:pPr>
      <w:r>
        <w:rPr>
          <w:rFonts w:ascii="Times New Roman"/>
        </w:rPr>
        <w:t xml:space="preserve">ICS </w:t>
      </w:r>
    </w:p>
    <w:p w14:paraId="279F59D2">
      <w:pPr>
        <w:pStyle w:val="133"/>
        <w:framePr w:wrap="around"/>
        <w:rPr>
          <w:rFonts w:ascii="Times New Roman"/>
        </w:rPr>
      </w:pPr>
      <w:r>
        <w:rPr>
          <w:rFonts w:ascii="Times New Roman"/>
        </w:rPr>
        <w:t xml:space="preserve">CCS H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5F3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14:paraId="113B4F28">
            <w:pPr>
              <w:pStyle w:val="133"/>
              <w:framePr w:wrap="around"/>
              <w:rPr>
                <w:rFonts w:ascii="Times New Roman"/>
              </w:rPr>
            </w:pPr>
            <w:r>
              <w:rPr>
                <w:rFonts w:ascii="Times New Roman"/>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TG6H1BICAAAvBAAADgAAAGRycy9lMm9Eb2MueG1srVPBjtow&#10;EL1X6j9YvpcQyrJsRFhREG2lbbvSth9gHIdYdTzu2BDo1+/YAUq3lz00h8jjGT/Pe/M8uz+0hu0V&#10;eg225PlgyJmyEipttyX/8X39bsqZD8JWwoBVJT8qz+/nb9/MOleoETRgKoWMQKwvOlfyJgRXZJmX&#10;jWqFH4BTlpI1YCsChbjNKhQdobcmGw2Hk6wDrByCVN7T7qpP8hMivgYQ6lpLtQK5a5UNPSoqIwJR&#10;8o12ns9Tt3WtZPhW114FZkpOTEP60yW03sR/Np+JYovCNVqeWhCvaeEFp1ZoS5deoFYiCLZD/Q9U&#10;qyWChzoMJLRZTyQpQizy4QttnhrhVOJCUnt3Ed3/P1j5df+ITFfkhPecWdHSxD8sPkVdOucLSj+5&#10;R4zMvHsA+dMzC8tG2K1aIELXKFFRN3msz/46EANPR9mm+wIVoYpdgCTRocY2AhJ5dkiTOF4moQ6B&#10;SdqcTia3tzecSUrld9N8lCaVieJ82KEPHxW0LC5KjjToBC72Dz7EZkRxLknNg9HVWhuTAtxulgbZ&#10;XpAp1ulL/RPH6zJjY7GFeKxH7HdUstXpmjPNXq4NVEeijND7jF4ZLRrA35x15LGS+187gYoz89mS&#10;bHf5eBxNmYLxzS2xZHid2VxnhJUEVfLAWb9cht7IO4d629BNeZLAwoKkrnWSIfbXd3UaEPkoqXPy&#10;fDTqdZyq/rzz+T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TG6H1BICAAAvBAAADgAAAAAA&#10;AAABACAAAAAkAQAAZHJzL2Uyb0RvYy54bWxQSwUGAAAAAAYABgBZAQAAqAUAAAAA&#10;">
                      <v:fill on="t" focussize="0,0"/>
                      <v:stroke on="f"/>
                      <v:imagedata o:title=""/>
                      <o:lock v:ext="edit" aspectratio="f"/>
                    </v:rect>
                  </w:pict>
                </mc:Fallback>
              </mc:AlternateContent>
            </w:r>
          </w:p>
        </w:tc>
      </w:tr>
    </w:tbl>
    <w:p w14:paraId="394B0894">
      <w:pPr>
        <w:pStyle w:val="151"/>
        <w:framePr w:w="9062" w:wrap="around" w:x="1664"/>
        <w:jc w:val="center"/>
        <w:rPr>
          <w:rFonts w:ascii="Times New Roman" w:hAnsi="Times New Roman"/>
          <w:szCs w:val="48"/>
        </w:rPr>
      </w:pPr>
      <w:r>
        <w:rPr>
          <w:rFonts w:ascii="Times New Roman" w:hAnsi="Times New Roman"/>
          <w:spacing w:val="624"/>
          <w:kern w:val="0"/>
          <w:sz w:val="72"/>
          <w:szCs w:val="72"/>
          <w:fitText w:val="6624" w:id="923168732"/>
        </w:rPr>
        <w:t>团体标</w:t>
      </w:r>
      <w:r>
        <w:rPr>
          <w:rFonts w:ascii="Times New Roman" w:hAnsi="Times New Roman"/>
          <w:spacing w:val="0"/>
          <w:kern w:val="0"/>
          <w:sz w:val="72"/>
          <w:szCs w:val="72"/>
          <w:fitText w:val="6624" w:id="923168732"/>
        </w:rPr>
        <w:t>准</w:t>
      </w:r>
    </w:p>
    <w:p w14:paraId="32A3EFE9">
      <w:pPr>
        <w:pStyle w:val="106"/>
        <w:framePr w:w="9603" w:h="2604" w:hRule="exact" w:wrap="around" w:x="1277" w:y="3335"/>
        <w:pBdr>
          <w:bottom w:val="single" w:color="auto" w:sz="4" w:space="1"/>
        </w:pBdr>
        <w:wordWrap w:val="0"/>
        <w:rPr>
          <w:rFonts w:ascii="Times New Roman" w:eastAsia="宋体"/>
          <w:b/>
          <w:bCs/>
        </w:rPr>
      </w:pPr>
      <w:r>
        <w:rPr>
          <w:rFonts w:ascii="Times New Roman" w:eastAsia="宋体"/>
          <w:b/>
          <w:bCs/>
        </w:rPr>
        <w:t>T/CSTA XXXX—2025</w:t>
      </w:r>
    </w:p>
    <w:p w14:paraId="303C4FF7">
      <w:pPr>
        <w:pStyle w:val="106"/>
        <w:framePr w:w="9603" w:h="2604" w:hRule="exact" w:wrap="around" w:x="1277" w:y="3335"/>
        <w:pBdr>
          <w:bottom w:val="single" w:color="auto" w:sz="4" w:space="1"/>
        </w:pBdr>
        <w:rPr>
          <w:rFonts w:ascii="Times New Roman" w:eastAsia="宋体"/>
        </w:rPr>
      </w:pPr>
    </w:p>
    <w:p w14:paraId="35B727E3">
      <w:pPr>
        <w:pStyle w:val="106"/>
        <w:framePr w:w="9603" w:h="2604" w:hRule="exact" w:wrap="around" w:x="1277" w:y="3335"/>
        <w:rPr>
          <w:rFonts w:ascii="Times New Roma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231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14:paraId="1471EF71">
            <w:pPr>
              <w:pStyle w:val="90"/>
              <w:framePr w:w="9603" w:h="2604" w:hRule="exact" w:wrap="around" w:x="1277" w:y="3335"/>
              <w:rPr>
                <w:rFonts w:ascii="Times New Roman"/>
              </w:rPr>
            </w:pPr>
          </w:p>
        </w:tc>
      </w:tr>
    </w:tbl>
    <w:p w14:paraId="4BC6EAFC">
      <w:pPr>
        <w:pStyle w:val="106"/>
        <w:framePr w:w="9603" w:h="2604" w:hRule="exact" w:wrap="around" w:x="1277" w:y="3335"/>
        <w:rPr>
          <w:rFonts w:ascii="Times New Roman"/>
        </w:rPr>
      </w:pPr>
    </w:p>
    <w:p w14:paraId="643C236B">
      <w:pPr>
        <w:pStyle w:val="106"/>
        <w:framePr w:w="9603" w:h="2604" w:hRule="exact" w:wrap="around" w:x="1277" w:y="3335"/>
        <w:rPr>
          <w:rFonts w:ascii="Times New Roman"/>
        </w:rPr>
      </w:pPr>
    </w:p>
    <w:p w14:paraId="444F3535">
      <w:pPr>
        <w:pStyle w:val="82"/>
        <w:framePr w:wrap="around"/>
        <w:rPr>
          <w:rFonts w:ascii="Times New Roman"/>
          <w:sz w:val="48"/>
          <w:szCs w:val="18"/>
        </w:rPr>
      </w:pPr>
      <w:r>
        <w:rPr>
          <w:rFonts w:ascii="Times New Roman"/>
          <w:sz w:val="48"/>
          <w:szCs w:val="18"/>
        </w:rPr>
        <w:t>半导体制备装置用超高纯净不锈钢管</w:t>
      </w:r>
    </w:p>
    <w:p w14:paraId="3407456F">
      <w:pPr>
        <w:pStyle w:val="81"/>
        <w:framePr w:wrap="around"/>
      </w:pPr>
      <w:r>
        <w:t>Ultra high purity stainless steel tubes for semiconductor fabrication equipment</w:t>
      </w:r>
    </w:p>
    <w:p w14:paraId="4000B868">
      <w:pPr>
        <w:pStyle w:val="80"/>
        <w:framePr w:wrap="around"/>
        <w:rPr>
          <w:rFonts w:ascii="Times New Roma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02E3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205B0C68">
            <w:pPr>
              <w:pStyle w:val="79"/>
              <w:framePr w:wrap="around"/>
              <w:rPr>
                <w:rFonts w:ascii="Times New Roman"/>
              </w:rPr>
            </w:pPr>
            <w:r>
              <w:rPr>
                <w:rFonts w:ascii="Times New Roman"/>
              </w:rPr>
              <mc:AlternateContent>
                <mc:Choice Requires="wps">
                  <w:drawing>
                    <wp:anchor distT="0" distB="0" distL="114300" distR="114300" simplePos="0" relativeHeight="251660288" behindDoc="1" locked="1" layoutInCell="1" allowOverlap="1">
                      <wp:simplePos x="0" y="0"/>
                      <wp:positionH relativeFrom="column">
                        <wp:posOffset>2201545</wp:posOffset>
                      </wp:positionH>
                      <wp:positionV relativeFrom="paragraph">
                        <wp:posOffset>573405</wp:posOffset>
                      </wp:positionV>
                      <wp:extent cx="1905000" cy="254000"/>
                      <wp:effectExtent l="0" t="0" r="0" b="5080"/>
                      <wp:wrapNone/>
                      <wp:docPr id="10"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5pt;margin-top:45.15pt;height:20pt;width:150pt;z-index:-251656192;mso-width-relative:page;mso-height-relative:page;" fillcolor="#FFFFFF" filled="t"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Axg8uIMAgAALwQAAA4AAABkcnMvZTJvRG9jLnhtbK1TwY7T&#10;MBC9I/EPlu80SdUCWzVdrVoVIS2wy8IHuI6TWDgeM3ablq9n7KSlLJc9kEM04xm/mXnzvLw9doYd&#10;FHoNtuTFJOdMWQmVtk3Jv3/bvnnPmQ/CVsKAVSU/Kc9vV69fLXu3UFNowVQKGYFYv+hdydsQ3CLL&#10;vGxVJ/wEnLIUrAE7EcjFJqtQ9ITemWya52+zHrByCFJ5T6ebIchHRHwJINS1lmoDct8pGwZUVEYE&#10;Gsm32nm+St3WtZLhS117FZgpOU0a0p+KkL2L/2y1FIsGhWu1HFsQL2nh2Uyd0JaKXqA2Igi2R/0P&#10;VKclgoc6TCR02TBIYoSmKPJn3Dy1wqk0C1Ht3YV0//9g5efDAzJdkRKIEis62vjXx0hL7/yCok/u&#10;AeNg3t2D/OGZhXUrbKPuEKFvlaiomSLmZ39diI6nq2zXf4KKQMU+QGLoWGMXAWl2dkyLOF0WoY6B&#10;STosbvJ5nlNDkmLT+SzasYRYnG879OGDgo5Fo+RIi07o4nDvw5B6Tkndg9HVVhuTHGx2a4PsIEgU&#10;2/SN6P46zdiYbCFeGxCHE5VkNZY5zznwtYPqRDMjDDqjV0ZGC/iLs540VnL/cy9QcWY+WuLtppjN&#10;oiiTM5u/m5KD15HddURYSVAlD5wN5joMQt471E1LlYpEgYU74rrWiYbY39DVuCHSUSJy1HwU6rWf&#10;sv6889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FyNMNYAAAAKAQAADwAAAAAAAAABACAAAAAi&#10;AAAAZHJzL2Rvd25yZXYueG1sUEsBAhQAFAAAAAgAh07iQAxg8uIMAgAALwQAAA4AAAAAAAAAAQAg&#10;AAAAJQEAAGRycy9lMm9Eb2MueG1sUEsFBgAAAAAGAAYAWQEAAKMFAAAA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2455545</wp:posOffset>
                      </wp:positionH>
                      <wp:positionV relativeFrom="paragraph">
                        <wp:posOffset>255905</wp:posOffset>
                      </wp:positionV>
                      <wp:extent cx="1270000" cy="304800"/>
                      <wp:effectExtent l="0" t="0" r="10160" b="0"/>
                      <wp:wrapNone/>
                      <wp:docPr id="9"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5pt;margin-top:20.15pt;height:24pt;width:100pt;z-index:-251657216;mso-width-relative:page;mso-height-relative:page;" fillcolor="#FFFFFF" filled="t"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DpsCH0DAIAAC4EAAAOAAAAZHJzL2Uyb0RvYy54bWytU8GO&#10;0zAQvSPxD5bvNEkp7G7VdLW0KkIqsNLCB7iOk1g4HjN2m5avZ+ykpSyXPZBDNOMZv5n3Zry4P3aG&#10;HRR6DbbkxSTnTFkJlbZNyb9/27y55cwHYSthwKqSn5Tn98vXrxa9m6sptGAqhYxArJ/3ruRtCG6e&#10;ZV62qhN+Ak5ZCtaAnQjkYpNVKHpC70w2zfP3WQ9YOQSpvKfT9RDkIyK+BBDqWku1BrnvlA0DKioj&#10;AlHyrXaeL1O3da1k+FrXXgVmSk5MQ/pTEbJ38Z8tF2LeoHCtlmML4iUtPOPUCW2p6AVqLYJge9T/&#10;QHVaIniow0RClw1EkiLEosifafPUCqcSF5Lau4vo/v/Byi+HR2S6KvkdZ1Z0NPDth6hK7/ycgk/u&#10;ESMv77Ygf3hmYdUK26gHROhbJSrqpYj52V8XouPpKtv1n6EiULEPkAQ61thFQKLOjmkOp8sc1DEw&#10;SYfF9CanjzNJsbf57JbsWELMz7cd+vBRQceiUXKkOSd0cdj6MKSeU1L3YHS10cYkB5vdyiA7CNqJ&#10;TfpGdH+dZmxMthCvDYjDiUpbNZY58xz02kF1Is4Iw5rRIyOjBfzFWU8rVnL/cy9QcWY+WdLtrpjN&#10;4k4mZ/buZkoOXkd21xFhJUGVPHA2mKsw7PHeoW5aqlQkCSw8kNa1TjLE/oauxgnRGiUhx5WPe3rt&#10;p6w/z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CL6HXAAAACQEAAA8AAAAAAAAAAQAgAAAA&#10;IgAAAGRycy9kb3ducmV2LnhtbFBLAQIUABQAAAAIAIdO4kDpsCH0DAIAAC4EAAAOAAAAAAAAAAEA&#10;IAAAACYBAABkcnMvZTJvRG9jLnhtbFBLBQYAAAAABgAGAFkBAACkBQAAAAA=&#10;">
                      <v:fill on="t" focussize="0,0"/>
                      <v:stroke on="f"/>
                      <v:imagedata o:title=""/>
                      <o:lock v:ext="edit" aspectratio="f"/>
                    </v:rect>
                  </w:pict>
                </mc:Fallback>
              </mc:AlternateContent>
            </w:r>
          </w:p>
        </w:tc>
      </w:tr>
      <w:tr w14:paraId="7177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00F4B5FA">
            <w:pPr>
              <w:pStyle w:val="78"/>
              <w:framePr w:wrap="around"/>
              <w:rPr>
                <w:rFonts w:ascii="Times New Roman"/>
              </w:rPr>
            </w:pPr>
          </w:p>
        </w:tc>
      </w:tr>
    </w:tbl>
    <w:p w14:paraId="12F7B0FD">
      <w:pPr>
        <w:pStyle w:val="126"/>
        <w:framePr w:wrap="around" w:hAnchor="page" w:x="1323" w:y="14113"/>
        <w:ind w:left="-1680" w:leftChars="-800" w:firstLine="1680" w:firstLineChars="600"/>
      </w:pPr>
      <w:r>
        <w:fldChar w:fldCharType="begin">
          <w:ffData>
            <w:name w:val="FY"/>
            <w:enabled/>
            <w:calcOnExit w:val="0"/>
            <w:textInput>
              <w:default w:val="XXXX"/>
              <w:maxLength w:val="4"/>
            </w:textInput>
          </w:ffData>
        </w:fldChar>
      </w:r>
      <w:bookmarkStart w:id="0" w:name="FY"/>
      <w:r>
        <w:instrText xml:space="preserve">FORMTEXT</w:instrText>
      </w:r>
      <w:r>
        <w:fldChar w:fldCharType="separate"/>
      </w:r>
      <w:r>
        <w:t>XXXX</w:t>
      </w:r>
      <w:r>
        <w:fldChar w:fldCharType="end"/>
      </w:r>
      <w:bookmarkEnd w:id="0"/>
      <w:r>
        <w:t>-</w:t>
      </w:r>
      <w:r>
        <w:fldChar w:fldCharType="begin">
          <w:ffData>
            <w:name w:val="FM"/>
            <w:enabled/>
            <w:calcOnExit w:val="0"/>
            <w:textInput>
              <w:default w:val="XX"/>
              <w:maxLength w:val="2"/>
            </w:textInput>
          </w:ffData>
        </w:fldChar>
      </w:r>
      <w:r>
        <w:instrText xml:space="preserve">FORMTEXT</w:instrText>
      </w:r>
      <w:r>
        <w:fldChar w:fldCharType="separate"/>
      </w:r>
      <w:r>
        <w:t>XX</w:t>
      </w:r>
      <w:r>
        <w:fldChar w:fldCharType="end"/>
      </w:r>
      <w:r>
        <w:t>-</w:t>
      </w:r>
      <w:r>
        <w:fldChar w:fldCharType="begin">
          <w:ffData>
            <w:name w:val="FD"/>
            <w:enabled/>
            <w:calcOnExit w:val="0"/>
            <w:textInput>
              <w:default w:val="XX"/>
              <w:maxLength w:val="2"/>
            </w:textInput>
          </w:ffData>
        </w:fldChar>
      </w:r>
      <w:bookmarkStart w:id="1" w:name="FD"/>
      <w:r>
        <w:instrText xml:space="preserve">FORMTEXT</w:instrText>
      </w:r>
      <w:r>
        <w:fldChar w:fldCharType="separate"/>
      </w:r>
      <w:r>
        <w:t>XX</w:t>
      </w:r>
      <w:r>
        <w:fldChar w:fldCharType="end"/>
      </w:r>
      <w:bookmarkEnd w:id="1"/>
      <w:r>
        <w:t>发布</w:t>
      </w:r>
    </w:p>
    <w:p w14:paraId="4DC841A7">
      <w:pPr>
        <w:pStyle w:val="136"/>
        <w:framePr w:wrap="around" w:hAnchor="page" w:x="6866" w:y="14110"/>
      </w:pPr>
      <w:r>
        <w:fldChar w:fldCharType="begin">
          <w:ffData>
            <w:name w:val="SY"/>
            <w:enabled/>
            <w:calcOnExit w:val="0"/>
            <w:textInput>
              <w:default w:val="XXXX"/>
              <w:maxLength w:val="4"/>
            </w:textInput>
          </w:ffData>
        </w:fldChar>
      </w:r>
      <w:bookmarkStart w:id="2" w:name="SY"/>
      <w:r>
        <w:instrText xml:space="preserve">FORMTEXT</w:instrText>
      </w:r>
      <w:r>
        <w:fldChar w:fldCharType="separate"/>
      </w:r>
      <w:r>
        <w:t>XXXX</w:t>
      </w:r>
      <w:r>
        <w:fldChar w:fldCharType="end"/>
      </w:r>
      <w:bookmarkEnd w:id="2"/>
      <w:r>
        <w:t>-</w:t>
      </w:r>
      <w:r>
        <w:fldChar w:fldCharType="begin">
          <w:ffData>
            <w:name w:val="SM"/>
            <w:enabled/>
            <w:calcOnExit w:val="0"/>
            <w:textInput>
              <w:default w:val="XX"/>
              <w:maxLength w:val="2"/>
            </w:textInput>
          </w:ffData>
        </w:fldChar>
      </w:r>
      <w:bookmarkStart w:id="3" w:name="SM"/>
      <w:r>
        <w:instrText xml:space="preserve">FORMTEXT</w:instrText>
      </w:r>
      <w:r>
        <w:fldChar w:fldCharType="separate"/>
      </w:r>
      <w:r>
        <w:t>XX</w:t>
      </w:r>
      <w:r>
        <w:fldChar w:fldCharType="end"/>
      </w:r>
      <w:bookmarkEnd w:id="3"/>
      <w:r>
        <w:t>-</w:t>
      </w:r>
      <w:r>
        <w:fldChar w:fldCharType="begin">
          <w:ffData>
            <w:name w:val="SD"/>
            <w:enabled/>
            <w:calcOnExit w:val="0"/>
            <w:textInput>
              <w:default w:val="XX"/>
              <w:maxLength w:val="2"/>
            </w:textInput>
          </w:ffData>
        </w:fldChar>
      </w:r>
      <w:bookmarkStart w:id="4" w:name="SD"/>
      <w:r>
        <w:instrText xml:space="preserve">FORMTEXT</w:instrText>
      </w:r>
      <w:r>
        <w:fldChar w:fldCharType="separate"/>
      </w:r>
      <w:r>
        <w:t>XX</w:t>
      </w:r>
      <w:r>
        <w:fldChar w:fldCharType="end"/>
      </w:r>
      <w:bookmarkEnd w:id="4"/>
      <w:r>
        <w:t>实施</w:t>
      </w:r>
    </w:p>
    <w:p w14:paraId="238665E2">
      <w:pPr>
        <w:pStyle w:val="149"/>
        <w:framePr w:w="8364" w:wrap="around" w:x="1423" w:y="14854"/>
        <w:jc w:val="distribute"/>
        <w:rPr>
          <w:rFonts w:ascii="Times New Roman" w:eastAsia="宋体"/>
          <w:b/>
          <w:bCs/>
          <w:sz w:val="24"/>
          <w:szCs w:val="18"/>
        </w:rPr>
      </w:pPr>
    </w:p>
    <w:p w14:paraId="76811B56">
      <w:pPr>
        <w:pStyle w:val="149"/>
        <w:framePr w:w="8364" w:wrap="around" w:x="1423" w:y="14854"/>
        <w:jc w:val="distribute"/>
        <w:rPr>
          <w:rFonts w:ascii="Times New Roman" w:eastAsia="宋体"/>
          <w:b/>
          <w:bCs/>
          <w:sz w:val="24"/>
          <w:szCs w:val="18"/>
        </w:rPr>
      </w:pPr>
      <w:r>
        <w:rPr>
          <w:rFonts w:ascii="Times New Roman" w:eastAsia="宋体"/>
          <w:b/>
          <w:bCs/>
          <w:sz w:val="24"/>
          <w:szCs w:val="18"/>
        </w:rPr>
        <w:t>中关村不锈及特种合金新材料产业技术创新联盟</w:t>
      </w:r>
    </w:p>
    <w:p w14:paraId="51E421B0">
      <w:pPr>
        <w:pStyle w:val="24"/>
        <w:ind w:firstLine="480"/>
        <w:rPr>
          <w:rFonts w:ascii="Times New Roman"/>
        </w:rPr>
        <w:sectPr>
          <w:pgSz w:w="11906" w:h="16838"/>
          <w:pgMar w:top="567" w:right="851" w:bottom="1134" w:left="1418" w:header="0" w:footer="0" w:gutter="0"/>
          <w:pgNumType w:start="1"/>
          <w:cols w:space="720" w:num="1"/>
          <w:docGrid w:type="lines" w:linePitch="312" w:charSpace="0"/>
        </w:sectPr>
      </w:pPr>
      <w:r>
        <w:rPr>
          <w:rFonts w:ascii="Times New Roman"/>
          <w:sz w:val="24"/>
        </w:rPr>
        <mc:AlternateContent>
          <mc:Choice Requires="wps">
            <w:drawing>
              <wp:anchor distT="0" distB="0" distL="114300" distR="114300" simplePos="0" relativeHeight="251663360" behindDoc="0" locked="0" layoutInCell="1" allowOverlap="1">
                <wp:simplePos x="0" y="0"/>
                <wp:positionH relativeFrom="column">
                  <wp:posOffset>5393055</wp:posOffset>
                </wp:positionH>
                <wp:positionV relativeFrom="paragraph">
                  <wp:posOffset>9099550</wp:posOffset>
                </wp:positionV>
                <wp:extent cx="682625" cy="475615"/>
                <wp:effectExtent l="0" t="0" r="3175" b="635"/>
                <wp:wrapNone/>
                <wp:docPr id="2" name="文本框 2"/>
                <wp:cNvGraphicFramePr/>
                <a:graphic xmlns:a="http://schemas.openxmlformats.org/drawingml/2006/main">
                  <a:graphicData uri="http://schemas.microsoft.com/office/word/2010/wordprocessingShape">
                    <wps:wsp>
                      <wps:cNvSpPr txBox="1"/>
                      <wps:spPr>
                        <a:xfrm>
                          <a:off x="6277610" y="9610090"/>
                          <a:ext cx="68262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C5E5E0">
                            <w:pPr>
                              <w:rPr>
                                <w:rFonts w:ascii="黑体" w:hAnsi="黑体" w:eastAsia="黑体" w:cs="黑体"/>
                                <w:sz w:val="28"/>
                                <w:szCs w:val="36"/>
                              </w:rPr>
                            </w:pPr>
                            <w:r>
                              <w:rPr>
                                <w:rFonts w:hint="eastAsia" w:ascii="黑体" w:hAnsi="黑体" w:eastAsia="黑体" w:cs="黑体"/>
                                <w:sz w:val="28"/>
                                <w:szCs w:val="36"/>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65pt;margin-top:716.5pt;height:37.45pt;width:53.75pt;z-index:251663360;mso-width-relative:page;mso-height-relative:page;" fillcolor="#FFFFFF [3201]" filled="t" stroked="f" coordsize="21600,21600" o:gfxdata="UEsDBAoAAAAAAIdO4kAAAAAAAAAAAAAAAAAEAAAAZHJzL1BLAwQUAAAACACHTuJAJOUWENcAAAAN&#10;AQAADwAAAGRycy9kb3ducmV2LnhtbE2PS0/DMBCE70j8B2uRuFE7JC1NiNMDElck+jq7sYkj7HVk&#10;u89fz3KC4858mp1pVxfv2MnENAaUUMwEMIN90CMOErab96clsJQVauUCGglXk2DV3d+1qtHhjJ/m&#10;tM4DoxBMjZJgc54azlNvjVdpFiaD5H2F6FWmMw5cR3WmcO/4sxAL7tWI9MGqybxZ03+vj17CfvC3&#10;/a6YotXeVfhxu262YZTy8aEQr8CyueQ/GH7rU3XoqNMhHFEn5iQsq7oklIyqLGkVIfV8QWsOJM3F&#10;Sw28a/n/Fd0PUEsDBBQAAAAIAIdO4kAkVOm7WAIAAJoEAAAOAAAAZHJzL2Uyb0RvYy54bWytVM1u&#10;EzEQviPxDpbvZJMlP23UTRVaBSFFtFJBnB2vN2vJ9hjbyW54AHgDTly481x5DsbeTVsKhx7IwRl7&#10;Jt/M981MLi5brcheOC/BFHQ0GFIiDIdSmm1BP35YvTqjxAdmSqbAiIIehKeXi5cvLho7FznUoErh&#10;CIIYP29sQesQ7DzLPK+FZn4AVhh0VuA0C3h126x0rEF0rbJ8OJxmDbjSOuDCe3y97py0R3TPAYSq&#10;klxcA99pYUKH6oRiASn5WlpPF6naqhI83FSVF4GogiLTkE5MgvYmntnigs23jtla8r4E9pwSnnDS&#10;TBpMeg91zQIjOyf/gtKSO/BQhQEHnXVEkiLIYjR8os1dzaxIXFBqb+9F9/8Plr/f3zoiy4LmlBim&#10;seHH79+OP34df34leZSnsX6OUXcW40L7BlocmtO7x8fIuq2cjt/Ih6B/ms9m0xFKfCjoORrD815o&#10;0QbCY8BZPs0nlHAMGM8m09EkImYPQNb58FaAJtEoqMM+JnnZfu1DF3oKiXk9KFmupFLp4rabK+XI&#10;nmHPV+nTo/8RpgxpsJLXk2FCNhB/30Erg8VE3h2/aIV20/ZibKA8oBYOumHylq8kVrlmPtwyh9OD&#10;xHG/wg0elQJMAr1FSQ3uy7/eYzw2Fb2UNDiNBfWfd8wJStQ7g+0+H43HcXzTZTyZ5Xhxjz2bxx6z&#10;01eA5Ee4yZYnM8YHdTIrB/oTruEyZkUXMxxzFzSczKvQ7QiuMRfLZQrCgbUsrM2d5RE6Sm1guQtQ&#10;ydSSKFOnTa8ejmxqar9ecSce31PUw1/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k5RYQ1wAA&#10;AA0BAAAPAAAAAAAAAAEAIAAAACIAAABkcnMvZG93bnJldi54bWxQSwECFAAUAAAACACHTuJAJFTp&#10;u1gCAACaBAAADgAAAAAAAAABACAAAAAmAQAAZHJzL2Uyb0RvYy54bWxQSwUGAAAAAAYABgBZAQAA&#10;8AUAAAAA&#10;">
                <v:fill on="t" focussize="0,0"/>
                <v:stroke on="f" weight="0.5pt"/>
                <v:imagedata o:title=""/>
                <o:lock v:ext="edit" aspectratio="f"/>
                <v:textbox>
                  <w:txbxContent>
                    <w:p w14:paraId="76C5E5E0">
                      <w:pPr>
                        <w:rPr>
                          <w:rFonts w:ascii="黑体" w:hAnsi="黑体" w:eastAsia="黑体" w:cs="黑体"/>
                          <w:sz w:val="28"/>
                          <w:szCs w:val="36"/>
                        </w:rPr>
                      </w:pPr>
                      <w:r>
                        <w:rPr>
                          <w:rFonts w:hint="eastAsia" w:ascii="黑体" w:hAnsi="黑体" w:eastAsia="黑体" w:cs="黑体"/>
                          <w:sz w:val="28"/>
                          <w:szCs w:val="36"/>
                        </w:rPr>
                        <w:t>发 布</w:t>
                      </w:r>
                    </w:p>
                  </w:txbxContent>
                </v:textbox>
              </v:shape>
            </w:pict>
          </mc:Fallback>
        </mc:AlternateContent>
      </w:r>
      <w:r>
        <w:rPr>
          <w:rFonts w:ascii="Times New Roman"/>
        </w:rPr>
        <mc:AlternateContent>
          <mc:Choice Requires="wps">
            <w:drawing>
              <wp:anchor distT="0" distB="0" distL="114300" distR="114300" simplePos="0" relativeHeight="251662336" behindDoc="0" locked="0" layoutInCell="1" allowOverlap="1">
                <wp:simplePos x="0" y="0"/>
                <wp:positionH relativeFrom="page">
                  <wp:posOffset>787400</wp:posOffset>
                </wp:positionH>
                <wp:positionV relativeFrom="paragraph">
                  <wp:posOffset>8951595</wp:posOffset>
                </wp:positionV>
                <wp:extent cx="6121400" cy="635"/>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62pt;margin-top:704.85pt;height:0.05pt;width:482pt;mso-position-horizontal-relative:page;z-index:251662336;mso-width-relative:page;mso-height-relative:page;" filled="f" stroked="t" coordsize="21600,21600" o:gfxdata="UEsDBAoAAAAAAIdO4kAAAAAAAAAAAAAAAAAEAAAAZHJzL1BLAwQUAAAACACHTuJAw+avGdcAAAAO&#10;AQAADwAAAGRycy9kb3ducmV2LnhtbE1Py07DMBC8I/EP1iJxqVq7oaIhxOkByI0LBcR1myxJRLxO&#10;Y/cBX89WPcBt56HZmXx1dL3a0xg6zxbmMwOKuPJ1x42Ft9dymoIKEbnG3jNZ+KYAq+LyIses9gd+&#10;of06NkpCOGRooY1xyLQOVUsOw8wPxKJ9+tFhFDg2uh7xIOGu14kxt9phx/KhxYEeWqq+1jtnIZTv&#10;tC1/JtXEfNw0npLt4/MTWnt9NTf3oCId458ZTvWlOhTSaeN3XAfVC04WsiXKsTB3S1Ani0lT4TZn&#10;LgVd5Pr/jOIXUEsDBBQAAAAIAIdO4kC4qtD33gEAALEDAAAOAAAAZHJzL2Uyb0RvYy54bWytU81u&#10;2zAMvg/YOwi6L07SJdiMOD0k6C7dFqDtAzCybAuVREFSYudZ9ho77bLH6WuMUn62dpce6oMgiuRH&#10;fh/pxfVgNNtLHxTaik9GY86kFVgr21b84f7mwyfOQgRbg0YrK36QgV8v379b9K6UU+xQ19IzArGh&#10;7F3FuxhdWRRBdNJAGKGTlpwNegORTN8WtYee0I0upuPxvOjR186jkCHQ6/ro5CdE/xpAbBol5BrF&#10;zkgbj6heaohEKXTKBb7M3TaNFPF70wQZma44MY35pCJ036azWC6gbD24TolTC/CaFl5wMqAsFb1A&#10;rSEC23n1H5RRwmPAJo4EmuJIJCtCLCbjF9rcdeBk5kJSB3cRPbwdrPi233imatoEziwYGvjTj59P&#10;v36zq6RN70JJISu78YmdGOydu0XxGJjFVQe2lbnH+4OjxEnKKJ6lJCM4qrDtv2JNMbCLmIUaGm8S&#10;JEnAhjyPw2UecohM0ON8Mp18HNOoBPnmV7OMD+U51fkQv0g0LF0qrpVNYkEJ+9sQUytQnkPSs8Ub&#10;pXUeuLasr/jn2XSWEwJqVSdnCgu+3a60Z3tIK5O/U91nYR53tj4W0Tblybxtp8pn3kcFt1gfNv4s&#10;Dk0y93baurQq/9pZwr9/2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avGdcAAAAOAQAADwAA&#10;AAAAAAABACAAAAAiAAAAZHJzL2Rvd25yZXYueG1sUEsBAhQAFAAAAAgAh07iQLiq0PfeAQAAsQMA&#10;AA4AAAAAAAAAAQAgAAAAJgEAAGRycy9lMm9Eb2MueG1sUEsFBgAAAAAGAAYAWQEAAHYFAAAAAA==&#10;">
                <v:fill on="f" focussize="0,0"/>
                <v:stroke color="#000000" joinstyle="round"/>
                <v:imagedata o:title=""/>
                <o:lock v:ext="edit" aspectratio="f"/>
              </v:line>
            </w:pict>
          </mc:Fallback>
        </mc:AlternateContent>
      </w:r>
    </w:p>
    <w:p w14:paraId="1C2793FF">
      <w:pPr>
        <w:pStyle w:val="143"/>
        <w:jc w:val="both"/>
        <w:rPr>
          <w:rFonts w:ascii="Times New Roman"/>
        </w:rPr>
      </w:pPr>
      <w:bookmarkStart w:id="5" w:name="_Toc25753"/>
      <w:bookmarkStart w:id="6" w:name="_Toc14408"/>
      <w:bookmarkStart w:id="7" w:name="_Toc19905"/>
      <w:bookmarkStart w:id="8" w:name="_Toc21966"/>
    </w:p>
    <w:p w14:paraId="50C530DA">
      <w:pPr>
        <w:pStyle w:val="24"/>
        <w:rPr>
          <w:rFonts w:ascii="Times New Roman"/>
        </w:rPr>
      </w:pPr>
    </w:p>
    <w:p w14:paraId="3FF8201A">
      <w:pPr>
        <w:pStyle w:val="24"/>
        <w:rPr>
          <w:rFonts w:ascii="Times New Roman"/>
        </w:rPr>
      </w:pPr>
    </w:p>
    <w:p w14:paraId="0ADCC5A7">
      <w:pPr>
        <w:pStyle w:val="24"/>
        <w:rPr>
          <w:rFonts w:ascii="Times New Roman"/>
        </w:rPr>
      </w:pPr>
    </w:p>
    <w:p w14:paraId="2CC92D4D">
      <w:pPr>
        <w:pStyle w:val="24"/>
        <w:rPr>
          <w:rFonts w:ascii="Times New Roman"/>
        </w:rPr>
      </w:pPr>
    </w:p>
    <w:p w14:paraId="5B821230">
      <w:pPr>
        <w:pStyle w:val="24"/>
        <w:rPr>
          <w:rFonts w:ascii="Times New Roman"/>
        </w:rPr>
      </w:pPr>
    </w:p>
    <w:p w14:paraId="7CE7FAB2">
      <w:pPr>
        <w:pStyle w:val="24"/>
        <w:rPr>
          <w:rFonts w:ascii="Times New Roman"/>
        </w:rPr>
      </w:pPr>
    </w:p>
    <w:p w14:paraId="31547FD3">
      <w:pPr>
        <w:pStyle w:val="24"/>
        <w:rPr>
          <w:rFonts w:ascii="Times New Roman"/>
        </w:rPr>
      </w:pPr>
    </w:p>
    <w:p w14:paraId="1F844AFC">
      <w:pPr>
        <w:pStyle w:val="24"/>
        <w:rPr>
          <w:rFonts w:ascii="Times New Roman"/>
        </w:rPr>
      </w:pPr>
    </w:p>
    <w:p w14:paraId="641FA0D0">
      <w:pPr>
        <w:pStyle w:val="24"/>
        <w:rPr>
          <w:rFonts w:ascii="Times New Roman"/>
        </w:rPr>
      </w:pPr>
    </w:p>
    <w:p w14:paraId="3E416198">
      <w:pPr>
        <w:pStyle w:val="24"/>
        <w:rPr>
          <w:rFonts w:ascii="Times New Roman"/>
        </w:rPr>
      </w:pPr>
    </w:p>
    <w:p w14:paraId="107E941A">
      <w:pPr>
        <w:pStyle w:val="24"/>
        <w:rPr>
          <w:rFonts w:ascii="Times New Roman"/>
        </w:rPr>
      </w:pPr>
    </w:p>
    <w:p w14:paraId="754CD46D">
      <w:pPr>
        <w:pStyle w:val="24"/>
        <w:rPr>
          <w:rFonts w:ascii="Times New Roman"/>
        </w:rPr>
      </w:pPr>
    </w:p>
    <w:p w14:paraId="775030EA">
      <w:pPr>
        <w:pStyle w:val="24"/>
        <w:rPr>
          <w:rFonts w:ascii="Times New Roman"/>
        </w:rPr>
      </w:pPr>
    </w:p>
    <w:p w14:paraId="4C1850F6">
      <w:pPr>
        <w:pStyle w:val="24"/>
        <w:rPr>
          <w:rFonts w:ascii="Times New Roman"/>
        </w:rPr>
      </w:pPr>
    </w:p>
    <w:p w14:paraId="55CF314C">
      <w:pPr>
        <w:pStyle w:val="24"/>
        <w:rPr>
          <w:rFonts w:ascii="Times New Roman"/>
        </w:rPr>
      </w:pPr>
    </w:p>
    <w:p w14:paraId="3200206D">
      <w:pPr>
        <w:pStyle w:val="24"/>
        <w:rPr>
          <w:rFonts w:ascii="Times New Roman"/>
        </w:rPr>
      </w:pPr>
    </w:p>
    <w:p w14:paraId="52107BA7">
      <w:pPr>
        <w:pStyle w:val="24"/>
        <w:rPr>
          <w:rFonts w:ascii="Times New Roman"/>
        </w:rPr>
      </w:pPr>
    </w:p>
    <w:p w14:paraId="161D31F7">
      <w:pPr>
        <w:pStyle w:val="24"/>
        <w:rPr>
          <w:rFonts w:ascii="Times New Roman"/>
        </w:rPr>
      </w:pPr>
    </w:p>
    <w:p w14:paraId="505BEAB4">
      <w:pPr>
        <w:pStyle w:val="24"/>
        <w:rPr>
          <w:rFonts w:ascii="Times New Roman"/>
        </w:rPr>
      </w:pPr>
    </w:p>
    <w:p w14:paraId="0A1505D0">
      <w:pPr>
        <w:pStyle w:val="24"/>
        <w:rPr>
          <w:rFonts w:ascii="Times New Roman"/>
        </w:rPr>
      </w:pPr>
    </w:p>
    <w:p w14:paraId="60A359C0">
      <w:pPr>
        <w:pStyle w:val="24"/>
        <w:rPr>
          <w:rFonts w:ascii="Times New Roman"/>
        </w:rPr>
      </w:pPr>
    </w:p>
    <w:p w14:paraId="252B20C6">
      <w:pPr>
        <w:pStyle w:val="24"/>
        <w:rPr>
          <w:rFonts w:ascii="Times New Roman"/>
        </w:rPr>
      </w:pPr>
    </w:p>
    <w:p w14:paraId="24AA8FEB">
      <w:pPr>
        <w:pStyle w:val="24"/>
        <w:rPr>
          <w:rFonts w:ascii="Times New Roman"/>
        </w:rPr>
      </w:pPr>
    </w:p>
    <w:p w14:paraId="22E2CAE9">
      <w:pPr>
        <w:pStyle w:val="24"/>
        <w:rPr>
          <w:rFonts w:ascii="Times New Roman"/>
        </w:rPr>
      </w:pPr>
    </w:p>
    <w:p w14:paraId="275E60FC">
      <w:pPr>
        <w:pStyle w:val="24"/>
        <w:rPr>
          <w:rFonts w:ascii="Times New Roman"/>
        </w:rPr>
      </w:pPr>
    </w:p>
    <w:p w14:paraId="686870F6">
      <w:pPr>
        <w:pStyle w:val="24"/>
        <w:rPr>
          <w:rFonts w:ascii="Times New Roman"/>
        </w:rPr>
      </w:pPr>
    </w:p>
    <w:p w14:paraId="74DEE2A2">
      <w:pPr>
        <w:pStyle w:val="24"/>
        <w:rPr>
          <w:rFonts w:ascii="Times New Roman"/>
        </w:rPr>
      </w:pPr>
    </w:p>
    <w:p w14:paraId="0674F043">
      <w:pPr>
        <w:pStyle w:val="24"/>
        <w:rPr>
          <w:rFonts w:ascii="Times New Roman"/>
        </w:rPr>
      </w:pPr>
    </w:p>
    <w:p w14:paraId="00060FB9">
      <w:pPr>
        <w:pStyle w:val="24"/>
        <w:rPr>
          <w:rFonts w:ascii="Times New Roman"/>
        </w:rPr>
      </w:pPr>
    </w:p>
    <w:p w14:paraId="65C69E5A">
      <w:pPr>
        <w:pStyle w:val="24"/>
        <w:rPr>
          <w:rFonts w:ascii="Times New Roman"/>
        </w:rPr>
      </w:pPr>
    </w:p>
    <w:p w14:paraId="2CB2E6A9">
      <w:r>
        <w:drawing>
          <wp:inline distT="0" distB="0" distL="114300" distR="114300">
            <wp:extent cx="807720" cy="762000"/>
            <wp:effectExtent l="0" t="0" r="1143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807720" cy="762000"/>
                    </a:xfrm>
                    <a:prstGeom prst="rect">
                      <a:avLst/>
                    </a:prstGeom>
                    <a:noFill/>
                    <a:ln>
                      <a:noFill/>
                    </a:ln>
                  </pic:spPr>
                </pic:pic>
              </a:graphicData>
            </a:graphic>
          </wp:inline>
        </w:drawing>
      </w:r>
      <w:r>
        <w:t>版权保护文件</w:t>
      </w:r>
    </w:p>
    <w:p w14:paraId="43E3C6D2">
      <w:pPr>
        <w:spacing w:before="156" w:beforeLines="50" w:after="156" w:afterLines="50"/>
        <w:sectPr>
          <w:headerReference r:id="rId3" w:type="default"/>
          <w:footerReference r:id="rId4" w:type="default"/>
          <w:pgSz w:w="11906" w:h="16838"/>
          <w:pgMar w:top="1440" w:right="1466" w:bottom="1440" w:left="1620" w:header="851" w:footer="992" w:gutter="0"/>
          <w:pgNumType w:fmt="upperRoman" w:start="1"/>
          <w:cols w:space="720" w:num="1"/>
          <w:docGrid w:type="lines" w:linePitch="312" w:charSpace="0"/>
        </w:sectPr>
      </w:pPr>
      <w: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55D352D7">
      <w:pPr>
        <w:pStyle w:val="153"/>
        <w:rPr>
          <w:rFonts w:ascii="Times New Roman"/>
        </w:rPr>
      </w:pPr>
      <w:bookmarkStart w:id="9" w:name="_Toc19880"/>
      <w:r>
        <w:rPr>
          <w:rFonts w:ascii="Times New Roman"/>
        </w:rPr>
        <w:t>目</w:t>
      </w:r>
      <w:bookmarkStart w:id="10" w:name="BKML"/>
      <w:r>
        <w:rPr>
          <w:rFonts w:ascii="Times New Roman"/>
        </w:rPr>
        <w:t>  次</w:t>
      </w:r>
      <w:bookmarkEnd w:id="9"/>
      <w:bookmarkEnd w:id="10"/>
    </w:p>
    <w:p w14:paraId="4AE607DF">
      <w:pPr>
        <w:pStyle w:val="20"/>
        <w:tabs>
          <w:tab w:val="right" w:leader="dot" w:pos="9354"/>
          <w:tab w:val="clear" w:pos="9242"/>
        </w:tabs>
        <w:spacing w:before="78" w:after="78"/>
        <w:rPr>
          <w:rFonts w:ascii="Times New Roman"/>
        </w:rPr>
      </w:pPr>
      <w:r>
        <w:rPr>
          <w:rFonts w:ascii="Times New Roman"/>
        </w:rPr>
        <w:fldChar w:fldCharType="begin"/>
      </w:r>
      <w:r>
        <w:rPr>
          <w:rFonts w:ascii="Times New Roman"/>
        </w:rPr>
        <w:instrText xml:space="preserve"> TOC \o "1-3" \h \z \u </w:instrText>
      </w:r>
      <w:r>
        <w:rPr>
          <w:rFonts w:ascii="Times New Roman"/>
        </w:rPr>
        <w:fldChar w:fldCharType="separate"/>
      </w:r>
      <w:r>
        <w:fldChar w:fldCharType="begin"/>
      </w:r>
      <w:r>
        <w:instrText xml:space="preserve"> HYPERLINK \l "_Toc19880" </w:instrText>
      </w:r>
      <w:r>
        <w:fldChar w:fldCharType="separate"/>
      </w:r>
      <w:r>
        <w:rPr>
          <w:rFonts w:ascii="Times New Roman"/>
        </w:rPr>
        <w:t>目  次</w:t>
      </w:r>
      <w:r>
        <w:rPr>
          <w:rFonts w:ascii="Times New Roman"/>
        </w:rPr>
        <w:tab/>
      </w:r>
      <w:r>
        <w:rPr>
          <w:rFonts w:ascii="Times New Roman"/>
        </w:rPr>
        <w:fldChar w:fldCharType="begin"/>
      </w:r>
      <w:r>
        <w:rPr>
          <w:rFonts w:ascii="Times New Roman"/>
        </w:rPr>
        <w:instrText xml:space="preserve"> PAGEREF _Toc19880 \h </w:instrText>
      </w:r>
      <w:r>
        <w:rPr>
          <w:rFonts w:ascii="Times New Roman"/>
        </w:rPr>
        <w:fldChar w:fldCharType="separate"/>
      </w:r>
      <w:r>
        <w:rPr>
          <w:rFonts w:ascii="Times New Roman"/>
        </w:rPr>
        <w:t>I</w:t>
      </w:r>
      <w:r>
        <w:rPr>
          <w:rFonts w:ascii="Times New Roman"/>
        </w:rPr>
        <w:fldChar w:fldCharType="end"/>
      </w:r>
      <w:r>
        <w:rPr>
          <w:rFonts w:ascii="Times New Roman"/>
        </w:rPr>
        <w:fldChar w:fldCharType="end"/>
      </w:r>
    </w:p>
    <w:p w14:paraId="20D19B08">
      <w:pPr>
        <w:pStyle w:val="29"/>
        <w:tabs>
          <w:tab w:val="right" w:leader="dot" w:pos="9354"/>
          <w:tab w:val="clear" w:pos="9242"/>
        </w:tabs>
        <w:rPr>
          <w:rFonts w:ascii="Times New Roman"/>
        </w:rPr>
      </w:pPr>
      <w:r>
        <w:fldChar w:fldCharType="begin"/>
      </w:r>
      <w:r>
        <w:instrText xml:space="preserve"> HYPERLINK \l "_Toc24554" </w:instrText>
      </w:r>
      <w:r>
        <w:fldChar w:fldCharType="separate"/>
      </w:r>
      <w:r>
        <w:rPr>
          <w:rFonts w:ascii="Times New Roman"/>
        </w:rPr>
        <w:t xml:space="preserve">1 </w:t>
      </w:r>
      <w:r>
        <w:rPr>
          <w:rFonts w:ascii="Times New Roman"/>
          <w:kern w:val="0"/>
        </w:rPr>
        <w:t>范围</w:t>
      </w:r>
      <w:r>
        <w:rPr>
          <w:rFonts w:ascii="Times New Roman"/>
        </w:rPr>
        <w:tab/>
      </w:r>
      <w:r>
        <w:rPr>
          <w:rFonts w:ascii="Times New Roman"/>
        </w:rPr>
        <w:fldChar w:fldCharType="begin"/>
      </w:r>
      <w:r>
        <w:rPr>
          <w:rFonts w:ascii="Times New Roman"/>
        </w:rPr>
        <w:instrText xml:space="preserve"> PAGEREF _Toc24554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2CEBEBC1">
      <w:pPr>
        <w:pStyle w:val="29"/>
        <w:tabs>
          <w:tab w:val="right" w:leader="dot" w:pos="9354"/>
          <w:tab w:val="clear" w:pos="9242"/>
        </w:tabs>
        <w:rPr>
          <w:rFonts w:ascii="Times New Roman"/>
        </w:rPr>
      </w:pPr>
      <w:r>
        <w:fldChar w:fldCharType="begin"/>
      </w:r>
      <w:r>
        <w:instrText xml:space="preserve"> HYPERLINK \l "_Toc9210" </w:instrText>
      </w:r>
      <w:r>
        <w:fldChar w:fldCharType="separate"/>
      </w:r>
      <w:r>
        <w:rPr>
          <w:rFonts w:ascii="Times New Roman"/>
        </w:rPr>
        <w:t xml:space="preserve">2 </w:t>
      </w:r>
      <w:r>
        <w:rPr>
          <w:rFonts w:ascii="Times New Roman"/>
          <w:kern w:val="0"/>
        </w:rPr>
        <w:t>规范性引用文件</w:t>
      </w:r>
      <w:r>
        <w:rPr>
          <w:rFonts w:ascii="Times New Roman"/>
        </w:rPr>
        <w:tab/>
      </w:r>
      <w:r>
        <w:rPr>
          <w:rFonts w:ascii="Times New Roman"/>
        </w:rPr>
        <w:fldChar w:fldCharType="begin"/>
      </w:r>
      <w:r>
        <w:rPr>
          <w:rFonts w:ascii="Times New Roman"/>
        </w:rPr>
        <w:instrText xml:space="preserve"> PAGEREF _Toc9210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08AFC612">
      <w:pPr>
        <w:pStyle w:val="29"/>
        <w:tabs>
          <w:tab w:val="right" w:leader="dot" w:pos="9354"/>
          <w:tab w:val="clear" w:pos="9242"/>
        </w:tabs>
        <w:rPr>
          <w:rFonts w:ascii="Times New Roman"/>
        </w:rPr>
      </w:pPr>
      <w:r>
        <w:fldChar w:fldCharType="begin"/>
      </w:r>
      <w:r>
        <w:instrText xml:space="preserve"> HYPERLINK \l "_Toc4289" </w:instrText>
      </w:r>
      <w:r>
        <w:fldChar w:fldCharType="separate"/>
      </w:r>
      <w:r>
        <w:rPr>
          <w:rFonts w:ascii="Times New Roman"/>
        </w:rPr>
        <w:t xml:space="preserve">3 </w:t>
      </w:r>
      <w:r>
        <w:rPr>
          <w:rFonts w:ascii="Times New Roman"/>
          <w:kern w:val="0"/>
        </w:rPr>
        <w:t>术语和定义</w:t>
      </w:r>
      <w:r>
        <w:rPr>
          <w:rFonts w:ascii="Times New Roman"/>
        </w:rPr>
        <w:tab/>
      </w:r>
      <w:r>
        <w:rPr>
          <w:rFonts w:ascii="Times New Roman"/>
        </w:rPr>
        <w:fldChar w:fldCharType="begin"/>
      </w:r>
      <w:r>
        <w:rPr>
          <w:rFonts w:ascii="Times New Roman"/>
        </w:rPr>
        <w:instrText xml:space="preserve"> PAGEREF _Toc4289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6D58D487">
      <w:pPr>
        <w:pStyle w:val="29"/>
        <w:tabs>
          <w:tab w:val="right" w:leader="dot" w:pos="9354"/>
          <w:tab w:val="clear" w:pos="9242"/>
        </w:tabs>
        <w:rPr>
          <w:rFonts w:ascii="Times New Roman"/>
        </w:rPr>
      </w:pPr>
      <w:r>
        <w:fldChar w:fldCharType="begin"/>
      </w:r>
      <w:r>
        <w:instrText xml:space="preserve"> HYPERLINK \l "_Toc9853" </w:instrText>
      </w:r>
      <w:r>
        <w:fldChar w:fldCharType="separate"/>
      </w:r>
      <w:r>
        <w:rPr>
          <w:rFonts w:ascii="Times New Roman"/>
        </w:rPr>
        <w:t>4 分类及代号</w:t>
      </w:r>
      <w:r>
        <w:rPr>
          <w:rFonts w:ascii="Times New Roman"/>
        </w:rPr>
        <w:tab/>
      </w:r>
      <w:r>
        <w:rPr>
          <w:rFonts w:ascii="Times New Roman"/>
        </w:rPr>
        <w:fldChar w:fldCharType="begin"/>
      </w:r>
      <w:r>
        <w:rPr>
          <w:rFonts w:ascii="Times New Roman"/>
        </w:rPr>
        <w:instrText xml:space="preserve"> PAGEREF _Toc9853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56ED0D48">
      <w:pPr>
        <w:pStyle w:val="29"/>
        <w:tabs>
          <w:tab w:val="right" w:leader="dot" w:pos="9354"/>
          <w:tab w:val="clear" w:pos="9242"/>
        </w:tabs>
        <w:rPr>
          <w:rFonts w:ascii="Times New Roman"/>
        </w:rPr>
      </w:pPr>
      <w:r>
        <w:fldChar w:fldCharType="begin"/>
      </w:r>
      <w:r>
        <w:instrText xml:space="preserve"> HYPERLINK \l "_Toc9281" </w:instrText>
      </w:r>
      <w:r>
        <w:fldChar w:fldCharType="separate"/>
      </w:r>
      <w:r>
        <w:rPr>
          <w:rFonts w:ascii="Times New Roman"/>
        </w:rPr>
        <w:t>5 订货内容</w:t>
      </w:r>
      <w:r>
        <w:rPr>
          <w:rFonts w:ascii="Times New Roman"/>
        </w:rPr>
        <w:tab/>
      </w:r>
      <w:r>
        <w:rPr>
          <w:rFonts w:ascii="Times New Roman"/>
        </w:rPr>
        <w:fldChar w:fldCharType="begin"/>
      </w:r>
      <w:r>
        <w:rPr>
          <w:rFonts w:ascii="Times New Roman"/>
        </w:rPr>
        <w:instrText xml:space="preserve"> PAGEREF _Toc9281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325B34F1">
      <w:pPr>
        <w:pStyle w:val="29"/>
        <w:tabs>
          <w:tab w:val="right" w:leader="dot" w:pos="9354"/>
          <w:tab w:val="clear" w:pos="9242"/>
        </w:tabs>
        <w:rPr>
          <w:rFonts w:ascii="Times New Roman"/>
        </w:rPr>
      </w:pPr>
      <w:r>
        <w:fldChar w:fldCharType="begin"/>
      </w:r>
      <w:r>
        <w:instrText xml:space="preserve"> HYPERLINK \l "_Toc12050" </w:instrText>
      </w:r>
      <w:r>
        <w:fldChar w:fldCharType="separate"/>
      </w:r>
      <w:r>
        <w:rPr>
          <w:rFonts w:ascii="Times New Roman"/>
        </w:rPr>
        <w:t>6 制造工艺</w:t>
      </w:r>
      <w:r>
        <w:rPr>
          <w:rFonts w:ascii="Times New Roman"/>
        </w:rPr>
        <w:tab/>
      </w:r>
      <w:r>
        <w:rPr>
          <w:rFonts w:ascii="Times New Roman"/>
        </w:rPr>
        <w:fldChar w:fldCharType="begin"/>
      </w:r>
      <w:r>
        <w:rPr>
          <w:rFonts w:ascii="Times New Roman"/>
        </w:rPr>
        <w:instrText xml:space="preserve"> PAGEREF _Toc12050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1D2EBB32">
      <w:pPr>
        <w:pStyle w:val="29"/>
        <w:tabs>
          <w:tab w:val="right" w:leader="dot" w:pos="9354"/>
          <w:tab w:val="clear" w:pos="9242"/>
        </w:tabs>
        <w:rPr>
          <w:rFonts w:ascii="Times New Roman"/>
        </w:rPr>
      </w:pPr>
      <w:r>
        <w:fldChar w:fldCharType="begin"/>
      </w:r>
      <w:r>
        <w:instrText xml:space="preserve"> HYPERLINK \l "_Toc23950" </w:instrText>
      </w:r>
      <w:r>
        <w:fldChar w:fldCharType="separate"/>
      </w:r>
      <w:r>
        <w:rPr>
          <w:rFonts w:ascii="Times New Roman"/>
        </w:rPr>
        <w:t>7 技术要求</w:t>
      </w:r>
      <w:r>
        <w:rPr>
          <w:rFonts w:ascii="Times New Roman"/>
        </w:rPr>
        <w:tab/>
      </w:r>
      <w:r>
        <w:rPr>
          <w:rFonts w:ascii="Times New Roman"/>
        </w:rPr>
        <w:fldChar w:fldCharType="begin"/>
      </w:r>
      <w:r>
        <w:rPr>
          <w:rFonts w:ascii="Times New Roman"/>
        </w:rPr>
        <w:instrText xml:space="preserve"> PAGEREF _Toc23950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52157673">
      <w:pPr>
        <w:pStyle w:val="29"/>
        <w:tabs>
          <w:tab w:val="right" w:leader="dot" w:pos="9354"/>
          <w:tab w:val="clear" w:pos="9242"/>
        </w:tabs>
        <w:rPr>
          <w:rFonts w:ascii="Times New Roman"/>
        </w:rPr>
      </w:pPr>
      <w:r>
        <w:fldChar w:fldCharType="begin"/>
      </w:r>
      <w:r>
        <w:instrText xml:space="preserve"> HYPERLINK \l "_Toc22847" </w:instrText>
      </w:r>
      <w:r>
        <w:fldChar w:fldCharType="separate"/>
      </w:r>
      <w:r>
        <w:rPr>
          <w:rFonts w:ascii="Times New Roman"/>
        </w:rPr>
        <w:t>8 试验方法</w:t>
      </w:r>
      <w:r>
        <w:rPr>
          <w:rFonts w:ascii="Times New Roman"/>
        </w:rPr>
        <w:tab/>
      </w:r>
      <w:r>
        <w:rPr>
          <w:rFonts w:ascii="Times New Roman"/>
        </w:rPr>
        <w:fldChar w:fldCharType="begin"/>
      </w:r>
      <w:r>
        <w:rPr>
          <w:rFonts w:ascii="Times New Roman"/>
        </w:rPr>
        <w:instrText xml:space="preserve"> PAGEREF _Toc22847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184907F1">
      <w:pPr>
        <w:pStyle w:val="29"/>
        <w:tabs>
          <w:tab w:val="right" w:leader="dot" w:pos="9354"/>
          <w:tab w:val="clear" w:pos="9242"/>
        </w:tabs>
        <w:rPr>
          <w:rFonts w:ascii="Times New Roman"/>
        </w:rPr>
      </w:pPr>
      <w:r>
        <w:fldChar w:fldCharType="begin"/>
      </w:r>
      <w:r>
        <w:instrText xml:space="preserve"> HYPERLINK \l "_Toc27846" </w:instrText>
      </w:r>
      <w:r>
        <w:fldChar w:fldCharType="separate"/>
      </w:r>
      <w:r>
        <w:rPr>
          <w:rFonts w:ascii="Times New Roman"/>
        </w:rPr>
        <w:t>9 检验规则</w:t>
      </w:r>
      <w:r>
        <w:rPr>
          <w:rFonts w:ascii="Times New Roman"/>
        </w:rPr>
        <w:tab/>
      </w:r>
      <w:r>
        <w:rPr>
          <w:rFonts w:ascii="Times New Roman"/>
        </w:rPr>
        <w:fldChar w:fldCharType="begin"/>
      </w:r>
      <w:r>
        <w:rPr>
          <w:rFonts w:ascii="Times New Roman"/>
        </w:rPr>
        <w:instrText xml:space="preserve"> PAGEREF _Toc27846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716B1597">
      <w:pPr>
        <w:pStyle w:val="29"/>
        <w:tabs>
          <w:tab w:val="right" w:leader="dot" w:pos="9354"/>
          <w:tab w:val="clear" w:pos="9242"/>
        </w:tabs>
        <w:rPr>
          <w:rFonts w:ascii="Times New Roman"/>
        </w:rPr>
      </w:pPr>
      <w:r>
        <w:fldChar w:fldCharType="begin"/>
      </w:r>
      <w:r>
        <w:instrText xml:space="preserve"> HYPERLINK \l "_Toc3679" </w:instrText>
      </w:r>
      <w:r>
        <w:fldChar w:fldCharType="separate"/>
      </w:r>
      <w:r>
        <w:rPr>
          <w:rFonts w:ascii="Times New Roman"/>
        </w:rPr>
        <w:t>10 包装、标志和质量说明书</w:t>
      </w:r>
      <w:r>
        <w:rPr>
          <w:rFonts w:ascii="Times New Roman"/>
        </w:rPr>
        <w:tab/>
      </w:r>
      <w:r>
        <w:rPr>
          <w:rFonts w:ascii="Times New Roman"/>
        </w:rPr>
        <w:fldChar w:fldCharType="begin"/>
      </w:r>
      <w:r>
        <w:rPr>
          <w:rFonts w:ascii="Times New Roman"/>
        </w:rPr>
        <w:instrText xml:space="preserve"> PAGEREF _Toc3679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5D0A8B71">
      <w:pPr>
        <w:pStyle w:val="24"/>
        <w:rPr>
          <w:rFonts w:ascii="Times New Roman"/>
        </w:rPr>
      </w:pPr>
      <w:r>
        <w:rPr>
          <w:rFonts w:ascii="Times New Roman"/>
          <w:lang w:val="zh-CN"/>
        </w:rPr>
        <w:fldChar w:fldCharType="end"/>
      </w:r>
    </w:p>
    <w:p w14:paraId="5D22C220">
      <w:pPr>
        <w:pStyle w:val="143"/>
        <w:rPr>
          <w:rFonts w:ascii="Times New Roman"/>
        </w:rPr>
      </w:pPr>
      <w:bookmarkStart w:id="11" w:name="_Toc23505"/>
      <w:bookmarkStart w:id="12" w:name="_Toc16391"/>
      <w:r>
        <w:rPr>
          <w:rFonts w:ascii="Times New Roman"/>
        </w:rPr>
        <w:t>前</w:t>
      </w:r>
      <w:bookmarkStart w:id="13" w:name="BKQY"/>
      <w:r>
        <w:rPr>
          <w:rFonts w:ascii="Times New Roman"/>
        </w:rPr>
        <w:t>  言</w:t>
      </w:r>
      <w:bookmarkEnd w:id="5"/>
      <w:bookmarkEnd w:id="6"/>
      <w:bookmarkEnd w:id="7"/>
      <w:bookmarkEnd w:id="8"/>
      <w:bookmarkEnd w:id="11"/>
      <w:bookmarkEnd w:id="12"/>
      <w:bookmarkEnd w:id="13"/>
    </w:p>
    <w:p w14:paraId="4C818405">
      <w:pPr>
        <w:pStyle w:val="24"/>
        <w:rPr>
          <w:rFonts w:ascii="Times New Roman"/>
        </w:rPr>
      </w:pPr>
      <w:r>
        <w:rPr>
          <w:rFonts w:ascii="Times New Roman"/>
        </w:rPr>
        <w:t>本文件按照GB/T 1.1</w:t>
      </w:r>
      <w:r>
        <w:rPr>
          <w:rFonts w:ascii="Times New Roman"/>
          <w:color w:val="000000"/>
          <w:kern w:val="2"/>
          <w:szCs w:val="22"/>
        </w:rPr>
        <w:t>—</w:t>
      </w:r>
      <w:r>
        <w:rPr>
          <w:rFonts w:ascii="Times New Roman"/>
        </w:rPr>
        <w:t>2020《标准化工作导则  第1部分：标准化文件的结构和起草规则》的规定起草。</w:t>
      </w:r>
    </w:p>
    <w:p w14:paraId="46E283E1">
      <w:pPr>
        <w:pStyle w:val="24"/>
        <w:rPr>
          <w:rFonts w:ascii="Times New Roman"/>
        </w:rPr>
      </w:pPr>
      <w:r>
        <w:rPr>
          <w:rFonts w:ascii="Times New Roman"/>
        </w:rPr>
        <w:t>请注意本部分的某些内容可能涉及专利。本文件的发布机构不承担识别专利的责任。</w:t>
      </w:r>
    </w:p>
    <w:p w14:paraId="0CC3BCAC">
      <w:pPr>
        <w:pStyle w:val="24"/>
        <w:rPr>
          <w:rFonts w:ascii="Times New Roman"/>
        </w:rPr>
      </w:pPr>
      <w:r>
        <w:rPr>
          <w:rFonts w:ascii="Times New Roman"/>
        </w:rPr>
        <w:t>本文件由中关村不锈及特种合金新材料产业技术创新联盟标准化工作委员会提出并归口。</w:t>
      </w:r>
    </w:p>
    <w:p w14:paraId="66E3BE53">
      <w:pPr>
        <w:pStyle w:val="24"/>
        <w:rPr>
          <w:rFonts w:ascii="Times New Roman"/>
        </w:rPr>
      </w:pPr>
      <w:r>
        <w:rPr>
          <w:rFonts w:ascii="Times New Roman"/>
        </w:rPr>
        <w:t>本文件起草单位：</w:t>
      </w:r>
      <w:r>
        <w:rPr>
          <w:rFonts w:hint="eastAsia" w:ascii="Times New Roman"/>
        </w:rPr>
        <w:t>浙江久立特材科技股份有限公司</w:t>
      </w:r>
    </w:p>
    <w:p w14:paraId="5C05190B">
      <w:pPr>
        <w:pStyle w:val="24"/>
        <w:rPr>
          <w:rFonts w:ascii="Times New Roman"/>
        </w:rPr>
      </w:pPr>
      <w:r>
        <w:rPr>
          <w:rFonts w:ascii="Times New Roman"/>
        </w:rPr>
        <w:t>本文件主要起草人：</w:t>
      </w:r>
    </w:p>
    <w:p w14:paraId="0D6028FD">
      <w:pPr>
        <w:pStyle w:val="24"/>
        <w:ind w:firstLine="0" w:firstLineChars="0"/>
        <w:rPr>
          <w:rFonts w:ascii="Times New Roman"/>
        </w:rPr>
      </w:pPr>
    </w:p>
    <w:p w14:paraId="0DD4CF71">
      <w:pPr>
        <w:pStyle w:val="24"/>
        <w:ind w:firstLine="0" w:firstLineChars="0"/>
        <w:rPr>
          <w:rFonts w:ascii="Times New Roman"/>
        </w:rPr>
        <w:sectPr>
          <w:headerReference r:id="rId7" w:type="first"/>
          <w:headerReference r:id="rId5" w:type="default"/>
          <w:footerReference r:id="rId8" w:type="default"/>
          <w:headerReference r:id="rId6" w:type="even"/>
          <w:pgSz w:w="11906" w:h="16838"/>
          <w:pgMar w:top="567" w:right="1134" w:bottom="1134" w:left="1418" w:header="1418" w:footer="1134" w:gutter="0"/>
          <w:pgNumType w:fmt="upperRoman" w:start="1"/>
          <w:cols w:space="720" w:num="1"/>
          <w:formProt w:val="0"/>
          <w:docGrid w:type="lines" w:linePitch="312" w:charSpace="0"/>
        </w:sectPr>
      </w:pPr>
    </w:p>
    <w:p w14:paraId="325853F8">
      <w:pPr>
        <w:pStyle w:val="153"/>
        <w:rPr>
          <w:rFonts w:ascii="Times New Roman"/>
        </w:rPr>
      </w:pPr>
      <w:bookmarkStart w:id="14" w:name="_Toc8382"/>
      <w:r>
        <w:rPr>
          <w:rFonts w:ascii="Times New Roman"/>
        </w:rPr>
        <w:t>半导体制备装置用超高纯</w:t>
      </w:r>
      <w:r>
        <w:rPr>
          <w:rFonts w:hint="eastAsia" w:ascii="Times New Roman"/>
        </w:rPr>
        <w:t>净</w:t>
      </w:r>
      <w:r>
        <w:rPr>
          <w:rFonts w:ascii="Times New Roman"/>
        </w:rPr>
        <w:t>不锈钢管</w:t>
      </w:r>
      <w:bookmarkEnd w:id="14"/>
    </w:p>
    <w:p w14:paraId="1B5456A6">
      <w:pPr>
        <w:pStyle w:val="31"/>
        <w:widowControl/>
        <w:numPr>
          <w:ilvl w:val="0"/>
          <w:numId w:val="17"/>
        </w:numPr>
        <w:spacing w:before="312" w:beforeLines="100" w:after="312" w:afterLines="100"/>
        <w:outlineLvl w:val="1"/>
        <w:rPr>
          <w:rFonts w:eastAsia="黑体"/>
          <w:sz w:val="21"/>
          <w:szCs w:val="21"/>
        </w:rPr>
      </w:pPr>
      <w:bookmarkStart w:id="15" w:name="_Toc24554"/>
      <w:r>
        <w:rPr>
          <w:rFonts w:eastAsia="黑体"/>
          <w:kern w:val="0"/>
          <w:sz w:val="21"/>
          <w:szCs w:val="21"/>
        </w:rPr>
        <w:t>范围</w:t>
      </w:r>
      <w:bookmarkEnd w:id="15"/>
    </w:p>
    <w:p w14:paraId="52883E2B">
      <w:pPr>
        <w:ind w:firstLine="420" w:firstLineChars="200"/>
        <w:rPr>
          <w:szCs w:val="21"/>
        </w:rPr>
      </w:pPr>
      <w:r>
        <w:rPr>
          <w:szCs w:val="21"/>
        </w:rPr>
        <w:t>本文件规定了半导体制备装置用超高纯净不锈钢管的分类及代号、订货内容、制造工艺、技术要求、试验方法、检验规则、包装、标志和质量说明书。</w:t>
      </w:r>
    </w:p>
    <w:p w14:paraId="62201538">
      <w:pPr>
        <w:ind w:firstLine="420" w:firstLineChars="200"/>
        <w:rPr>
          <w:szCs w:val="21"/>
        </w:rPr>
      </w:pPr>
      <w:r>
        <w:rPr>
          <w:szCs w:val="21"/>
        </w:rPr>
        <w:t>本文件适用于半导体制备装置用超高纯净不锈钢无缝钢管（以下简称钢管）。</w:t>
      </w:r>
    </w:p>
    <w:p w14:paraId="38E25DE0">
      <w:pPr>
        <w:pStyle w:val="31"/>
        <w:widowControl/>
        <w:numPr>
          <w:ilvl w:val="0"/>
          <w:numId w:val="17"/>
        </w:numPr>
        <w:spacing w:before="312" w:beforeLines="100" w:after="312" w:afterLines="100"/>
        <w:outlineLvl w:val="1"/>
        <w:rPr>
          <w:rFonts w:eastAsia="黑体"/>
          <w:sz w:val="21"/>
          <w:szCs w:val="21"/>
        </w:rPr>
      </w:pPr>
      <w:bookmarkStart w:id="16" w:name="_Toc9210"/>
      <w:r>
        <w:rPr>
          <w:rFonts w:eastAsia="黑体"/>
          <w:kern w:val="0"/>
          <w:sz w:val="21"/>
          <w:szCs w:val="21"/>
        </w:rPr>
        <w:t>规范性引用文件</w:t>
      </w:r>
      <w:bookmarkEnd w:id="16"/>
    </w:p>
    <w:p w14:paraId="03A30AA0">
      <w:pPr>
        <w:ind w:firstLine="420" w:firstLineChars="200"/>
        <w:rPr>
          <w:szCs w:val="21"/>
        </w:rPr>
      </w:pPr>
      <w:r>
        <w:rPr>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CC5513B">
      <w:pPr>
        <w:ind w:firstLine="420" w:firstLineChars="200"/>
        <w:rPr>
          <w:color w:val="auto"/>
          <w:szCs w:val="21"/>
        </w:rPr>
      </w:pPr>
      <w:r>
        <w:rPr>
          <w:color w:val="auto"/>
          <w:szCs w:val="21"/>
        </w:rPr>
        <w:t>GB/T 222  钢及合金 成品化学成分允许偏差</w:t>
      </w:r>
    </w:p>
    <w:p w14:paraId="14B85C18">
      <w:pPr>
        <w:ind w:firstLine="420" w:firstLineChars="200"/>
        <w:rPr>
          <w:color w:val="auto"/>
        </w:rPr>
      </w:pPr>
      <w:r>
        <w:rPr>
          <w:color w:val="auto"/>
        </w:rPr>
        <w:t>GB/T 223</w:t>
      </w:r>
      <w:r>
        <w:rPr>
          <w:rFonts w:hint="eastAsia"/>
          <w:color w:val="auto"/>
        </w:rPr>
        <w:t>（所有部分）</w:t>
      </w:r>
      <w:r>
        <w:rPr>
          <w:color w:val="auto"/>
        </w:rPr>
        <w:t xml:space="preserve">  钢铁及合金化学分析方法</w:t>
      </w:r>
    </w:p>
    <w:p w14:paraId="184C5538">
      <w:pPr>
        <w:ind w:firstLine="420" w:firstLineChars="200"/>
        <w:rPr>
          <w:color w:val="auto"/>
          <w:szCs w:val="21"/>
        </w:rPr>
      </w:pPr>
      <w:r>
        <w:rPr>
          <w:color w:val="auto"/>
          <w:szCs w:val="21"/>
        </w:rPr>
        <w:t>GB/T 226  钢的低倍组织及缺陷酸蚀检验法</w:t>
      </w:r>
    </w:p>
    <w:p w14:paraId="75D1DF1A">
      <w:pPr>
        <w:ind w:firstLine="420" w:firstLineChars="200"/>
        <w:rPr>
          <w:color w:val="auto"/>
          <w:szCs w:val="21"/>
        </w:rPr>
      </w:pPr>
      <w:r>
        <w:rPr>
          <w:color w:val="auto"/>
          <w:szCs w:val="21"/>
        </w:rPr>
        <w:t>GB/T 228.1  金属材料拉伸试验第1部分：室温试验方法</w:t>
      </w:r>
    </w:p>
    <w:p w14:paraId="4AE9E22A">
      <w:pPr>
        <w:ind w:firstLine="420" w:firstLineChars="200"/>
        <w:rPr>
          <w:color w:val="auto"/>
          <w:szCs w:val="21"/>
        </w:rPr>
      </w:pPr>
      <w:r>
        <w:rPr>
          <w:color w:val="auto"/>
          <w:szCs w:val="21"/>
        </w:rPr>
        <w:t>GB/T 241  金属材料</w:t>
      </w:r>
      <w:r>
        <w:rPr>
          <w:rFonts w:hint="eastAsia"/>
          <w:color w:val="auto"/>
          <w:szCs w:val="21"/>
          <w:lang w:val="en-US" w:eastAsia="zh-CN"/>
        </w:rPr>
        <w:t xml:space="preserve"> </w:t>
      </w:r>
      <w:r>
        <w:rPr>
          <w:color w:val="auto"/>
          <w:szCs w:val="21"/>
        </w:rPr>
        <w:t xml:space="preserve"> 管</w:t>
      </w:r>
      <w:r>
        <w:rPr>
          <w:rFonts w:hint="eastAsia"/>
          <w:color w:val="auto"/>
          <w:szCs w:val="21"/>
          <w:lang w:val="en-US" w:eastAsia="zh-CN"/>
        </w:rPr>
        <w:t xml:space="preserve"> </w:t>
      </w:r>
      <w:r>
        <w:rPr>
          <w:color w:val="auto"/>
          <w:szCs w:val="21"/>
        </w:rPr>
        <w:t xml:space="preserve"> 液压试验方法</w:t>
      </w:r>
    </w:p>
    <w:p w14:paraId="517BBB9B">
      <w:pPr>
        <w:ind w:firstLine="420" w:firstLineChars="200"/>
        <w:rPr>
          <w:color w:val="auto"/>
          <w:szCs w:val="21"/>
        </w:rPr>
      </w:pPr>
      <w:r>
        <w:rPr>
          <w:color w:val="auto"/>
          <w:szCs w:val="21"/>
        </w:rPr>
        <w:t>GB/T 242  金属管扩口试验方法</w:t>
      </w:r>
    </w:p>
    <w:p w14:paraId="6760C03E">
      <w:pPr>
        <w:ind w:firstLine="420" w:firstLineChars="200"/>
        <w:rPr>
          <w:color w:val="auto"/>
          <w:szCs w:val="21"/>
        </w:rPr>
      </w:pPr>
      <w:r>
        <w:rPr>
          <w:color w:val="auto"/>
          <w:szCs w:val="21"/>
        </w:rPr>
        <w:t>GB/T 246  金属材料管压扁试验方法</w:t>
      </w:r>
    </w:p>
    <w:p w14:paraId="0AE72EC2">
      <w:pPr>
        <w:ind w:firstLine="420" w:firstLineChars="200"/>
        <w:rPr>
          <w:color w:val="auto"/>
          <w:szCs w:val="21"/>
        </w:rPr>
      </w:pPr>
      <w:r>
        <w:rPr>
          <w:color w:val="auto"/>
          <w:szCs w:val="21"/>
        </w:rPr>
        <w:t>GB/T 1979  结构钢低倍组织缺陷评级图</w:t>
      </w:r>
    </w:p>
    <w:p w14:paraId="2392632E">
      <w:pPr>
        <w:ind w:firstLine="420" w:firstLineChars="200"/>
        <w:rPr>
          <w:color w:val="auto"/>
          <w:szCs w:val="21"/>
        </w:rPr>
      </w:pPr>
      <w:r>
        <w:rPr>
          <w:color w:val="auto"/>
          <w:szCs w:val="21"/>
        </w:rPr>
        <w:t>GB/T 2102  钢管的验收、包装、标志和质量证明书</w:t>
      </w:r>
    </w:p>
    <w:p w14:paraId="35204877">
      <w:pPr>
        <w:ind w:firstLine="420" w:firstLineChars="200"/>
        <w:rPr>
          <w:rFonts w:hint="default" w:eastAsia="宋体"/>
          <w:color w:val="auto"/>
          <w:szCs w:val="21"/>
          <w:lang w:val="en-US" w:eastAsia="zh-CN"/>
        </w:rPr>
      </w:pPr>
      <w:r>
        <w:rPr>
          <w:rFonts w:hint="eastAsia"/>
          <w:color w:val="auto"/>
          <w:szCs w:val="21"/>
          <w:lang w:val="en-US" w:eastAsia="zh-CN"/>
        </w:rPr>
        <w:t>GB/T 2975  钢及钢产品  力学性能试验取样位置及试样制备</w:t>
      </w:r>
    </w:p>
    <w:p w14:paraId="124AA0C2">
      <w:pPr>
        <w:ind w:firstLine="420" w:firstLineChars="200"/>
        <w:rPr>
          <w:color w:val="auto"/>
          <w:szCs w:val="21"/>
        </w:rPr>
      </w:pPr>
      <w:r>
        <w:rPr>
          <w:color w:val="auto"/>
          <w:szCs w:val="21"/>
        </w:rPr>
        <w:t>GB/T 4162  锻轧钢棒超声检测方法</w:t>
      </w:r>
    </w:p>
    <w:p w14:paraId="458C73AA">
      <w:pPr>
        <w:ind w:firstLine="420" w:firstLineChars="200"/>
        <w:rPr>
          <w:rFonts w:hint="default" w:eastAsia="宋体"/>
          <w:color w:val="auto"/>
          <w:szCs w:val="21"/>
          <w:lang w:val="en-US" w:eastAsia="zh-CN"/>
        </w:rPr>
      </w:pPr>
      <w:r>
        <w:rPr>
          <w:rFonts w:hint="eastAsia"/>
          <w:color w:val="auto"/>
          <w:szCs w:val="21"/>
          <w:lang w:val="en-US" w:eastAsia="zh-CN"/>
        </w:rPr>
        <w:t>GB/T 4334-2020  金属和合金的腐蚀  奥氏体及铁素体-奥氏体（双相）不锈钢晶间腐蚀试验方法</w:t>
      </w:r>
    </w:p>
    <w:p w14:paraId="54917D19">
      <w:pPr>
        <w:ind w:firstLine="420" w:firstLineChars="200"/>
        <w:rPr>
          <w:color w:val="auto"/>
          <w:szCs w:val="21"/>
        </w:rPr>
      </w:pPr>
      <w:r>
        <w:rPr>
          <w:color w:val="auto"/>
          <w:szCs w:val="21"/>
        </w:rPr>
        <w:t>GB/T 5777  无缝和焊接</w:t>
      </w:r>
      <w:r>
        <w:rPr>
          <w:rFonts w:hint="eastAsia"/>
          <w:color w:val="auto"/>
          <w:szCs w:val="21"/>
          <w:lang w:eastAsia="zh-CN"/>
        </w:rPr>
        <w:t>（</w:t>
      </w:r>
      <w:r>
        <w:rPr>
          <w:color w:val="auto"/>
          <w:szCs w:val="21"/>
        </w:rPr>
        <w:t>埋弧焊除外</w:t>
      </w:r>
      <w:r>
        <w:rPr>
          <w:rFonts w:hint="eastAsia"/>
          <w:color w:val="auto"/>
          <w:szCs w:val="21"/>
          <w:lang w:eastAsia="zh-CN"/>
        </w:rPr>
        <w:t>）</w:t>
      </w:r>
      <w:r>
        <w:rPr>
          <w:color w:val="auto"/>
          <w:szCs w:val="21"/>
        </w:rPr>
        <w:t>钢管纵向和∕或横向缺欠的全圆周自动超声检测</w:t>
      </w:r>
    </w:p>
    <w:p w14:paraId="3FCA5AE8">
      <w:pPr>
        <w:ind w:firstLine="420" w:firstLineChars="200"/>
        <w:rPr>
          <w:color w:val="auto"/>
          <w:szCs w:val="21"/>
        </w:rPr>
      </w:pPr>
      <w:r>
        <w:rPr>
          <w:color w:val="auto"/>
          <w:szCs w:val="21"/>
        </w:rPr>
        <w:t>GB/T 6394  金属平均晶粒度测定方法</w:t>
      </w:r>
    </w:p>
    <w:p w14:paraId="60F16AE9">
      <w:pPr>
        <w:ind w:firstLine="420" w:firstLineChars="200"/>
        <w:rPr>
          <w:color w:val="auto"/>
          <w:szCs w:val="21"/>
        </w:rPr>
      </w:pPr>
      <w:r>
        <w:rPr>
          <w:color w:val="auto"/>
          <w:szCs w:val="21"/>
        </w:rPr>
        <w:t>GB/T 7735  无缝和焊接</w:t>
      </w:r>
      <w:r>
        <w:rPr>
          <w:rFonts w:hint="eastAsia"/>
          <w:color w:val="auto"/>
          <w:szCs w:val="21"/>
          <w:lang w:eastAsia="zh-CN"/>
        </w:rPr>
        <w:t>（</w:t>
      </w:r>
      <w:r>
        <w:rPr>
          <w:color w:val="auto"/>
          <w:szCs w:val="21"/>
        </w:rPr>
        <w:t>埋弧焊除外</w:t>
      </w:r>
      <w:r>
        <w:rPr>
          <w:rFonts w:hint="eastAsia"/>
          <w:color w:val="auto"/>
          <w:szCs w:val="21"/>
          <w:lang w:eastAsia="zh-CN"/>
        </w:rPr>
        <w:t>）</w:t>
      </w:r>
      <w:r>
        <w:rPr>
          <w:color w:val="auto"/>
          <w:szCs w:val="21"/>
        </w:rPr>
        <w:t>钢管缺欠的自动涡流检测</w:t>
      </w:r>
    </w:p>
    <w:p w14:paraId="5C41911F">
      <w:pPr>
        <w:ind w:firstLine="420" w:firstLineChars="200"/>
        <w:rPr>
          <w:color w:val="auto"/>
          <w:szCs w:val="21"/>
        </w:rPr>
      </w:pPr>
      <w:r>
        <w:rPr>
          <w:color w:val="auto"/>
          <w:szCs w:val="21"/>
        </w:rPr>
        <w:t>GB/T 8170  数值修约规则与极限数值的表示和判定</w:t>
      </w:r>
    </w:p>
    <w:p w14:paraId="59D83FF1">
      <w:pPr>
        <w:ind w:firstLine="420" w:firstLineChars="200"/>
        <w:rPr>
          <w:color w:val="auto"/>
          <w:szCs w:val="21"/>
        </w:rPr>
      </w:pPr>
      <w:r>
        <w:rPr>
          <w:color w:val="auto"/>
          <w:szCs w:val="21"/>
        </w:rPr>
        <w:t>GB/T 10561</w:t>
      </w:r>
      <w:r>
        <w:rPr>
          <w:rFonts w:hint="eastAsia"/>
          <w:color w:val="auto"/>
          <w:szCs w:val="21"/>
          <w:lang w:val="en-US" w:eastAsia="zh-CN"/>
        </w:rPr>
        <w:t>-2023</w:t>
      </w:r>
      <w:r>
        <w:rPr>
          <w:color w:val="auto"/>
          <w:szCs w:val="21"/>
        </w:rPr>
        <w:t xml:space="preserve">  钢中非金属夹杂物含量的测定 标准评级图显微检验法</w:t>
      </w:r>
    </w:p>
    <w:p w14:paraId="1615A7BF">
      <w:pPr>
        <w:ind w:firstLine="420" w:firstLineChars="200"/>
        <w:rPr>
          <w:color w:val="auto"/>
          <w:szCs w:val="21"/>
        </w:rPr>
      </w:pPr>
      <w:r>
        <w:rPr>
          <w:color w:val="auto"/>
          <w:szCs w:val="21"/>
        </w:rPr>
        <w:t xml:space="preserve">GB/T 11170  不锈钢 </w:t>
      </w:r>
      <w:r>
        <w:rPr>
          <w:rFonts w:hint="eastAsia"/>
          <w:color w:val="auto"/>
          <w:szCs w:val="21"/>
          <w:lang w:val="en-US" w:eastAsia="zh-CN"/>
        </w:rPr>
        <w:t xml:space="preserve"> </w:t>
      </w:r>
      <w:r>
        <w:rPr>
          <w:color w:val="auto"/>
          <w:szCs w:val="21"/>
        </w:rPr>
        <w:t>多元素含量的测定 火花放电原子发射光谱法</w:t>
      </w:r>
      <w:r>
        <w:rPr>
          <w:rFonts w:hint="eastAsia"/>
          <w:color w:val="auto"/>
          <w:szCs w:val="21"/>
          <w:lang w:eastAsia="zh-CN"/>
        </w:rPr>
        <w:t>（</w:t>
      </w:r>
      <w:r>
        <w:rPr>
          <w:color w:val="auto"/>
          <w:szCs w:val="21"/>
        </w:rPr>
        <w:t>常规法</w:t>
      </w:r>
      <w:r>
        <w:rPr>
          <w:rFonts w:hint="eastAsia"/>
          <w:color w:val="auto"/>
          <w:szCs w:val="21"/>
          <w:lang w:eastAsia="zh-CN"/>
        </w:rPr>
        <w:t>）</w:t>
      </w:r>
    </w:p>
    <w:p w14:paraId="0971A4D3">
      <w:pPr>
        <w:ind w:firstLine="420" w:firstLineChars="200"/>
        <w:rPr>
          <w:color w:val="auto"/>
          <w:szCs w:val="21"/>
        </w:rPr>
      </w:pPr>
      <w:r>
        <w:rPr>
          <w:color w:val="auto"/>
          <w:szCs w:val="21"/>
        </w:rPr>
        <w:t xml:space="preserve">GB/T 11261  </w:t>
      </w:r>
      <w:r>
        <w:rPr>
          <w:color w:val="auto"/>
        </w:rPr>
        <w:fldChar w:fldCharType="begin"/>
      </w:r>
      <w:r>
        <w:rPr>
          <w:color w:val="auto"/>
        </w:rPr>
        <w:instrText xml:space="preserve"> HYPERLINK "https://std.samr.gov.cn/gb/search/gbDetailed?id=71F772D7FE6BD3A7E05397BE0A0AB82A" \t "https://std.samr.gov.cn/search/stdPage?q=GB/_blank" </w:instrText>
      </w:r>
      <w:r>
        <w:rPr>
          <w:color w:val="auto"/>
        </w:rPr>
        <w:fldChar w:fldCharType="separate"/>
      </w:r>
      <w:r>
        <w:rPr>
          <w:color w:val="auto"/>
          <w:szCs w:val="21"/>
        </w:rPr>
        <w:t>钢铁</w:t>
      </w:r>
      <w:r>
        <w:rPr>
          <w:rFonts w:hint="eastAsia"/>
          <w:color w:val="auto"/>
          <w:szCs w:val="21"/>
          <w:lang w:val="en-US" w:eastAsia="zh-CN"/>
        </w:rPr>
        <w:t xml:space="preserve"> </w:t>
      </w:r>
      <w:r>
        <w:rPr>
          <w:color w:val="auto"/>
          <w:szCs w:val="21"/>
        </w:rPr>
        <w:t xml:space="preserve"> 氧含量的测定 脉冲加热惰气熔融-红外线吸收法</w:t>
      </w:r>
      <w:r>
        <w:rPr>
          <w:color w:val="auto"/>
          <w:szCs w:val="21"/>
        </w:rPr>
        <w:fldChar w:fldCharType="end"/>
      </w:r>
    </w:p>
    <w:p w14:paraId="784F85C1">
      <w:pPr>
        <w:ind w:firstLine="420" w:firstLineChars="200"/>
        <w:rPr>
          <w:color w:val="auto"/>
          <w:szCs w:val="21"/>
        </w:rPr>
      </w:pPr>
      <w:r>
        <w:rPr>
          <w:color w:val="auto"/>
          <w:szCs w:val="21"/>
        </w:rPr>
        <w:t xml:space="preserve">GB/T 20066  钢和铁 </w:t>
      </w:r>
      <w:r>
        <w:rPr>
          <w:rFonts w:hint="eastAsia"/>
          <w:color w:val="auto"/>
          <w:szCs w:val="21"/>
          <w:lang w:val="en-US" w:eastAsia="zh-CN"/>
        </w:rPr>
        <w:t xml:space="preserve"> </w:t>
      </w:r>
      <w:r>
        <w:rPr>
          <w:color w:val="auto"/>
          <w:szCs w:val="21"/>
        </w:rPr>
        <w:t>化学成分测定用试样的取样和制样方法</w:t>
      </w:r>
    </w:p>
    <w:p w14:paraId="60BDB806">
      <w:pPr>
        <w:ind w:firstLine="420" w:firstLineChars="200"/>
        <w:rPr>
          <w:color w:val="auto"/>
          <w:szCs w:val="21"/>
        </w:rPr>
      </w:pPr>
      <w:r>
        <w:rPr>
          <w:color w:val="auto"/>
          <w:szCs w:val="21"/>
        </w:rPr>
        <w:t>GB/T 20123  钢铁</w:t>
      </w:r>
      <w:r>
        <w:rPr>
          <w:rFonts w:hint="eastAsia"/>
          <w:color w:val="auto"/>
          <w:szCs w:val="21"/>
          <w:lang w:val="en-US" w:eastAsia="zh-CN"/>
        </w:rPr>
        <w:t xml:space="preserve"> </w:t>
      </w:r>
      <w:r>
        <w:rPr>
          <w:color w:val="auto"/>
          <w:szCs w:val="21"/>
        </w:rPr>
        <w:t xml:space="preserve"> 总碳硫含量的测定 高频感应炉燃烧后红外吸收法</w:t>
      </w:r>
      <w:r>
        <w:rPr>
          <w:rFonts w:hint="eastAsia"/>
          <w:color w:val="auto"/>
          <w:szCs w:val="21"/>
          <w:lang w:eastAsia="zh-CN"/>
        </w:rPr>
        <w:t>（</w:t>
      </w:r>
      <w:r>
        <w:rPr>
          <w:color w:val="auto"/>
          <w:szCs w:val="21"/>
        </w:rPr>
        <w:t>常规方法</w:t>
      </w:r>
      <w:r>
        <w:rPr>
          <w:rFonts w:hint="eastAsia"/>
          <w:color w:val="auto"/>
          <w:szCs w:val="21"/>
          <w:lang w:eastAsia="zh-CN"/>
        </w:rPr>
        <w:t>）</w:t>
      </w:r>
    </w:p>
    <w:p w14:paraId="618C9BF7">
      <w:pPr>
        <w:ind w:firstLine="420" w:firstLineChars="200"/>
        <w:rPr>
          <w:color w:val="auto"/>
          <w:szCs w:val="21"/>
        </w:rPr>
      </w:pPr>
      <w:r>
        <w:rPr>
          <w:color w:val="auto"/>
          <w:szCs w:val="21"/>
        </w:rPr>
        <w:t>GB/T 20124  钢铁</w:t>
      </w:r>
      <w:r>
        <w:rPr>
          <w:rFonts w:hint="eastAsia"/>
          <w:color w:val="auto"/>
          <w:szCs w:val="21"/>
          <w:lang w:val="en-US" w:eastAsia="zh-CN"/>
        </w:rPr>
        <w:t xml:space="preserve"> </w:t>
      </w:r>
      <w:r>
        <w:rPr>
          <w:color w:val="auto"/>
          <w:szCs w:val="21"/>
        </w:rPr>
        <w:t xml:space="preserve"> 氮含量的测定 惰性气体熔融热导法</w:t>
      </w:r>
      <w:r>
        <w:rPr>
          <w:rFonts w:hint="eastAsia"/>
          <w:color w:val="auto"/>
          <w:szCs w:val="21"/>
          <w:lang w:eastAsia="zh-CN"/>
        </w:rPr>
        <w:t>（</w:t>
      </w:r>
      <w:r>
        <w:rPr>
          <w:color w:val="auto"/>
          <w:szCs w:val="21"/>
        </w:rPr>
        <w:t>常规方法</w:t>
      </w:r>
      <w:r>
        <w:rPr>
          <w:rFonts w:hint="eastAsia"/>
          <w:color w:val="auto"/>
          <w:szCs w:val="21"/>
          <w:lang w:eastAsia="zh-CN"/>
        </w:rPr>
        <w:t>）</w:t>
      </w:r>
    </w:p>
    <w:p w14:paraId="47AAB089">
      <w:pPr>
        <w:ind w:firstLine="420" w:firstLineChars="200"/>
        <w:rPr>
          <w:color w:val="auto"/>
          <w:szCs w:val="21"/>
        </w:rPr>
      </w:pPr>
      <w:r>
        <w:rPr>
          <w:color w:val="auto"/>
          <w:szCs w:val="21"/>
        </w:rPr>
        <w:t xml:space="preserve">GB/T 30062  </w:t>
      </w:r>
      <w:r>
        <w:rPr>
          <w:color w:val="auto"/>
        </w:rPr>
        <w:fldChar w:fldCharType="begin"/>
      </w:r>
      <w:r>
        <w:rPr>
          <w:color w:val="auto"/>
        </w:rPr>
        <w:instrText xml:space="preserve"> HYPERLINK "https://std.samr.gov.cn/gb/search/gbDetailed?id=71F772D7E99BD3A7E05397BE0A0AB82A" \t "https://std.samr.gov.cn/search/stdPage?q=GB/_blank" </w:instrText>
      </w:r>
      <w:r>
        <w:rPr>
          <w:color w:val="auto"/>
        </w:rPr>
        <w:fldChar w:fldCharType="separate"/>
      </w:r>
      <w:r>
        <w:rPr>
          <w:color w:val="auto"/>
          <w:szCs w:val="21"/>
        </w:rPr>
        <w:t>钢管术语</w:t>
      </w:r>
      <w:r>
        <w:rPr>
          <w:color w:val="auto"/>
          <w:szCs w:val="21"/>
        </w:rPr>
        <w:fldChar w:fldCharType="end"/>
      </w:r>
    </w:p>
    <w:p w14:paraId="4090FFCC">
      <w:pPr>
        <w:ind w:firstLine="420" w:firstLineChars="200"/>
        <w:rPr>
          <w:rFonts w:hint="eastAsia"/>
          <w:color w:val="auto"/>
          <w:szCs w:val="21"/>
          <w:lang w:val="en-US" w:eastAsia="zh-CN"/>
        </w:rPr>
      </w:pPr>
      <w:r>
        <w:rPr>
          <w:rFonts w:hint="eastAsia"/>
          <w:color w:val="auto"/>
          <w:szCs w:val="21"/>
          <w:lang w:val="en-US" w:eastAsia="zh-CN"/>
        </w:rPr>
        <w:t>YB/T 4395  钢  钼、铌和钨含量的测定  电感耦合等离子体原子发射光谱法</w:t>
      </w:r>
    </w:p>
    <w:p w14:paraId="1462D7DF">
      <w:pPr>
        <w:ind w:firstLine="420" w:firstLineChars="200"/>
        <w:rPr>
          <w:rFonts w:hint="default"/>
          <w:color w:val="auto"/>
          <w:szCs w:val="21"/>
          <w:lang w:val="en-US" w:eastAsia="zh-CN"/>
        </w:rPr>
      </w:pPr>
      <w:r>
        <w:rPr>
          <w:rFonts w:hint="eastAsia"/>
          <w:color w:val="auto"/>
          <w:szCs w:val="21"/>
          <w:lang w:val="en-US" w:eastAsia="zh-CN"/>
        </w:rPr>
        <w:t>YB/T 4396  不锈钢  多元素含量的测定  电感耦合等离子体原子发射光谱法</w:t>
      </w:r>
    </w:p>
    <w:p w14:paraId="3B10C6D0">
      <w:pPr>
        <w:pStyle w:val="31"/>
        <w:widowControl/>
        <w:numPr>
          <w:ilvl w:val="0"/>
          <w:numId w:val="17"/>
        </w:numPr>
        <w:spacing w:before="312" w:beforeLines="100" w:after="312" w:afterLines="100"/>
        <w:outlineLvl w:val="1"/>
        <w:rPr>
          <w:rFonts w:eastAsia="黑体"/>
          <w:sz w:val="21"/>
          <w:szCs w:val="21"/>
        </w:rPr>
      </w:pPr>
      <w:bookmarkStart w:id="17" w:name="_Toc4289"/>
      <w:r>
        <w:rPr>
          <w:rFonts w:eastAsia="黑体"/>
          <w:kern w:val="0"/>
          <w:sz w:val="21"/>
          <w:szCs w:val="21"/>
        </w:rPr>
        <w:t>术语和定义</w:t>
      </w:r>
      <w:bookmarkEnd w:id="17"/>
    </w:p>
    <w:p w14:paraId="407F3D87">
      <w:pPr>
        <w:pStyle w:val="24"/>
        <w:rPr>
          <w:rFonts w:ascii="Times New Roman"/>
          <w:szCs w:val="21"/>
        </w:rPr>
      </w:pPr>
      <w:r>
        <w:rPr>
          <w:rFonts w:ascii="Times New Roman"/>
        </w:rPr>
        <w:t>GB/T 30062 界定的术语和定义适用于本文件。</w:t>
      </w:r>
    </w:p>
    <w:p w14:paraId="66BBE4E1">
      <w:pPr>
        <w:pStyle w:val="31"/>
        <w:widowControl/>
        <w:numPr>
          <w:ilvl w:val="0"/>
          <w:numId w:val="17"/>
        </w:numPr>
        <w:spacing w:before="312" w:beforeLines="100" w:after="312" w:afterLines="100"/>
        <w:outlineLvl w:val="1"/>
        <w:rPr>
          <w:rFonts w:eastAsia="黑体"/>
          <w:sz w:val="21"/>
          <w:szCs w:val="21"/>
        </w:rPr>
      </w:pPr>
      <w:bookmarkStart w:id="18" w:name="_Toc9853"/>
      <w:r>
        <w:rPr>
          <w:rFonts w:eastAsia="黑体"/>
          <w:sz w:val="21"/>
          <w:szCs w:val="21"/>
        </w:rPr>
        <w:t>分类及代号</w:t>
      </w:r>
      <w:bookmarkEnd w:id="18"/>
    </w:p>
    <w:p w14:paraId="7267E257">
      <w:pPr>
        <w:pStyle w:val="24"/>
        <w:rPr>
          <w:rFonts w:ascii="Times New Roman"/>
        </w:rPr>
      </w:pPr>
      <w:bookmarkStart w:id="19" w:name="_Toc31812"/>
      <w:bookmarkEnd w:id="19"/>
      <w:bookmarkStart w:id="20" w:name="_Toc9281"/>
      <w:r>
        <w:rPr>
          <w:rFonts w:ascii="Times New Roman"/>
        </w:rPr>
        <w:t>钢管按交货状态分类和代号如下：</w:t>
      </w:r>
    </w:p>
    <w:p w14:paraId="6D884503">
      <w:pPr>
        <w:pStyle w:val="24"/>
        <w:numPr>
          <w:ilvl w:val="0"/>
          <w:numId w:val="18"/>
        </w:numPr>
        <w:rPr>
          <w:rFonts w:ascii="Times New Roman"/>
        </w:rPr>
      </w:pPr>
      <w:r>
        <w:rPr>
          <w:rFonts w:ascii="Times New Roman"/>
        </w:rPr>
        <w:t>冷加工/硬状态 +C；</w:t>
      </w:r>
    </w:p>
    <w:p w14:paraId="78E5A07D">
      <w:pPr>
        <w:pStyle w:val="24"/>
        <w:numPr>
          <w:ilvl w:val="0"/>
          <w:numId w:val="18"/>
        </w:numPr>
        <w:rPr>
          <w:rFonts w:ascii="Times New Roman"/>
        </w:rPr>
      </w:pPr>
      <w:r>
        <w:rPr>
          <w:rFonts w:ascii="Times New Roman"/>
        </w:rPr>
        <w:t>冷加工/软状态 +LC；</w:t>
      </w:r>
    </w:p>
    <w:p w14:paraId="6D5DEBDB">
      <w:pPr>
        <w:pStyle w:val="24"/>
        <w:numPr>
          <w:ilvl w:val="0"/>
          <w:numId w:val="18"/>
        </w:numPr>
        <w:rPr>
          <w:rFonts w:ascii="Times New Roman"/>
        </w:rPr>
      </w:pPr>
      <w:r>
        <w:rPr>
          <w:rFonts w:ascii="Times New Roman"/>
        </w:rPr>
        <w:t>消除应力退火状态 +SR；</w:t>
      </w:r>
    </w:p>
    <w:p w14:paraId="15D1FB21">
      <w:pPr>
        <w:pStyle w:val="24"/>
        <w:numPr>
          <w:ilvl w:val="0"/>
          <w:numId w:val="18"/>
        </w:numPr>
        <w:rPr>
          <w:rFonts w:ascii="Times New Roman"/>
        </w:rPr>
      </w:pPr>
      <w:r>
        <w:rPr>
          <w:rFonts w:ascii="Times New Roman"/>
        </w:rPr>
        <w:t>退火状态 +A；</w:t>
      </w:r>
    </w:p>
    <w:p w14:paraId="4C53D0FF">
      <w:pPr>
        <w:pStyle w:val="24"/>
        <w:numPr>
          <w:ilvl w:val="0"/>
          <w:numId w:val="18"/>
        </w:numPr>
        <w:rPr>
          <w:rFonts w:ascii="Times New Roman"/>
        </w:rPr>
      </w:pPr>
      <w:r>
        <w:rPr>
          <w:rFonts w:ascii="Times New Roman"/>
        </w:rPr>
        <w:t>正火状态 +N。</w:t>
      </w:r>
    </w:p>
    <w:p w14:paraId="70F6DE86">
      <w:pPr>
        <w:pStyle w:val="31"/>
        <w:widowControl/>
        <w:numPr>
          <w:ilvl w:val="0"/>
          <w:numId w:val="17"/>
        </w:numPr>
        <w:spacing w:before="312" w:beforeLines="100" w:after="312" w:afterLines="100"/>
        <w:outlineLvl w:val="1"/>
        <w:rPr>
          <w:rFonts w:eastAsia="黑体"/>
          <w:sz w:val="21"/>
          <w:szCs w:val="21"/>
        </w:rPr>
      </w:pPr>
      <w:r>
        <w:rPr>
          <w:rFonts w:eastAsia="黑体"/>
          <w:sz w:val="21"/>
          <w:szCs w:val="21"/>
        </w:rPr>
        <w:t>订货内容</w:t>
      </w:r>
      <w:bookmarkEnd w:id="20"/>
    </w:p>
    <w:p w14:paraId="1F9231A9">
      <w:pPr>
        <w:pStyle w:val="24"/>
        <w:rPr>
          <w:rFonts w:ascii="Times New Roman"/>
        </w:rPr>
      </w:pPr>
      <w:bookmarkStart w:id="21" w:name="_Toc32217"/>
      <w:bookmarkEnd w:id="21"/>
      <w:bookmarkStart w:id="22" w:name="_Toc12050"/>
      <w:r>
        <w:rPr>
          <w:rFonts w:ascii="Times New Roman"/>
        </w:rPr>
        <w:t>按本文件订货的合同或订单应包括下列内容：</w:t>
      </w:r>
    </w:p>
    <w:p w14:paraId="278CF44A">
      <w:pPr>
        <w:pStyle w:val="24"/>
        <w:numPr>
          <w:ilvl w:val="0"/>
          <w:numId w:val="19"/>
        </w:numPr>
        <w:rPr>
          <w:rFonts w:ascii="Times New Roman"/>
        </w:rPr>
      </w:pPr>
      <w:r>
        <w:rPr>
          <w:rFonts w:ascii="Times New Roman"/>
        </w:rPr>
        <w:t>本文件编号；</w:t>
      </w:r>
    </w:p>
    <w:p w14:paraId="2C494F25">
      <w:pPr>
        <w:pStyle w:val="24"/>
        <w:numPr>
          <w:ilvl w:val="0"/>
          <w:numId w:val="19"/>
        </w:numPr>
        <w:rPr>
          <w:rFonts w:ascii="Times New Roman"/>
        </w:rPr>
      </w:pPr>
      <w:r>
        <w:rPr>
          <w:rFonts w:ascii="Times New Roman"/>
        </w:rPr>
        <w:t>产品名称；</w:t>
      </w:r>
    </w:p>
    <w:p w14:paraId="7E79BB84">
      <w:pPr>
        <w:pStyle w:val="24"/>
        <w:numPr>
          <w:ilvl w:val="0"/>
          <w:numId w:val="19"/>
        </w:numPr>
        <w:rPr>
          <w:rFonts w:ascii="Times New Roman"/>
        </w:rPr>
      </w:pPr>
      <w:r>
        <w:rPr>
          <w:rFonts w:hint="eastAsia" w:ascii="Times New Roman"/>
          <w:lang w:val="en-US" w:eastAsia="zh-CN"/>
        </w:rPr>
        <w:t>钢的</w:t>
      </w:r>
      <w:r>
        <w:rPr>
          <w:rFonts w:ascii="Times New Roman"/>
        </w:rPr>
        <w:t>牌号</w:t>
      </w:r>
      <w:r>
        <w:rPr>
          <w:rFonts w:hint="eastAsia" w:ascii="Times New Roman"/>
          <w:lang w:val="en-US" w:eastAsia="zh-CN"/>
        </w:rPr>
        <w:t>或统一数字代号</w:t>
      </w:r>
      <w:r>
        <w:rPr>
          <w:rFonts w:ascii="Times New Roman"/>
        </w:rPr>
        <w:t>；</w:t>
      </w:r>
    </w:p>
    <w:p w14:paraId="61106526">
      <w:pPr>
        <w:pStyle w:val="24"/>
        <w:numPr>
          <w:ilvl w:val="0"/>
          <w:numId w:val="19"/>
        </w:numPr>
        <w:rPr>
          <w:rFonts w:ascii="Times New Roman"/>
        </w:rPr>
      </w:pPr>
      <w:r>
        <w:rPr>
          <w:rFonts w:hint="eastAsia" w:ascii="Times New Roman"/>
          <w:lang w:val="en-US" w:eastAsia="zh-CN"/>
        </w:rPr>
        <w:t>钢的冶炼方法；</w:t>
      </w:r>
    </w:p>
    <w:p w14:paraId="27E8A7CE">
      <w:pPr>
        <w:pStyle w:val="24"/>
        <w:numPr>
          <w:ilvl w:val="0"/>
          <w:numId w:val="19"/>
        </w:numPr>
        <w:rPr>
          <w:rFonts w:ascii="Times New Roman"/>
        </w:rPr>
      </w:pPr>
      <w:r>
        <w:rPr>
          <w:rFonts w:ascii="Times New Roman"/>
        </w:rPr>
        <w:t>尺寸规格；</w:t>
      </w:r>
    </w:p>
    <w:p w14:paraId="7D053DE6">
      <w:pPr>
        <w:pStyle w:val="24"/>
        <w:numPr>
          <w:ilvl w:val="0"/>
          <w:numId w:val="19"/>
        </w:numPr>
        <w:rPr>
          <w:rFonts w:ascii="Times New Roman"/>
        </w:rPr>
      </w:pPr>
      <w:r>
        <w:rPr>
          <w:rFonts w:ascii="Times New Roman"/>
        </w:rPr>
        <w:t>订购的数量（总重量或总长度</w:t>
      </w:r>
      <w:r>
        <w:rPr>
          <w:rFonts w:hint="eastAsia" w:ascii="Times New Roman"/>
          <w:lang w:val="en-US" w:eastAsia="zh-CN"/>
        </w:rPr>
        <w:t>或支数</w:t>
      </w:r>
      <w:r>
        <w:rPr>
          <w:rFonts w:ascii="Times New Roman"/>
        </w:rPr>
        <w:t>）；</w:t>
      </w:r>
    </w:p>
    <w:p w14:paraId="0ECCB9DA">
      <w:pPr>
        <w:pStyle w:val="24"/>
        <w:numPr>
          <w:ilvl w:val="0"/>
          <w:numId w:val="19"/>
        </w:numPr>
        <w:rPr>
          <w:rFonts w:ascii="Times New Roman"/>
        </w:rPr>
      </w:pPr>
      <w:r>
        <w:rPr>
          <w:rFonts w:ascii="Times New Roman"/>
        </w:rPr>
        <w:t>交货状态；</w:t>
      </w:r>
    </w:p>
    <w:p w14:paraId="2386EEA3">
      <w:pPr>
        <w:pStyle w:val="24"/>
        <w:numPr>
          <w:ilvl w:val="0"/>
          <w:numId w:val="19"/>
        </w:numPr>
        <w:rPr>
          <w:rFonts w:ascii="Times New Roman"/>
        </w:rPr>
      </w:pPr>
      <w:r>
        <w:rPr>
          <w:rFonts w:ascii="Times New Roman"/>
        </w:rPr>
        <w:t>特殊要求。</w:t>
      </w:r>
    </w:p>
    <w:p w14:paraId="134DBA7C">
      <w:pPr>
        <w:pStyle w:val="31"/>
        <w:widowControl/>
        <w:numPr>
          <w:ilvl w:val="0"/>
          <w:numId w:val="17"/>
        </w:numPr>
        <w:spacing w:before="312" w:beforeLines="100" w:after="312" w:afterLines="100"/>
        <w:outlineLvl w:val="1"/>
        <w:rPr>
          <w:rFonts w:eastAsia="黑体"/>
          <w:sz w:val="21"/>
          <w:szCs w:val="21"/>
        </w:rPr>
      </w:pPr>
      <w:r>
        <w:rPr>
          <w:rFonts w:eastAsia="黑体"/>
          <w:sz w:val="21"/>
          <w:szCs w:val="21"/>
        </w:rPr>
        <w:t>制造工艺</w:t>
      </w:r>
      <w:bookmarkEnd w:id="22"/>
    </w:p>
    <w:p w14:paraId="7052FE33">
      <w:pPr>
        <w:pStyle w:val="31"/>
        <w:widowControl/>
        <w:numPr>
          <w:ilvl w:val="1"/>
          <w:numId w:val="17"/>
        </w:numPr>
        <w:spacing w:before="156" w:beforeLines="50" w:after="156" w:afterLines="50"/>
        <w:jc w:val="left"/>
        <w:outlineLvl w:val="2"/>
        <w:rPr>
          <w:rFonts w:eastAsia="黑体"/>
          <w:kern w:val="0"/>
          <w:sz w:val="21"/>
          <w:szCs w:val="21"/>
        </w:rPr>
      </w:pPr>
      <w:bookmarkStart w:id="23" w:name="_Toc23937"/>
      <w:r>
        <w:rPr>
          <w:rFonts w:hint="eastAsia" w:eastAsia="黑体"/>
          <w:kern w:val="0"/>
          <w:sz w:val="21"/>
          <w:szCs w:val="21"/>
          <w:lang w:val="en-US" w:eastAsia="zh-CN"/>
        </w:rPr>
        <w:t>钢的</w:t>
      </w:r>
      <w:r>
        <w:rPr>
          <w:rFonts w:eastAsia="黑体"/>
          <w:kern w:val="0"/>
          <w:sz w:val="21"/>
          <w:szCs w:val="21"/>
        </w:rPr>
        <w:t>冶炼方法</w:t>
      </w:r>
      <w:bookmarkEnd w:id="23"/>
    </w:p>
    <w:p w14:paraId="482D6D0C">
      <w:pPr>
        <w:pStyle w:val="31"/>
        <w:widowControl/>
        <w:autoSpaceDE w:val="0"/>
        <w:autoSpaceDN w:val="0"/>
        <w:ind w:firstLine="420" w:firstLineChars="200"/>
        <w:rPr>
          <w:kern w:val="0"/>
          <w:sz w:val="21"/>
          <w:szCs w:val="21"/>
        </w:rPr>
      </w:pPr>
      <w:r>
        <w:rPr>
          <w:kern w:val="0"/>
          <w:sz w:val="21"/>
          <w:szCs w:val="21"/>
        </w:rPr>
        <w:t>钢应</w:t>
      </w:r>
      <w:r>
        <w:rPr>
          <w:rFonts w:hint="eastAsia"/>
          <w:kern w:val="0"/>
          <w:sz w:val="21"/>
          <w:szCs w:val="21"/>
          <w:lang w:val="en-US" w:eastAsia="zh-CN"/>
        </w:rPr>
        <w:t>采用真空电弧重熔（VAR）或真空感应熔炼和真空电弧重熔（VIM-VAR）或真空感应熔炼和两次真空电弧重熔（VIM-VAR-VAR）方法冶炼</w:t>
      </w:r>
      <w:r>
        <w:rPr>
          <w:kern w:val="0"/>
          <w:sz w:val="21"/>
          <w:szCs w:val="21"/>
        </w:rPr>
        <w:t>。经供需双方协商，并在合同中注明，可采用其他更高要求的方法冶炼。</w:t>
      </w:r>
    </w:p>
    <w:p w14:paraId="52DD8ECE">
      <w:pPr>
        <w:pStyle w:val="31"/>
        <w:widowControl/>
        <w:numPr>
          <w:ilvl w:val="1"/>
          <w:numId w:val="17"/>
        </w:numPr>
        <w:spacing w:before="156" w:beforeLines="50" w:after="156" w:afterLines="50"/>
        <w:jc w:val="left"/>
        <w:outlineLvl w:val="2"/>
        <w:rPr>
          <w:rFonts w:eastAsia="黑体"/>
          <w:kern w:val="0"/>
          <w:sz w:val="21"/>
          <w:szCs w:val="21"/>
        </w:rPr>
      </w:pPr>
      <w:bookmarkStart w:id="24" w:name="_Toc19097"/>
      <w:r>
        <w:rPr>
          <w:rFonts w:hint="eastAsia" w:eastAsia="黑体"/>
          <w:kern w:val="0"/>
          <w:sz w:val="21"/>
          <w:szCs w:val="21"/>
          <w:lang w:val="en-US" w:eastAsia="zh-CN"/>
        </w:rPr>
        <w:t>钢管的</w:t>
      </w:r>
      <w:r>
        <w:rPr>
          <w:rFonts w:eastAsia="黑体"/>
          <w:kern w:val="0"/>
          <w:sz w:val="21"/>
          <w:szCs w:val="21"/>
        </w:rPr>
        <w:t>加工方法</w:t>
      </w:r>
      <w:bookmarkEnd w:id="24"/>
    </w:p>
    <w:p w14:paraId="738DD348">
      <w:pPr>
        <w:pStyle w:val="31"/>
        <w:widowControl/>
        <w:autoSpaceDE w:val="0"/>
        <w:autoSpaceDN w:val="0"/>
        <w:ind w:firstLine="420" w:firstLineChars="200"/>
        <w:rPr>
          <w:kern w:val="0"/>
          <w:sz w:val="21"/>
          <w:szCs w:val="21"/>
        </w:rPr>
      </w:pPr>
      <w:r>
        <w:rPr>
          <w:kern w:val="0"/>
          <w:sz w:val="21"/>
          <w:szCs w:val="21"/>
        </w:rPr>
        <w:t>钢管应</w:t>
      </w:r>
      <w:r>
        <w:rPr>
          <w:rFonts w:hint="eastAsia"/>
          <w:kern w:val="0"/>
          <w:sz w:val="21"/>
          <w:szCs w:val="21"/>
          <w:lang w:val="en-US" w:eastAsia="zh-CN"/>
        </w:rPr>
        <w:t>采用冷轧（拔）无缝方法制造</w:t>
      </w:r>
      <w:r>
        <w:rPr>
          <w:kern w:val="0"/>
          <w:sz w:val="21"/>
          <w:szCs w:val="21"/>
        </w:rPr>
        <w:t>。需方指定某一种制造方法时，应在合同中注明。</w:t>
      </w:r>
    </w:p>
    <w:p w14:paraId="22BEF9FF">
      <w:pPr>
        <w:pStyle w:val="31"/>
        <w:widowControl/>
        <w:numPr>
          <w:ilvl w:val="1"/>
          <w:numId w:val="17"/>
        </w:numPr>
        <w:spacing w:before="156" w:beforeLines="50" w:after="156" w:afterLines="50"/>
        <w:jc w:val="left"/>
        <w:outlineLvl w:val="2"/>
        <w:rPr>
          <w:rFonts w:eastAsia="黑体"/>
          <w:kern w:val="0"/>
          <w:sz w:val="21"/>
          <w:szCs w:val="21"/>
        </w:rPr>
      </w:pPr>
      <w:bookmarkStart w:id="25" w:name="_Toc29524"/>
      <w:r>
        <w:rPr>
          <w:rFonts w:eastAsia="黑体"/>
          <w:kern w:val="0"/>
          <w:sz w:val="21"/>
          <w:szCs w:val="21"/>
        </w:rPr>
        <w:t>交货状态</w:t>
      </w:r>
      <w:bookmarkEnd w:id="25"/>
    </w:p>
    <w:p w14:paraId="20B54FC7">
      <w:pPr>
        <w:spacing w:line="360" w:lineRule="exact"/>
        <w:ind w:firstLine="420" w:firstLineChars="200"/>
      </w:pPr>
      <w:r>
        <w:t>钢管应以表1所列其中一种状态交货。</w:t>
      </w:r>
    </w:p>
    <w:p w14:paraId="6C3D01CB">
      <w:pPr>
        <w:pStyle w:val="116"/>
        <w:spacing w:before="156" w:after="156"/>
        <w:rPr>
          <w:rFonts w:ascii="Times New Roman"/>
          <w:kern w:val="2"/>
          <w:szCs w:val="21"/>
        </w:rPr>
      </w:pPr>
      <w:r>
        <w:rPr>
          <w:rFonts w:ascii="Times New Roman"/>
          <w:kern w:val="2"/>
          <w:szCs w:val="21"/>
        </w:rPr>
        <w:t>钢管的交货状态</w:t>
      </w:r>
    </w:p>
    <w:tbl>
      <w:tblPr>
        <w:tblStyle w:val="161"/>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2162"/>
        <w:gridCol w:w="1081"/>
        <w:gridCol w:w="5431"/>
      </w:tblGrid>
      <w:tr w14:paraId="721E1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48" w:type="dxa"/>
            <w:tcBorders>
              <w:left w:val="single" w:color="000000" w:sz="6" w:space="0"/>
            </w:tcBorders>
          </w:tcPr>
          <w:p w14:paraId="021AC58B">
            <w:pPr>
              <w:spacing w:line="260" w:lineRule="exact"/>
              <w:jc w:val="center"/>
              <w:rPr>
                <w:sz w:val="18"/>
                <w:szCs w:val="18"/>
                <w:lang w:val="zh-TW"/>
              </w:rPr>
            </w:pPr>
            <w:r>
              <w:rPr>
                <w:sz w:val="18"/>
                <w:szCs w:val="18"/>
                <w:lang w:val="zh-TW"/>
              </w:rPr>
              <w:t>序号</w:t>
            </w:r>
          </w:p>
        </w:tc>
        <w:tc>
          <w:tcPr>
            <w:tcW w:w="2162" w:type="dxa"/>
          </w:tcPr>
          <w:p w14:paraId="27C3C6DD">
            <w:pPr>
              <w:spacing w:line="260" w:lineRule="exact"/>
              <w:jc w:val="center"/>
              <w:rPr>
                <w:sz w:val="18"/>
                <w:szCs w:val="18"/>
                <w:lang w:val="zh-TW"/>
              </w:rPr>
            </w:pPr>
            <w:r>
              <w:rPr>
                <w:sz w:val="18"/>
                <w:szCs w:val="18"/>
                <w:lang w:val="zh-TW"/>
              </w:rPr>
              <w:t>交货状态</w:t>
            </w:r>
          </w:p>
        </w:tc>
        <w:tc>
          <w:tcPr>
            <w:tcW w:w="1081" w:type="dxa"/>
          </w:tcPr>
          <w:p w14:paraId="7982CCD8">
            <w:pPr>
              <w:spacing w:line="260" w:lineRule="exact"/>
              <w:jc w:val="center"/>
              <w:rPr>
                <w:sz w:val="18"/>
                <w:szCs w:val="18"/>
                <w:lang w:val="zh-TW"/>
              </w:rPr>
            </w:pPr>
            <w:r>
              <w:rPr>
                <w:sz w:val="18"/>
                <w:szCs w:val="18"/>
                <w:lang w:val="zh-TW"/>
              </w:rPr>
              <w:t>代号</w:t>
            </w:r>
          </w:p>
        </w:tc>
        <w:tc>
          <w:tcPr>
            <w:tcW w:w="5431" w:type="dxa"/>
            <w:tcBorders>
              <w:right w:val="single" w:color="000000" w:sz="6" w:space="0"/>
            </w:tcBorders>
          </w:tcPr>
          <w:p w14:paraId="57771C0D">
            <w:pPr>
              <w:spacing w:line="260" w:lineRule="exact"/>
              <w:jc w:val="center"/>
              <w:rPr>
                <w:sz w:val="18"/>
                <w:szCs w:val="18"/>
                <w:lang w:val="zh-TW"/>
              </w:rPr>
            </w:pPr>
            <w:r>
              <w:rPr>
                <w:sz w:val="18"/>
                <w:szCs w:val="18"/>
                <w:lang w:val="zh-TW"/>
              </w:rPr>
              <w:t>说明</w:t>
            </w:r>
          </w:p>
        </w:tc>
      </w:tr>
      <w:tr w14:paraId="0BC6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48" w:type="dxa"/>
            <w:tcBorders>
              <w:left w:val="single" w:color="000000" w:sz="6" w:space="0"/>
            </w:tcBorders>
          </w:tcPr>
          <w:p w14:paraId="50ED2370">
            <w:pPr>
              <w:spacing w:line="260" w:lineRule="exact"/>
              <w:jc w:val="center"/>
              <w:rPr>
                <w:sz w:val="18"/>
                <w:szCs w:val="18"/>
                <w:lang w:val="zh-TW"/>
              </w:rPr>
            </w:pPr>
            <w:r>
              <w:rPr>
                <w:sz w:val="18"/>
                <w:szCs w:val="18"/>
                <w:lang w:val="zh-TW"/>
              </w:rPr>
              <w:t>1</w:t>
            </w:r>
          </w:p>
        </w:tc>
        <w:tc>
          <w:tcPr>
            <w:tcW w:w="2162" w:type="dxa"/>
          </w:tcPr>
          <w:p w14:paraId="69183750">
            <w:pPr>
              <w:spacing w:line="260" w:lineRule="exact"/>
              <w:jc w:val="center"/>
              <w:rPr>
                <w:sz w:val="18"/>
                <w:szCs w:val="18"/>
                <w:lang w:val="zh-TW"/>
              </w:rPr>
            </w:pPr>
            <w:r>
              <w:rPr>
                <w:sz w:val="18"/>
                <w:szCs w:val="18"/>
                <w:lang w:val="zh-TW"/>
              </w:rPr>
              <w:t>冷加工／硬</w:t>
            </w:r>
          </w:p>
        </w:tc>
        <w:tc>
          <w:tcPr>
            <w:tcW w:w="1081" w:type="dxa"/>
          </w:tcPr>
          <w:p w14:paraId="66B6B29D">
            <w:pPr>
              <w:spacing w:line="260" w:lineRule="exact"/>
              <w:jc w:val="center"/>
              <w:rPr>
                <w:sz w:val="18"/>
                <w:szCs w:val="18"/>
                <w:lang w:val="zh-TW"/>
              </w:rPr>
            </w:pPr>
            <w:r>
              <w:rPr>
                <w:sz w:val="18"/>
                <w:szCs w:val="18"/>
                <w:lang w:val="zh-TW"/>
              </w:rPr>
              <w:t>+C</w:t>
            </w:r>
          </w:p>
        </w:tc>
        <w:tc>
          <w:tcPr>
            <w:tcW w:w="5431" w:type="dxa"/>
            <w:tcBorders>
              <w:right w:val="single" w:color="000000" w:sz="6" w:space="0"/>
            </w:tcBorders>
          </w:tcPr>
          <w:p w14:paraId="465D0236">
            <w:pPr>
              <w:spacing w:line="260" w:lineRule="exact"/>
              <w:jc w:val="center"/>
              <w:rPr>
                <w:sz w:val="18"/>
                <w:szCs w:val="18"/>
                <w:lang w:val="zh-TW"/>
              </w:rPr>
            </w:pPr>
            <w:r>
              <w:rPr>
                <w:sz w:val="18"/>
                <w:szCs w:val="18"/>
                <w:lang w:val="zh-TW"/>
              </w:rPr>
              <w:t>最终冷加工之后钢管不进行热处理</w:t>
            </w:r>
          </w:p>
        </w:tc>
      </w:tr>
      <w:tr w14:paraId="6834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48" w:type="dxa"/>
            <w:tcBorders>
              <w:left w:val="single" w:color="000000" w:sz="6" w:space="0"/>
            </w:tcBorders>
          </w:tcPr>
          <w:p w14:paraId="4933EF1D">
            <w:pPr>
              <w:spacing w:line="260" w:lineRule="exact"/>
              <w:jc w:val="center"/>
              <w:rPr>
                <w:sz w:val="18"/>
                <w:szCs w:val="18"/>
                <w:lang w:val="zh-TW"/>
              </w:rPr>
            </w:pPr>
            <w:r>
              <w:rPr>
                <w:sz w:val="18"/>
                <w:szCs w:val="18"/>
                <w:lang w:val="zh-TW"/>
              </w:rPr>
              <w:t>2</w:t>
            </w:r>
          </w:p>
        </w:tc>
        <w:tc>
          <w:tcPr>
            <w:tcW w:w="2162" w:type="dxa"/>
          </w:tcPr>
          <w:p w14:paraId="6B2FFF8D">
            <w:pPr>
              <w:spacing w:line="260" w:lineRule="exact"/>
              <w:jc w:val="center"/>
              <w:rPr>
                <w:sz w:val="18"/>
                <w:szCs w:val="18"/>
                <w:lang w:val="zh-TW"/>
              </w:rPr>
            </w:pPr>
            <w:r>
              <w:rPr>
                <w:sz w:val="18"/>
                <w:szCs w:val="18"/>
                <w:lang w:val="zh-TW"/>
              </w:rPr>
              <w:t>冷加工／软</w:t>
            </w:r>
          </w:p>
        </w:tc>
        <w:tc>
          <w:tcPr>
            <w:tcW w:w="1081" w:type="dxa"/>
          </w:tcPr>
          <w:p w14:paraId="5F3DB1D8">
            <w:pPr>
              <w:spacing w:line="260" w:lineRule="exact"/>
              <w:jc w:val="center"/>
              <w:rPr>
                <w:sz w:val="18"/>
                <w:szCs w:val="18"/>
                <w:lang w:val="zh-TW"/>
              </w:rPr>
            </w:pPr>
            <w:r>
              <w:rPr>
                <w:sz w:val="18"/>
                <w:szCs w:val="18"/>
                <w:lang w:val="zh-TW"/>
              </w:rPr>
              <w:t>+LC</w:t>
            </w:r>
          </w:p>
        </w:tc>
        <w:tc>
          <w:tcPr>
            <w:tcW w:w="5431" w:type="dxa"/>
            <w:tcBorders>
              <w:right w:val="single" w:color="000000" w:sz="6" w:space="0"/>
            </w:tcBorders>
          </w:tcPr>
          <w:p w14:paraId="69C10CDE">
            <w:pPr>
              <w:spacing w:line="260" w:lineRule="exact"/>
              <w:jc w:val="center"/>
              <w:rPr>
                <w:sz w:val="18"/>
                <w:szCs w:val="18"/>
                <w:lang w:val="zh-TW"/>
              </w:rPr>
            </w:pPr>
            <w:r>
              <w:rPr>
                <w:sz w:val="18"/>
                <w:szCs w:val="18"/>
                <w:lang w:val="zh-TW"/>
              </w:rPr>
              <w:t>最终热处理之后进行适当的冷加工</w:t>
            </w:r>
          </w:p>
        </w:tc>
      </w:tr>
      <w:tr w14:paraId="207F8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48" w:type="dxa"/>
            <w:tcBorders>
              <w:left w:val="single" w:color="000000" w:sz="6" w:space="0"/>
            </w:tcBorders>
          </w:tcPr>
          <w:p w14:paraId="6D0F7C6D">
            <w:pPr>
              <w:spacing w:line="260" w:lineRule="exact"/>
              <w:jc w:val="center"/>
              <w:rPr>
                <w:sz w:val="18"/>
                <w:szCs w:val="18"/>
                <w:lang w:val="zh-TW"/>
              </w:rPr>
            </w:pPr>
            <w:r>
              <w:rPr>
                <w:sz w:val="18"/>
                <w:szCs w:val="18"/>
                <w:lang w:val="zh-TW"/>
              </w:rPr>
              <w:t>3</w:t>
            </w:r>
          </w:p>
        </w:tc>
        <w:tc>
          <w:tcPr>
            <w:tcW w:w="2162" w:type="dxa"/>
          </w:tcPr>
          <w:p w14:paraId="26BB6999">
            <w:pPr>
              <w:spacing w:line="260" w:lineRule="exact"/>
              <w:jc w:val="center"/>
              <w:rPr>
                <w:sz w:val="18"/>
                <w:szCs w:val="18"/>
                <w:lang w:val="zh-TW"/>
              </w:rPr>
            </w:pPr>
            <w:r>
              <w:rPr>
                <w:sz w:val="18"/>
                <w:szCs w:val="18"/>
                <w:lang w:val="zh-TW"/>
              </w:rPr>
              <w:t>冷加工后消除应力退火</w:t>
            </w:r>
          </w:p>
        </w:tc>
        <w:tc>
          <w:tcPr>
            <w:tcW w:w="1081" w:type="dxa"/>
          </w:tcPr>
          <w:p w14:paraId="63154F22">
            <w:pPr>
              <w:spacing w:line="260" w:lineRule="exact"/>
              <w:jc w:val="center"/>
              <w:rPr>
                <w:sz w:val="18"/>
                <w:szCs w:val="18"/>
                <w:lang w:val="zh-TW"/>
              </w:rPr>
            </w:pPr>
            <w:r>
              <w:rPr>
                <w:sz w:val="18"/>
                <w:szCs w:val="18"/>
                <w:lang w:val="zh-TW"/>
              </w:rPr>
              <w:t>+</w:t>
            </w:r>
            <w:r>
              <w:rPr>
                <w:sz w:val="18"/>
                <w:szCs w:val="18"/>
              </w:rPr>
              <w:t>S</w:t>
            </w:r>
            <w:r>
              <w:rPr>
                <w:sz w:val="18"/>
                <w:szCs w:val="18"/>
                <w:lang w:val="zh-TW"/>
              </w:rPr>
              <w:t>R</w:t>
            </w:r>
          </w:p>
        </w:tc>
        <w:tc>
          <w:tcPr>
            <w:tcW w:w="5431" w:type="dxa"/>
            <w:tcBorders>
              <w:right w:val="single" w:color="000000" w:sz="6" w:space="0"/>
            </w:tcBorders>
          </w:tcPr>
          <w:p w14:paraId="6A9F1562">
            <w:pPr>
              <w:spacing w:line="260" w:lineRule="exact"/>
              <w:jc w:val="center"/>
              <w:rPr>
                <w:sz w:val="18"/>
                <w:szCs w:val="18"/>
                <w:lang w:val="zh-TW"/>
              </w:rPr>
            </w:pPr>
            <w:r>
              <w:rPr>
                <w:sz w:val="18"/>
                <w:szCs w:val="18"/>
                <w:lang w:val="zh-TW"/>
              </w:rPr>
              <w:t>最终冷加工后，钢管在控制气氛中进行去应力退火</w:t>
            </w:r>
          </w:p>
        </w:tc>
      </w:tr>
      <w:tr w14:paraId="61313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48" w:type="dxa"/>
            <w:tcBorders>
              <w:left w:val="single" w:color="000000" w:sz="6" w:space="0"/>
            </w:tcBorders>
          </w:tcPr>
          <w:p w14:paraId="76B52971">
            <w:pPr>
              <w:spacing w:line="260" w:lineRule="exact"/>
              <w:jc w:val="center"/>
              <w:rPr>
                <w:sz w:val="18"/>
                <w:szCs w:val="18"/>
                <w:lang w:val="zh-TW"/>
              </w:rPr>
            </w:pPr>
            <w:r>
              <w:rPr>
                <w:sz w:val="18"/>
                <w:szCs w:val="18"/>
                <w:lang w:val="zh-TW"/>
              </w:rPr>
              <w:t>4</w:t>
            </w:r>
          </w:p>
        </w:tc>
        <w:tc>
          <w:tcPr>
            <w:tcW w:w="2162" w:type="dxa"/>
          </w:tcPr>
          <w:p w14:paraId="5772BD1F">
            <w:pPr>
              <w:spacing w:line="260" w:lineRule="exact"/>
              <w:jc w:val="center"/>
              <w:rPr>
                <w:sz w:val="18"/>
                <w:szCs w:val="18"/>
                <w:lang w:val="zh-TW"/>
              </w:rPr>
            </w:pPr>
            <w:r>
              <w:rPr>
                <w:sz w:val="18"/>
                <w:szCs w:val="18"/>
                <w:lang w:val="zh-TW"/>
              </w:rPr>
              <w:t>退火</w:t>
            </w:r>
          </w:p>
        </w:tc>
        <w:tc>
          <w:tcPr>
            <w:tcW w:w="1081" w:type="dxa"/>
          </w:tcPr>
          <w:p w14:paraId="6F7F6943">
            <w:pPr>
              <w:spacing w:line="260" w:lineRule="exact"/>
              <w:jc w:val="center"/>
              <w:rPr>
                <w:sz w:val="18"/>
                <w:szCs w:val="18"/>
                <w:lang w:val="zh-TW"/>
              </w:rPr>
            </w:pPr>
            <w:r>
              <w:rPr>
                <w:sz w:val="18"/>
                <w:szCs w:val="18"/>
                <w:lang w:val="zh-TW"/>
              </w:rPr>
              <w:t>+A</w:t>
            </w:r>
          </w:p>
        </w:tc>
        <w:tc>
          <w:tcPr>
            <w:tcW w:w="5431" w:type="dxa"/>
            <w:tcBorders>
              <w:right w:val="single" w:color="000000" w:sz="6" w:space="0"/>
            </w:tcBorders>
          </w:tcPr>
          <w:p w14:paraId="381DBF10">
            <w:pPr>
              <w:spacing w:line="260" w:lineRule="exact"/>
              <w:jc w:val="center"/>
              <w:rPr>
                <w:sz w:val="18"/>
                <w:szCs w:val="18"/>
                <w:lang w:val="zh-TW"/>
              </w:rPr>
            </w:pPr>
            <w:r>
              <w:rPr>
                <w:sz w:val="18"/>
                <w:szCs w:val="18"/>
                <w:lang w:val="zh-TW"/>
              </w:rPr>
              <w:t>最终冷加工之后，钢管在控制气氛中进行完全退火</w:t>
            </w:r>
          </w:p>
        </w:tc>
      </w:tr>
      <w:tr w14:paraId="6466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48" w:type="dxa"/>
            <w:tcBorders>
              <w:left w:val="single" w:color="000000" w:sz="6" w:space="0"/>
            </w:tcBorders>
          </w:tcPr>
          <w:p w14:paraId="5E72C9B3">
            <w:pPr>
              <w:spacing w:line="260" w:lineRule="exact"/>
              <w:jc w:val="center"/>
              <w:rPr>
                <w:sz w:val="18"/>
                <w:szCs w:val="18"/>
                <w:lang w:val="zh-TW"/>
              </w:rPr>
            </w:pPr>
            <w:r>
              <w:rPr>
                <w:sz w:val="18"/>
                <w:szCs w:val="18"/>
                <w:lang w:val="zh-TW"/>
              </w:rPr>
              <w:t>5</w:t>
            </w:r>
          </w:p>
        </w:tc>
        <w:tc>
          <w:tcPr>
            <w:tcW w:w="2162" w:type="dxa"/>
          </w:tcPr>
          <w:p w14:paraId="64F4E5EE">
            <w:pPr>
              <w:spacing w:line="260" w:lineRule="exact"/>
              <w:jc w:val="center"/>
              <w:rPr>
                <w:sz w:val="18"/>
                <w:szCs w:val="18"/>
                <w:lang w:val="zh-TW"/>
              </w:rPr>
            </w:pPr>
            <w:r>
              <w:rPr>
                <w:sz w:val="18"/>
                <w:szCs w:val="18"/>
                <w:lang w:val="zh-TW"/>
              </w:rPr>
              <w:t>正火</w:t>
            </w:r>
          </w:p>
        </w:tc>
        <w:tc>
          <w:tcPr>
            <w:tcW w:w="1081" w:type="dxa"/>
          </w:tcPr>
          <w:p w14:paraId="6C8416F6">
            <w:pPr>
              <w:spacing w:line="260" w:lineRule="exact"/>
              <w:jc w:val="center"/>
              <w:rPr>
                <w:sz w:val="18"/>
                <w:szCs w:val="18"/>
                <w:lang w:val="zh-TW"/>
              </w:rPr>
            </w:pPr>
            <w:r>
              <w:rPr>
                <w:sz w:val="18"/>
                <w:szCs w:val="18"/>
                <w:lang w:val="zh-TW"/>
              </w:rPr>
              <w:t>+N</w:t>
            </w:r>
          </w:p>
        </w:tc>
        <w:tc>
          <w:tcPr>
            <w:tcW w:w="5431" w:type="dxa"/>
            <w:tcBorders>
              <w:right w:val="single" w:color="000000" w:sz="6" w:space="0"/>
            </w:tcBorders>
          </w:tcPr>
          <w:p w14:paraId="20FD9ECB">
            <w:pPr>
              <w:spacing w:line="260" w:lineRule="exact"/>
              <w:jc w:val="center"/>
              <w:rPr>
                <w:sz w:val="18"/>
                <w:szCs w:val="18"/>
                <w:lang w:val="zh-TW"/>
              </w:rPr>
            </w:pPr>
            <w:r>
              <w:rPr>
                <w:sz w:val="18"/>
                <w:szCs w:val="18"/>
                <w:lang w:val="zh-TW"/>
              </w:rPr>
              <w:t>最终冷加工之后，钢管在控制气氛中进行正火</w:t>
            </w:r>
          </w:p>
        </w:tc>
      </w:tr>
    </w:tbl>
    <w:p w14:paraId="7CA378F3">
      <w:pPr>
        <w:pStyle w:val="31"/>
        <w:widowControl/>
        <w:numPr>
          <w:ilvl w:val="0"/>
          <w:numId w:val="17"/>
        </w:numPr>
        <w:spacing w:before="312" w:beforeLines="100" w:after="312" w:afterLines="100"/>
        <w:outlineLvl w:val="1"/>
        <w:rPr>
          <w:rFonts w:eastAsia="黑体"/>
          <w:sz w:val="21"/>
          <w:szCs w:val="21"/>
        </w:rPr>
      </w:pPr>
      <w:bookmarkStart w:id="26" w:name="_Toc23950"/>
      <w:r>
        <w:rPr>
          <w:rFonts w:eastAsia="黑体"/>
          <w:sz w:val="21"/>
          <w:szCs w:val="21"/>
        </w:rPr>
        <w:t>技术要求</w:t>
      </w:r>
      <w:bookmarkEnd w:id="26"/>
    </w:p>
    <w:p w14:paraId="4AE284F5">
      <w:pPr>
        <w:pStyle w:val="31"/>
        <w:widowControl/>
        <w:numPr>
          <w:ilvl w:val="1"/>
          <w:numId w:val="17"/>
        </w:numPr>
        <w:spacing w:before="156" w:beforeLines="50" w:after="156" w:afterLines="50"/>
        <w:jc w:val="left"/>
        <w:outlineLvl w:val="2"/>
        <w:rPr>
          <w:rFonts w:eastAsia="黑体"/>
          <w:kern w:val="0"/>
          <w:sz w:val="21"/>
          <w:szCs w:val="21"/>
        </w:rPr>
      </w:pPr>
      <w:bookmarkStart w:id="27" w:name="_Toc5205"/>
      <w:r>
        <w:rPr>
          <w:rFonts w:eastAsia="黑体"/>
          <w:kern w:val="0"/>
          <w:sz w:val="21"/>
          <w:szCs w:val="21"/>
        </w:rPr>
        <w:t>牌号和化学成分</w:t>
      </w:r>
      <w:bookmarkEnd w:id="27"/>
    </w:p>
    <w:p w14:paraId="1A80CCE1">
      <w:pPr>
        <w:pStyle w:val="76"/>
        <w:numPr>
          <w:ilvl w:val="2"/>
          <w:numId w:val="17"/>
        </w:numPr>
        <w:spacing w:before="156" w:after="156"/>
        <w:jc w:val="both"/>
        <w:rPr>
          <w:rFonts w:ascii="Times New Roman" w:eastAsia="宋体"/>
        </w:rPr>
      </w:pPr>
      <w:r>
        <w:rPr>
          <w:rFonts w:ascii="Times New Roman" w:eastAsia="宋体"/>
        </w:rPr>
        <w:t>钢的牌号</w:t>
      </w:r>
      <w:r>
        <w:rPr>
          <w:rFonts w:hint="eastAsia" w:ascii="Times New Roman" w:eastAsia="宋体"/>
          <w:lang w:val="en-US" w:eastAsia="zh-CN"/>
        </w:rPr>
        <w:t>和</w:t>
      </w:r>
      <w:r>
        <w:rPr>
          <w:rFonts w:ascii="Times New Roman" w:eastAsia="宋体"/>
        </w:rPr>
        <w:t>化学成分</w:t>
      </w:r>
      <w:r>
        <w:rPr>
          <w:rFonts w:hint="eastAsia" w:ascii="Times New Roman" w:eastAsia="宋体"/>
          <w:lang w:eastAsia="zh-CN"/>
        </w:rPr>
        <w:t>（</w:t>
      </w:r>
      <w:r>
        <w:rPr>
          <w:rFonts w:hint="eastAsia" w:ascii="Times New Roman" w:eastAsia="宋体"/>
          <w:lang w:val="en-US" w:eastAsia="zh-CN"/>
        </w:rPr>
        <w:t>熔炼分析</w:t>
      </w:r>
      <w:r>
        <w:rPr>
          <w:rFonts w:hint="eastAsia" w:ascii="Times New Roman" w:eastAsia="宋体"/>
          <w:lang w:eastAsia="zh-CN"/>
        </w:rPr>
        <w:t>）</w:t>
      </w:r>
      <w:r>
        <w:rPr>
          <w:rFonts w:ascii="Times New Roman" w:eastAsia="宋体"/>
        </w:rPr>
        <w:t>应符合表2的规定。</w:t>
      </w:r>
      <w:r>
        <w:rPr>
          <w:rFonts w:hint="eastAsia" w:ascii="Times New Roman" w:eastAsia="宋体"/>
          <w:lang w:val="en-US" w:eastAsia="zh-CN"/>
        </w:rPr>
        <w:t>根据需方要求，经供需双方协商，并在合同中注明，可供应表2以外牌号或化学成分的钢管。</w:t>
      </w:r>
    </w:p>
    <w:p w14:paraId="4D4C4AC9">
      <w:pPr>
        <w:pStyle w:val="76"/>
        <w:numPr>
          <w:ilvl w:val="2"/>
          <w:numId w:val="17"/>
        </w:numPr>
        <w:spacing w:before="156" w:after="156"/>
        <w:jc w:val="both"/>
        <w:rPr>
          <w:rFonts w:ascii="Times New Roman" w:eastAsia="宋体"/>
        </w:rPr>
      </w:pPr>
      <w:r>
        <w:rPr>
          <w:rFonts w:hint="eastAsia" w:ascii="Times New Roman" w:eastAsia="宋体"/>
          <w:lang w:val="en-US" w:eastAsia="zh-CN"/>
        </w:rPr>
        <w:t>需方要求进行成品分析时，应在合同中注明。成品</w:t>
      </w:r>
      <w:r>
        <w:rPr>
          <w:rFonts w:ascii="Times New Roman" w:eastAsia="宋体"/>
        </w:rPr>
        <w:t>钢管</w:t>
      </w:r>
      <w:r>
        <w:rPr>
          <w:rFonts w:hint="eastAsia" w:ascii="Times New Roman" w:eastAsia="宋体"/>
          <w:lang w:val="en-US" w:eastAsia="zh-CN"/>
        </w:rPr>
        <w:t>的</w:t>
      </w:r>
      <w:r>
        <w:rPr>
          <w:rFonts w:ascii="Times New Roman" w:eastAsia="宋体"/>
        </w:rPr>
        <w:t>化学成分</w:t>
      </w:r>
      <w:r>
        <w:rPr>
          <w:rFonts w:hint="eastAsia" w:ascii="Times New Roman" w:eastAsia="宋体"/>
          <w:lang w:val="en-US" w:eastAsia="zh-CN"/>
        </w:rPr>
        <w:t>允许偏差</w:t>
      </w:r>
      <w:r>
        <w:rPr>
          <w:rFonts w:ascii="Times New Roman" w:eastAsia="宋体"/>
        </w:rPr>
        <w:t>应符合GB/T 222的规定。</w:t>
      </w:r>
    </w:p>
    <w:p w14:paraId="0471D8C0">
      <w:pPr>
        <w:pStyle w:val="76"/>
        <w:numPr>
          <w:ilvl w:val="2"/>
          <w:numId w:val="17"/>
        </w:numPr>
        <w:spacing w:before="156" w:after="156"/>
        <w:jc w:val="both"/>
      </w:pPr>
      <w:r>
        <w:rPr>
          <w:rFonts w:ascii="Times New Roman" w:eastAsia="宋体"/>
        </w:rPr>
        <w:t>根据需方要求，经供需双方协商，并在合同中注明，供方可分析并报告钢中气体元素氢、氧的含量。</w:t>
      </w:r>
    </w:p>
    <w:p w14:paraId="1137E479">
      <w:pPr>
        <w:pStyle w:val="116"/>
        <w:spacing w:before="156" w:after="156"/>
        <w:rPr>
          <w:rFonts w:ascii="Times New Roman"/>
          <w:kern w:val="2"/>
          <w:szCs w:val="21"/>
        </w:rPr>
      </w:pPr>
      <w:r>
        <w:rPr>
          <w:rFonts w:ascii="Times New Roman"/>
          <w:kern w:val="2"/>
          <w:szCs w:val="21"/>
        </w:rPr>
        <w:t>牌号和化学成分（熔炼分析）</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431"/>
        <w:gridCol w:w="784"/>
        <w:gridCol w:w="635"/>
        <w:gridCol w:w="634"/>
        <w:gridCol w:w="797"/>
        <w:gridCol w:w="750"/>
        <w:gridCol w:w="773"/>
        <w:gridCol w:w="657"/>
        <w:gridCol w:w="658"/>
        <w:gridCol w:w="669"/>
        <w:gridCol w:w="666"/>
      </w:tblGrid>
      <w:tr w14:paraId="646E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83" w:type="pct"/>
            <w:vMerge w:val="restart"/>
            <w:vAlign w:val="center"/>
          </w:tcPr>
          <w:p w14:paraId="67F94FCE">
            <w:pPr>
              <w:spacing w:before="156" w:beforeLines="5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牌号</w:t>
            </w:r>
          </w:p>
        </w:tc>
        <w:tc>
          <w:tcPr>
            <w:tcW w:w="747" w:type="pct"/>
            <w:vMerge w:val="restart"/>
            <w:vAlign w:val="center"/>
          </w:tcPr>
          <w:p w14:paraId="411AD414">
            <w:pPr>
              <w:spacing w:line="26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冶炼方法</w:t>
            </w:r>
          </w:p>
        </w:tc>
        <w:tc>
          <w:tcPr>
            <w:tcW w:w="3669" w:type="pct"/>
            <w:gridSpan w:val="10"/>
            <w:vAlign w:val="center"/>
          </w:tcPr>
          <w:p w14:paraId="67E110F0">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化学成分（质量百分比）%</w:t>
            </w:r>
          </w:p>
        </w:tc>
      </w:tr>
      <w:tr w14:paraId="529E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583" w:type="pct"/>
            <w:vMerge w:val="continue"/>
            <w:vAlign w:val="center"/>
          </w:tcPr>
          <w:p w14:paraId="79350584">
            <w:pPr>
              <w:jc w:val="center"/>
              <w:rPr>
                <w:rFonts w:hint="default" w:ascii="Times New Roman" w:hAnsi="Times New Roman" w:cs="Times New Roman"/>
                <w:sz w:val="18"/>
                <w:szCs w:val="18"/>
              </w:rPr>
            </w:pPr>
          </w:p>
        </w:tc>
        <w:tc>
          <w:tcPr>
            <w:tcW w:w="747" w:type="pct"/>
            <w:vMerge w:val="continue"/>
            <w:vAlign w:val="center"/>
          </w:tcPr>
          <w:p w14:paraId="408FBC92">
            <w:pPr>
              <w:jc w:val="center"/>
              <w:rPr>
                <w:rFonts w:hint="default" w:ascii="Times New Roman" w:hAnsi="Times New Roman" w:cs="Times New Roman"/>
                <w:sz w:val="18"/>
                <w:szCs w:val="18"/>
              </w:rPr>
            </w:pPr>
          </w:p>
        </w:tc>
        <w:tc>
          <w:tcPr>
            <w:tcW w:w="409" w:type="pct"/>
            <w:vAlign w:val="center"/>
          </w:tcPr>
          <w:p w14:paraId="5E77EA66">
            <w:pPr>
              <w:jc w:val="center"/>
              <w:rPr>
                <w:rFonts w:hint="default" w:ascii="Times New Roman" w:hAnsi="Times New Roman" w:cs="Times New Roman"/>
                <w:sz w:val="18"/>
                <w:szCs w:val="18"/>
              </w:rPr>
            </w:pPr>
            <w:r>
              <w:rPr>
                <w:rFonts w:hint="default" w:ascii="Times New Roman" w:hAnsi="Times New Roman" w:cs="Times New Roman"/>
                <w:sz w:val="18"/>
                <w:szCs w:val="18"/>
              </w:rPr>
              <w:t>C</w:t>
            </w:r>
          </w:p>
        </w:tc>
        <w:tc>
          <w:tcPr>
            <w:tcW w:w="331" w:type="pct"/>
            <w:vAlign w:val="center"/>
          </w:tcPr>
          <w:p w14:paraId="602DE3DD">
            <w:pPr>
              <w:jc w:val="center"/>
              <w:rPr>
                <w:rFonts w:hint="default" w:ascii="Times New Roman" w:hAnsi="Times New Roman" w:cs="Times New Roman"/>
                <w:sz w:val="18"/>
                <w:szCs w:val="18"/>
              </w:rPr>
            </w:pPr>
            <w:r>
              <w:rPr>
                <w:rFonts w:hint="default" w:ascii="Times New Roman" w:hAnsi="Times New Roman" w:cs="Times New Roman"/>
                <w:sz w:val="18"/>
                <w:szCs w:val="18"/>
              </w:rPr>
              <w:t>Si</w:t>
            </w:r>
          </w:p>
        </w:tc>
        <w:tc>
          <w:tcPr>
            <w:tcW w:w="331" w:type="pct"/>
            <w:shd w:val="clear" w:color="auto" w:fill="auto"/>
            <w:vAlign w:val="center"/>
          </w:tcPr>
          <w:p w14:paraId="7743505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Mn</w:t>
            </w:r>
          </w:p>
        </w:tc>
        <w:tc>
          <w:tcPr>
            <w:tcW w:w="416" w:type="pct"/>
            <w:shd w:val="clear" w:color="auto" w:fill="auto"/>
            <w:vAlign w:val="center"/>
          </w:tcPr>
          <w:p w14:paraId="0BF4B60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S</w:t>
            </w:r>
          </w:p>
        </w:tc>
        <w:tc>
          <w:tcPr>
            <w:tcW w:w="391" w:type="pct"/>
            <w:shd w:val="clear" w:color="auto" w:fill="auto"/>
            <w:vAlign w:val="center"/>
          </w:tcPr>
          <w:p w14:paraId="48B9D61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Cr</w:t>
            </w:r>
          </w:p>
        </w:tc>
        <w:tc>
          <w:tcPr>
            <w:tcW w:w="403" w:type="pct"/>
            <w:shd w:val="clear" w:color="auto" w:fill="auto"/>
            <w:vAlign w:val="center"/>
          </w:tcPr>
          <w:p w14:paraId="4C962EC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Ni</w:t>
            </w:r>
          </w:p>
        </w:tc>
        <w:tc>
          <w:tcPr>
            <w:tcW w:w="343" w:type="pct"/>
            <w:shd w:val="clear" w:color="auto" w:fill="auto"/>
            <w:vAlign w:val="center"/>
          </w:tcPr>
          <w:p w14:paraId="5F4D180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Mo</w:t>
            </w:r>
          </w:p>
        </w:tc>
        <w:tc>
          <w:tcPr>
            <w:tcW w:w="343" w:type="pct"/>
            <w:vAlign w:val="center"/>
          </w:tcPr>
          <w:p w14:paraId="4B60C912">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Cu</w:t>
            </w:r>
          </w:p>
        </w:tc>
        <w:tc>
          <w:tcPr>
            <w:tcW w:w="349" w:type="pct"/>
            <w:vAlign w:val="center"/>
          </w:tcPr>
          <w:p w14:paraId="388464A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Al</w:t>
            </w:r>
          </w:p>
        </w:tc>
        <w:tc>
          <w:tcPr>
            <w:tcW w:w="347" w:type="pct"/>
            <w:vAlign w:val="center"/>
          </w:tcPr>
          <w:p w14:paraId="6B853956">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Ti</w:t>
            </w:r>
          </w:p>
        </w:tc>
      </w:tr>
      <w:tr w14:paraId="0186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3" w:type="pct"/>
            <w:vMerge w:val="restart"/>
            <w:vAlign w:val="center"/>
          </w:tcPr>
          <w:p w14:paraId="3B6E4BC0">
            <w:pPr>
              <w:pStyle w:val="162"/>
              <w:spacing w:before="167" w:line="181"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316L</w:t>
            </w:r>
          </w:p>
        </w:tc>
        <w:tc>
          <w:tcPr>
            <w:tcW w:w="747" w:type="pct"/>
            <w:vAlign w:val="center"/>
          </w:tcPr>
          <w:p w14:paraId="5F3D1DF4">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zh-CN"/>
              </w:rPr>
              <w:t>VAR</w:t>
            </w:r>
          </w:p>
        </w:tc>
        <w:tc>
          <w:tcPr>
            <w:tcW w:w="409" w:type="pct"/>
            <w:vAlign w:val="center"/>
          </w:tcPr>
          <w:p w14:paraId="4D0A765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0.010~0.020</w:t>
            </w:r>
          </w:p>
        </w:tc>
        <w:tc>
          <w:tcPr>
            <w:tcW w:w="331" w:type="pct"/>
            <w:vAlign w:val="center"/>
          </w:tcPr>
          <w:p w14:paraId="49513BE1">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0.10~0.30</w:t>
            </w:r>
          </w:p>
        </w:tc>
        <w:tc>
          <w:tcPr>
            <w:tcW w:w="331" w:type="pct"/>
            <w:vAlign w:val="center"/>
          </w:tcPr>
          <w:p w14:paraId="212383F8">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0.30~1.00</w:t>
            </w:r>
          </w:p>
        </w:tc>
        <w:tc>
          <w:tcPr>
            <w:tcW w:w="416" w:type="pct"/>
            <w:vAlign w:val="center"/>
          </w:tcPr>
          <w:p w14:paraId="4AB9E3D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0.005~0.010</w:t>
            </w:r>
          </w:p>
        </w:tc>
        <w:tc>
          <w:tcPr>
            <w:tcW w:w="391" w:type="pct"/>
            <w:vAlign w:val="center"/>
          </w:tcPr>
          <w:p w14:paraId="0887A23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16.00~17.00</w:t>
            </w:r>
          </w:p>
        </w:tc>
        <w:tc>
          <w:tcPr>
            <w:tcW w:w="403" w:type="pct"/>
            <w:vAlign w:val="center"/>
          </w:tcPr>
          <w:p w14:paraId="105A1F5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11.00~14.00</w:t>
            </w:r>
          </w:p>
        </w:tc>
        <w:tc>
          <w:tcPr>
            <w:tcW w:w="343" w:type="pct"/>
            <w:vAlign w:val="center"/>
          </w:tcPr>
          <w:p w14:paraId="1F4D3BD1">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2.00~3.00</w:t>
            </w:r>
          </w:p>
        </w:tc>
        <w:tc>
          <w:tcPr>
            <w:tcW w:w="343" w:type="pct"/>
            <w:vAlign w:val="center"/>
          </w:tcPr>
          <w:p w14:paraId="073A4EA4">
            <w:pPr>
              <w:jc w:val="center"/>
              <w:rPr>
                <w:rFonts w:hint="default" w:ascii="Times New Roman" w:hAnsi="Times New Roman" w:cs="Times New Roman"/>
                <w:sz w:val="18"/>
                <w:szCs w:val="18"/>
                <w:lang w:val="en-US"/>
              </w:rPr>
            </w:pPr>
            <w:r>
              <w:rPr>
                <w:rFonts w:hint="default" w:ascii="Times New Roman" w:hAnsi="Times New Roman" w:cs="Times New Roman"/>
                <w:sz w:val="18"/>
                <w:szCs w:val="18"/>
                <w:lang w:val="en-US" w:eastAsia="zh-CN"/>
              </w:rPr>
              <w:t>≤0.30</w:t>
            </w:r>
          </w:p>
        </w:tc>
        <w:tc>
          <w:tcPr>
            <w:tcW w:w="349" w:type="pct"/>
            <w:vAlign w:val="center"/>
          </w:tcPr>
          <w:p w14:paraId="7036E6F0">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≤0.01</w:t>
            </w:r>
          </w:p>
        </w:tc>
        <w:tc>
          <w:tcPr>
            <w:tcW w:w="347" w:type="pct"/>
            <w:vAlign w:val="center"/>
          </w:tcPr>
          <w:p w14:paraId="37686F3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≤0.02</w:t>
            </w:r>
          </w:p>
        </w:tc>
      </w:tr>
      <w:tr w14:paraId="17E7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3" w:type="pct"/>
            <w:vMerge w:val="continue"/>
            <w:vAlign w:val="center"/>
          </w:tcPr>
          <w:p w14:paraId="79F5D01A">
            <w:pPr>
              <w:pStyle w:val="162"/>
              <w:spacing w:before="168" w:line="181" w:lineRule="auto"/>
              <w:jc w:val="center"/>
              <w:rPr>
                <w:rFonts w:hint="default" w:ascii="Times New Roman" w:hAnsi="Times New Roman" w:cs="Times New Roman"/>
                <w:sz w:val="18"/>
                <w:szCs w:val="18"/>
                <w:lang w:val="en-US" w:eastAsia="zh-CN"/>
              </w:rPr>
            </w:pPr>
          </w:p>
        </w:tc>
        <w:tc>
          <w:tcPr>
            <w:tcW w:w="747" w:type="pct"/>
            <w:vAlign w:val="center"/>
          </w:tcPr>
          <w:p w14:paraId="59C36E4D">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zh-CN"/>
              </w:rPr>
              <w:t>VIM-VAR</w:t>
            </w:r>
          </w:p>
        </w:tc>
        <w:tc>
          <w:tcPr>
            <w:tcW w:w="409" w:type="pct"/>
            <w:vAlign w:val="center"/>
          </w:tcPr>
          <w:p w14:paraId="63471EE2">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0.005~0.015</w:t>
            </w:r>
          </w:p>
        </w:tc>
        <w:tc>
          <w:tcPr>
            <w:tcW w:w="331" w:type="pct"/>
            <w:vAlign w:val="center"/>
          </w:tcPr>
          <w:p w14:paraId="3C173BC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0.10~0.30</w:t>
            </w:r>
          </w:p>
        </w:tc>
        <w:tc>
          <w:tcPr>
            <w:tcW w:w="331" w:type="pct"/>
            <w:vAlign w:val="center"/>
          </w:tcPr>
          <w:p w14:paraId="5B51F077">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0.10~0.50</w:t>
            </w:r>
          </w:p>
        </w:tc>
        <w:tc>
          <w:tcPr>
            <w:tcW w:w="416" w:type="pct"/>
            <w:vAlign w:val="center"/>
          </w:tcPr>
          <w:p w14:paraId="61BAA9F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0.002~0.005</w:t>
            </w:r>
          </w:p>
        </w:tc>
        <w:tc>
          <w:tcPr>
            <w:tcW w:w="391" w:type="pct"/>
            <w:vAlign w:val="center"/>
          </w:tcPr>
          <w:p w14:paraId="5F06231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16.00~17.00</w:t>
            </w:r>
          </w:p>
        </w:tc>
        <w:tc>
          <w:tcPr>
            <w:tcW w:w="403" w:type="pct"/>
            <w:vAlign w:val="center"/>
          </w:tcPr>
          <w:p w14:paraId="73481324">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12.00~15.00</w:t>
            </w:r>
          </w:p>
        </w:tc>
        <w:tc>
          <w:tcPr>
            <w:tcW w:w="343" w:type="pct"/>
            <w:vAlign w:val="center"/>
          </w:tcPr>
          <w:p w14:paraId="53CC08E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2.00~3.00</w:t>
            </w:r>
          </w:p>
        </w:tc>
        <w:tc>
          <w:tcPr>
            <w:tcW w:w="343" w:type="pct"/>
            <w:shd w:val="clear" w:color="auto" w:fill="auto"/>
            <w:vAlign w:val="center"/>
          </w:tcPr>
          <w:p w14:paraId="3F356EC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≤0.30</w:t>
            </w:r>
          </w:p>
        </w:tc>
        <w:tc>
          <w:tcPr>
            <w:tcW w:w="349" w:type="pct"/>
            <w:shd w:val="clear" w:color="auto" w:fill="auto"/>
            <w:vAlign w:val="center"/>
          </w:tcPr>
          <w:p w14:paraId="72B5F34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≤0.01</w:t>
            </w:r>
          </w:p>
        </w:tc>
        <w:tc>
          <w:tcPr>
            <w:tcW w:w="347" w:type="pct"/>
            <w:shd w:val="clear" w:color="auto" w:fill="auto"/>
            <w:vAlign w:val="center"/>
          </w:tcPr>
          <w:p w14:paraId="5417BF5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≤0.02</w:t>
            </w:r>
          </w:p>
        </w:tc>
      </w:tr>
      <w:tr w14:paraId="17B7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3" w:type="pct"/>
            <w:vMerge w:val="continue"/>
            <w:vAlign w:val="center"/>
          </w:tcPr>
          <w:p w14:paraId="47C56CB9">
            <w:pPr>
              <w:pStyle w:val="162"/>
              <w:spacing w:before="170" w:line="181" w:lineRule="auto"/>
              <w:jc w:val="center"/>
              <w:rPr>
                <w:rFonts w:hint="default" w:ascii="Times New Roman" w:hAnsi="Times New Roman" w:cs="Times New Roman"/>
                <w:sz w:val="18"/>
                <w:szCs w:val="18"/>
                <w:lang w:eastAsia="zh-CN"/>
              </w:rPr>
            </w:pPr>
          </w:p>
        </w:tc>
        <w:tc>
          <w:tcPr>
            <w:tcW w:w="747" w:type="pct"/>
            <w:vAlign w:val="center"/>
          </w:tcPr>
          <w:p w14:paraId="14EBC819">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eastAsia="zh-CN"/>
              </w:rPr>
              <w:t>VIM–VAR-VAR</w:t>
            </w:r>
          </w:p>
        </w:tc>
        <w:tc>
          <w:tcPr>
            <w:tcW w:w="409" w:type="pct"/>
            <w:vAlign w:val="center"/>
          </w:tcPr>
          <w:p w14:paraId="4F43985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0.005~0.010</w:t>
            </w:r>
          </w:p>
        </w:tc>
        <w:tc>
          <w:tcPr>
            <w:tcW w:w="331" w:type="pct"/>
            <w:vAlign w:val="center"/>
          </w:tcPr>
          <w:p w14:paraId="1534E9A2">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0.10~0.30</w:t>
            </w:r>
          </w:p>
        </w:tc>
        <w:tc>
          <w:tcPr>
            <w:tcW w:w="331" w:type="pct"/>
            <w:vAlign w:val="center"/>
          </w:tcPr>
          <w:p w14:paraId="2195D3E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0.035~0.10</w:t>
            </w:r>
          </w:p>
        </w:tc>
        <w:tc>
          <w:tcPr>
            <w:tcW w:w="416" w:type="pct"/>
            <w:vAlign w:val="center"/>
          </w:tcPr>
          <w:p w14:paraId="7D0AB8C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0.001~0.005</w:t>
            </w:r>
          </w:p>
        </w:tc>
        <w:tc>
          <w:tcPr>
            <w:tcW w:w="391" w:type="pct"/>
            <w:vAlign w:val="center"/>
          </w:tcPr>
          <w:p w14:paraId="76443B9D">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16.00~17.00</w:t>
            </w:r>
          </w:p>
        </w:tc>
        <w:tc>
          <w:tcPr>
            <w:tcW w:w="403" w:type="pct"/>
            <w:vAlign w:val="center"/>
          </w:tcPr>
          <w:p w14:paraId="58555DE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14.00~15.00</w:t>
            </w:r>
          </w:p>
        </w:tc>
        <w:tc>
          <w:tcPr>
            <w:tcW w:w="343" w:type="pct"/>
            <w:vAlign w:val="center"/>
          </w:tcPr>
          <w:p w14:paraId="7F9C471E">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2.00~3.00</w:t>
            </w:r>
          </w:p>
        </w:tc>
        <w:tc>
          <w:tcPr>
            <w:tcW w:w="343" w:type="pct"/>
            <w:shd w:val="clear" w:color="auto" w:fill="auto"/>
            <w:vAlign w:val="center"/>
          </w:tcPr>
          <w:p w14:paraId="195E4D1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≤0.30</w:t>
            </w:r>
          </w:p>
        </w:tc>
        <w:tc>
          <w:tcPr>
            <w:tcW w:w="349" w:type="pct"/>
            <w:shd w:val="clear" w:color="auto" w:fill="auto"/>
            <w:vAlign w:val="center"/>
          </w:tcPr>
          <w:p w14:paraId="2BAFB1B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≤0.01</w:t>
            </w:r>
          </w:p>
        </w:tc>
        <w:tc>
          <w:tcPr>
            <w:tcW w:w="347" w:type="pct"/>
            <w:shd w:val="clear" w:color="auto" w:fill="auto"/>
            <w:vAlign w:val="center"/>
          </w:tcPr>
          <w:p w14:paraId="17BB686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≤0.02</w:t>
            </w:r>
          </w:p>
        </w:tc>
      </w:tr>
    </w:tbl>
    <w:p w14:paraId="0F385EE8">
      <w:pPr>
        <w:pStyle w:val="31"/>
        <w:widowControl/>
        <w:numPr>
          <w:ilvl w:val="1"/>
          <w:numId w:val="17"/>
        </w:numPr>
        <w:spacing w:before="156" w:beforeLines="50" w:after="156" w:afterLines="50"/>
        <w:jc w:val="left"/>
        <w:outlineLvl w:val="2"/>
        <w:rPr>
          <w:rFonts w:eastAsia="黑体"/>
          <w:kern w:val="0"/>
          <w:sz w:val="21"/>
          <w:szCs w:val="21"/>
        </w:rPr>
      </w:pPr>
      <w:bookmarkStart w:id="28" w:name="_Toc26512"/>
      <w:r>
        <w:rPr>
          <w:rFonts w:eastAsia="黑体"/>
          <w:kern w:val="0"/>
          <w:sz w:val="21"/>
          <w:szCs w:val="21"/>
        </w:rPr>
        <w:t>力学性能</w:t>
      </w:r>
      <w:bookmarkEnd w:id="28"/>
    </w:p>
    <w:p w14:paraId="1F175818">
      <w:pPr>
        <w:pStyle w:val="76"/>
        <w:numPr>
          <w:ilvl w:val="2"/>
          <w:numId w:val="0"/>
        </w:numPr>
        <w:spacing w:before="156" w:after="156"/>
        <w:ind w:firstLine="420" w:firstLineChars="200"/>
        <w:jc w:val="both"/>
        <w:rPr>
          <w:rFonts w:ascii="Times New Roman" w:eastAsia="宋体"/>
        </w:rPr>
      </w:pPr>
      <w:r>
        <w:rPr>
          <w:rFonts w:ascii="Times New Roman" w:eastAsia="宋体"/>
        </w:rPr>
        <w:t>钢管</w:t>
      </w:r>
      <w:r>
        <w:rPr>
          <w:rFonts w:hint="eastAsia" w:ascii="Times New Roman" w:eastAsia="宋体"/>
          <w:lang w:val="en-US" w:eastAsia="zh-CN"/>
        </w:rPr>
        <w:t>交货状态下</w:t>
      </w:r>
      <w:r>
        <w:rPr>
          <w:rFonts w:ascii="Times New Roman" w:eastAsia="宋体"/>
        </w:rPr>
        <w:t>室温</w:t>
      </w:r>
      <w:r>
        <w:rPr>
          <w:rFonts w:hint="eastAsia" w:ascii="Times New Roman" w:eastAsia="宋体"/>
          <w:lang w:val="en-US" w:eastAsia="zh-CN"/>
        </w:rPr>
        <w:t>拉伸</w:t>
      </w:r>
      <w:r>
        <w:rPr>
          <w:rFonts w:ascii="Times New Roman" w:eastAsia="宋体"/>
        </w:rPr>
        <w:t>性能和</w:t>
      </w:r>
      <w:r>
        <w:rPr>
          <w:rFonts w:hint="eastAsia" w:ascii="Times New Roman" w:eastAsia="宋体"/>
        </w:rPr>
        <w:t>热处理温度</w:t>
      </w:r>
      <w:r>
        <w:rPr>
          <w:rFonts w:ascii="Times New Roman" w:eastAsia="宋体"/>
        </w:rPr>
        <w:t>应符合表3的规定。</w:t>
      </w:r>
    </w:p>
    <w:p w14:paraId="4E28F1AA">
      <w:pPr>
        <w:pStyle w:val="116"/>
        <w:spacing w:before="156" w:after="156"/>
        <w:rPr>
          <w:rFonts w:ascii="Times New Roman"/>
          <w:kern w:val="2"/>
          <w:szCs w:val="21"/>
        </w:rPr>
      </w:pPr>
      <w:r>
        <w:rPr>
          <w:rFonts w:hint="eastAsia" w:ascii="Times New Roman"/>
          <w:kern w:val="2"/>
          <w:szCs w:val="21"/>
          <w:lang w:val="en-US" w:eastAsia="zh-CN"/>
        </w:rPr>
        <w:t>钢管室温拉伸性能和热处理温度</w:t>
      </w:r>
    </w:p>
    <w:tbl>
      <w:tblPr>
        <w:tblStyle w:val="161"/>
        <w:tblW w:w="506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469"/>
        <w:gridCol w:w="1518"/>
        <w:gridCol w:w="1690"/>
        <w:gridCol w:w="1422"/>
        <w:gridCol w:w="1541"/>
        <w:gridCol w:w="924"/>
      </w:tblGrid>
      <w:tr w14:paraId="2279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487" w:type="pct"/>
            <w:vMerge w:val="restart"/>
            <w:tcBorders>
              <w:top w:val="single" w:color="000000" w:sz="6" w:space="0"/>
            </w:tcBorders>
            <w:vAlign w:val="center"/>
          </w:tcPr>
          <w:p w14:paraId="4DE87735">
            <w:pPr>
              <w:spacing w:line="260" w:lineRule="exact"/>
              <w:jc w:val="center"/>
              <w:rPr>
                <w:rFonts w:eastAsiaTheme="minorEastAsia"/>
                <w:sz w:val="18"/>
                <w:szCs w:val="18"/>
                <w:lang w:val="zh-TW"/>
              </w:rPr>
            </w:pPr>
            <w:r>
              <w:rPr>
                <w:rFonts w:eastAsiaTheme="minorEastAsia"/>
                <w:sz w:val="18"/>
                <w:szCs w:val="18"/>
                <w:lang w:val="zh-TW"/>
              </w:rPr>
              <w:t>牌号</w:t>
            </w:r>
          </w:p>
        </w:tc>
        <w:tc>
          <w:tcPr>
            <w:tcW w:w="773" w:type="pct"/>
            <w:vMerge w:val="restart"/>
            <w:tcBorders>
              <w:top w:val="single" w:color="000000" w:sz="6" w:space="0"/>
            </w:tcBorders>
            <w:vAlign w:val="center"/>
          </w:tcPr>
          <w:p w14:paraId="0C5B2C73">
            <w:pPr>
              <w:spacing w:line="260" w:lineRule="exact"/>
              <w:jc w:val="center"/>
              <w:rPr>
                <w:rFonts w:hint="eastAsia" w:eastAsiaTheme="minorEastAsia"/>
                <w:sz w:val="18"/>
                <w:szCs w:val="18"/>
                <w:lang w:val="en-US" w:eastAsia="zh-CN"/>
              </w:rPr>
            </w:pPr>
            <w:r>
              <w:rPr>
                <w:rFonts w:hint="eastAsia" w:eastAsiaTheme="minorEastAsia"/>
                <w:sz w:val="18"/>
                <w:szCs w:val="18"/>
                <w:lang w:val="en-US" w:eastAsia="zh-CN"/>
              </w:rPr>
              <w:t>冶炼方法</w:t>
            </w:r>
          </w:p>
        </w:tc>
        <w:tc>
          <w:tcPr>
            <w:tcW w:w="2439" w:type="pct"/>
            <w:gridSpan w:val="3"/>
            <w:tcBorders>
              <w:top w:val="single" w:color="000000" w:sz="6" w:space="0"/>
              <w:bottom w:val="single" w:color="000000" w:sz="6" w:space="0"/>
            </w:tcBorders>
            <w:vAlign w:val="center"/>
          </w:tcPr>
          <w:p w14:paraId="3FC5C787">
            <w:pPr>
              <w:spacing w:line="260" w:lineRule="exact"/>
              <w:jc w:val="center"/>
              <w:rPr>
                <w:rFonts w:eastAsiaTheme="minorEastAsia"/>
                <w:sz w:val="18"/>
                <w:szCs w:val="18"/>
                <w:lang w:val="zh-TW"/>
              </w:rPr>
            </w:pPr>
            <w:r>
              <w:rPr>
                <w:rFonts w:eastAsiaTheme="minorEastAsia"/>
                <w:sz w:val="18"/>
                <w:szCs w:val="18"/>
                <w:lang w:val="zh-TW"/>
              </w:rPr>
              <w:t>室温</w:t>
            </w:r>
          </w:p>
        </w:tc>
        <w:tc>
          <w:tcPr>
            <w:tcW w:w="811" w:type="pct"/>
            <w:vMerge w:val="restart"/>
            <w:tcBorders>
              <w:top w:val="single" w:color="000000" w:sz="6" w:space="0"/>
            </w:tcBorders>
            <w:vAlign w:val="center"/>
          </w:tcPr>
          <w:p w14:paraId="082090FA">
            <w:pPr>
              <w:spacing w:line="260" w:lineRule="exact"/>
              <w:jc w:val="center"/>
              <w:rPr>
                <w:rFonts w:hint="eastAsia" w:eastAsiaTheme="minorEastAsia"/>
                <w:sz w:val="18"/>
                <w:szCs w:val="18"/>
                <w:lang w:val="zh-TW" w:eastAsia="zh-CN"/>
              </w:rPr>
            </w:pPr>
            <w:r>
              <w:rPr>
                <w:rFonts w:hint="eastAsia" w:eastAsiaTheme="minorEastAsia"/>
                <w:sz w:val="18"/>
                <w:szCs w:val="18"/>
                <w:lang w:val="zh-TW"/>
              </w:rPr>
              <w:t>热处理温度</w:t>
            </w:r>
            <w:r>
              <w:rPr>
                <w:rFonts w:hint="eastAsia" w:eastAsiaTheme="minorEastAsia"/>
                <w:sz w:val="18"/>
                <w:szCs w:val="18"/>
                <w:lang w:val="zh-TW" w:eastAsia="zh-CN"/>
              </w:rPr>
              <w:t>（</w:t>
            </w:r>
            <w:r>
              <w:rPr>
                <w:rFonts w:hint="eastAsia" w:eastAsiaTheme="minorEastAsia"/>
                <w:sz w:val="18"/>
                <w:szCs w:val="18"/>
                <w:lang w:val="en-US" w:eastAsia="zh-CN"/>
              </w:rPr>
              <w:t>T</w:t>
            </w:r>
            <w:r>
              <w:rPr>
                <w:rFonts w:hint="eastAsia" w:eastAsiaTheme="minorEastAsia"/>
                <w:sz w:val="18"/>
                <w:szCs w:val="18"/>
                <w:lang w:val="zh-TW" w:eastAsia="zh-CN"/>
              </w:rPr>
              <w:t>）</w:t>
            </w:r>
          </w:p>
          <w:p w14:paraId="014B0B6B">
            <w:pPr>
              <w:spacing w:line="260" w:lineRule="exact"/>
              <w:jc w:val="center"/>
              <w:rPr>
                <w:rFonts w:hint="eastAsia" w:eastAsiaTheme="minorEastAsia"/>
                <w:sz w:val="18"/>
                <w:szCs w:val="18"/>
                <w:lang w:val="en-US" w:eastAsia="zh-CN"/>
              </w:rPr>
            </w:pPr>
            <w:r>
              <w:rPr>
                <w:rFonts w:hint="default" w:ascii="Times New Roman" w:hAnsi="Times New Roman" w:cs="Times New Roman" w:eastAsiaTheme="minorEastAsia"/>
                <w:sz w:val="18"/>
                <w:szCs w:val="18"/>
                <w:lang w:val="en-US" w:eastAsia="zh-CN"/>
              </w:rPr>
              <w:t>℃</w:t>
            </w:r>
          </w:p>
        </w:tc>
        <w:tc>
          <w:tcPr>
            <w:tcW w:w="486" w:type="pct"/>
            <w:vMerge w:val="restart"/>
            <w:tcBorders>
              <w:top w:val="single" w:color="000000" w:sz="6" w:space="0"/>
              <w:right w:val="single" w:color="000000" w:sz="6" w:space="0"/>
            </w:tcBorders>
            <w:vAlign w:val="center"/>
          </w:tcPr>
          <w:p w14:paraId="174EB466">
            <w:pPr>
              <w:spacing w:line="260" w:lineRule="exact"/>
              <w:jc w:val="center"/>
              <w:rPr>
                <w:rFonts w:eastAsiaTheme="minorEastAsia"/>
                <w:sz w:val="18"/>
                <w:szCs w:val="18"/>
                <w:lang w:val="zh-TW"/>
              </w:rPr>
            </w:pPr>
            <w:r>
              <w:rPr>
                <w:rFonts w:hint="eastAsia" w:eastAsiaTheme="minorEastAsia"/>
                <w:sz w:val="18"/>
                <w:szCs w:val="18"/>
                <w:lang w:val="zh-TW"/>
              </w:rPr>
              <w:t>冷却方式</w:t>
            </w:r>
          </w:p>
        </w:tc>
      </w:tr>
      <w:tr w14:paraId="0B8C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87" w:type="pct"/>
            <w:vMerge w:val="continue"/>
            <w:vAlign w:val="center"/>
          </w:tcPr>
          <w:p w14:paraId="355CEAC3">
            <w:pPr>
              <w:spacing w:line="260" w:lineRule="exact"/>
              <w:jc w:val="center"/>
              <w:rPr>
                <w:rFonts w:eastAsiaTheme="minorEastAsia"/>
                <w:sz w:val="18"/>
                <w:szCs w:val="18"/>
                <w:lang w:val="zh-TW"/>
              </w:rPr>
            </w:pPr>
          </w:p>
        </w:tc>
        <w:tc>
          <w:tcPr>
            <w:tcW w:w="773" w:type="pct"/>
            <w:vMerge w:val="continue"/>
            <w:vAlign w:val="center"/>
          </w:tcPr>
          <w:p w14:paraId="05A023F2">
            <w:pPr>
              <w:spacing w:line="260" w:lineRule="exact"/>
              <w:jc w:val="center"/>
              <w:rPr>
                <w:rFonts w:eastAsiaTheme="minorEastAsia"/>
                <w:sz w:val="18"/>
                <w:szCs w:val="18"/>
                <w:lang w:val="zh-TW"/>
              </w:rPr>
            </w:pPr>
          </w:p>
        </w:tc>
        <w:tc>
          <w:tcPr>
            <w:tcW w:w="799" w:type="pct"/>
            <w:tcBorders>
              <w:top w:val="single" w:color="000000" w:sz="6" w:space="0"/>
            </w:tcBorders>
            <w:vAlign w:val="center"/>
          </w:tcPr>
          <w:p w14:paraId="3F0EDAE5">
            <w:pPr>
              <w:spacing w:line="260" w:lineRule="exact"/>
              <w:jc w:val="center"/>
              <w:rPr>
                <w:rFonts w:eastAsiaTheme="minorEastAsia"/>
                <w:sz w:val="18"/>
                <w:szCs w:val="18"/>
                <w:lang w:val="zh-TW"/>
              </w:rPr>
            </w:pPr>
            <w:r>
              <w:rPr>
                <w:rFonts w:eastAsiaTheme="minorEastAsia"/>
                <w:sz w:val="18"/>
                <w:szCs w:val="18"/>
                <w:lang w:val="zh-TW"/>
              </w:rPr>
              <w:t>抗拉强度</w:t>
            </w:r>
            <w:r>
              <w:rPr>
                <w:rFonts w:hint="eastAsia" w:eastAsiaTheme="minorEastAsia"/>
                <w:sz w:val="18"/>
                <w:szCs w:val="18"/>
                <w:lang w:val="zh-TW" w:eastAsia="zh-CN"/>
              </w:rPr>
              <w:t>（</w:t>
            </w:r>
            <w:r>
              <w:rPr>
                <w:rFonts w:eastAsiaTheme="minorEastAsia"/>
                <w:sz w:val="18"/>
                <w:szCs w:val="18"/>
                <w:lang w:val="zh-TW"/>
              </w:rPr>
              <w:t>R</w:t>
            </w:r>
            <w:r>
              <w:rPr>
                <w:rFonts w:eastAsiaTheme="minorEastAsia"/>
                <w:sz w:val="18"/>
                <w:szCs w:val="18"/>
                <w:vertAlign w:val="subscript"/>
                <w:lang w:val="zh-TW"/>
              </w:rPr>
              <w:t>m</w:t>
            </w:r>
            <w:r>
              <w:rPr>
                <w:rFonts w:hint="eastAsia" w:eastAsiaTheme="minorEastAsia"/>
                <w:sz w:val="18"/>
                <w:szCs w:val="18"/>
                <w:lang w:val="zh-TW" w:eastAsia="zh-CN"/>
              </w:rPr>
              <w:t>）</w:t>
            </w:r>
          </w:p>
          <w:p w14:paraId="0B87B4BD">
            <w:pPr>
              <w:spacing w:line="260" w:lineRule="exact"/>
              <w:jc w:val="center"/>
              <w:rPr>
                <w:rFonts w:eastAsiaTheme="minorEastAsia"/>
                <w:sz w:val="18"/>
                <w:szCs w:val="18"/>
                <w:lang w:val="zh-TW"/>
              </w:rPr>
            </w:pPr>
            <w:r>
              <w:rPr>
                <w:rFonts w:eastAsiaTheme="minorEastAsia"/>
                <w:sz w:val="18"/>
                <w:szCs w:val="18"/>
                <w:lang w:val="zh-TW"/>
              </w:rPr>
              <w:t>MPa</w:t>
            </w:r>
          </w:p>
        </w:tc>
        <w:tc>
          <w:tcPr>
            <w:tcW w:w="890" w:type="pct"/>
            <w:tcBorders>
              <w:top w:val="single" w:color="000000" w:sz="6" w:space="0"/>
            </w:tcBorders>
            <w:vAlign w:val="center"/>
          </w:tcPr>
          <w:p w14:paraId="3D6B1B66">
            <w:pPr>
              <w:spacing w:line="260" w:lineRule="exact"/>
              <w:jc w:val="center"/>
              <w:rPr>
                <w:rFonts w:hint="eastAsia" w:eastAsiaTheme="minorEastAsia"/>
                <w:sz w:val="18"/>
                <w:szCs w:val="18"/>
                <w:lang w:val="zh-TW" w:eastAsia="zh-CN"/>
              </w:rPr>
            </w:pPr>
            <w:r>
              <w:rPr>
                <w:rFonts w:eastAsiaTheme="minorEastAsia"/>
                <w:sz w:val="18"/>
                <w:szCs w:val="18"/>
                <w:lang w:val="zh-TW"/>
              </w:rPr>
              <w:t>规定塑性延伸</w:t>
            </w:r>
          </w:p>
          <w:p w14:paraId="0B64C2D8">
            <w:pPr>
              <w:spacing w:line="260" w:lineRule="exact"/>
              <w:jc w:val="center"/>
              <w:rPr>
                <w:rFonts w:eastAsiaTheme="minorEastAsia"/>
                <w:sz w:val="18"/>
                <w:szCs w:val="18"/>
                <w:lang w:val="zh-TW"/>
              </w:rPr>
            </w:pPr>
            <w:r>
              <w:rPr>
                <w:rFonts w:eastAsiaTheme="minorEastAsia"/>
                <w:sz w:val="18"/>
                <w:szCs w:val="18"/>
                <w:lang w:val="zh-TW"/>
              </w:rPr>
              <w:t>强度</w:t>
            </w:r>
            <w:r>
              <w:rPr>
                <w:rFonts w:hint="eastAsia" w:eastAsiaTheme="minorEastAsia"/>
                <w:sz w:val="18"/>
                <w:szCs w:val="18"/>
                <w:lang w:val="zh-TW" w:eastAsia="zh-CN"/>
              </w:rPr>
              <w:t>（</w:t>
            </w:r>
            <w:r>
              <w:rPr>
                <w:rFonts w:eastAsiaTheme="minorEastAsia"/>
                <w:sz w:val="18"/>
                <w:szCs w:val="18"/>
                <w:lang w:val="zh-TW"/>
              </w:rPr>
              <w:t>R</w:t>
            </w:r>
            <w:r>
              <w:rPr>
                <w:rFonts w:eastAsiaTheme="minorEastAsia"/>
                <w:sz w:val="18"/>
                <w:szCs w:val="18"/>
                <w:vertAlign w:val="subscript"/>
                <w:lang w:val="zh-TW"/>
              </w:rPr>
              <w:t>p0.2</w:t>
            </w:r>
            <w:r>
              <w:rPr>
                <w:rFonts w:hint="eastAsia" w:eastAsiaTheme="minorEastAsia"/>
                <w:sz w:val="18"/>
                <w:szCs w:val="18"/>
                <w:lang w:val="zh-TW" w:eastAsia="zh-CN"/>
              </w:rPr>
              <w:t>）</w:t>
            </w:r>
          </w:p>
          <w:p w14:paraId="79750203">
            <w:pPr>
              <w:spacing w:line="260" w:lineRule="exact"/>
              <w:jc w:val="center"/>
              <w:rPr>
                <w:rFonts w:eastAsiaTheme="minorEastAsia"/>
                <w:sz w:val="18"/>
                <w:szCs w:val="18"/>
                <w:lang w:val="zh-TW"/>
              </w:rPr>
            </w:pPr>
            <w:r>
              <w:rPr>
                <w:rFonts w:eastAsiaTheme="minorEastAsia"/>
                <w:sz w:val="18"/>
                <w:szCs w:val="18"/>
                <w:lang w:val="zh-TW"/>
              </w:rPr>
              <w:t>MPa</w:t>
            </w:r>
          </w:p>
        </w:tc>
        <w:tc>
          <w:tcPr>
            <w:tcW w:w="749" w:type="pct"/>
            <w:tcBorders>
              <w:top w:val="single" w:color="000000" w:sz="6" w:space="0"/>
            </w:tcBorders>
            <w:vAlign w:val="center"/>
          </w:tcPr>
          <w:p w14:paraId="42A84683">
            <w:pPr>
              <w:spacing w:line="260" w:lineRule="exact"/>
              <w:jc w:val="center"/>
              <w:rPr>
                <w:rFonts w:hint="eastAsia" w:eastAsiaTheme="minorEastAsia"/>
                <w:sz w:val="18"/>
                <w:szCs w:val="18"/>
                <w:lang w:val="zh-TW" w:eastAsia="zh-CN"/>
              </w:rPr>
            </w:pPr>
            <w:r>
              <w:rPr>
                <w:rFonts w:eastAsiaTheme="minorEastAsia"/>
                <w:sz w:val="18"/>
                <w:szCs w:val="18"/>
                <w:lang w:val="zh-TW"/>
              </w:rPr>
              <w:t>断后伸长率</w:t>
            </w:r>
            <w:r>
              <w:rPr>
                <w:rFonts w:hint="eastAsia" w:eastAsiaTheme="minorEastAsia"/>
                <w:sz w:val="18"/>
                <w:szCs w:val="18"/>
                <w:lang w:val="zh-TW" w:eastAsia="zh-CN"/>
              </w:rPr>
              <w:t>（</w:t>
            </w:r>
            <w:r>
              <w:rPr>
                <w:rFonts w:eastAsiaTheme="minorEastAsia"/>
                <w:sz w:val="18"/>
                <w:szCs w:val="18"/>
                <w:lang w:val="zh-TW"/>
              </w:rPr>
              <w:t>A</w:t>
            </w:r>
            <w:r>
              <w:rPr>
                <w:rFonts w:hint="eastAsia" w:eastAsiaTheme="minorEastAsia"/>
                <w:sz w:val="18"/>
                <w:szCs w:val="18"/>
                <w:lang w:val="zh-TW" w:eastAsia="zh-CN"/>
              </w:rPr>
              <w:t>）</w:t>
            </w:r>
          </w:p>
          <w:p w14:paraId="0A4FE1AC">
            <w:pPr>
              <w:spacing w:line="260" w:lineRule="exact"/>
              <w:jc w:val="center"/>
              <w:rPr>
                <w:rFonts w:eastAsiaTheme="minorEastAsia"/>
                <w:sz w:val="18"/>
                <w:szCs w:val="18"/>
                <w:lang w:val="zh-TW"/>
              </w:rPr>
            </w:pPr>
            <w:r>
              <w:rPr>
                <w:rFonts w:eastAsiaTheme="minorEastAsia"/>
                <w:sz w:val="18"/>
                <w:szCs w:val="18"/>
                <w:lang w:val="zh-TW"/>
              </w:rPr>
              <w:t>%</w:t>
            </w:r>
          </w:p>
        </w:tc>
        <w:tc>
          <w:tcPr>
            <w:tcW w:w="811" w:type="pct"/>
            <w:vMerge w:val="continue"/>
            <w:vAlign w:val="center"/>
          </w:tcPr>
          <w:p w14:paraId="64A95CBF">
            <w:pPr>
              <w:spacing w:line="260" w:lineRule="exact"/>
              <w:jc w:val="center"/>
              <w:rPr>
                <w:rFonts w:eastAsiaTheme="minorEastAsia"/>
                <w:sz w:val="18"/>
                <w:szCs w:val="18"/>
                <w:lang w:val="zh-TW"/>
              </w:rPr>
            </w:pPr>
          </w:p>
        </w:tc>
        <w:tc>
          <w:tcPr>
            <w:tcW w:w="486" w:type="pct"/>
            <w:vMerge w:val="continue"/>
            <w:tcBorders>
              <w:right w:val="single" w:color="000000" w:sz="6" w:space="0"/>
            </w:tcBorders>
            <w:vAlign w:val="center"/>
          </w:tcPr>
          <w:p w14:paraId="38181237">
            <w:pPr>
              <w:spacing w:line="260" w:lineRule="exact"/>
              <w:jc w:val="center"/>
              <w:rPr>
                <w:rFonts w:eastAsiaTheme="minorEastAsia"/>
                <w:sz w:val="18"/>
                <w:szCs w:val="18"/>
                <w:lang w:val="zh-TW"/>
              </w:rPr>
            </w:pPr>
          </w:p>
        </w:tc>
      </w:tr>
      <w:tr w14:paraId="2BAE5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87" w:type="pct"/>
            <w:vMerge w:val="continue"/>
            <w:vAlign w:val="center"/>
          </w:tcPr>
          <w:p w14:paraId="479CCC4D">
            <w:pPr>
              <w:spacing w:line="260" w:lineRule="exact"/>
              <w:jc w:val="center"/>
              <w:rPr>
                <w:rFonts w:eastAsiaTheme="minorEastAsia"/>
                <w:sz w:val="18"/>
                <w:szCs w:val="18"/>
                <w:lang w:val="zh-TW"/>
              </w:rPr>
            </w:pPr>
          </w:p>
        </w:tc>
        <w:tc>
          <w:tcPr>
            <w:tcW w:w="773" w:type="pct"/>
            <w:vMerge w:val="continue"/>
            <w:vAlign w:val="center"/>
          </w:tcPr>
          <w:p w14:paraId="48D3172E">
            <w:pPr>
              <w:spacing w:line="260" w:lineRule="exact"/>
              <w:jc w:val="center"/>
              <w:rPr>
                <w:rFonts w:eastAsiaTheme="minorEastAsia"/>
                <w:sz w:val="18"/>
                <w:szCs w:val="18"/>
                <w:lang w:val="zh-TW"/>
              </w:rPr>
            </w:pPr>
          </w:p>
        </w:tc>
        <w:tc>
          <w:tcPr>
            <w:tcW w:w="3251" w:type="pct"/>
            <w:gridSpan w:val="4"/>
            <w:vAlign w:val="center"/>
          </w:tcPr>
          <w:p w14:paraId="41464173">
            <w:pPr>
              <w:spacing w:line="260" w:lineRule="exact"/>
              <w:jc w:val="center"/>
              <w:rPr>
                <w:rFonts w:eastAsiaTheme="minorEastAsia"/>
                <w:sz w:val="18"/>
                <w:szCs w:val="18"/>
                <w:lang w:val="zh-TW"/>
              </w:rPr>
            </w:pPr>
            <w:r>
              <w:rPr>
                <w:rFonts w:eastAsiaTheme="minorEastAsia"/>
                <w:sz w:val="18"/>
                <w:szCs w:val="18"/>
                <w:lang w:val="zh-TW"/>
              </w:rPr>
              <w:t>不小于</w:t>
            </w:r>
          </w:p>
        </w:tc>
        <w:tc>
          <w:tcPr>
            <w:tcW w:w="486" w:type="pct"/>
            <w:vMerge w:val="continue"/>
            <w:tcBorders>
              <w:right w:val="single" w:color="000000" w:sz="6" w:space="0"/>
            </w:tcBorders>
            <w:vAlign w:val="center"/>
          </w:tcPr>
          <w:p w14:paraId="131588E4">
            <w:pPr>
              <w:spacing w:line="260" w:lineRule="exact"/>
              <w:jc w:val="center"/>
              <w:rPr>
                <w:rFonts w:eastAsiaTheme="minorEastAsia"/>
                <w:sz w:val="18"/>
                <w:szCs w:val="18"/>
                <w:lang w:val="zh-TW"/>
              </w:rPr>
            </w:pPr>
          </w:p>
        </w:tc>
      </w:tr>
      <w:tr w14:paraId="23CC2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87" w:type="pct"/>
            <w:vMerge w:val="restart"/>
            <w:vAlign w:val="center"/>
          </w:tcPr>
          <w:p w14:paraId="29D890F4">
            <w:pPr>
              <w:pStyle w:val="162"/>
              <w:spacing w:before="167" w:line="181" w:lineRule="auto"/>
              <w:jc w:val="center"/>
              <w:rPr>
                <w:rFonts w:hint="default" w:eastAsia="PMingLiU"/>
                <w:sz w:val="18"/>
                <w:szCs w:val="18"/>
                <w:lang w:val="en-US" w:eastAsia="zh-TW"/>
              </w:rPr>
            </w:pPr>
            <w:r>
              <w:rPr>
                <w:rFonts w:hint="eastAsia" w:ascii="Times New Roman" w:hAnsi="Times New Roman" w:cs="Times New Roman"/>
                <w:sz w:val="18"/>
                <w:szCs w:val="18"/>
                <w:lang w:val="en-US" w:eastAsia="zh-CN"/>
              </w:rPr>
              <w:t>316L</w:t>
            </w:r>
          </w:p>
        </w:tc>
        <w:tc>
          <w:tcPr>
            <w:tcW w:w="773" w:type="pct"/>
            <w:shd w:val="clear" w:color="auto" w:fill="auto"/>
            <w:vAlign w:val="center"/>
          </w:tcPr>
          <w:p w14:paraId="10E5C90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VAR</w:t>
            </w:r>
          </w:p>
        </w:tc>
        <w:tc>
          <w:tcPr>
            <w:tcW w:w="799" w:type="pct"/>
            <w:vAlign w:val="center"/>
          </w:tcPr>
          <w:p w14:paraId="536273B3">
            <w:pPr>
              <w:spacing w:line="260" w:lineRule="exact"/>
              <w:jc w:val="center"/>
              <w:rPr>
                <w:rFonts w:eastAsia="PMingLiU"/>
                <w:sz w:val="18"/>
                <w:szCs w:val="18"/>
                <w:lang w:val="zh-TW" w:eastAsia="zh-TW"/>
              </w:rPr>
            </w:pPr>
            <w:r>
              <w:rPr>
                <w:sz w:val="18"/>
                <w:szCs w:val="18"/>
              </w:rPr>
              <w:t>485</w:t>
            </w:r>
          </w:p>
        </w:tc>
        <w:tc>
          <w:tcPr>
            <w:tcW w:w="890" w:type="pct"/>
            <w:vAlign w:val="center"/>
          </w:tcPr>
          <w:p w14:paraId="1B03021C">
            <w:pPr>
              <w:spacing w:line="260" w:lineRule="exact"/>
              <w:jc w:val="center"/>
              <w:rPr>
                <w:rFonts w:eastAsiaTheme="minorEastAsia"/>
                <w:sz w:val="18"/>
                <w:szCs w:val="18"/>
                <w:lang w:val="zh-TW"/>
              </w:rPr>
            </w:pPr>
            <w:r>
              <w:rPr>
                <w:sz w:val="18"/>
                <w:szCs w:val="18"/>
              </w:rPr>
              <w:t>170</w:t>
            </w:r>
          </w:p>
        </w:tc>
        <w:tc>
          <w:tcPr>
            <w:tcW w:w="749" w:type="pct"/>
            <w:vAlign w:val="center"/>
          </w:tcPr>
          <w:p w14:paraId="42304698">
            <w:pPr>
              <w:spacing w:line="260" w:lineRule="exact"/>
              <w:jc w:val="center"/>
              <w:rPr>
                <w:rFonts w:eastAsiaTheme="minorEastAsia"/>
                <w:sz w:val="18"/>
                <w:szCs w:val="18"/>
                <w:lang w:val="zh-TW"/>
              </w:rPr>
            </w:pPr>
            <w:r>
              <w:rPr>
                <w:sz w:val="18"/>
                <w:szCs w:val="18"/>
              </w:rPr>
              <w:t>35</w:t>
            </w:r>
          </w:p>
        </w:tc>
        <w:tc>
          <w:tcPr>
            <w:tcW w:w="811" w:type="pct"/>
            <w:vAlign w:val="center"/>
          </w:tcPr>
          <w:p w14:paraId="43EC078F">
            <w:pPr>
              <w:spacing w:line="260" w:lineRule="exact"/>
              <w:jc w:val="center"/>
              <w:rPr>
                <w:rFonts w:eastAsia="PMingLiU"/>
                <w:sz w:val="18"/>
                <w:szCs w:val="18"/>
                <w:lang w:val="zh-TW" w:eastAsia="zh-TW"/>
              </w:rPr>
            </w:pPr>
            <w:r>
              <w:rPr>
                <w:rFonts w:hint="eastAsia" w:eastAsiaTheme="minorEastAsia"/>
                <w:sz w:val="18"/>
                <w:szCs w:val="18"/>
                <w:lang w:val="zh-TW"/>
              </w:rPr>
              <w:t>1</w:t>
            </w:r>
            <w:r>
              <w:rPr>
                <w:rFonts w:eastAsia="PMingLiU"/>
                <w:sz w:val="18"/>
                <w:szCs w:val="18"/>
                <w:lang w:val="zh-TW" w:eastAsia="zh-TW"/>
              </w:rPr>
              <w:t>020</w:t>
            </w:r>
          </w:p>
        </w:tc>
        <w:tc>
          <w:tcPr>
            <w:tcW w:w="486" w:type="pct"/>
            <w:vMerge w:val="restart"/>
            <w:tcBorders>
              <w:right w:val="single" w:color="000000" w:sz="6" w:space="0"/>
            </w:tcBorders>
            <w:vAlign w:val="center"/>
          </w:tcPr>
          <w:p w14:paraId="18BE6859">
            <w:pPr>
              <w:jc w:val="center"/>
              <w:rPr>
                <w:rFonts w:eastAsiaTheme="minorEastAsia"/>
                <w:sz w:val="18"/>
                <w:szCs w:val="18"/>
                <w:lang w:val="zh-TW"/>
              </w:rPr>
            </w:pPr>
            <w:r>
              <w:rPr>
                <w:rFonts w:hint="eastAsia" w:eastAsiaTheme="minorEastAsia"/>
                <w:sz w:val="18"/>
                <w:szCs w:val="18"/>
                <w:lang w:val="zh-TW"/>
              </w:rPr>
              <w:t>水冷</w:t>
            </w:r>
          </w:p>
        </w:tc>
      </w:tr>
      <w:tr w14:paraId="02447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87" w:type="pct"/>
            <w:vMerge w:val="continue"/>
            <w:vAlign w:val="center"/>
          </w:tcPr>
          <w:p w14:paraId="29F1AF1E">
            <w:pPr>
              <w:spacing w:line="260" w:lineRule="exact"/>
              <w:jc w:val="center"/>
              <w:rPr>
                <w:rFonts w:eastAsiaTheme="minorEastAsia"/>
                <w:sz w:val="18"/>
                <w:szCs w:val="18"/>
                <w:lang w:val="zh-TW"/>
              </w:rPr>
            </w:pPr>
          </w:p>
        </w:tc>
        <w:tc>
          <w:tcPr>
            <w:tcW w:w="773" w:type="pct"/>
            <w:shd w:val="clear" w:color="auto" w:fill="auto"/>
            <w:vAlign w:val="center"/>
          </w:tcPr>
          <w:p w14:paraId="007C9EE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VIM-VAR</w:t>
            </w:r>
          </w:p>
        </w:tc>
        <w:tc>
          <w:tcPr>
            <w:tcW w:w="799" w:type="pct"/>
            <w:vAlign w:val="center"/>
          </w:tcPr>
          <w:p w14:paraId="55E0B237">
            <w:pPr>
              <w:spacing w:line="260" w:lineRule="exact"/>
              <w:jc w:val="center"/>
              <w:rPr>
                <w:rFonts w:eastAsia="PMingLiU"/>
                <w:sz w:val="18"/>
                <w:szCs w:val="18"/>
                <w:lang w:val="zh-TW" w:eastAsia="zh-TW"/>
              </w:rPr>
            </w:pPr>
            <w:r>
              <w:rPr>
                <w:sz w:val="18"/>
                <w:szCs w:val="18"/>
              </w:rPr>
              <w:t>485</w:t>
            </w:r>
          </w:p>
        </w:tc>
        <w:tc>
          <w:tcPr>
            <w:tcW w:w="890" w:type="pct"/>
            <w:vAlign w:val="center"/>
          </w:tcPr>
          <w:p w14:paraId="728D4793">
            <w:pPr>
              <w:spacing w:line="260" w:lineRule="exact"/>
              <w:jc w:val="center"/>
              <w:rPr>
                <w:rFonts w:eastAsiaTheme="minorEastAsia"/>
                <w:sz w:val="18"/>
                <w:szCs w:val="18"/>
                <w:lang w:val="zh-TW"/>
              </w:rPr>
            </w:pPr>
            <w:r>
              <w:rPr>
                <w:sz w:val="18"/>
                <w:szCs w:val="18"/>
              </w:rPr>
              <w:t>170</w:t>
            </w:r>
          </w:p>
        </w:tc>
        <w:tc>
          <w:tcPr>
            <w:tcW w:w="749" w:type="pct"/>
            <w:vAlign w:val="center"/>
          </w:tcPr>
          <w:p w14:paraId="3B20DCF4">
            <w:pPr>
              <w:spacing w:line="260" w:lineRule="exact"/>
              <w:jc w:val="center"/>
              <w:rPr>
                <w:rFonts w:eastAsiaTheme="minorEastAsia"/>
                <w:sz w:val="18"/>
                <w:szCs w:val="18"/>
                <w:lang w:val="zh-TW"/>
              </w:rPr>
            </w:pPr>
            <w:r>
              <w:rPr>
                <w:sz w:val="18"/>
                <w:szCs w:val="18"/>
              </w:rPr>
              <w:t>35</w:t>
            </w:r>
          </w:p>
        </w:tc>
        <w:tc>
          <w:tcPr>
            <w:tcW w:w="811" w:type="pct"/>
            <w:vAlign w:val="center"/>
          </w:tcPr>
          <w:p w14:paraId="0EF5783C">
            <w:pPr>
              <w:spacing w:line="260" w:lineRule="exact"/>
              <w:jc w:val="center"/>
              <w:rPr>
                <w:rFonts w:eastAsia="PMingLiU"/>
                <w:sz w:val="18"/>
                <w:szCs w:val="18"/>
                <w:lang w:val="zh-TW" w:eastAsia="zh-TW"/>
              </w:rPr>
            </w:pPr>
            <w:r>
              <w:rPr>
                <w:rFonts w:hint="eastAsia" w:eastAsiaTheme="minorEastAsia"/>
                <w:sz w:val="18"/>
                <w:szCs w:val="18"/>
                <w:lang w:val="zh-TW"/>
              </w:rPr>
              <w:t>1</w:t>
            </w:r>
            <w:r>
              <w:rPr>
                <w:rFonts w:eastAsia="PMingLiU"/>
                <w:sz w:val="18"/>
                <w:szCs w:val="18"/>
                <w:lang w:val="zh-TW" w:eastAsia="zh-TW"/>
              </w:rPr>
              <w:t>020</w:t>
            </w:r>
          </w:p>
        </w:tc>
        <w:tc>
          <w:tcPr>
            <w:tcW w:w="486" w:type="pct"/>
            <w:vMerge w:val="continue"/>
            <w:tcBorders>
              <w:right w:val="single" w:color="000000" w:sz="6" w:space="0"/>
            </w:tcBorders>
            <w:vAlign w:val="center"/>
          </w:tcPr>
          <w:p w14:paraId="16AF157B">
            <w:pPr>
              <w:jc w:val="center"/>
              <w:rPr>
                <w:rFonts w:eastAsiaTheme="minorEastAsia"/>
                <w:sz w:val="18"/>
                <w:szCs w:val="18"/>
                <w:lang w:val="zh-TW"/>
              </w:rPr>
            </w:pPr>
          </w:p>
        </w:tc>
      </w:tr>
      <w:tr w14:paraId="1353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87" w:type="pct"/>
            <w:vMerge w:val="continue"/>
            <w:vAlign w:val="center"/>
          </w:tcPr>
          <w:p w14:paraId="31BD9A4B">
            <w:pPr>
              <w:spacing w:line="260" w:lineRule="exact"/>
              <w:jc w:val="center"/>
              <w:rPr>
                <w:rFonts w:eastAsiaTheme="minorEastAsia"/>
                <w:sz w:val="18"/>
                <w:szCs w:val="18"/>
                <w:lang w:val="zh-TW"/>
              </w:rPr>
            </w:pPr>
          </w:p>
        </w:tc>
        <w:tc>
          <w:tcPr>
            <w:tcW w:w="773" w:type="pct"/>
            <w:shd w:val="clear" w:color="auto" w:fill="auto"/>
            <w:vAlign w:val="center"/>
          </w:tcPr>
          <w:p w14:paraId="7EFE843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VIM–VAR-VAR</w:t>
            </w:r>
          </w:p>
        </w:tc>
        <w:tc>
          <w:tcPr>
            <w:tcW w:w="799" w:type="pct"/>
            <w:vAlign w:val="center"/>
          </w:tcPr>
          <w:p w14:paraId="631F7E1C">
            <w:pPr>
              <w:spacing w:line="260" w:lineRule="exact"/>
              <w:jc w:val="center"/>
              <w:rPr>
                <w:rFonts w:eastAsia="PMingLiU"/>
                <w:sz w:val="18"/>
                <w:szCs w:val="18"/>
                <w:lang w:val="zh-TW" w:eastAsia="zh-TW"/>
              </w:rPr>
            </w:pPr>
            <w:r>
              <w:rPr>
                <w:sz w:val="18"/>
                <w:szCs w:val="18"/>
              </w:rPr>
              <w:t>520</w:t>
            </w:r>
          </w:p>
        </w:tc>
        <w:tc>
          <w:tcPr>
            <w:tcW w:w="890" w:type="pct"/>
            <w:vAlign w:val="center"/>
          </w:tcPr>
          <w:p w14:paraId="45F808BB">
            <w:pPr>
              <w:spacing w:line="260" w:lineRule="exact"/>
              <w:jc w:val="center"/>
              <w:rPr>
                <w:rFonts w:eastAsiaTheme="minorEastAsia"/>
                <w:sz w:val="18"/>
                <w:szCs w:val="18"/>
                <w:lang w:val="zh-TW"/>
              </w:rPr>
            </w:pPr>
            <w:r>
              <w:rPr>
                <w:sz w:val="18"/>
                <w:szCs w:val="18"/>
              </w:rPr>
              <w:t>205</w:t>
            </w:r>
          </w:p>
        </w:tc>
        <w:tc>
          <w:tcPr>
            <w:tcW w:w="749" w:type="pct"/>
            <w:vAlign w:val="center"/>
          </w:tcPr>
          <w:p w14:paraId="52D387BA">
            <w:pPr>
              <w:spacing w:line="260" w:lineRule="exact"/>
              <w:jc w:val="center"/>
              <w:rPr>
                <w:rFonts w:eastAsiaTheme="minorEastAsia"/>
                <w:sz w:val="18"/>
                <w:szCs w:val="18"/>
                <w:lang w:val="zh-TW"/>
              </w:rPr>
            </w:pPr>
            <w:r>
              <w:rPr>
                <w:sz w:val="18"/>
                <w:szCs w:val="18"/>
              </w:rPr>
              <w:t>35</w:t>
            </w:r>
          </w:p>
        </w:tc>
        <w:tc>
          <w:tcPr>
            <w:tcW w:w="811" w:type="pct"/>
            <w:vAlign w:val="center"/>
          </w:tcPr>
          <w:p w14:paraId="4BB0083C">
            <w:pPr>
              <w:spacing w:line="260" w:lineRule="exact"/>
              <w:jc w:val="center"/>
              <w:rPr>
                <w:rFonts w:eastAsia="PMingLiU"/>
                <w:sz w:val="18"/>
                <w:szCs w:val="18"/>
                <w:lang w:val="zh-TW" w:eastAsia="zh-TW"/>
              </w:rPr>
            </w:pPr>
            <w:r>
              <w:rPr>
                <w:rFonts w:hint="eastAsia" w:eastAsiaTheme="minorEastAsia"/>
                <w:sz w:val="18"/>
                <w:szCs w:val="18"/>
                <w:lang w:val="zh-TW"/>
              </w:rPr>
              <w:t>1</w:t>
            </w:r>
            <w:r>
              <w:rPr>
                <w:rFonts w:eastAsia="PMingLiU"/>
                <w:sz w:val="18"/>
                <w:szCs w:val="18"/>
                <w:lang w:val="zh-TW" w:eastAsia="zh-TW"/>
              </w:rPr>
              <w:t>040</w:t>
            </w:r>
          </w:p>
        </w:tc>
        <w:tc>
          <w:tcPr>
            <w:tcW w:w="486" w:type="pct"/>
            <w:vMerge w:val="continue"/>
            <w:tcBorders>
              <w:right w:val="single" w:color="000000" w:sz="6" w:space="0"/>
            </w:tcBorders>
            <w:vAlign w:val="center"/>
          </w:tcPr>
          <w:p w14:paraId="0487455F">
            <w:pPr>
              <w:jc w:val="center"/>
              <w:rPr>
                <w:rFonts w:eastAsiaTheme="minorEastAsia"/>
                <w:sz w:val="18"/>
                <w:szCs w:val="18"/>
                <w:lang w:val="zh-TW"/>
              </w:rPr>
            </w:pPr>
          </w:p>
        </w:tc>
      </w:tr>
    </w:tbl>
    <w:p w14:paraId="14A8BCC8">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液压</w:t>
      </w:r>
    </w:p>
    <w:p w14:paraId="68C7CF83">
      <w:pPr>
        <w:pStyle w:val="76"/>
        <w:numPr>
          <w:ilvl w:val="2"/>
          <w:numId w:val="17"/>
        </w:numPr>
        <w:tabs>
          <w:tab w:val="left" w:pos="57"/>
          <w:tab w:val="clear" w:pos="0"/>
        </w:tabs>
        <w:spacing w:before="156" w:after="156"/>
        <w:rPr>
          <w:rFonts w:ascii="Times New Roman" w:eastAsia="宋体"/>
        </w:rPr>
      </w:pPr>
      <w:r>
        <w:rPr>
          <w:rFonts w:ascii="Times New Roman" w:eastAsia="宋体"/>
        </w:rPr>
        <w:t>钢管应</w:t>
      </w:r>
      <w:r>
        <w:rPr>
          <w:rFonts w:hint="eastAsia" w:ascii="Times New Roman" w:eastAsia="宋体"/>
          <w:lang w:val="en-US" w:eastAsia="zh-CN"/>
        </w:rPr>
        <w:t>进行液压试验。</w:t>
      </w:r>
      <w:r>
        <w:rPr>
          <w:rFonts w:ascii="Times New Roman" w:eastAsia="宋体"/>
        </w:rPr>
        <w:t>液压试验压力按式（</w:t>
      </w:r>
      <w:r>
        <w:rPr>
          <w:rFonts w:hint="eastAsia" w:ascii="Times New Roman" w:eastAsia="宋体"/>
          <w:lang w:val="en-US" w:eastAsia="zh-CN"/>
        </w:rPr>
        <w:t>1</w:t>
      </w:r>
      <w:r>
        <w:rPr>
          <w:rFonts w:ascii="Times New Roman" w:eastAsia="宋体"/>
        </w:rPr>
        <w:t>）计算</w:t>
      </w:r>
      <w:r>
        <w:rPr>
          <w:rFonts w:hint="eastAsia" w:ascii="Times New Roman" w:eastAsia="宋体"/>
          <w:lang w:val="en-US" w:eastAsia="zh-CN"/>
        </w:rPr>
        <w:t>，最大试验压力为50MPa。在试验压力下，稳压时间应不少于10s，钢管应不出现渗漏现象</w:t>
      </w:r>
      <w:r>
        <w:rPr>
          <w:rFonts w:ascii="Times New Roman" w:eastAsia="宋体"/>
        </w:rPr>
        <w:t>。</w:t>
      </w:r>
    </w:p>
    <w:p w14:paraId="71E38F93">
      <w:pPr>
        <w:pStyle w:val="163"/>
        <w:shd w:val="clear" w:color="auto" w:fill="auto"/>
        <w:tabs>
          <w:tab w:val="left" w:pos="2606"/>
          <w:tab w:val="left" w:leader="dot" w:pos="4661"/>
        </w:tabs>
        <w:spacing w:after="0" w:line="240" w:lineRule="auto"/>
        <w:jc w:val="right"/>
        <w:rPr>
          <w:rFonts w:ascii="Times New Roman" w:hAnsi="Times New Roman" w:eastAsia="宋体"/>
          <w:i/>
          <w:color w:val="000000"/>
          <w:spacing w:val="0"/>
          <w:sz w:val="28"/>
          <w:szCs w:val="28"/>
          <w:lang w:bidi="zh-TW"/>
        </w:rPr>
      </w:pPr>
      <m:oMath>
        <m:r>
          <m:rPr/>
          <w:rPr>
            <w:rFonts w:ascii="Cambria Math" w:hAnsi="Cambria Math" w:eastAsia="宋体"/>
            <w:color w:val="000000"/>
            <w:spacing w:val="0"/>
            <w:sz w:val="28"/>
            <w:szCs w:val="28"/>
            <w:lang w:bidi="zh-TW"/>
          </w:rPr>
          <m:t>P=</m:t>
        </m:r>
        <m:f>
          <m:fPr>
            <m:ctrlPr>
              <w:rPr>
                <w:rFonts w:ascii="Cambria Math" w:hAnsi="Cambria Math" w:eastAsia="宋体"/>
                <w:i/>
                <w:color w:val="000000"/>
                <w:spacing w:val="0"/>
                <w:sz w:val="28"/>
                <w:szCs w:val="28"/>
                <w:lang w:bidi="zh-TW"/>
              </w:rPr>
            </m:ctrlPr>
          </m:fPr>
          <m:num>
            <m:r>
              <m:rPr/>
              <w:rPr>
                <w:rFonts w:ascii="Cambria Math" w:hAnsi="Cambria Math" w:eastAsia="宋体"/>
                <w:color w:val="000000"/>
                <w:spacing w:val="0"/>
                <w:sz w:val="28"/>
                <w:szCs w:val="28"/>
                <w:lang w:bidi="zh-TW"/>
              </w:rPr>
              <m:t>2SR</m:t>
            </m:r>
            <m:ctrlPr>
              <w:rPr>
                <w:rFonts w:ascii="Cambria Math" w:hAnsi="Cambria Math" w:eastAsia="宋体"/>
                <w:i/>
                <w:color w:val="000000"/>
                <w:spacing w:val="0"/>
                <w:sz w:val="28"/>
                <w:szCs w:val="28"/>
                <w:lang w:bidi="zh-TW"/>
              </w:rPr>
            </m:ctrlPr>
          </m:num>
          <m:den>
            <m:r>
              <m:rPr/>
              <w:rPr>
                <w:rFonts w:ascii="Cambria Math" w:hAnsi="Cambria Math" w:eastAsia="宋体"/>
                <w:color w:val="000000"/>
                <w:spacing w:val="0"/>
                <w:sz w:val="28"/>
                <w:szCs w:val="28"/>
                <w:lang w:bidi="zh-TW"/>
              </w:rPr>
              <m:t>D</m:t>
            </m:r>
            <m:ctrlPr>
              <w:rPr>
                <w:rFonts w:ascii="Cambria Math" w:hAnsi="Cambria Math" w:eastAsia="宋体"/>
                <w:i/>
                <w:color w:val="000000"/>
                <w:spacing w:val="0"/>
                <w:sz w:val="28"/>
                <w:szCs w:val="28"/>
                <w:lang w:bidi="zh-TW"/>
              </w:rPr>
            </m:ctrlPr>
          </m:den>
        </m:f>
      </m:oMath>
      <w:r>
        <w:rPr>
          <w:rFonts w:ascii="Times New Roman" w:hAnsi="Times New Roman" w:eastAsia="宋体"/>
          <w:iCs/>
          <w:color w:val="000000"/>
          <w:spacing w:val="0"/>
          <w:sz w:val="21"/>
          <w:szCs w:val="21"/>
          <w:lang w:bidi="zh-TW"/>
        </w:rPr>
        <w:t xml:space="preserve">                                     （</w:t>
      </w:r>
      <w:r>
        <w:rPr>
          <w:rFonts w:hint="eastAsia" w:ascii="Times New Roman" w:hAnsi="Times New Roman" w:eastAsia="宋体"/>
          <w:iCs/>
          <w:color w:val="000000"/>
          <w:spacing w:val="0"/>
          <w:sz w:val="21"/>
          <w:szCs w:val="21"/>
          <w:lang w:val="en-US" w:eastAsia="zh-CN" w:bidi="zh-TW"/>
        </w:rPr>
        <w:t>1</w:t>
      </w:r>
      <w:r>
        <w:rPr>
          <w:rFonts w:ascii="Times New Roman" w:hAnsi="Times New Roman" w:eastAsia="宋体"/>
          <w:iCs/>
          <w:color w:val="000000"/>
          <w:spacing w:val="0"/>
          <w:sz w:val="21"/>
          <w:szCs w:val="21"/>
          <w:lang w:bidi="zh-TW"/>
        </w:rPr>
        <w:t>）</w:t>
      </w:r>
    </w:p>
    <w:p w14:paraId="7C0F3526">
      <w:pPr>
        <w:spacing w:line="360" w:lineRule="exact"/>
        <w:ind w:firstLine="420" w:firstLineChars="200"/>
      </w:pPr>
      <w:r>
        <w:t>式中：</w:t>
      </w:r>
    </w:p>
    <w:p w14:paraId="652C8EEB">
      <w:pPr>
        <w:spacing w:line="360" w:lineRule="exact"/>
        <w:ind w:firstLine="420" w:firstLineChars="200"/>
        <w:rPr>
          <w:rFonts w:eastAsiaTheme="minorEastAsia"/>
        </w:rPr>
      </w:pPr>
      <w:r>
        <w:rPr>
          <w:rFonts w:eastAsiaTheme="minorEastAsia"/>
          <w:i/>
        </w:rPr>
        <w:t>p</w:t>
      </w:r>
      <w:r>
        <w:rPr>
          <w:rFonts w:eastAsiaTheme="minorEastAsia"/>
        </w:rPr>
        <w:t xml:space="preserve"> ——试验压力，单位为兆帕（MPa）；</w:t>
      </w:r>
    </w:p>
    <w:p w14:paraId="339DCB3C">
      <w:pPr>
        <w:spacing w:line="360" w:lineRule="exact"/>
        <w:ind w:firstLine="420" w:firstLineChars="200"/>
        <w:rPr>
          <w:rFonts w:eastAsiaTheme="minorEastAsia"/>
        </w:rPr>
      </w:pPr>
      <w:r>
        <w:rPr>
          <w:rFonts w:eastAsiaTheme="minorEastAsia"/>
          <w:i/>
        </w:rPr>
        <w:t>S</w:t>
      </w:r>
      <w:r>
        <w:rPr>
          <w:rFonts w:eastAsiaTheme="minorEastAsia"/>
        </w:rPr>
        <w:t xml:space="preserve"> ——钢管的</w:t>
      </w:r>
      <w:r>
        <w:rPr>
          <w:rFonts w:hint="eastAsia" w:eastAsiaTheme="minorEastAsia"/>
          <w:lang w:val="en-US" w:eastAsia="zh-CN"/>
        </w:rPr>
        <w:t>公称</w:t>
      </w:r>
      <w:r>
        <w:rPr>
          <w:rFonts w:eastAsiaTheme="minorEastAsia"/>
        </w:rPr>
        <w:t>壁厚，单位为毫米（mm）；</w:t>
      </w:r>
    </w:p>
    <w:p w14:paraId="406B1B44">
      <w:pPr>
        <w:spacing w:line="360" w:lineRule="exact"/>
        <w:ind w:firstLine="420" w:firstLineChars="200"/>
        <w:rPr>
          <w:rFonts w:eastAsiaTheme="minorEastAsia"/>
        </w:rPr>
      </w:pPr>
      <w:r>
        <w:rPr>
          <w:rFonts w:eastAsiaTheme="minorEastAsia"/>
          <w:i/>
        </w:rPr>
        <w:t>R</w:t>
      </w:r>
      <w:r>
        <w:rPr>
          <w:rFonts w:eastAsiaTheme="minorEastAsia"/>
        </w:rPr>
        <w:t xml:space="preserve"> ——允许应力，按表</w:t>
      </w:r>
      <w:r>
        <w:rPr>
          <w:rFonts w:hint="eastAsia" w:eastAsiaTheme="minorEastAsia"/>
          <w:lang w:val="en-US" w:eastAsia="zh-CN"/>
        </w:rPr>
        <w:t>3</w:t>
      </w:r>
      <w:r>
        <w:rPr>
          <w:rFonts w:eastAsiaTheme="minorEastAsia"/>
        </w:rPr>
        <w:t>中规定塑性延伸强度最小值的70%，单位为兆帕（MPa）；</w:t>
      </w:r>
    </w:p>
    <w:p w14:paraId="41FADBBD">
      <w:pPr>
        <w:spacing w:line="360" w:lineRule="exact"/>
        <w:ind w:firstLine="420" w:firstLineChars="200"/>
        <w:rPr>
          <w:rFonts w:eastAsiaTheme="minorEastAsia"/>
        </w:rPr>
      </w:pPr>
      <w:r>
        <w:rPr>
          <w:rFonts w:eastAsiaTheme="minorEastAsia"/>
          <w:i/>
        </w:rPr>
        <w:t>D</w:t>
      </w:r>
      <w:r>
        <w:rPr>
          <w:rFonts w:eastAsiaTheme="minorEastAsia"/>
        </w:rPr>
        <w:t xml:space="preserve"> ——钢管的公称外径，单位为毫米（mm）。</w:t>
      </w:r>
    </w:p>
    <w:p w14:paraId="092DFFC2">
      <w:pPr>
        <w:pStyle w:val="76"/>
        <w:numPr>
          <w:ilvl w:val="2"/>
          <w:numId w:val="17"/>
        </w:numPr>
        <w:tabs>
          <w:tab w:val="left" w:pos="57"/>
          <w:tab w:val="clear" w:pos="0"/>
        </w:tabs>
        <w:spacing w:before="156" w:after="156"/>
        <w:rPr>
          <w:rFonts w:ascii="Times New Roman" w:hAnsi="Times New Roman" w:eastAsia="宋体" w:cs="Times New Roman"/>
        </w:rPr>
      </w:pPr>
      <w:r>
        <w:rPr>
          <w:rFonts w:hint="eastAsia" w:ascii="Times New Roman" w:hAnsi="Times New Roman" w:eastAsia="宋体" w:cs="Times New Roman"/>
          <w:lang w:val="en-US" w:eastAsia="zh-CN"/>
        </w:rPr>
        <w:t>根据需方要求，经供需双方协商，并在合同中注明，可采用其他试验压力进行液压试验。</w:t>
      </w:r>
    </w:p>
    <w:p w14:paraId="734BEA8D">
      <w:pPr>
        <w:pStyle w:val="76"/>
        <w:numPr>
          <w:ilvl w:val="2"/>
          <w:numId w:val="17"/>
        </w:numPr>
        <w:tabs>
          <w:tab w:val="left" w:pos="57"/>
          <w:tab w:val="clear" w:pos="0"/>
        </w:tabs>
        <w:spacing w:before="156" w:after="156"/>
        <w:rPr>
          <w:rFonts w:ascii="Times New Roman"/>
        </w:rPr>
      </w:pPr>
      <w:r>
        <w:rPr>
          <w:rFonts w:hint="eastAsia" w:ascii="Times New Roman" w:eastAsia="宋体"/>
          <w:lang w:val="en-US" w:eastAsia="zh-CN"/>
        </w:rPr>
        <w:t>供方可用超声检测或涡流检测代替液压试验</w:t>
      </w:r>
      <w:r>
        <w:rPr>
          <w:rFonts w:ascii="Times New Roman" w:eastAsia="宋体"/>
        </w:rPr>
        <w:t>。</w:t>
      </w:r>
      <w:r>
        <w:rPr>
          <w:rFonts w:hint="eastAsia" w:ascii="Times New Roman" w:eastAsia="宋体"/>
          <w:lang w:val="en-US" w:eastAsia="zh-CN"/>
        </w:rPr>
        <w:t>用超声检测时，对比样管人工缺陷应符合GB/T 5777中验收等级U3的规定；用涡流检测时，对比样管人工缺陷应符合GB/T 7753中验收等级E4H或E4的规定。</w:t>
      </w:r>
    </w:p>
    <w:p w14:paraId="1BA7AAF2">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工艺性能</w:t>
      </w:r>
    </w:p>
    <w:p w14:paraId="55D3D024">
      <w:pPr>
        <w:pStyle w:val="31"/>
        <w:widowControl/>
        <w:numPr>
          <w:ilvl w:val="2"/>
          <w:numId w:val="17"/>
        </w:numPr>
        <w:spacing w:before="156" w:beforeLines="50" w:after="156" w:afterLines="50"/>
        <w:jc w:val="left"/>
        <w:outlineLvl w:val="2"/>
        <w:rPr>
          <w:rFonts w:eastAsia="黑体"/>
          <w:kern w:val="0"/>
          <w:sz w:val="21"/>
          <w:szCs w:val="21"/>
        </w:rPr>
      </w:pPr>
      <w:r>
        <w:rPr>
          <w:rFonts w:eastAsia="黑体"/>
          <w:kern w:val="0"/>
          <w:sz w:val="21"/>
          <w:szCs w:val="21"/>
        </w:rPr>
        <w:t>压扁试验</w:t>
      </w:r>
    </w:p>
    <w:p w14:paraId="17B63527">
      <w:pPr>
        <w:pStyle w:val="76"/>
        <w:numPr>
          <w:ilvl w:val="3"/>
          <w:numId w:val="17"/>
        </w:numPr>
        <w:tabs>
          <w:tab w:val="left" w:pos="57"/>
          <w:tab w:val="clear" w:pos="0"/>
        </w:tabs>
        <w:spacing w:before="156" w:after="156"/>
        <w:ind w:left="0" w:leftChars="0" w:firstLine="0" w:firstLineChars="0"/>
      </w:pPr>
      <w:r>
        <w:rPr>
          <w:rFonts w:hint="default" w:ascii="Times New Roman" w:hAnsi="Times New Roman" w:eastAsia="宋体" w:cs="Times New Roman"/>
          <w:lang w:val="en-US" w:eastAsia="zh-CN"/>
        </w:rPr>
        <w:t>根据需方要求，经供需双方协商，钢管可进行压扁试验。试验时，将试样压至两平板间距离为</w:t>
      </w:r>
      <w:r>
        <w:rPr>
          <w:rFonts w:hint="default" w:ascii="Times New Roman" w:hAnsi="Times New Roman" w:eastAsia="宋体" w:cs="Times New Roman"/>
          <w:i/>
          <w:iCs/>
          <w:lang w:val="en-US" w:eastAsia="zh-CN"/>
        </w:rPr>
        <w:t>H</w:t>
      </w:r>
      <w:r>
        <w:rPr>
          <w:rFonts w:hint="default" w:ascii="Times New Roman" w:hAnsi="Times New Roman" w:eastAsia="宋体" w:cs="Times New Roman"/>
          <w:lang w:val="en-US" w:eastAsia="zh-CN"/>
        </w:rPr>
        <w:t>，试样不应出现裂缝或裂口。</w:t>
      </w:r>
      <w:r>
        <w:rPr>
          <w:rFonts w:hint="default" w:ascii="Times New Roman" w:hAnsi="Times New Roman" w:eastAsia="宋体" w:cs="Times New Roman"/>
          <w:i/>
          <w:iCs/>
          <w:lang w:val="en-US" w:eastAsia="zh-CN"/>
        </w:rPr>
        <w:t>H</w:t>
      </w:r>
      <w:r>
        <w:rPr>
          <w:rFonts w:hint="default" w:ascii="Times New Roman" w:hAnsi="Times New Roman" w:eastAsia="宋体" w:cs="Times New Roman"/>
          <w:lang w:val="en-US" w:eastAsia="zh-CN"/>
        </w:rPr>
        <w:t>按式（</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）计算：</w:t>
      </w:r>
    </w:p>
    <w:p w14:paraId="347BB9D4">
      <w:pPr>
        <w:spacing w:line="360" w:lineRule="exact"/>
        <w:ind w:firstLine="420" w:firstLineChars="200"/>
      </w:pPr>
    </w:p>
    <w:p w14:paraId="5781425E">
      <w:pPr>
        <w:pStyle w:val="163"/>
        <w:shd w:val="clear" w:color="auto" w:fill="auto"/>
        <w:tabs>
          <w:tab w:val="left" w:pos="2606"/>
          <w:tab w:val="left" w:leader="dot" w:pos="4661"/>
        </w:tabs>
        <w:spacing w:after="0" w:line="240" w:lineRule="auto"/>
        <w:jc w:val="right"/>
        <w:rPr>
          <w:rFonts w:ascii="Times New Roman" w:hAnsi="Times New Roman" w:eastAsiaTheme="minorEastAsia"/>
          <w:sz w:val="21"/>
          <w:szCs w:val="21"/>
        </w:rPr>
      </w:pPr>
      <m:oMath>
        <m:r>
          <m:rPr/>
          <w:rPr>
            <w:rFonts w:ascii="Cambria Math" w:hAnsi="Cambria Math" w:eastAsia="宋体"/>
            <w:color w:val="000000"/>
            <w:spacing w:val="0"/>
            <w:sz w:val="28"/>
            <w:szCs w:val="28"/>
            <w:lang w:bidi="zh-TW"/>
          </w:rPr>
          <m:t>H</m:t>
        </m:r>
        <m:r>
          <m:rPr>
            <m:sty m:val="p"/>
          </m:rPr>
          <w:rPr>
            <w:rFonts w:ascii="Cambria Math" w:hAnsi="Cambria Math" w:eastAsia="宋体"/>
            <w:color w:val="000000"/>
            <w:spacing w:val="0"/>
            <w:sz w:val="28"/>
            <w:szCs w:val="28"/>
            <w:lang w:bidi="zh-TW"/>
          </w:rPr>
          <m:t>=</m:t>
        </m:r>
        <m:f>
          <m:fPr>
            <m:ctrlPr>
              <w:rPr>
                <w:rFonts w:ascii="Cambria Math" w:hAnsi="Cambria Math"/>
                <w:i/>
                <w:color w:val="000000"/>
                <w:spacing w:val="0"/>
                <w:sz w:val="28"/>
                <w:szCs w:val="28"/>
                <w:lang w:bidi="zh-TW"/>
              </w:rPr>
            </m:ctrlPr>
          </m:fPr>
          <m:num>
            <m:r>
              <m:rPr/>
              <w:rPr>
                <w:rFonts w:ascii="Cambria Math" w:hAnsi="Cambria Math" w:eastAsia="宋体"/>
                <w:color w:val="000000"/>
                <w:spacing w:val="0"/>
                <w:sz w:val="28"/>
                <w:szCs w:val="28"/>
                <w:lang w:bidi="zh-TW"/>
              </w:rPr>
              <m:t>(1+a）S</m:t>
            </m:r>
            <m:ctrlPr>
              <w:rPr>
                <w:rFonts w:ascii="Cambria Math" w:hAnsi="Cambria Math"/>
                <w:i/>
                <w:color w:val="000000"/>
                <w:spacing w:val="0"/>
                <w:sz w:val="28"/>
                <w:szCs w:val="28"/>
                <w:lang w:bidi="zh-TW"/>
              </w:rPr>
            </m:ctrlPr>
          </m:num>
          <m:den>
            <m:r>
              <m:rPr/>
              <w:rPr>
                <w:rFonts w:ascii="Cambria Math" w:hAnsi="Cambria Math" w:eastAsia="宋体"/>
                <w:color w:val="000000"/>
                <w:spacing w:val="0"/>
                <w:sz w:val="28"/>
                <w:szCs w:val="28"/>
                <w:lang w:bidi="zh-TW"/>
              </w:rPr>
              <m:t>a+S/D</m:t>
            </m:r>
            <m:ctrlPr>
              <w:rPr>
                <w:rFonts w:ascii="Cambria Math" w:hAnsi="Cambria Math"/>
                <w:i/>
                <w:color w:val="000000"/>
                <w:spacing w:val="0"/>
                <w:sz w:val="28"/>
                <w:szCs w:val="28"/>
                <w:lang w:bidi="zh-TW"/>
              </w:rPr>
            </m:ctrlPr>
          </m:den>
        </m:f>
      </m:oMath>
      <w:r>
        <w:rPr>
          <w:rFonts w:ascii="Times New Roman" w:hAnsi="Times New Roman" w:eastAsia="宋体"/>
          <w:color w:val="000000"/>
          <w:spacing w:val="0"/>
          <w:sz w:val="21"/>
          <w:szCs w:val="21"/>
          <w:lang w:bidi="zh-TW"/>
        </w:rPr>
        <w:t xml:space="preserve">                                 （</w:t>
      </w:r>
      <w:r>
        <w:rPr>
          <w:rFonts w:hint="eastAsia" w:ascii="Times New Roman" w:hAnsi="Times New Roman" w:eastAsia="宋体"/>
          <w:color w:val="000000"/>
          <w:spacing w:val="0"/>
          <w:sz w:val="21"/>
          <w:szCs w:val="21"/>
          <w:lang w:val="en-US" w:eastAsia="zh-CN" w:bidi="zh-TW"/>
        </w:rPr>
        <w:t>2</w:t>
      </w:r>
      <w:r>
        <w:rPr>
          <w:rFonts w:ascii="Times New Roman" w:hAnsi="Times New Roman" w:eastAsia="宋体"/>
          <w:color w:val="000000"/>
          <w:spacing w:val="0"/>
          <w:sz w:val="21"/>
          <w:szCs w:val="21"/>
          <w:lang w:bidi="zh-TW"/>
        </w:rPr>
        <w:t>）</w:t>
      </w:r>
    </w:p>
    <w:p w14:paraId="470F2DC4">
      <w:pPr>
        <w:spacing w:line="360" w:lineRule="exact"/>
        <w:ind w:firstLine="420" w:firstLineChars="200"/>
      </w:pPr>
      <w:r>
        <w:t>式中：</w:t>
      </w:r>
    </w:p>
    <w:p w14:paraId="1DEDCFF7">
      <w:pPr>
        <w:spacing w:line="360" w:lineRule="exact"/>
        <w:ind w:firstLine="420" w:firstLineChars="200"/>
      </w:pPr>
      <w:r>
        <w:rPr>
          <w:i/>
        </w:rPr>
        <w:t>H</w:t>
      </w:r>
      <w:r>
        <w:t xml:space="preserve"> ——两平板间的距离，单位为毫米（mm）；</w:t>
      </w:r>
    </w:p>
    <w:p w14:paraId="5FA8AE2D">
      <w:pPr>
        <w:spacing w:line="360" w:lineRule="exact"/>
        <w:ind w:firstLine="420" w:firstLineChars="200"/>
      </w:pPr>
      <w:r>
        <w:rPr>
          <w:i/>
        </w:rPr>
        <w:t>a</w:t>
      </w:r>
      <w:r>
        <w:t xml:space="preserve"> ——单位长度变形系数，取0.13；</w:t>
      </w:r>
    </w:p>
    <w:p w14:paraId="6093CC83">
      <w:pPr>
        <w:spacing w:line="360" w:lineRule="exact"/>
        <w:ind w:firstLine="420" w:firstLineChars="200"/>
      </w:pPr>
      <w:r>
        <w:rPr>
          <w:i/>
        </w:rPr>
        <w:t>S</w:t>
      </w:r>
      <w:r>
        <w:t xml:space="preserve"> ——钢管的公称壁厚，单位为毫米（mm）；</w:t>
      </w:r>
    </w:p>
    <w:p w14:paraId="2F4C2ACC">
      <w:pPr>
        <w:spacing w:line="360" w:lineRule="exact"/>
        <w:ind w:firstLine="420" w:firstLineChars="200"/>
      </w:pPr>
      <w:r>
        <w:rPr>
          <w:i/>
        </w:rPr>
        <w:t>D</w:t>
      </w:r>
      <w:r>
        <w:t xml:space="preserve"> ——钢管的公称外径，单位为毫米（mm）。</w:t>
      </w:r>
    </w:p>
    <w:p w14:paraId="47F045E8">
      <w:pPr>
        <w:pStyle w:val="76"/>
        <w:numPr>
          <w:ilvl w:val="3"/>
          <w:numId w:val="17"/>
        </w:numPr>
        <w:tabs>
          <w:tab w:val="left" w:pos="57"/>
          <w:tab w:val="clear" w:pos="0"/>
        </w:tabs>
        <w:spacing w:before="156" w:after="156"/>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下述情况不应作为压扁试验合格与否的判定依据：</w:t>
      </w:r>
    </w:p>
    <w:p w14:paraId="7B7E678D">
      <w:pPr>
        <w:pStyle w:val="24"/>
        <w:numPr>
          <w:ilvl w:val="0"/>
          <w:numId w:val="20"/>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试样表面缺陷引起的裂缝或裂口；</w:t>
      </w:r>
    </w:p>
    <w:p w14:paraId="4A077510">
      <w:pPr>
        <w:pStyle w:val="24"/>
        <w:numPr>
          <w:ilvl w:val="0"/>
          <w:numId w:val="20"/>
        </w:num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当</w:t>
      </w:r>
      <w:r>
        <w:rPr>
          <w:rFonts w:hint="eastAsia" w:ascii="Times New Roman" w:hAnsi="Times New Roman" w:eastAsia="宋体" w:cs="Times New Roman"/>
          <w:i/>
          <w:iCs/>
          <w:lang w:val="en-US" w:eastAsia="zh-CN"/>
        </w:rPr>
        <w:t>S / D</w:t>
      </w:r>
      <w:r>
        <w:rPr>
          <w:rFonts w:hint="eastAsia" w:ascii="Times New Roman" w:hAnsi="Times New Roman" w:eastAsia="宋体" w:cs="Times New Roman"/>
          <w:lang w:val="en-US" w:eastAsia="zh-CN"/>
        </w:rPr>
        <w:t>＞0.1时，试样6点钟（底部）和12点钟（顶部）位置处内表面的裂缝或裂口。</w:t>
      </w:r>
    </w:p>
    <w:p w14:paraId="4C865304">
      <w:pPr>
        <w:pStyle w:val="76"/>
        <w:numPr>
          <w:ilvl w:val="2"/>
          <w:numId w:val="17"/>
        </w:numPr>
        <w:tabs>
          <w:tab w:val="left" w:pos="57"/>
        </w:tabs>
        <w:spacing w:before="156" w:after="156"/>
        <w:rPr>
          <w:rFonts w:ascii="Times New Roman"/>
          <w:lang w:val="zh-TW" w:eastAsia="zh-TW"/>
        </w:rPr>
      </w:pPr>
      <w:r>
        <w:rPr>
          <w:rFonts w:ascii="Times New Roman"/>
          <w:lang w:val="zh-TW" w:eastAsia="zh-TW"/>
        </w:rPr>
        <w:t>扩口</w:t>
      </w:r>
    </w:p>
    <w:p w14:paraId="79019FE6">
      <w:pPr>
        <w:spacing w:line="360" w:lineRule="exact"/>
        <w:ind w:firstLine="420" w:firstLineChars="200"/>
        <w:rPr>
          <w:rFonts w:eastAsia="黑体"/>
          <w:kern w:val="0"/>
          <w:szCs w:val="21"/>
        </w:rPr>
      </w:pPr>
      <w:r>
        <w:rPr>
          <w:rFonts w:hint="eastAsia"/>
          <w:lang w:val="en-US" w:eastAsia="zh-CN"/>
        </w:rPr>
        <w:t>根据需方需要，经供需双方协商，钢管可进行扩口试验。</w:t>
      </w:r>
      <w:r>
        <w:t>扩口试验的顶芯锥度为60°</w:t>
      </w:r>
      <w:r>
        <w:rPr>
          <w:rFonts w:hint="eastAsia"/>
          <w:lang w:eastAsia="zh-CN"/>
        </w:rPr>
        <w:t>，</w:t>
      </w:r>
      <w:r>
        <w:t>扩口后外径的扩口率应不小于18%，扩口后试样不应岀现裂缝或裂口。</w:t>
      </w:r>
    </w:p>
    <w:p w14:paraId="615D569A">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气密性</w:t>
      </w:r>
    </w:p>
    <w:p w14:paraId="0B36195B">
      <w:pPr>
        <w:spacing w:line="360" w:lineRule="exact"/>
        <w:ind w:firstLine="420" w:firstLineChars="200"/>
      </w:pPr>
      <w:r>
        <w:t>根据需方要求，经供需双方协商，并在合同中注明，钢管可进行气密性试验，气密性试验推荐压力值为0.1MPa～1.0MPa。</w:t>
      </w:r>
    </w:p>
    <w:p w14:paraId="2763BA2B">
      <w:pPr>
        <w:pStyle w:val="31"/>
        <w:widowControl/>
        <w:numPr>
          <w:ilvl w:val="1"/>
          <w:numId w:val="17"/>
        </w:numPr>
        <w:spacing w:before="156" w:beforeLines="50" w:after="156" w:afterLines="50"/>
        <w:jc w:val="left"/>
        <w:outlineLvl w:val="2"/>
        <w:rPr>
          <w:rFonts w:eastAsia="黑体"/>
          <w:kern w:val="0"/>
          <w:sz w:val="21"/>
          <w:szCs w:val="21"/>
        </w:rPr>
      </w:pPr>
      <w:r>
        <w:rPr>
          <w:rFonts w:hint="eastAsia" w:eastAsia="黑体"/>
          <w:kern w:val="0"/>
          <w:sz w:val="21"/>
          <w:szCs w:val="21"/>
          <w:lang w:val="en-US" w:eastAsia="zh-CN"/>
        </w:rPr>
        <w:t>晶间腐蚀</w:t>
      </w:r>
    </w:p>
    <w:p w14:paraId="6ABC10C0">
      <w:pPr>
        <w:spacing w:line="360" w:lineRule="exact"/>
        <w:ind w:firstLine="420" w:firstLineChars="200"/>
        <w:rPr>
          <w:rFonts w:hint="default" w:ascii="Times New Roman" w:hAnsi="Times New Roman" w:eastAsia="宋体" w:cs="Times New Roman"/>
          <w:lang w:val="en-US"/>
        </w:rPr>
      </w:pPr>
      <w:r>
        <w:rPr>
          <w:rFonts w:hint="eastAsia" w:ascii="Times New Roman" w:hAnsi="Times New Roman" w:eastAsia="宋体" w:cs="Times New Roman"/>
          <w:lang w:val="en-US" w:eastAsia="zh-CN"/>
        </w:rPr>
        <w:t>钢管应进行晶间腐蚀试验。晶间腐蚀试验方法应符合GB/T 4334-2020中方法E的规定，试验后试样不应出现腐蚀倾向。经供需双方协商，并在合同中注明，可采用其他晶间腐蚀试验方法。</w:t>
      </w:r>
    </w:p>
    <w:p w14:paraId="2E1DDC81">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低倍组织</w:t>
      </w:r>
    </w:p>
    <w:p w14:paraId="019118FE">
      <w:pPr>
        <w:pStyle w:val="76"/>
        <w:numPr>
          <w:ilvl w:val="2"/>
          <w:numId w:val="17"/>
        </w:numPr>
        <w:tabs>
          <w:tab w:val="left" w:pos="57"/>
          <w:tab w:val="clear" w:pos="0"/>
        </w:tabs>
        <w:spacing w:before="156" w:after="156"/>
        <w:rPr>
          <w:rFonts w:ascii="Times New Roman" w:eastAsia="宋体"/>
        </w:rPr>
      </w:pPr>
      <w:r>
        <w:rPr>
          <w:rFonts w:ascii="Times New Roman" w:eastAsia="宋体"/>
        </w:rPr>
        <w:t>管坯（棒材）的横截面按GB/T 226进行酸浸检验，按GB/T 1979进行评级，低倍试片上不允许有目视可见的缩孔、气泡、裂纹、翻皮、夹杂、夹渣、白点、分层等，一般疏松、中心疏松、偏析应符合表4的规定。</w:t>
      </w:r>
    </w:p>
    <w:p w14:paraId="2349ACF2">
      <w:pPr>
        <w:pStyle w:val="76"/>
        <w:numPr>
          <w:ilvl w:val="2"/>
          <w:numId w:val="17"/>
        </w:numPr>
        <w:tabs>
          <w:tab w:val="left" w:pos="57"/>
          <w:tab w:val="clear" w:pos="0"/>
        </w:tabs>
        <w:spacing w:before="156" w:after="156"/>
        <w:rPr>
          <w:rFonts w:ascii="Times New Roman" w:eastAsia="宋体"/>
        </w:rPr>
      </w:pPr>
      <w:r>
        <w:rPr>
          <w:rFonts w:ascii="Times New Roman" w:eastAsia="宋体"/>
        </w:rPr>
        <w:t>经供需双方协商，并在合同中注明，允许按照GB/T 4162的规定采用超声波探伤法或其它无损探伤法代替低倍检验。</w:t>
      </w:r>
    </w:p>
    <w:p w14:paraId="18E03C06">
      <w:pPr>
        <w:pStyle w:val="116"/>
        <w:spacing w:before="156" w:after="156"/>
        <w:rPr>
          <w:rFonts w:ascii="Times New Roman"/>
          <w:kern w:val="2"/>
          <w:szCs w:val="21"/>
        </w:rPr>
      </w:pPr>
      <w:r>
        <w:rPr>
          <w:rFonts w:ascii="Times New Roman"/>
          <w:kern w:val="2"/>
          <w:szCs w:val="21"/>
        </w:rPr>
        <w:t>低倍组织合格级别</w:t>
      </w:r>
    </w:p>
    <w:tbl>
      <w:tblPr>
        <w:tblStyle w:val="35"/>
        <w:tblW w:w="937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3102"/>
        <w:gridCol w:w="3013"/>
        <w:gridCol w:w="3259"/>
      </w:tblGrid>
      <w:tr w14:paraId="410443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42" w:hRule="exact"/>
          <w:jc w:val="center"/>
        </w:trPr>
        <w:tc>
          <w:tcPr>
            <w:tcW w:w="3102" w:type="dxa"/>
            <w:tcBorders>
              <w:top w:val="single" w:color="auto" w:sz="4" w:space="0"/>
            </w:tcBorders>
            <w:vAlign w:val="center"/>
          </w:tcPr>
          <w:p w14:paraId="3ADAD684">
            <w:pPr>
              <w:pStyle w:val="24"/>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一般疏松</w:t>
            </w:r>
          </w:p>
        </w:tc>
        <w:tc>
          <w:tcPr>
            <w:tcW w:w="3013" w:type="dxa"/>
            <w:tcBorders>
              <w:top w:val="single" w:color="auto" w:sz="4" w:space="0"/>
              <w:left w:val="single" w:color="auto" w:sz="4" w:space="0"/>
            </w:tcBorders>
            <w:vAlign w:val="center"/>
          </w:tcPr>
          <w:p w14:paraId="30B0ED50">
            <w:pPr>
              <w:pStyle w:val="24"/>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中心疏松</w:t>
            </w:r>
          </w:p>
        </w:tc>
        <w:tc>
          <w:tcPr>
            <w:tcW w:w="3259" w:type="dxa"/>
            <w:tcBorders>
              <w:top w:val="single" w:color="auto" w:sz="4" w:space="0"/>
              <w:left w:val="single" w:color="auto" w:sz="4" w:space="0"/>
            </w:tcBorders>
            <w:vAlign w:val="center"/>
          </w:tcPr>
          <w:p w14:paraId="6C825F1D">
            <w:pPr>
              <w:pStyle w:val="24"/>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kern w:val="2"/>
                <w:sz w:val="18"/>
                <w:szCs w:val="18"/>
              </w:rPr>
              <w:t>偏析</w:t>
            </w:r>
          </w:p>
        </w:tc>
      </w:tr>
      <w:tr w14:paraId="73B3B3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42" w:hRule="exact"/>
          <w:jc w:val="center"/>
        </w:trPr>
        <w:tc>
          <w:tcPr>
            <w:tcW w:w="3102" w:type="dxa"/>
            <w:tcBorders>
              <w:top w:val="single" w:color="auto" w:sz="4" w:space="0"/>
              <w:bottom w:val="single" w:color="auto" w:sz="4" w:space="0"/>
            </w:tcBorders>
            <w:vAlign w:val="center"/>
          </w:tcPr>
          <w:p w14:paraId="2FBC2C95">
            <w:pPr>
              <w:pStyle w:val="24"/>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rPr>
              <w:t>≤1.0</w:t>
            </w:r>
          </w:p>
        </w:tc>
        <w:tc>
          <w:tcPr>
            <w:tcW w:w="3013" w:type="dxa"/>
            <w:tcBorders>
              <w:top w:val="single" w:color="auto" w:sz="4" w:space="0"/>
              <w:left w:val="single" w:color="auto" w:sz="4" w:space="0"/>
              <w:bottom w:val="single" w:color="auto" w:sz="4" w:space="0"/>
            </w:tcBorders>
            <w:vAlign w:val="center"/>
          </w:tcPr>
          <w:p w14:paraId="0EE7BFD5">
            <w:pPr>
              <w:pStyle w:val="24"/>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rPr>
              <w:t>≤1.0</w:t>
            </w:r>
          </w:p>
        </w:tc>
        <w:tc>
          <w:tcPr>
            <w:tcW w:w="3259" w:type="dxa"/>
            <w:tcBorders>
              <w:top w:val="single" w:color="auto" w:sz="4" w:space="0"/>
              <w:left w:val="single" w:color="auto" w:sz="4" w:space="0"/>
              <w:bottom w:val="single" w:color="auto" w:sz="4" w:space="0"/>
            </w:tcBorders>
            <w:vAlign w:val="center"/>
          </w:tcPr>
          <w:p w14:paraId="4E13792C">
            <w:pPr>
              <w:pStyle w:val="24"/>
              <w:ind w:firstLine="360"/>
              <w:jc w:val="center"/>
              <w:rPr>
                <w:rFonts w:hint="default" w:ascii="Times New Roman" w:hAnsi="Times New Roman" w:eastAsia="宋体" w:cs="Times New Roman"/>
                <w:kern w:val="2"/>
                <w:sz w:val="18"/>
                <w:szCs w:val="18"/>
              </w:rPr>
            </w:pPr>
            <w:r>
              <w:rPr>
                <w:rFonts w:hint="default" w:ascii="Times New Roman" w:hAnsi="Times New Roman" w:eastAsia="宋体" w:cs="Times New Roman"/>
                <w:sz w:val="18"/>
                <w:szCs w:val="18"/>
              </w:rPr>
              <w:t>≤1.0</w:t>
            </w:r>
          </w:p>
        </w:tc>
      </w:tr>
    </w:tbl>
    <w:p w14:paraId="08F587B8">
      <w:pPr>
        <w:pStyle w:val="31"/>
        <w:widowControl/>
        <w:numPr>
          <w:ilvl w:val="1"/>
          <w:numId w:val="17"/>
        </w:numPr>
        <w:spacing w:before="156" w:beforeLines="50" w:after="156" w:afterLines="50"/>
        <w:jc w:val="left"/>
        <w:outlineLvl w:val="2"/>
        <w:rPr>
          <w:rFonts w:eastAsia="黑体"/>
          <w:kern w:val="0"/>
          <w:sz w:val="21"/>
          <w:szCs w:val="21"/>
        </w:rPr>
      </w:pPr>
      <w:bookmarkStart w:id="29" w:name="_Toc13302"/>
      <w:r>
        <w:rPr>
          <w:rFonts w:eastAsia="黑体"/>
          <w:kern w:val="0"/>
          <w:sz w:val="21"/>
          <w:szCs w:val="21"/>
        </w:rPr>
        <w:t>晶粒度</w:t>
      </w:r>
    </w:p>
    <w:p w14:paraId="44618718">
      <w:pPr>
        <w:spacing w:line="360" w:lineRule="exact"/>
        <w:ind w:firstLine="420" w:firstLineChars="200"/>
      </w:pPr>
      <w:r>
        <w:t>钢管的平均晶粒度应为5级或更细。</w:t>
      </w:r>
    </w:p>
    <w:p w14:paraId="16458635">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非金属夹杂物</w:t>
      </w:r>
    </w:p>
    <w:p w14:paraId="5C85ADC9">
      <w:pPr>
        <w:spacing w:line="360" w:lineRule="exact"/>
        <w:ind w:firstLine="420" w:firstLineChars="200"/>
      </w:pPr>
      <w:r>
        <w:t>管坯（棒材）应按GB/T 10561</w:t>
      </w:r>
      <w:r>
        <w:rPr>
          <w:rFonts w:hint="eastAsia"/>
          <w:lang w:val="en-US" w:eastAsia="zh-CN"/>
        </w:rPr>
        <w:t>-2023</w:t>
      </w:r>
      <w:r>
        <w:t>的A法进行非金属夹杂物检测，其合格级别应符合表5的规定。</w:t>
      </w:r>
    </w:p>
    <w:p w14:paraId="57FA36C0">
      <w:pPr>
        <w:pStyle w:val="116"/>
        <w:spacing w:before="156" w:after="156"/>
        <w:rPr>
          <w:rFonts w:ascii="Times New Roman"/>
          <w:kern w:val="2"/>
          <w:szCs w:val="21"/>
        </w:rPr>
      </w:pPr>
      <w:r>
        <w:rPr>
          <w:rFonts w:ascii="Times New Roman"/>
          <w:kern w:val="2"/>
          <w:szCs w:val="21"/>
        </w:rPr>
        <w:t>非金属夹杂物要求</w:t>
      </w:r>
    </w:p>
    <w:tbl>
      <w:tblPr>
        <w:tblStyle w:val="3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5"/>
        <w:gridCol w:w="654"/>
        <w:gridCol w:w="654"/>
        <w:gridCol w:w="654"/>
        <w:gridCol w:w="655"/>
        <w:gridCol w:w="655"/>
        <w:gridCol w:w="655"/>
        <w:gridCol w:w="655"/>
        <w:gridCol w:w="655"/>
        <w:gridCol w:w="655"/>
        <w:gridCol w:w="655"/>
        <w:gridCol w:w="1336"/>
      </w:tblGrid>
      <w:tr w14:paraId="0085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881" w:type="pct"/>
            <w:vMerge w:val="restart"/>
            <w:vAlign w:val="center"/>
          </w:tcPr>
          <w:p w14:paraId="4C692EFA">
            <w:pPr>
              <w:widowControl/>
              <w:autoSpaceDE w:val="0"/>
              <w:autoSpaceDN w:val="0"/>
              <w:jc w:val="center"/>
              <w:rPr>
                <w:rFonts w:hint="eastAsia" w:ascii="Times New Roman" w:hAnsi="Times New Roman" w:eastAsia="宋体" w:cs="Times New Roman"/>
                <w:kern w:val="0"/>
                <w:sz w:val="18"/>
                <w:szCs w:val="18"/>
                <w:lang w:val="en-US" w:eastAsia="zh-CN"/>
              </w:rPr>
            </w:pPr>
            <w:r>
              <w:rPr>
                <w:rFonts w:hint="eastAsia" w:ascii="Times New Roman" w:hAnsi="Times New Roman" w:cs="Times New Roman"/>
                <w:kern w:val="0"/>
                <w:sz w:val="18"/>
                <w:szCs w:val="18"/>
                <w:lang w:val="en-US" w:eastAsia="zh-CN"/>
              </w:rPr>
              <w:t>冶炼方法</w:t>
            </w:r>
          </w:p>
        </w:tc>
        <w:tc>
          <w:tcPr>
            <w:tcW w:w="4118" w:type="pct"/>
            <w:gridSpan w:val="11"/>
            <w:tcBorders>
              <w:bottom w:val="single" w:color="auto" w:sz="4" w:space="0"/>
            </w:tcBorders>
            <w:vAlign w:val="center"/>
          </w:tcPr>
          <w:p w14:paraId="5213B9E6">
            <w:pPr>
              <w:widowControl/>
              <w:autoSpaceDE w:val="0"/>
              <w:autoSpaceDN w:val="0"/>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夹杂物类型</w:t>
            </w:r>
          </w:p>
        </w:tc>
      </w:tr>
      <w:tr w14:paraId="152B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881" w:type="pct"/>
            <w:vMerge w:val="continue"/>
            <w:vAlign w:val="center"/>
          </w:tcPr>
          <w:p w14:paraId="2A5C91B3">
            <w:pPr>
              <w:widowControl/>
              <w:autoSpaceDE w:val="0"/>
              <w:autoSpaceDN w:val="0"/>
              <w:jc w:val="center"/>
              <w:rPr>
                <w:rFonts w:hint="eastAsia" w:ascii="Times New Roman" w:hAnsi="Times New Roman" w:eastAsia="宋体" w:cs="Times New Roman"/>
                <w:kern w:val="0"/>
                <w:sz w:val="18"/>
                <w:szCs w:val="18"/>
                <w:lang w:val="en-US" w:eastAsia="zh-CN"/>
              </w:rPr>
            </w:pPr>
          </w:p>
        </w:tc>
        <w:tc>
          <w:tcPr>
            <w:tcW w:w="684" w:type="pct"/>
            <w:gridSpan w:val="2"/>
            <w:tcBorders>
              <w:bottom w:val="single" w:color="auto" w:sz="4" w:space="0"/>
            </w:tcBorders>
            <w:vAlign w:val="center"/>
          </w:tcPr>
          <w:p w14:paraId="0D6AA18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A类</w:t>
            </w:r>
          </w:p>
        </w:tc>
        <w:tc>
          <w:tcPr>
            <w:tcW w:w="684" w:type="pct"/>
            <w:gridSpan w:val="2"/>
            <w:tcBorders>
              <w:bottom w:val="single" w:color="auto" w:sz="4" w:space="0"/>
            </w:tcBorders>
            <w:vAlign w:val="center"/>
          </w:tcPr>
          <w:p w14:paraId="7F5E8CA2">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B类</w:t>
            </w:r>
          </w:p>
        </w:tc>
        <w:tc>
          <w:tcPr>
            <w:tcW w:w="684" w:type="pct"/>
            <w:gridSpan w:val="2"/>
            <w:tcBorders>
              <w:bottom w:val="single" w:color="auto" w:sz="4" w:space="0"/>
            </w:tcBorders>
            <w:vAlign w:val="center"/>
          </w:tcPr>
          <w:p w14:paraId="4DCE6BC4">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C类</w:t>
            </w:r>
          </w:p>
        </w:tc>
        <w:tc>
          <w:tcPr>
            <w:tcW w:w="684" w:type="pct"/>
            <w:gridSpan w:val="2"/>
            <w:tcBorders>
              <w:bottom w:val="single" w:color="auto" w:sz="4" w:space="0"/>
              <w:right w:val="single" w:color="auto" w:sz="4" w:space="0"/>
            </w:tcBorders>
            <w:vAlign w:val="center"/>
          </w:tcPr>
          <w:p w14:paraId="302A3033">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D类</w:t>
            </w:r>
          </w:p>
        </w:tc>
        <w:tc>
          <w:tcPr>
            <w:tcW w:w="684" w:type="pct"/>
            <w:gridSpan w:val="2"/>
            <w:tcBorders>
              <w:left w:val="single" w:color="auto" w:sz="4" w:space="0"/>
            </w:tcBorders>
            <w:vAlign w:val="center"/>
          </w:tcPr>
          <w:p w14:paraId="0217261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A+B+C+D</w:t>
            </w:r>
          </w:p>
        </w:tc>
        <w:tc>
          <w:tcPr>
            <w:tcW w:w="695" w:type="pct"/>
            <w:vMerge w:val="restart"/>
            <w:tcBorders>
              <w:left w:val="single" w:color="auto" w:sz="4" w:space="0"/>
            </w:tcBorders>
            <w:vAlign w:val="center"/>
          </w:tcPr>
          <w:p w14:paraId="0E7E31D8">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DS类</w:t>
            </w:r>
          </w:p>
        </w:tc>
      </w:tr>
      <w:tr w14:paraId="4776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jc w:val="center"/>
        </w:trPr>
        <w:tc>
          <w:tcPr>
            <w:tcW w:w="881" w:type="pct"/>
            <w:vMerge w:val="continue"/>
            <w:vAlign w:val="center"/>
          </w:tcPr>
          <w:p w14:paraId="4EDF59E3">
            <w:pPr>
              <w:widowControl/>
              <w:autoSpaceDE w:val="0"/>
              <w:autoSpaceDN w:val="0"/>
              <w:jc w:val="center"/>
              <w:rPr>
                <w:rFonts w:hint="default" w:ascii="Times New Roman" w:hAnsi="Times New Roman" w:cs="Times New Roman"/>
                <w:kern w:val="0"/>
                <w:sz w:val="18"/>
                <w:szCs w:val="18"/>
              </w:rPr>
            </w:pPr>
          </w:p>
        </w:tc>
        <w:tc>
          <w:tcPr>
            <w:tcW w:w="342" w:type="pct"/>
            <w:tcBorders>
              <w:top w:val="single" w:color="auto" w:sz="4" w:space="0"/>
              <w:right w:val="single" w:color="auto" w:sz="4" w:space="0"/>
            </w:tcBorders>
            <w:vAlign w:val="center"/>
          </w:tcPr>
          <w:p w14:paraId="0E36561D">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342" w:type="pct"/>
            <w:tcBorders>
              <w:top w:val="single" w:color="auto" w:sz="4" w:space="0"/>
              <w:left w:val="single" w:color="auto" w:sz="4" w:space="0"/>
            </w:tcBorders>
            <w:vAlign w:val="center"/>
          </w:tcPr>
          <w:p w14:paraId="5495F8ED">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342" w:type="pct"/>
            <w:tcBorders>
              <w:top w:val="single" w:color="auto" w:sz="4" w:space="0"/>
              <w:right w:val="single" w:color="auto" w:sz="4" w:space="0"/>
            </w:tcBorders>
            <w:vAlign w:val="center"/>
          </w:tcPr>
          <w:p w14:paraId="26CE5E53">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342" w:type="pct"/>
            <w:tcBorders>
              <w:top w:val="single" w:color="auto" w:sz="4" w:space="0"/>
              <w:left w:val="single" w:color="auto" w:sz="4" w:space="0"/>
            </w:tcBorders>
            <w:vAlign w:val="center"/>
          </w:tcPr>
          <w:p w14:paraId="16AE1BEA">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342" w:type="pct"/>
            <w:tcBorders>
              <w:top w:val="single" w:color="auto" w:sz="4" w:space="0"/>
              <w:right w:val="single" w:color="auto" w:sz="4" w:space="0"/>
            </w:tcBorders>
            <w:vAlign w:val="center"/>
          </w:tcPr>
          <w:p w14:paraId="66F0DA85">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342" w:type="pct"/>
            <w:tcBorders>
              <w:top w:val="single" w:color="auto" w:sz="4" w:space="0"/>
              <w:left w:val="single" w:color="auto" w:sz="4" w:space="0"/>
            </w:tcBorders>
            <w:vAlign w:val="center"/>
          </w:tcPr>
          <w:p w14:paraId="174D5834">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342" w:type="pct"/>
            <w:tcBorders>
              <w:top w:val="single" w:color="auto" w:sz="4" w:space="0"/>
              <w:right w:val="single" w:color="auto" w:sz="4" w:space="0"/>
            </w:tcBorders>
            <w:vAlign w:val="center"/>
          </w:tcPr>
          <w:p w14:paraId="6F2BF83E">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342" w:type="pct"/>
            <w:tcBorders>
              <w:top w:val="single" w:color="auto" w:sz="4" w:space="0"/>
              <w:right w:val="single" w:color="auto" w:sz="4" w:space="0"/>
            </w:tcBorders>
            <w:vAlign w:val="center"/>
          </w:tcPr>
          <w:p w14:paraId="73069D74">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342" w:type="pct"/>
            <w:tcBorders>
              <w:left w:val="single" w:color="auto" w:sz="4" w:space="0"/>
              <w:right w:val="single" w:color="auto" w:sz="4" w:space="0"/>
            </w:tcBorders>
            <w:vAlign w:val="center"/>
          </w:tcPr>
          <w:p w14:paraId="6BE24DB5">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细系</w:t>
            </w:r>
          </w:p>
        </w:tc>
        <w:tc>
          <w:tcPr>
            <w:tcW w:w="342" w:type="pct"/>
            <w:tcBorders>
              <w:left w:val="single" w:color="auto" w:sz="4" w:space="0"/>
            </w:tcBorders>
            <w:vAlign w:val="center"/>
          </w:tcPr>
          <w:p w14:paraId="2DAC127F">
            <w:pPr>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粗系</w:t>
            </w:r>
          </w:p>
        </w:tc>
        <w:tc>
          <w:tcPr>
            <w:tcW w:w="695" w:type="pct"/>
            <w:vMerge w:val="continue"/>
            <w:tcBorders>
              <w:left w:val="single" w:color="auto" w:sz="4" w:space="0"/>
            </w:tcBorders>
            <w:vAlign w:val="center"/>
          </w:tcPr>
          <w:p w14:paraId="2EA68CE9">
            <w:pPr>
              <w:widowControl/>
              <w:autoSpaceDE w:val="0"/>
              <w:autoSpaceDN w:val="0"/>
              <w:jc w:val="center"/>
              <w:rPr>
                <w:rFonts w:hint="default" w:ascii="Times New Roman" w:hAnsi="Times New Roman" w:cs="Times New Roman"/>
                <w:kern w:val="0"/>
                <w:sz w:val="18"/>
                <w:szCs w:val="18"/>
              </w:rPr>
            </w:pPr>
          </w:p>
        </w:tc>
      </w:tr>
      <w:tr w14:paraId="6257E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 w:hRule="atLeast"/>
          <w:jc w:val="center"/>
        </w:trPr>
        <w:tc>
          <w:tcPr>
            <w:tcW w:w="881" w:type="pct"/>
            <w:vAlign w:val="center"/>
          </w:tcPr>
          <w:p w14:paraId="4F48F771">
            <w:pPr>
              <w:spacing w:line="260" w:lineRule="exact"/>
              <w:jc w:val="center"/>
              <w:rPr>
                <w:rFonts w:hint="default" w:ascii="Times New Roman" w:hAnsi="Times New Roman" w:eastAsia="PMingLiU" w:cs="Times New Roman"/>
                <w:sz w:val="18"/>
                <w:szCs w:val="18"/>
                <w:lang w:val="zh-TW" w:eastAsia="zh-TW"/>
              </w:rPr>
            </w:pPr>
            <w:r>
              <w:rPr>
                <w:rFonts w:hint="default" w:ascii="Times New Roman" w:hAnsi="Times New Roman" w:cs="Times New Roman"/>
                <w:sz w:val="18"/>
                <w:szCs w:val="18"/>
              </w:rPr>
              <w:t>VAR</w:t>
            </w:r>
          </w:p>
        </w:tc>
        <w:tc>
          <w:tcPr>
            <w:tcW w:w="342" w:type="pct"/>
            <w:tcBorders>
              <w:top w:val="single" w:color="auto" w:sz="4" w:space="0"/>
              <w:right w:val="single" w:color="auto" w:sz="4" w:space="0"/>
            </w:tcBorders>
            <w:vAlign w:val="center"/>
          </w:tcPr>
          <w:p w14:paraId="4EDC6AAD">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left w:val="single" w:color="auto" w:sz="4" w:space="0"/>
            </w:tcBorders>
            <w:vAlign w:val="center"/>
          </w:tcPr>
          <w:p w14:paraId="0B6A76BA">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right w:val="single" w:color="auto" w:sz="4" w:space="0"/>
            </w:tcBorders>
            <w:vAlign w:val="center"/>
          </w:tcPr>
          <w:p w14:paraId="1A8910D6">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left w:val="single" w:color="auto" w:sz="4" w:space="0"/>
            </w:tcBorders>
            <w:vAlign w:val="center"/>
          </w:tcPr>
          <w:p w14:paraId="40F55925">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right w:val="single" w:color="auto" w:sz="4" w:space="0"/>
            </w:tcBorders>
            <w:vAlign w:val="center"/>
          </w:tcPr>
          <w:p w14:paraId="6FCBB595">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left w:val="single" w:color="auto" w:sz="4" w:space="0"/>
            </w:tcBorders>
            <w:vAlign w:val="center"/>
          </w:tcPr>
          <w:p w14:paraId="4366CAAE">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right w:val="single" w:color="auto" w:sz="4" w:space="0"/>
            </w:tcBorders>
            <w:vAlign w:val="center"/>
          </w:tcPr>
          <w:p w14:paraId="24F63B3E">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right w:val="single" w:color="auto" w:sz="4" w:space="0"/>
            </w:tcBorders>
            <w:vAlign w:val="center"/>
          </w:tcPr>
          <w:p w14:paraId="5D841548">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left w:val="single" w:color="auto" w:sz="4" w:space="0"/>
              <w:right w:val="single" w:color="auto" w:sz="4" w:space="0"/>
            </w:tcBorders>
            <w:vAlign w:val="center"/>
          </w:tcPr>
          <w:p w14:paraId="59443F05">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w:t>
            </w:r>
          </w:p>
        </w:tc>
        <w:tc>
          <w:tcPr>
            <w:tcW w:w="342" w:type="pct"/>
            <w:tcBorders>
              <w:left w:val="single" w:color="auto" w:sz="4" w:space="0"/>
            </w:tcBorders>
            <w:vAlign w:val="center"/>
          </w:tcPr>
          <w:p w14:paraId="3F0BD5CE">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w:t>
            </w:r>
          </w:p>
        </w:tc>
        <w:tc>
          <w:tcPr>
            <w:tcW w:w="695" w:type="pct"/>
            <w:tcBorders>
              <w:left w:val="single" w:color="auto" w:sz="4" w:space="0"/>
            </w:tcBorders>
            <w:vAlign w:val="center"/>
          </w:tcPr>
          <w:p w14:paraId="01EDCF08">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r>
      <w:tr w14:paraId="09D6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 w:hRule="atLeast"/>
          <w:jc w:val="center"/>
        </w:trPr>
        <w:tc>
          <w:tcPr>
            <w:tcW w:w="881" w:type="pct"/>
            <w:vAlign w:val="center"/>
          </w:tcPr>
          <w:p w14:paraId="15110407">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rPr>
              <w:t>VIM</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VAR</w:t>
            </w:r>
          </w:p>
        </w:tc>
        <w:tc>
          <w:tcPr>
            <w:tcW w:w="342" w:type="pct"/>
            <w:tcBorders>
              <w:top w:val="single" w:color="auto" w:sz="4" w:space="0"/>
              <w:right w:val="single" w:color="auto" w:sz="4" w:space="0"/>
            </w:tcBorders>
            <w:vAlign w:val="center"/>
          </w:tcPr>
          <w:p w14:paraId="6943D628">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top w:val="single" w:color="auto" w:sz="4" w:space="0"/>
              <w:left w:val="single" w:color="auto" w:sz="4" w:space="0"/>
            </w:tcBorders>
            <w:vAlign w:val="center"/>
          </w:tcPr>
          <w:p w14:paraId="3A7D826C">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top w:val="single" w:color="auto" w:sz="4" w:space="0"/>
              <w:right w:val="single" w:color="auto" w:sz="4" w:space="0"/>
            </w:tcBorders>
            <w:vAlign w:val="center"/>
          </w:tcPr>
          <w:p w14:paraId="671BA30F">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left w:val="single" w:color="auto" w:sz="4" w:space="0"/>
            </w:tcBorders>
            <w:vAlign w:val="center"/>
          </w:tcPr>
          <w:p w14:paraId="00297762">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top w:val="single" w:color="auto" w:sz="4" w:space="0"/>
              <w:right w:val="single" w:color="auto" w:sz="4" w:space="0"/>
            </w:tcBorders>
            <w:vAlign w:val="center"/>
          </w:tcPr>
          <w:p w14:paraId="704D35D9">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top w:val="single" w:color="auto" w:sz="4" w:space="0"/>
              <w:left w:val="single" w:color="auto" w:sz="4" w:space="0"/>
            </w:tcBorders>
            <w:vAlign w:val="center"/>
          </w:tcPr>
          <w:p w14:paraId="4837C25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top w:val="single" w:color="auto" w:sz="4" w:space="0"/>
              <w:right w:val="single" w:color="auto" w:sz="4" w:space="0"/>
            </w:tcBorders>
            <w:vAlign w:val="center"/>
          </w:tcPr>
          <w:p w14:paraId="208B7786">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top w:val="single" w:color="auto" w:sz="4" w:space="0"/>
              <w:right w:val="single" w:color="auto" w:sz="4" w:space="0"/>
            </w:tcBorders>
            <w:vAlign w:val="center"/>
          </w:tcPr>
          <w:p w14:paraId="5E929A04">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342" w:type="pct"/>
            <w:tcBorders>
              <w:left w:val="single" w:color="auto" w:sz="4" w:space="0"/>
              <w:right w:val="single" w:color="auto" w:sz="4" w:space="0"/>
            </w:tcBorders>
            <w:vAlign w:val="center"/>
          </w:tcPr>
          <w:p w14:paraId="38C8F1BD">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342" w:type="pct"/>
            <w:tcBorders>
              <w:left w:val="single" w:color="auto" w:sz="4" w:space="0"/>
            </w:tcBorders>
            <w:vAlign w:val="center"/>
          </w:tcPr>
          <w:p w14:paraId="26A391A1">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695" w:type="pct"/>
            <w:tcBorders>
              <w:left w:val="single" w:color="auto" w:sz="4" w:space="0"/>
            </w:tcBorders>
            <w:vAlign w:val="center"/>
          </w:tcPr>
          <w:p w14:paraId="5A7BAA4A">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r>
      <w:tr w14:paraId="1A9A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1" w:type="pct"/>
            <w:vAlign w:val="center"/>
          </w:tcPr>
          <w:p w14:paraId="1BE711F6">
            <w:pPr>
              <w:spacing w:line="260" w:lineRule="exact"/>
              <w:jc w:val="center"/>
              <w:rPr>
                <w:rFonts w:hint="default" w:ascii="Times New Roman" w:hAnsi="Times New Roman" w:cs="Times New Roman" w:eastAsiaTheme="minorEastAsia"/>
                <w:sz w:val="18"/>
                <w:szCs w:val="18"/>
                <w:lang w:val="zh-TW"/>
              </w:rPr>
            </w:pPr>
            <w:r>
              <w:rPr>
                <w:rFonts w:hint="default" w:ascii="Times New Roman" w:hAnsi="Times New Roman" w:cs="Times New Roman"/>
                <w:sz w:val="18"/>
                <w:szCs w:val="18"/>
              </w:rPr>
              <w:t>VIM</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VAR</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VAR</w:t>
            </w:r>
          </w:p>
        </w:tc>
        <w:tc>
          <w:tcPr>
            <w:tcW w:w="342" w:type="pct"/>
            <w:tcBorders>
              <w:right w:val="single" w:color="auto" w:sz="4" w:space="0"/>
            </w:tcBorders>
            <w:vAlign w:val="center"/>
          </w:tcPr>
          <w:p w14:paraId="15A6E246">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left w:val="single" w:color="auto" w:sz="4" w:space="0"/>
            </w:tcBorders>
            <w:vAlign w:val="center"/>
          </w:tcPr>
          <w:p w14:paraId="5BED233C">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right w:val="single" w:color="auto" w:sz="4" w:space="0"/>
            </w:tcBorders>
            <w:vAlign w:val="center"/>
          </w:tcPr>
          <w:p w14:paraId="03EC2B7C">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left w:val="single" w:color="auto" w:sz="4" w:space="0"/>
            </w:tcBorders>
            <w:vAlign w:val="center"/>
          </w:tcPr>
          <w:p w14:paraId="50E98765">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right w:val="single" w:color="auto" w:sz="4" w:space="0"/>
            </w:tcBorders>
            <w:vAlign w:val="center"/>
          </w:tcPr>
          <w:p w14:paraId="77DF03B0">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left w:val="single" w:color="auto" w:sz="4" w:space="0"/>
            </w:tcBorders>
            <w:vAlign w:val="center"/>
          </w:tcPr>
          <w:p w14:paraId="17DD0A4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right w:val="single" w:color="auto" w:sz="4" w:space="0"/>
            </w:tcBorders>
            <w:vAlign w:val="center"/>
          </w:tcPr>
          <w:p w14:paraId="42C1C3A4">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c>
          <w:tcPr>
            <w:tcW w:w="342" w:type="pct"/>
            <w:tcBorders>
              <w:right w:val="single" w:color="auto" w:sz="4" w:space="0"/>
            </w:tcBorders>
            <w:vAlign w:val="center"/>
          </w:tcPr>
          <w:p w14:paraId="524F49E6">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342" w:type="pct"/>
            <w:tcBorders>
              <w:left w:val="single" w:color="auto" w:sz="4" w:space="0"/>
              <w:right w:val="single" w:color="auto" w:sz="4" w:space="0"/>
            </w:tcBorders>
            <w:vAlign w:val="center"/>
          </w:tcPr>
          <w:p w14:paraId="14F670C4">
            <w:pPr>
              <w:widowControl/>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w:t>
            </w:r>
          </w:p>
        </w:tc>
        <w:tc>
          <w:tcPr>
            <w:tcW w:w="342" w:type="pct"/>
            <w:tcBorders>
              <w:left w:val="single" w:color="auto" w:sz="4" w:space="0"/>
            </w:tcBorders>
            <w:vAlign w:val="center"/>
          </w:tcPr>
          <w:p w14:paraId="11DBAC52">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c>
          <w:tcPr>
            <w:tcW w:w="695" w:type="pct"/>
            <w:tcBorders>
              <w:left w:val="single" w:color="auto" w:sz="4" w:space="0"/>
            </w:tcBorders>
            <w:vAlign w:val="center"/>
          </w:tcPr>
          <w:p w14:paraId="7847689C">
            <w:pPr>
              <w:widowControl/>
              <w:autoSpaceDE w:val="0"/>
              <w:autoSpaceDN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&lt;0.5</w:t>
            </w:r>
          </w:p>
        </w:tc>
      </w:tr>
    </w:tbl>
    <w:p w14:paraId="1969E38E">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无损检测</w:t>
      </w:r>
    </w:p>
    <w:p w14:paraId="52FC8C9B">
      <w:pPr>
        <w:pStyle w:val="76"/>
        <w:numPr>
          <w:ilvl w:val="2"/>
          <w:numId w:val="17"/>
        </w:numPr>
        <w:tabs>
          <w:tab w:val="left" w:pos="57"/>
          <w:tab w:val="clear" w:pos="0"/>
        </w:tabs>
        <w:spacing w:before="156" w:after="15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根据需方要求，经供需双方协商，钢管可进行超声检测或涡流检测。超声检测时，对比样管人工缺陷应符合GB/T 5777中验收等级U3的规定；涡流检测时，对比样管人工缺陷应符合GB/T 7753中验收等级E4H或E4的规定。</w:t>
      </w:r>
    </w:p>
    <w:p w14:paraId="00402963">
      <w:pPr>
        <w:pStyle w:val="31"/>
        <w:widowControl/>
        <w:numPr>
          <w:ilvl w:val="2"/>
          <w:numId w:val="17"/>
        </w:numPr>
        <w:spacing w:before="156" w:beforeLines="50" w:after="156" w:afterLines="50"/>
        <w:ind w:left="0" w:leftChars="0" w:firstLine="0" w:firstLineChars="0"/>
        <w:jc w:val="left"/>
        <w:outlineLvl w:val="2"/>
        <w:rPr>
          <w:kern w:val="0"/>
          <w:sz w:val="21"/>
          <w:szCs w:val="21"/>
        </w:rPr>
      </w:pPr>
      <w:r>
        <w:rPr>
          <w:kern w:val="0"/>
          <w:sz w:val="21"/>
          <w:szCs w:val="21"/>
        </w:rPr>
        <w:t>根据需方要求，经供需双方协商，并在合同中注明，钢管可采用其他标准规定的方法进行超声检测</w:t>
      </w:r>
      <w:r>
        <w:rPr>
          <w:rFonts w:hint="eastAsia"/>
          <w:kern w:val="0"/>
          <w:sz w:val="21"/>
          <w:szCs w:val="21"/>
          <w:lang w:val="en-US" w:eastAsia="zh-CN"/>
        </w:rPr>
        <w:t>或涡流检测</w:t>
      </w:r>
      <w:r>
        <w:rPr>
          <w:kern w:val="0"/>
          <w:sz w:val="21"/>
          <w:szCs w:val="21"/>
        </w:rPr>
        <w:t>。</w:t>
      </w:r>
    </w:p>
    <w:p w14:paraId="5F5B0232">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表面质量</w:t>
      </w:r>
      <w:bookmarkEnd w:id="29"/>
    </w:p>
    <w:p w14:paraId="33821F77">
      <w:pPr>
        <w:pStyle w:val="76"/>
        <w:numPr>
          <w:ilvl w:val="2"/>
          <w:numId w:val="17"/>
        </w:numPr>
        <w:tabs>
          <w:tab w:val="left" w:pos="57"/>
          <w:tab w:val="clear" w:pos="0"/>
        </w:tabs>
        <w:spacing w:before="0" w:beforeLines="0" w:after="0" w:afterLines="0" w:line="360" w:lineRule="exact"/>
        <w:rPr>
          <w:rFonts w:ascii="Times New Roman" w:eastAsia="宋体"/>
        </w:rPr>
      </w:pPr>
      <w:bookmarkStart w:id="30" w:name="_Toc19677"/>
      <w:r>
        <w:rPr>
          <w:rFonts w:ascii="Times New Roman" w:eastAsia="宋体"/>
        </w:rPr>
        <w:t>钢管外表面以抛光态交货。交货时表面应洁净，不应有油污、灰尘和碎屑等异物，不应有残留的酸液或碱液等腐蚀性介质。</w:t>
      </w:r>
    </w:p>
    <w:p w14:paraId="296A392C">
      <w:pPr>
        <w:pStyle w:val="76"/>
        <w:numPr>
          <w:ilvl w:val="2"/>
          <w:numId w:val="17"/>
        </w:numPr>
        <w:tabs>
          <w:tab w:val="left" w:pos="57"/>
          <w:tab w:val="clear" w:pos="0"/>
        </w:tabs>
        <w:spacing w:before="0" w:beforeLines="0" w:after="0" w:afterLines="0" w:line="360" w:lineRule="exact"/>
        <w:jc w:val="both"/>
        <w:rPr>
          <w:rFonts w:ascii="Times New Roman" w:eastAsia="宋体"/>
        </w:rPr>
      </w:pPr>
      <w:r>
        <w:rPr>
          <w:rFonts w:ascii="Times New Roman" w:eastAsia="宋体"/>
        </w:rPr>
        <w:t>钢管</w:t>
      </w:r>
      <w:r>
        <w:rPr>
          <w:rFonts w:hint="eastAsia" w:ascii="Times New Roman" w:eastAsia="宋体"/>
          <w:lang w:val="en-US" w:eastAsia="zh-CN"/>
        </w:rPr>
        <w:t>的</w:t>
      </w:r>
      <w:r>
        <w:rPr>
          <w:rFonts w:ascii="Times New Roman" w:eastAsia="宋体"/>
        </w:rPr>
        <w:t>内外表面不</w:t>
      </w:r>
      <w:r>
        <w:rPr>
          <w:rFonts w:hint="eastAsia" w:ascii="Times New Roman" w:eastAsia="宋体"/>
          <w:lang w:val="en-US" w:eastAsia="zh-CN"/>
        </w:rPr>
        <w:t>应</w:t>
      </w:r>
      <w:r>
        <w:rPr>
          <w:rFonts w:ascii="Times New Roman" w:eastAsia="宋体"/>
        </w:rPr>
        <w:t>有裂纹、折叠、轧折、离层</w:t>
      </w:r>
      <w:r>
        <w:rPr>
          <w:rFonts w:hint="eastAsia" w:ascii="Times New Roman" w:eastAsia="宋体"/>
          <w:lang w:val="en-US" w:eastAsia="zh-CN"/>
        </w:rPr>
        <w:t>和</w:t>
      </w:r>
      <w:r>
        <w:rPr>
          <w:rFonts w:ascii="Times New Roman" w:eastAsia="宋体"/>
        </w:rPr>
        <w:t>结疤。</w:t>
      </w:r>
      <w:r>
        <w:rPr>
          <w:rFonts w:hint="eastAsia" w:ascii="Times New Roman" w:eastAsia="宋体"/>
          <w:lang w:val="en-US" w:eastAsia="zh-CN"/>
        </w:rPr>
        <w:t>这些缺陷应完全清除，</w:t>
      </w:r>
      <w:r>
        <w:rPr>
          <w:rFonts w:ascii="Times New Roman" w:eastAsia="宋体"/>
        </w:rPr>
        <w:t>清除</w:t>
      </w:r>
      <w:r>
        <w:rPr>
          <w:rFonts w:hint="eastAsia" w:ascii="Times New Roman" w:eastAsia="宋体"/>
          <w:lang w:val="en-US" w:eastAsia="zh-CN"/>
        </w:rPr>
        <w:t>深度应不超过壁厚的10%，缺陷清除</w:t>
      </w:r>
      <w:r>
        <w:rPr>
          <w:rFonts w:ascii="Times New Roman" w:eastAsia="宋体"/>
        </w:rPr>
        <w:t>处</w:t>
      </w:r>
      <w:r>
        <w:rPr>
          <w:rFonts w:hint="eastAsia" w:ascii="Times New Roman" w:eastAsia="宋体"/>
          <w:lang w:val="en-US" w:eastAsia="zh-CN"/>
        </w:rPr>
        <w:t>的实际壁厚应不小于壁厚所允许的最小值。缺陷清除处不准许焊补，且应圆滑过渡。</w:t>
      </w:r>
    </w:p>
    <w:p w14:paraId="43381769">
      <w:pPr>
        <w:pStyle w:val="76"/>
        <w:numPr>
          <w:ilvl w:val="2"/>
          <w:numId w:val="17"/>
        </w:numPr>
        <w:tabs>
          <w:tab w:val="left" w:pos="57"/>
          <w:tab w:val="clear" w:pos="0"/>
        </w:tabs>
        <w:spacing w:before="0" w:beforeLines="0" w:after="0" w:afterLines="0" w:line="360" w:lineRule="exact"/>
        <w:rPr>
          <w:rFonts w:ascii="Times New Roman" w:eastAsia="宋体"/>
        </w:rPr>
      </w:pPr>
      <w:r>
        <w:rPr>
          <w:rFonts w:hint="eastAsia" w:ascii="Times New Roman" w:eastAsia="宋体"/>
          <w:lang w:val="en-US" w:eastAsia="zh-CN"/>
        </w:rPr>
        <w:t>公称壁厚小于1.4 mm的钢管内外表面的直道深度应不大于0.05 mm，其余钢管应不大于壁厚的4%且不大于0.30 mm。</w:t>
      </w:r>
    </w:p>
    <w:p w14:paraId="49C7381C">
      <w:pPr>
        <w:pStyle w:val="76"/>
        <w:numPr>
          <w:ilvl w:val="2"/>
          <w:numId w:val="17"/>
        </w:numPr>
        <w:tabs>
          <w:tab w:val="left" w:pos="57"/>
          <w:tab w:val="clear" w:pos="0"/>
        </w:tabs>
        <w:spacing w:before="0" w:beforeLines="0" w:after="0" w:afterLines="0" w:line="360" w:lineRule="exact"/>
        <w:rPr>
          <w:rFonts w:ascii="Times New Roman" w:eastAsia="宋体"/>
        </w:rPr>
      </w:pPr>
      <w:r>
        <w:rPr>
          <w:rFonts w:ascii="Times New Roman" w:eastAsia="宋体"/>
        </w:rPr>
        <w:t>钢管外表面粗糙</w:t>
      </w:r>
      <w:r>
        <w:rPr>
          <w:rFonts w:hint="eastAsia" w:ascii="Times New Roman" w:eastAsia="宋体"/>
          <w:lang w:val="en-US" w:eastAsia="zh-CN"/>
        </w:rPr>
        <w:t>应</w:t>
      </w:r>
      <w:r>
        <w:rPr>
          <w:rFonts w:ascii="Times New Roman" w:eastAsia="宋体"/>
        </w:rPr>
        <w:t>不</w:t>
      </w:r>
      <w:r>
        <w:rPr>
          <w:rFonts w:hint="eastAsia" w:ascii="Times New Roman" w:eastAsia="宋体"/>
          <w:lang w:val="en-US" w:eastAsia="zh-CN"/>
        </w:rPr>
        <w:t>大于</w:t>
      </w:r>
      <w:r>
        <w:rPr>
          <w:rFonts w:ascii="Times New Roman" w:eastAsia="宋体"/>
        </w:rPr>
        <w:t>0.8</w:t>
      </w:r>
      <w:r>
        <w:rPr>
          <w:rFonts w:hint="eastAsia" w:ascii="Times New Roman" w:eastAsia="宋体"/>
          <w:lang w:val="en-US" w:eastAsia="zh-CN"/>
        </w:rPr>
        <w:t xml:space="preserve"> </w:t>
      </w:r>
      <w:r>
        <w:rPr>
          <w:rFonts w:ascii="Times New Roman" w:eastAsia="宋体"/>
        </w:rPr>
        <w:t>μm；若内表面有粗糙度特殊要求的，应在合同中注明。</w:t>
      </w:r>
    </w:p>
    <w:p w14:paraId="659BB23B">
      <w:pPr>
        <w:pStyle w:val="31"/>
        <w:widowControl/>
        <w:numPr>
          <w:ilvl w:val="1"/>
          <w:numId w:val="17"/>
        </w:numPr>
        <w:spacing w:before="156" w:beforeLines="50" w:after="156" w:afterLines="50"/>
        <w:jc w:val="left"/>
        <w:outlineLvl w:val="2"/>
        <w:rPr>
          <w:rFonts w:eastAsia="黑体"/>
          <w:kern w:val="0"/>
          <w:sz w:val="21"/>
          <w:szCs w:val="21"/>
        </w:rPr>
      </w:pPr>
      <w:r>
        <w:rPr>
          <w:rFonts w:eastAsia="黑体"/>
          <w:kern w:val="0"/>
          <w:sz w:val="21"/>
          <w:szCs w:val="21"/>
        </w:rPr>
        <w:t>尺寸、外形、重量</w:t>
      </w:r>
      <w:bookmarkEnd w:id="30"/>
    </w:p>
    <w:p w14:paraId="50E92926">
      <w:pPr>
        <w:pStyle w:val="31"/>
        <w:widowControl/>
        <w:numPr>
          <w:ilvl w:val="2"/>
          <w:numId w:val="17"/>
        </w:numPr>
        <w:spacing w:before="156" w:beforeLines="50" w:after="156" w:afterLines="50"/>
        <w:jc w:val="left"/>
        <w:outlineLvl w:val="2"/>
        <w:rPr>
          <w:rFonts w:eastAsia="黑体"/>
          <w:kern w:val="0"/>
          <w:sz w:val="21"/>
          <w:szCs w:val="21"/>
        </w:rPr>
      </w:pPr>
      <w:r>
        <w:rPr>
          <w:rFonts w:eastAsia="黑体"/>
          <w:kern w:val="0"/>
          <w:sz w:val="21"/>
          <w:szCs w:val="21"/>
        </w:rPr>
        <w:t>尺寸及允许偏差</w:t>
      </w:r>
    </w:p>
    <w:p w14:paraId="78F06262">
      <w:pPr>
        <w:pStyle w:val="76"/>
        <w:numPr>
          <w:ilvl w:val="3"/>
          <w:numId w:val="17"/>
        </w:numPr>
        <w:tabs>
          <w:tab w:val="left" w:pos="57"/>
          <w:tab w:val="clear" w:pos="0"/>
        </w:tabs>
        <w:spacing w:before="156" w:after="156"/>
        <w:rPr>
          <w:rFonts w:ascii="Times New Roman" w:eastAsia="宋体"/>
        </w:rPr>
      </w:pPr>
      <w:r>
        <w:rPr>
          <w:rFonts w:ascii="Times New Roman" w:eastAsia="宋体"/>
        </w:rPr>
        <w:t>钢管通常按公称外径（</w:t>
      </w:r>
      <w:r>
        <w:rPr>
          <w:rFonts w:ascii="Times New Roman" w:eastAsia="宋体"/>
          <w:i/>
        </w:rPr>
        <w:t>D</w:t>
      </w:r>
      <w:r>
        <w:rPr>
          <w:rFonts w:ascii="Times New Roman" w:eastAsia="宋体"/>
        </w:rPr>
        <w:t>）和公称壁厚（</w:t>
      </w:r>
      <w:r>
        <w:rPr>
          <w:rFonts w:ascii="Times New Roman" w:eastAsia="宋体"/>
          <w:i/>
        </w:rPr>
        <w:t>S</w:t>
      </w:r>
      <w:r>
        <w:rPr>
          <w:rFonts w:ascii="Times New Roman" w:eastAsia="宋体"/>
        </w:rPr>
        <w:t>）交货。钢管的公称外径和公称壁厚的允许偏差应符合表6和表7的规定。</w:t>
      </w:r>
    </w:p>
    <w:p w14:paraId="1870D14D">
      <w:pPr>
        <w:pStyle w:val="116"/>
        <w:spacing w:before="156" w:after="156"/>
        <w:jc w:val="right"/>
        <w:rPr>
          <w:rFonts w:ascii="Times New Roman"/>
          <w:kern w:val="2"/>
          <w:szCs w:val="21"/>
        </w:rPr>
      </w:pPr>
      <w:r>
        <w:rPr>
          <w:rFonts w:hint="eastAsia" w:ascii="Times New Roman"/>
          <w:szCs w:val="21"/>
          <w:lang w:val="en-US" w:eastAsia="zh-CN"/>
        </w:rPr>
        <w:t>公称</w:t>
      </w:r>
      <w:r>
        <w:rPr>
          <w:rFonts w:ascii="Times New Roman"/>
          <w:szCs w:val="21"/>
        </w:rPr>
        <w:t>外径</w:t>
      </w:r>
      <w:r>
        <w:rPr>
          <w:rFonts w:hint="eastAsia" w:ascii="Times New Roman"/>
          <w:szCs w:val="21"/>
          <w:lang w:val="en-US" w:eastAsia="zh-CN"/>
        </w:rPr>
        <w:t>的</w:t>
      </w:r>
      <w:r>
        <w:rPr>
          <w:rFonts w:ascii="Times New Roman"/>
          <w:szCs w:val="21"/>
        </w:rPr>
        <w:t>允许偏差</w:t>
      </w:r>
      <w:r>
        <w:rPr>
          <w:rFonts w:hint="eastAsia" w:ascii="Times New Roman"/>
          <w:szCs w:val="21"/>
          <w:lang w:val="en-US" w:eastAsia="zh-CN"/>
        </w:rPr>
        <w:t xml:space="preserve">                       </w:t>
      </w:r>
      <w:r>
        <w:rPr>
          <w:rFonts w:hint="eastAsia" w:ascii="宋体" w:hAnsi="宋体" w:eastAsia="宋体" w:cs="宋体"/>
          <w:szCs w:val="21"/>
          <w:lang w:val="en-US" w:eastAsia="zh-CN"/>
        </w:rPr>
        <w:t>单位为毫米</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1"/>
        <w:gridCol w:w="4785"/>
      </w:tblGrid>
      <w:tr w14:paraId="4F7F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2499" w:type="pct"/>
            <w:vAlign w:val="center"/>
          </w:tcPr>
          <w:p w14:paraId="1D80F3FC">
            <w:pPr>
              <w:jc w:val="center"/>
              <w:rPr>
                <w:rFonts w:hint="eastAsia"/>
                <w:sz w:val="18"/>
                <w:szCs w:val="18"/>
                <w:lang w:val="en-US" w:eastAsia="zh-CN"/>
              </w:rPr>
            </w:pPr>
            <w:r>
              <w:rPr>
                <w:rFonts w:hint="eastAsia"/>
                <w:sz w:val="18"/>
                <w:szCs w:val="18"/>
                <w:lang w:val="en-US" w:eastAsia="zh-CN"/>
              </w:rPr>
              <w:t>公称外径</w:t>
            </w:r>
          </w:p>
          <w:p w14:paraId="3AAD556E">
            <w:pPr>
              <w:jc w:val="center"/>
              <w:rPr>
                <w:rFonts w:hint="default"/>
                <w:sz w:val="18"/>
                <w:szCs w:val="18"/>
                <w:lang w:val="en-US" w:eastAsia="zh-CN"/>
              </w:rPr>
            </w:pPr>
            <w:r>
              <w:rPr>
                <w:rFonts w:hint="eastAsia"/>
                <w:sz w:val="18"/>
                <w:szCs w:val="18"/>
                <w:lang w:val="en-US" w:eastAsia="zh-CN"/>
              </w:rPr>
              <w:t>（</w:t>
            </w:r>
            <w:r>
              <w:rPr>
                <w:rFonts w:hint="eastAsia"/>
                <w:i/>
                <w:iCs/>
                <w:sz w:val="18"/>
                <w:szCs w:val="18"/>
                <w:lang w:val="en-US" w:eastAsia="zh-CN"/>
              </w:rPr>
              <w:t>D</w:t>
            </w:r>
            <w:r>
              <w:rPr>
                <w:rFonts w:hint="eastAsia"/>
                <w:sz w:val="18"/>
                <w:szCs w:val="18"/>
                <w:lang w:val="en-US" w:eastAsia="zh-CN"/>
              </w:rPr>
              <w:t>）</w:t>
            </w:r>
          </w:p>
        </w:tc>
        <w:tc>
          <w:tcPr>
            <w:tcW w:w="2501" w:type="pct"/>
            <w:vAlign w:val="center"/>
          </w:tcPr>
          <w:p w14:paraId="6621F8DF">
            <w:pPr>
              <w:jc w:val="center"/>
              <w:rPr>
                <w:rFonts w:hint="eastAsia" w:eastAsia="宋体"/>
                <w:sz w:val="18"/>
                <w:szCs w:val="18"/>
                <w:lang w:val="en-US" w:eastAsia="zh-CN"/>
              </w:rPr>
            </w:pPr>
            <w:r>
              <w:rPr>
                <w:rFonts w:hint="eastAsia"/>
                <w:sz w:val="18"/>
                <w:szCs w:val="18"/>
                <w:lang w:val="en-US" w:eastAsia="zh-CN"/>
              </w:rPr>
              <w:t>允许偏差</w:t>
            </w:r>
          </w:p>
        </w:tc>
      </w:tr>
      <w:tr w14:paraId="0027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2499" w:type="pct"/>
            <w:vAlign w:val="center"/>
          </w:tcPr>
          <w:p w14:paraId="6A9FD578">
            <w:pPr>
              <w:jc w:val="center"/>
              <w:rPr>
                <w:sz w:val="18"/>
                <w:szCs w:val="18"/>
              </w:rPr>
            </w:pPr>
            <w:r>
              <w:rPr>
                <w:sz w:val="18"/>
                <w:szCs w:val="18"/>
              </w:rPr>
              <w:t>6.35</w:t>
            </w:r>
          </w:p>
        </w:tc>
        <w:tc>
          <w:tcPr>
            <w:tcW w:w="2501" w:type="pct"/>
          </w:tcPr>
          <w:p w14:paraId="3CDE61F4">
            <w:pPr>
              <w:jc w:val="center"/>
              <w:rPr>
                <w:sz w:val="18"/>
                <w:szCs w:val="18"/>
              </w:rPr>
            </w:pPr>
            <w:r>
              <w:rPr>
                <w:rFonts w:hint="eastAsia"/>
                <w:sz w:val="18"/>
                <w:szCs w:val="18"/>
              </w:rPr>
              <w:t>±</w:t>
            </w:r>
            <w:r>
              <w:rPr>
                <w:sz w:val="18"/>
                <w:szCs w:val="18"/>
              </w:rPr>
              <w:t>0.05</w:t>
            </w:r>
          </w:p>
        </w:tc>
      </w:tr>
      <w:tr w14:paraId="6742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63E7923E">
            <w:pPr>
              <w:jc w:val="center"/>
              <w:rPr>
                <w:sz w:val="18"/>
                <w:szCs w:val="18"/>
              </w:rPr>
            </w:pPr>
            <w:r>
              <w:rPr>
                <w:sz w:val="18"/>
                <w:szCs w:val="18"/>
              </w:rPr>
              <w:t>9.525</w:t>
            </w:r>
          </w:p>
        </w:tc>
        <w:tc>
          <w:tcPr>
            <w:tcW w:w="2501" w:type="pct"/>
          </w:tcPr>
          <w:p w14:paraId="19FA6D07">
            <w:pPr>
              <w:jc w:val="center"/>
              <w:rPr>
                <w:sz w:val="18"/>
                <w:szCs w:val="18"/>
              </w:rPr>
            </w:pPr>
            <w:r>
              <w:rPr>
                <w:rFonts w:hint="eastAsia"/>
                <w:sz w:val="18"/>
                <w:szCs w:val="18"/>
              </w:rPr>
              <w:t>±</w:t>
            </w:r>
            <w:r>
              <w:rPr>
                <w:sz w:val="18"/>
                <w:szCs w:val="18"/>
              </w:rPr>
              <w:t>0.05</w:t>
            </w:r>
          </w:p>
        </w:tc>
      </w:tr>
      <w:tr w14:paraId="242F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46152A4F">
            <w:pPr>
              <w:jc w:val="center"/>
              <w:rPr>
                <w:sz w:val="18"/>
                <w:szCs w:val="18"/>
              </w:rPr>
            </w:pPr>
            <w:r>
              <w:rPr>
                <w:sz w:val="18"/>
                <w:szCs w:val="18"/>
              </w:rPr>
              <w:t>12.70</w:t>
            </w:r>
          </w:p>
        </w:tc>
        <w:tc>
          <w:tcPr>
            <w:tcW w:w="2501" w:type="pct"/>
          </w:tcPr>
          <w:p w14:paraId="0BC7B007">
            <w:pPr>
              <w:jc w:val="center"/>
              <w:rPr>
                <w:sz w:val="18"/>
                <w:szCs w:val="18"/>
              </w:rPr>
            </w:pPr>
            <w:r>
              <w:rPr>
                <w:rFonts w:hint="eastAsia"/>
                <w:sz w:val="18"/>
                <w:szCs w:val="18"/>
              </w:rPr>
              <w:t>±</w:t>
            </w:r>
            <w:r>
              <w:rPr>
                <w:sz w:val="18"/>
                <w:szCs w:val="18"/>
              </w:rPr>
              <w:t>0.05</w:t>
            </w:r>
          </w:p>
        </w:tc>
      </w:tr>
      <w:tr w14:paraId="57C3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3BA87F89">
            <w:pPr>
              <w:jc w:val="center"/>
              <w:rPr>
                <w:sz w:val="18"/>
                <w:szCs w:val="18"/>
              </w:rPr>
            </w:pPr>
            <w:r>
              <w:rPr>
                <w:rFonts w:hint="eastAsia"/>
                <w:sz w:val="18"/>
                <w:szCs w:val="18"/>
              </w:rPr>
              <w:t>1</w:t>
            </w:r>
            <w:r>
              <w:rPr>
                <w:sz w:val="18"/>
                <w:szCs w:val="18"/>
              </w:rPr>
              <w:t>9.05</w:t>
            </w:r>
          </w:p>
        </w:tc>
        <w:tc>
          <w:tcPr>
            <w:tcW w:w="2501" w:type="pct"/>
          </w:tcPr>
          <w:p w14:paraId="4778E202">
            <w:pPr>
              <w:jc w:val="center"/>
              <w:rPr>
                <w:sz w:val="18"/>
                <w:szCs w:val="18"/>
              </w:rPr>
            </w:pPr>
            <w:r>
              <w:rPr>
                <w:rFonts w:hint="eastAsia"/>
                <w:sz w:val="18"/>
                <w:szCs w:val="18"/>
              </w:rPr>
              <w:t>±</w:t>
            </w:r>
            <w:r>
              <w:rPr>
                <w:sz w:val="18"/>
                <w:szCs w:val="18"/>
              </w:rPr>
              <w:t>0.05</w:t>
            </w:r>
          </w:p>
        </w:tc>
      </w:tr>
      <w:tr w14:paraId="53ED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9" w:type="pct"/>
            <w:vAlign w:val="center"/>
          </w:tcPr>
          <w:p w14:paraId="20FD74C6">
            <w:pPr>
              <w:jc w:val="center"/>
              <w:rPr>
                <w:sz w:val="18"/>
                <w:szCs w:val="18"/>
              </w:rPr>
            </w:pPr>
            <w:r>
              <w:rPr>
                <w:rFonts w:hint="eastAsia"/>
                <w:sz w:val="18"/>
                <w:szCs w:val="18"/>
              </w:rPr>
              <w:t>2</w:t>
            </w:r>
            <w:r>
              <w:rPr>
                <w:sz w:val="18"/>
                <w:szCs w:val="18"/>
              </w:rPr>
              <w:t>5.4</w:t>
            </w:r>
          </w:p>
        </w:tc>
        <w:tc>
          <w:tcPr>
            <w:tcW w:w="2501" w:type="pct"/>
          </w:tcPr>
          <w:p w14:paraId="4A2CA542">
            <w:pPr>
              <w:jc w:val="center"/>
              <w:rPr>
                <w:sz w:val="18"/>
                <w:szCs w:val="18"/>
              </w:rPr>
            </w:pPr>
            <w:r>
              <w:rPr>
                <w:rFonts w:hint="eastAsia"/>
                <w:sz w:val="18"/>
                <w:szCs w:val="18"/>
              </w:rPr>
              <w:t>±</w:t>
            </w:r>
            <w:r>
              <w:rPr>
                <w:sz w:val="18"/>
                <w:szCs w:val="18"/>
              </w:rPr>
              <w:t>0.05</w:t>
            </w:r>
          </w:p>
        </w:tc>
      </w:tr>
    </w:tbl>
    <w:p w14:paraId="3BD03E20">
      <w:pPr>
        <w:pStyle w:val="116"/>
        <w:spacing w:before="156" w:after="156"/>
        <w:jc w:val="right"/>
        <w:rPr>
          <w:rFonts w:ascii="Times New Roman"/>
          <w:szCs w:val="21"/>
        </w:rPr>
      </w:pPr>
      <w:r>
        <w:rPr>
          <w:rFonts w:hint="eastAsia" w:ascii="Times New Roman"/>
          <w:szCs w:val="21"/>
          <w:lang w:val="en-US" w:eastAsia="zh-CN"/>
        </w:rPr>
        <w:t>公称</w:t>
      </w:r>
      <w:r>
        <w:rPr>
          <w:rFonts w:ascii="Times New Roman"/>
          <w:szCs w:val="21"/>
        </w:rPr>
        <w:t>壁厚</w:t>
      </w:r>
      <w:r>
        <w:rPr>
          <w:rFonts w:hint="eastAsia" w:ascii="Times New Roman"/>
          <w:szCs w:val="21"/>
          <w:lang w:val="en-US" w:eastAsia="zh-CN"/>
        </w:rPr>
        <w:t>的</w:t>
      </w:r>
      <w:r>
        <w:rPr>
          <w:rFonts w:ascii="Times New Roman"/>
          <w:szCs w:val="21"/>
        </w:rPr>
        <w:t>允许偏差</w:t>
      </w:r>
      <w:r>
        <w:rPr>
          <w:rFonts w:hint="eastAsia" w:ascii="Times New Roman"/>
          <w:szCs w:val="21"/>
          <w:lang w:val="en-US" w:eastAsia="zh-CN"/>
        </w:rPr>
        <w:t xml:space="preserve">                        </w:t>
      </w:r>
      <w:r>
        <w:rPr>
          <w:rFonts w:hint="eastAsia" w:ascii="宋体" w:hAnsi="宋体" w:eastAsia="宋体" w:cs="宋体"/>
          <w:szCs w:val="21"/>
          <w:lang w:val="en-US" w:eastAsia="zh-CN"/>
        </w:rPr>
        <w:t>单位为毫米</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6"/>
      </w:tblGrid>
      <w:tr w14:paraId="6C81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2498" w:type="pct"/>
            <w:vAlign w:val="center"/>
          </w:tcPr>
          <w:p w14:paraId="26A00F70">
            <w:pPr>
              <w:jc w:val="center"/>
              <w:rPr>
                <w:sz w:val="18"/>
                <w:szCs w:val="18"/>
              </w:rPr>
            </w:pPr>
            <w:r>
              <w:rPr>
                <w:rFonts w:hint="eastAsia"/>
                <w:sz w:val="18"/>
                <w:szCs w:val="18"/>
                <w:lang w:val="en-US" w:eastAsia="zh-CN"/>
              </w:rPr>
              <w:t>公称</w:t>
            </w:r>
            <w:r>
              <w:rPr>
                <w:sz w:val="18"/>
                <w:szCs w:val="18"/>
              </w:rPr>
              <w:t>壁厚</w:t>
            </w:r>
          </w:p>
          <w:p w14:paraId="23AD9379">
            <w:pPr>
              <w:jc w:val="center"/>
              <w:rPr>
                <w:sz w:val="18"/>
                <w:szCs w:val="18"/>
              </w:rPr>
            </w:pPr>
            <w:r>
              <w:rPr>
                <w:rFonts w:hint="eastAsia"/>
                <w:sz w:val="18"/>
                <w:szCs w:val="18"/>
                <w:lang w:val="en-US" w:eastAsia="zh-CN"/>
              </w:rPr>
              <w:t>（</w:t>
            </w:r>
            <w:r>
              <w:rPr>
                <w:rFonts w:hint="eastAsia"/>
                <w:i/>
                <w:iCs/>
                <w:sz w:val="18"/>
                <w:szCs w:val="18"/>
                <w:lang w:val="en-US" w:eastAsia="zh-CN"/>
              </w:rPr>
              <w:t>S</w:t>
            </w:r>
            <w:r>
              <w:rPr>
                <w:rFonts w:hint="eastAsia"/>
                <w:sz w:val="18"/>
                <w:szCs w:val="18"/>
                <w:lang w:val="en-US" w:eastAsia="zh-CN"/>
              </w:rPr>
              <w:t>）</w:t>
            </w:r>
          </w:p>
        </w:tc>
        <w:tc>
          <w:tcPr>
            <w:tcW w:w="2501" w:type="pct"/>
            <w:vAlign w:val="center"/>
          </w:tcPr>
          <w:p w14:paraId="64205F1D">
            <w:pPr>
              <w:jc w:val="center"/>
              <w:rPr>
                <w:rFonts w:hint="eastAsia" w:eastAsia="宋体"/>
                <w:sz w:val="18"/>
                <w:szCs w:val="18"/>
                <w:lang w:val="en-US" w:eastAsia="zh-CN"/>
              </w:rPr>
            </w:pPr>
            <w:r>
              <w:rPr>
                <w:rFonts w:hint="eastAsia"/>
                <w:sz w:val="18"/>
                <w:szCs w:val="18"/>
                <w:lang w:val="en-US" w:eastAsia="zh-CN"/>
              </w:rPr>
              <w:t>允许偏差</w:t>
            </w:r>
          </w:p>
        </w:tc>
      </w:tr>
      <w:tr w14:paraId="0310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2498" w:type="pct"/>
            <w:vAlign w:val="center"/>
          </w:tcPr>
          <w:p w14:paraId="513F3FE4">
            <w:pPr>
              <w:jc w:val="center"/>
              <w:rPr>
                <w:sz w:val="18"/>
                <w:szCs w:val="18"/>
              </w:rPr>
            </w:pPr>
            <w:r>
              <w:rPr>
                <w:sz w:val="18"/>
                <w:szCs w:val="18"/>
              </w:rPr>
              <w:t>0.89</w:t>
            </w:r>
          </w:p>
        </w:tc>
        <w:tc>
          <w:tcPr>
            <w:tcW w:w="2501" w:type="pct"/>
          </w:tcPr>
          <w:p w14:paraId="29CE2DC6">
            <w:pPr>
              <w:jc w:val="center"/>
              <w:rPr>
                <w:sz w:val="18"/>
                <w:szCs w:val="18"/>
              </w:rPr>
            </w:pPr>
            <w:r>
              <w:rPr>
                <w:rFonts w:hint="eastAsia"/>
                <w:sz w:val="18"/>
                <w:szCs w:val="18"/>
              </w:rPr>
              <w:t>±</w:t>
            </w:r>
            <w:r>
              <w:rPr>
                <w:sz w:val="18"/>
                <w:szCs w:val="18"/>
              </w:rPr>
              <w:t>0.05</w:t>
            </w:r>
          </w:p>
        </w:tc>
      </w:tr>
      <w:tr w14:paraId="4EF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8" w:type="pct"/>
            <w:vAlign w:val="center"/>
          </w:tcPr>
          <w:p w14:paraId="4BC1A91A">
            <w:pPr>
              <w:jc w:val="center"/>
              <w:rPr>
                <w:sz w:val="18"/>
                <w:szCs w:val="18"/>
              </w:rPr>
            </w:pPr>
            <w:r>
              <w:rPr>
                <w:sz w:val="18"/>
                <w:szCs w:val="18"/>
              </w:rPr>
              <w:t>1.24</w:t>
            </w:r>
          </w:p>
        </w:tc>
        <w:tc>
          <w:tcPr>
            <w:tcW w:w="2501" w:type="pct"/>
          </w:tcPr>
          <w:p w14:paraId="56614A34">
            <w:pPr>
              <w:jc w:val="center"/>
              <w:rPr>
                <w:sz w:val="18"/>
                <w:szCs w:val="18"/>
              </w:rPr>
            </w:pPr>
            <w:r>
              <w:rPr>
                <w:rFonts w:hint="eastAsia"/>
                <w:sz w:val="18"/>
                <w:szCs w:val="18"/>
              </w:rPr>
              <w:t>±</w:t>
            </w:r>
            <w:r>
              <w:rPr>
                <w:sz w:val="18"/>
                <w:szCs w:val="18"/>
              </w:rPr>
              <w:t>0.05</w:t>
            </w:r>
          </w:p>
        </w:tc>
      </w:tr>
      <w:tr w14:paraId="3EA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8" w:type="pct"/>
            <w:vAlign w:val="center"/>
          </w:tcPr>
          <w:p w14:paraId="77F767B3">
            <w:pPr>
              <w:jc w:val="center"/>
              <w:rPr>
                <w:sz w:val="18"/>
                <w:szCs w:val="18"/>
              </w:rPr>
            </w:pPr>
            <w:r>
              <w:rPr>
                <w:rFonts w:hint="eastAsia"/>
                <w:sz w:val="18"/>
                <w:szCs w:val="18"/>
              </w:rPr>
              <w:t>1</w:t>
            </w:r>
            <w:r>
              <w:rPr>
                <w:sz w:val="18"/>
                <w:szCs w:val="18"/>
              </w:rPr>
              <w:t>.65</w:t>
            </w:r>
          </w:p>
        </w:tc>
        <w:tc>
          <w:tcPr>
            <w:tcW w:w="2501" w:type="pct"/>
          </w:tcPr>
          <w:p w14:paraId="68FC2276">
            <w:pPr>
              <w:jc w:val="center"/>
              <w:rPr>
                <w:sz w:val="18"/>
                <w:szCs w:val="18"/>
              </w:rPr>
            </w:pPr>
            <w:r>
              <w:rPr>
                <w:rFonts w:hint="eastAsia"/>
                <w:sz w:val="18"/>
                <w:szCs w:val="18"/>
              </w:rPr>
              <w:t>±</w:t>
            </w:r>
            <w:r>
              <w:rPr>
                <w:sz w:val="18"/>
                <w:szCs w:val="18"/>
              </w:rPr>
              <w:t>0.05</w:t>
            </w:r>
          </w:p>
        </w:tc>
      </w:tr>
      <w:tr w14:paraId="1175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2498" w:type="pct"/>
            <w:vAlign w:val="center"/>
          </w:tcPr>
          <w:p w14:paraId="08F84742">
            <w:pPr>
              <w:jc w:val="center"/>
              <w:rPr>
                <w:sz w:val="18"/>
                <w:szCs w:val="18"/>
              </w:rPr>
            </w:pPr>
            <w:r>
              <w:rPr>
                <w:rFonts w:hint="eastAsia"/>
                <w:sz w:val="18"/>
                <w:szCs w:val="18"/>
              </w:rPr>
              <w:t>2.</w:t>
            </w:r>
            <w:r>
              <w:rPr>
                <w:sz w:val="18"/>
                <w:szCs w:val="18"/>
              </w:rPr>
              <w:t>0</w:t>
            </w:r>
          </w:p>
        </w:tc>
        <w:tc>
          <w:tcPr>
            <w:tcW w:w="2501" w:type="pct"/>
          </w:tcPr>
          <w:p w14:paraId="169A3870">
            <w:pPr>
              <w:jc w:val="center"/>
              <w:rPr>
                <w:sz w:val="18"/>
                <w:szCs w:val="18"/>
              </w:rPr>
            </w:pPr>
            <w:r>
              <w:rPr>
                <w:rFonts w:hint="eastAsia"/>
                <w:sz w:val="18"/>
                <w:szCs w:val="18"/>
              </w:rPr>
              <w:t>±</w:t>
            </w:r>
            <w:r>
              <w:rPr>
                <w:sz w:val="18"/>
                <w:szCs w:val="18"/>
              </w:rPr>
              <w:t>0.05</w:t>
            </w:r>
          </w:p>
        </w:tc>
      </w:tr>
    </w:tbl>
    <w:p w14:paraId="14CB7A6D">
      <w:pPr>
        <w:pStyle w:val="76"/>
        <w:numPr>
          <w:ilvl w:val="3"/>
          <w:numId w:val="17"/>
        </w:numPr>
        <w:tabs>
          <w:tab w:val="left" w:pos="57"/>
          <w:tab w:val="clear" w:pos="0"/>
        </w:tabs>
        <w:spacing w:before="156" w:after="156"/>
        <w:rPr>
          <w:rFonts w:ascii="Times New Roman" w:eastAsia="宋体"/>
        </w:rPr>
      </w:pPr>
      <w:r>
        <w:rPr>
          <w:rFonts w:ascii="Times New Roman" w:eastAsia="宋体"/>
        </w:rPr>
        <w:t>根据需方要求，经供需双方协商，并在合同中注明，可供表</w:t>
      </w:r>
      <w:r>
        <w:rPr>
          <w:rFonts w:hint="eastAsia" w:ascii="Times New Roman" w:eastAsia="宋体"/>
          <w:lang w:val="en-US" w:eastAsia="zh-CN"/>
        </w:rPr>
        <w:t>6</w:t>
      </w:r>
      <w:r>
        <w:rPr>
          <w:rFonts w:ascii="Times New Roman" w:eastAsia="宋体"/>
        </w:rPr>
        <w:t>和表</w:t>
      </w:r>
      <w:r>
        <w:rPr>
          <w:rFonts w:hint="eastAsia" w:ascii="Times New Roman" w:eastAsia="宋体"/>
          <w:lang w:val="en-US" w:eastAsia="zh-CN"/>
        </w:rPr>
        <w:t>7</w:t>
      </w:r>
      <w:r>
        <w:rPr>
          <w:rFonts w:ascii="Times New Roman" w:eastAsia="宋体"/>
        </w:rPr>
        <w:t>规定以外尺寸</w:t>
      </w:r>
      <w:r>
        <w:rPr>
          <w:rFonts w:hint="eastAsia" w:ascii="Times New Roman" w:eastAsia="宋体"/>
          <w:lang w:val="en-US" w:eastAsia="zh-CN"/>
        </w:rPr>
        <w:t>允许偏差的钢管</w:t>
      </w:r>
      <w:r>
        <w:rPr>
          <w:rFonts w:ascii="Times New Roman" w:eastAsia="宋体"/>
        </w:rPr>
        <w:t>。</w:t>
      </w:r>
    </w:p>
    <w:p w14:paraId="106789E0">
      <w:pPr>
        <w:pStyle w:val="31"/>
        <w:widowControl/>
        <w:numPr>
          <w:ilvl w:val="2"/>
          <w:numId w:val="17"/>
        </w:numPr>
        <w:spacing w:before="156" w:beforeLines="50" w:after="156" w:afterLines="50"/>
        <w:jc w:val="left"/>
        <w:outlineLvl w:val="2"/>
        <w:rPr>
          <w:rFonts w:eastAsia="黑体"/>
          <w:kern w:val="0"/>
          <w:sz w:val="21"/>
          <w:szCs w:val="21"/>
        </w:rPr>
      </w:pPr>
      <w:r>
        <w:rPr>
          <w:rFonts w:eastAsia="黑体"/>
          <w:kern w:val="0"/>
          <w:sz w:val="21"/>
          <w:szCs w:val="21"/>
        </w:rPr>
        <w:t>长度</w:t>
      </w:r>
    </w:p>
    <w:p w14:paraId="0D5655A9">
      <w:pPr>
        <w:pStyle w:val="31"/>
        <w:widowControl/>
        <w:numPr>
          <w:ilvl w:val="3"/>
          <w:numId w:val="17"/>
        </w:numPr>
        <w:spacing w:before="156" w:beforeLines="50" w:after="156" w:afterLines="50"/>
        <w:jc w:val="left"/>
        <w:outlineLvl w:val="2"/>
        <w:rPr>
          <w:rFonts w:eastAsia="黑体"/>
          <w:kern w:val="0"/>
          <w:sz w:val="21"/>
          <w:szCs w:val="21"/>
        </w:rPr>
      </w:pPr>
      <w:r>
        <w:rPr>
          <w:rFonts w:eastAsia="黑体"/>
          <w:kern w:val="0"/>
          <w:sz w:val="21"/>
          <w:szCs w:val="21"/>
        </w:rPr>
        <w:t>通常长度</w:t>
      </w:r>
    </w:p>
    <w:p w14:paraId="7DB4432C">
      <w:pPr>
        <w:pStyle w:val="76"/>
        <w:numPr>
          <w:ilvl w:val="3"/>
          <w:numId w:val="17"/>
        </w:numPr>
        <w:tabs>
          <w:tab w:val="left" w:pos="57"/>
          <w:tab w:val="clear" w:pos="0"/>
        </w:tabs>
        <w:spacing w:before="156" w:after="156"/>
        <w:rPr>
          <w:rFonts w:ascii="Times New Roman" w:hAnsi="Times New Roman" w:eastAsia="宋体" w:cs="Times New Roman"/>
        </w:rPr>
      </w:pPr>
      <w:r>
        <w:rPr>
          <w:rFonts w:ascii="Times New Roman" w:hAnsi="Times New Roman" w:eastAsia="宋体" w:cs="Times New Roman"/>
        </w:rPr>
        <w:t>钢管的通常长度范围为3000 mm~8000 mm。</w:t>
      </w:r>
    </w:p>
    <w:p w14:paraId="6EE63137">
      <w:pPr>
        <w:pStyle w:val="76"/>
        <w:numPr>
          <w:ilvl w:val="3"/>
          <w:numId w:val="17"/>
        </w:numPr>
        <w:tabs>
          <w:tab w:val="left" w:pos="57"/>
          <w:tab w:val="clear" w:pos="0"/>
        </w:tabs>
        <w:spacing w:before="156" w:after="156"/>
        <w:rPr>
          <w:rFonts w:ascii="Times New Roman" w:hAnsi="Times New Roman" w:eastAsia="宋体" w:cs="Times New Roman"/>
        </w:rPr>
      </w:pPr>
      <w:r>
        <w:rPr>
          <w:rFonts w:ascii="Times New Roman" w:hAnsi="Times New Roman" w:eastAsia="宋体" w:cs="Times New Roman"/>
        </w:rPr>
        <w:t>经供需双方协商，并在合同中注明，可交付长度短于3000 mm但不短于500 mm的钢管。</w:t>
      </w:r>
    </w:p>
    <w:p w14:paraId="4AA94A19">
      <w:pPr>
        <w:pStyle w:val="76"/>
        <w:numPr>
          <w:ilvl w:val="3"/>
          <w:numId w:val="17"/>
        </w:numPr>
        <w:tabs>
          <w:tab w:val="left" w:pos="57"/>
          <w:tab w:val="clear" w:pos="0"/>
        </w:tabs>
        <w:spacing w:before="156" w:after="156"/>
        <w:rPr>
          <w:rFonts w:ascii="Times New Roman"/>
        </w:rPr>
      </w:pPr>
      <w:r>
        <w:rPr>
          <w:rFonts w:ascii="Times New Roman"/>
        </w:rPr>
        <w:t>定尺、倍尺长度</w:t>
      </w:r>
    </w:p>
    <w:p w14:paraId="1072C023">
      <w:pPr>
        <w:spacing w:line="360" w:lineRule="exact"/>
        <w:ind w:firstLine="420" w:firstLineChars="200"/>
      </w:pPr>
      <w:r>
        <w:t>根据需方要求，经供需双方协商，并在合同中注明，钢管可按定尺或倍尺长度交货。定尺长度和倍尺总长度在通常长度范围内，定尺全长（L）允许偏差应为</w:t>
      </w:r>
      <m:oMath>
        <m:sSubSup>
          <m:sSubSupPr>
            <m:ctrlPr>
              <w:rPr>
                <w:rFonts w:ascii="Cambria Math" w:hAnsi="Cambria Math"/>
                <w:i/>
              </w:rPr>
            </m:ctrlPr>
          </m:sSubSupPr>
          <m:e>
            <m:r>
              <m:rPr/>
              <w:rPr>
                <w:rFonts w:ascii="Cambria Math" w:hAnsi="Cambria Math"/>
              </w:rPr>
              <m:t>L</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+10</m:t>
            </m:r>
            <m:ctrlPr>
              <w:rPr>
                <w:rFonts w:ascii="Cambria Math" w:hAnsi="Cambria Math"/>
                <w:i/>
              </w:rPr>
            </m:ctrlPr>
          </m:sup>
        </m:sSubSup>
      </m:oMath>
      <w:r>
        <w:t xml:space="preserve"> mm；每个倍尺长度留出切口余量5 mm~10 mm。</w:t>
      </w:r>
    </w:p>
    <w:p w14:paraId="6DDBF17B">
      <w:pPr>
        <w:pStyle w:val="31"/>
        <w:widowControl/>
        <w:numPr>
          <w:ilvl w:val="2"/>
          <w:numId w:val="17"/>
        </w:numPr>
        <w:spacing w:before="156" w:beforeLines="50" w:after="156" w:afterLines="50"/>
        <w:jc w:val="left"/>
        <w:outlineLvl w:val="2"/>
        <w:rPr>
          <w:rFonts w:eastAsia="黑体"/>
          <w:kern w:val="0"/>
          <w:sz w:val="21"/>
          <w:szCs w:val="21"/>
        </w:rPr>
      </w:pPr>
      <w:r>
        <w:rPr>
          <w:rFonts w:hint="eastAsia" w:eastAsia="黑体"/>
          <w:kern w:val="0"/>
          <w:sz w:val="21"/>
          <w:szCs w:val="21"/>
          <w:lang w:val="en-US" w:eastAsia="zh-CN"/>
        </w:rPr>
        <w:t>弯曲度</w:t>
      </w:r>
    </w:p>
    <w:p w14:paraId="2AFE865F">
      <w:pPr>
        <w:spacing w:line="360" w:lineRule="exact"/>
        <w:ind w:firstLine="420" w:firstLineChars="200"/>
        <w:rPr>
          <w:rFonts w:hint="eastAsia" w:ascii="Times New Roman" w:hAnsi="Times New Roman" w:eastAsia="宋体" w:cs="Times New Roman"/>
          <w:lang w:eastAsia="zh-CN"/>
        </w:rPr>
      </w:pPr>
      <w:r>
        <w:rPr>
          <w:rFonts w:ascii="Times New Roman" w:hAnsi="Times New Roman" w:eastAsia="宋体" w:cs="Times New Roman"/>
        </w:rPr>
        <w:t>钢管</w:t>
      </w:r>
      <w:r>
        <w:rPr>
          <w:rFonts w:hint="eastAsia" w:cs="Times New Roman"/>
          <w:lang w:val="en-US" w:eastAsia="zh-CN"/>
        </w:rPr>
        <w:t>每米的</w:t>
      </w:r>
      <w:r>
        <w:rPr>
          <w:rFonts w:ascii="Times New Roman" w:hAnsi="Times New Roman" w:eastAsia="宋体" w:cs="Times New Roman"/>
        </w:rPr>
        <w:t>弯曲度应不大于1.5 mm，全长弯曲度应不大于总长的0.12%。其它特殊弯曲度要求应在合同中注明。根据需方要求，经供需双方协商，并在合同中注明，钢管的每米弯曲度和全长弯曲度可采用其它规定</w:t>
      </w:r>
      <w:r>
        <w:rPr>
          <w:rFonts w:hint="eastAsia" w:ascii="Times New Roman" w:hAnsi="Times New Roman" w:eastAsia="宋体" w:cs="Times New Roman"/>
          <w:lang w:eastAsia="zh-CN"/>
        </w:rPr>
        <w:t>。</w:t>
      </w:r>
    </w:p>
    <w:p w14:paraId="09848629">
      <w:pPr>
        <w:pStyle w:val="31"/>
        <w:widowControl/>
        <w:numPr>
          <w:ilvl w:val="2"/>
          <w:numId w:val="17"/>
        </w:numPr>
        <w:spacing w:before="156" w:beforeLines="50" w:after="156" w:afterLines="50"/>
        <w:jc w:val="left"/>
        <w:outlineLvl w:val="2"/>
        <w:rPr>
          <w:rFonts w:eastAsia="黑体"/>
          <w:kern w:val="0"/>
          <w:sz w:val="21"/>
          <w:szCs w:val="21"/>
        </w:rPr>
      </w:pPr>
      <w:r>
        <w:rPr>
          <w:rFonts w:hint="eastAsia" w:eastAsia="黑体"/>
          <w:kern w:val="0"/>
          <w:sz w:val="21"/>
          <w:szCs w:val="21"/>
          <w:lang w:val="en-US" w:eastAsia="zh-CN"/>
        </w:rPr>
        <w:t>端头</w:t>
      </w:r>
      <w:r>
        <w:rPr>
          <w:rFonts w:eastAsia="黑体"/>
          <w:kern w:val="0"/>
          <w:sz w:val="21"/>
          <w:szCs w:val="21"/>
        </w:rPr>
        <w:t>外形</w:t>
      </w:r>
    </w:p>
    <w:p w14:paraId="0D615B89">
      <w:pPr>
        <w:pStyle w:val="76"/>
        <w:numPr>
          <w:ilvl w:val="3"/>
          <w:numId w:val="17"/>
        </w:numPr>
        <w:tabs>
          <w:tab w:val="left" w:pos="57"/>
          <w:tab w:val="clear" w:pos="0"/>
        </w:tabs>
        <w:spacing w:before="156" w:after="156"/>
        <w:rPr>
          <w:rFonts w:ascii="Times New Roman" w:hAnsi="Times New Roman" w:eastAsia="宋体" w:cs="Times New Roman"/>
        </w:rPr>
      </w:pPr>
      <w:r>
        <w:rPr>
          <w:rFonts w:hint="eastAsia" w:ascii="Times New Roman" w:hAnsi="Times New Roman" w:eastAsia="宋体" w:cs="Times New Roman"/>
          <w:lang w:val="en-US" w:eastAsia="zh-CN"/>
        </w:rPr>
        <w:t>钢管两端应垂直平切，并应清除切口毛刺。</w:t>
      </w:r>
    </w:p>
    <w:p w14:paraId="6F017778">
      <w:pPr>
        <w:pStyle w:val="76"/>
        <w:numPr>
          <w:ilvl w:val="3"/>
          <w:numId w:val="17"/>
        </w:numPr>
        <w:tabs>
          <w:tab w:val="left" w:pos="57"/>
          <w:tab w:val="clear" w:pos="0"/>
        </w:tabs>
        <w:spacing w:before="156" w:after="15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根据需方要求，经供需双方协商，钢管两端可加工坡口，坡口型式由供需双方协商确定。</w:t>
      </w:r>
    </w:p>
    <w:p w14:paraId="239DECFF">
      <w:pPr>
        <w:pStyle w:val="31"/>
        <w:widowControl/>
        <w:numPr>
          <w:ilvl w:val="2"/>
          <w:numId w:val="17"/>
        </w:numPr>
        <w:spacing w:before="156" w:beforeLines="50" w:after="156" w:afterLines="50"/>
        <w:ind w:left="0" w:leftChars="0" w:firstLine="0" w:firstLineChars="0"/>
        <w:jc w:val="left"/>
        <w:outlineLvl w:val="2"/>
        <w:rPr>
          <w:rFonts w:eastAsia="黑体"/>
          <w:kern w:val="0"/>
          <w:sz w:val="21"/>
          <w:szCs w:val="21"/>
        </w:rPr>
      </w:pPr>
      <w:r>
        <w:rPr>
          <w:rFonts w:eastAsia="黑体"/>
          <w:kern w:val="0"/>
          <w:sz w:val="21"/>
          <w:szCs w:val="21"/>
        </w:rPr>
        <w:t>不圆度和壁厚不均</w:t>
      </w:r>
    </w:p>
    <w:p w14:paraId="7560871B">
      <w:pPr>
        <w:spacing w:line="360" w:lineRule="exact"/>
        <w:ind w:firstLine="420" w:firstLineChars="200"/>
      </w:pPr>
      <w:r>
        <w:rPr>
          <w:rFonts w:hint="eastAsia"/>
          <w:lang w:val="en-US" w:eastAsia="zh-CN"/>
        </w:rPr>
        <w:t>根据需方要求，经供需双方协商，钢管的不圆度和壁厚</w:t>
      </w:r>
      <w:r>
        <w:t>不均应分别不超过外径公差和壁厚公差的80%。</w:t>
      </w:r>
    </w:p>
    <w:p w14:paraId="03BE3E02">
      <w:pPr>
        <w:pStyle w:val="31"/>
        <w:widowControl/>
        <w:numPr>
          <w:ilvl w:val="2"/>
          <w:numId w:val="17"/>
        </w:numPr>
        <w:spacing w:before="156" w:beforeLines="50" w:after="156" w:afterLines="50"/>
        <w:jc w:val="left"/>
        <w:outlineLvl w:val="2"/>
        <w:rPr>
          <w:rFonts w:eastAsia="黑体"/>
          <w:kern w:val="0"/>
          <w:sz w:val="21"/>
          <w:szCs w:val="21"/>
        </w:rPr>
      </w:pPr>
      <w:r>
        <w:rPr>
          <w:rFonts w:eastAsia="黑体"/>
          <w:kern w:val="0"/>
          <w:sz w:val="21"/>
          <w:szCs w:val="21"/>
        </w:rPr>
        <w:t>重量</w:t>
      </w:r>
    </w:p>
    <w:p w14:paraId="3ABDFFF0">
      <w:pPr>
        <w:pStyle w:val="76"/>
        <w:numPr>
          <w:ilvl w:val="3"/>
          <w:numId w:val="17"/>
        </w:numPr>
        <w:tabs>
          <w:tab w:val="left" w:pos="57"/>
          <w:tab w:val="clear" w:pos="0"/>
        </w:tabs>
        <w:spacing w:before="156" w:after="156"/>
        <w:rPr>
          <w:rFonts w:ascii="Times New Roman" w:eastAsia="宋体"/>
        </w:rPr>
      </w:pPr>
      <w:r>
        <w:rPr>
          <w:rFonts w:ascii="Times New Roman" w:eastAsia="宋体"/>
        </w:rPr>
        <w:t>钢管按实际重量交货。经供需双方协商，</w:t>
      </w:r>
      <w:r>
        <w:rPr>
          <w:rFonts w:hint="eastAsia" w:ascii="Times New Roman" w:eastAsia="宋体"/>
          <w:lang w:val="en-US" w:eastAsia="zh-CN"/>
        </w:rPr>
        <w:t>钢管可采用理论重量交货</w:t>
      </w:r>
      <w:r>
        <w:rPr>
          <w:rFonts w:ascii="Times New Roman" w:eastAsia="宋体"/>
        </w:rPr>
        <w:t>。钢管每米理论重量按式（3）计算：</w:t>
      </w:r>
    </w:p>
    <w:p w14:paraId="6A0CDE39">
      <w:pPr>
        <w:pStyle w:val="163"/>
        <w:shd w:val="clear" w:color="auto" w:fill="auto"/>
        <w:tabs>
          <w:tab w:val="left" w:pos="2606"/>
          <w:tab w:val="left" w:leader="dot" w:pos="4661"/>
        </w:tabs>
        <w:spacing w:after="0" w:line="240" w:lineRule="auto"/>
        <w:jc w:val="right"/>
        <w:rPr>
          <w:rFonts w:ascii="Times New Roman" w:hAnsi="Times New Roman" w:eastAsia="宋体"/>
          <w:iCs/>
          <w:color w:val="000000"/>
          <w:spacing w:val="0"/>
          <w:sz w:val="21"/>
          <w:szCs w:val="21"/>
          <w:lang w:bidi="zh-TW"/>
        </w:rPr>
      </w:pPr>
      <m:oMath>
        <w:bookmarkStart w:id="31" w:name="_Toc22847"/>
        <m:r>
          <m:rPr/>
          <w:rPr>
            <w:rFonts w:ascii="Cambria Math" w:hAnsi="Cambria Math" w:eastAsia="宋体"/>
            <w:color w:val="000000"/>
            <w:spacing w:val="0"/>
            <w:sz w:val="28"/>
            <w:szCs w:val="28"/>
            <w:lang w:bidi="zh-TW"/>
          </w:rPr>
          <m:t>W=</m:t>
        </m:r>
        <m:f>
          <m:fPr>
            <m:ctrlPr>
              <w:rPr>
                <w:rFonts w:ascii="Cambria Math" w:hAnsi="Cambria Math" w:eastAsia="宋体"/>
                <w:i/>
                <w:color w:val="000000"/>
                <w:spacing w:val="0"/>
                <w:sz w:val="28"/>
                <w:szCs w:val="28"/>
                <w:lang w:bidi="zh-TW"/>
              </w:rPr>
            </m:ctrlPr>
          </m:fPr>
          <m:num>
            <m:r>
              <m:rPr/>
              <w:rPr>
                <w:rFonts w:ascii="Cambria Math" w:hAnsi="Cambria Math"/>
                <w:color w:val="000000"/>
                <w:spacing w:val="0"/>
                <w:sz w:val="28"/>
                <w:szCs w:val="28"/>
                <w:lang w:bidi="zh-TW"/>
              </w:rPr>
              <m:t>π</m:t>
            </m:r>
            <m:ctrlPr>
              <w:rPr>
                <w:rFonts w:ascii="Cambria Math" w:hAnsi="Cambria Math" w:eastAsia="宋体"/>
                <w:i/>
                <w:color w:val="000000"/>
                <w:spacing w:val="0"/>
                <w:sz w:val="28"/>
                <w:szCs w:val="28"/>
                <w:lang w:bidi="zh-TW"/>
              </w:rPr>
            </m:ctrlPr>
          </m:num>
          <m:den>
            <m:r>
              <m:rPr/>
              <w:rPr>
                <w:rFonts w:ascii="Cambria Math" w:hAnsi="Cambria Math" w:eastAsia="宋体"/>
                <w:color w:val="000000"/>
                <w:spacing w:val="0"/>
                <w:sz w:val="28"/>
                <w:szCs w:val="28"/>
                <w:lang w:bidi="zh-TW"/>
              </w:rPr>
              <m:t>1000</m:t>
            </m:r>
            <m:ctrlPr>
              <w:rPr>
                <w:rFonts w:ascii="Cambria Math" w:hAnsi="Cambria Math" w:eastAsia="宋体"/>
                <w:i/>
                <w:color w:val="000000"/>
                <w:spacing w:val="0"/>
                <w:sz w:val="28"/>
                <w:szCs w:val="28"/>
                <w:lang w:bidi="zh-TW"/>
              </w:rPr>
            </m:ctrlPr>
          </m:den>
        </m:f>
        <m:r>
          <m:rPr/>
          <w:rPr>
            <w:rFonts w:ascii="Cambria Math" w:hAnsi="Cambria Math" w:eastAsia="宋体"/>
            <w:color w:val="000000"/>
            <w:spacing w:val="0"/>
            <w:sz w:val="28"/>
            <w:szCs w:val="28"/>
            <w:lang w:bidi="zh-TW"/>
          </w:rPr>
          <m:t>ρS(D−S)</m:t>
        </m:r>
      </m:oMath>
      <w:r>
        <w:rPr>
          <w:rFonts w:ascii="Times New Roman" w:hAnsi="Times New Roman" w:eastAsia="宋体"/>
          <w:iCs/>
          <w:color w:val="000000"/>
          <w:spacing w:val="0"/>
          <w:sz w:val="21"/>
          <w:szCs w:val="21"/>
          <w:lang w:bidi="zh-TW"/>
        </w:rPr>
        <w:t xml:space="preserve">                               （3）</w:t>
      </w:r>
    </w:p>
    <w:p w14:paraId="6400EFA9">
      <w:pPr>
        <w:spacing w:line="360" w:lineRule="exact"/>
        <w:ind w:firstLine="420" w:firstLineChars="200"/>
      </w:pPr>
      <w:r>
        <w:t>式中：</w:t>
      </w:r>
    </w:p>
    <w:p w14:paraId="136F2CBE">
      <w:pPr>
        <w:spacing w:line="360" w:lineRule="exact"/>
        <w:ind w:firstLine="420" w:firstLineChars="200"/>
      </w:pPr>
      <w:r>
        <w:rPr>
          <w:i/>
        </w:rPr>
        <w:t>W</w:t>
      </w:r>
      <w:r>
        <w:t>——钢管每米理论重量，单位为千克每米（kg/m）；</w:t>
      </w:r>
    </w:p>
    <w:p w14:paraId="613FF505">
      <w:pPr>
        <w:spacing w:line="360" w:lineRule="exact"/>
        <w:ind w:firstLine="420" w:firstLineChars="200"/>
      </w:pPr>
      <w:r>
        <w:rPr>
          <w:i/>
        </w:rPr>
        <w:t>π</w:t>
      </w:r>
      <w:r>
        <w:t>——3.1416；</w:t>
      </w:r>
    </w:p>
    <w:p w14:paraId="4808E202">
      <w:pPr>
        <w:spacing w:line="360" w:lineRule="exact"/>
        <w:ind w:firstLine="420" w:firstLineChars="200"/>
      </w:pPr>
      <w:r>
        <w:rPr>
          <w:i/>
        </w:rPr>
        <w:t>ρ</w:t>
      </w:r>
      <w:r>
        <w:t>——钢的密度，</w:t>
      </w:r>
      <w:r>
        <w:rPr>
          <w:rFonts w:hint="eastAsia"/>
          <w:lang w:val="en-US" w:eastAsia="zh-CN"/>
        </w:rPr>
        <w:t>7.93</w:t>
      </w:r>
      <w:r>
        <w:t>kg/dm</w:t>
      </w:r>
      <w:r>
        <w:rPr>
          <w:vertAlign w:val="superscript"/>
        </w:rPr>
        <w:t>3</w:t>
      </w:r>
      <w:r>
        <w:t>；</w:t>
      </w:r>
    </w:p>
    <w:p w14:paraId="2BAE93B4">
      <w:pPr>
        <w:spacing w:line="360" w:lineRule="exact"/>
        <w:ind w:firstLine="420" w:firstLineChars="200"/>
      </w:pPr>
      <w:r>
        <w:rPr>
          <w:i/>
        </w:rPr>
        <w:t>S</w:t>
      </w:r>
      <w:r>
        <w:t>——钢管的公称壁厚，单位为毫米（mm）；</w:t>
      </w:r>
    </w:p>
    <w:p w14:paraId="1E96FCA1">
      <w:pPr>
        <w:spacing w:line="360" w:lineRule="exact"/>
        <w:ind w:firstLine="420" w:firstLineChars="200"/>
      </w:pPr>
      <w:r>
        <w:rPr>
          <w:i/>
        </w:rPr>
        <w:t>D</w:t>
      </w:r>
      <w:r>
        <w:t>——钢管的公称外径，单位为毫米（mm）。</w:t>
      </w:r>
    </w:p>
    <w:p w14:paraId="59469F27">
      <w:pPr>
        <w:pStyle w:val="76"/>
        <w:numPr>
          <w:ilvl w:val="3"/>
          <w:numId w:val="17"/>
        </w:numPr>
        <w:tabs>
          <w:tab w:val="left" w:pos="57"/>
          <w:tab w:val="clear" w:pos="0"/>
        </w:tabs>
        <w:spacing w:before="156" w:after="156"/>
        <w:rPr>
          <w:rFonts w:ascii="Times New Roman" w:eastAsia="宋体"/>
        </w:rPr>
      </w:pPr>
      <w:r>
        <w:rPr>
          <w:rFonts w:ascii="Times New Roman" w:eastAsia="宋体"/>
        </w:rPr>
        <w:t>按最小壁厚交货</w:t>
      </w:r>
      <w:r>
        <w:rPr>
          <w:rFonts w:hint="eastAsia" w:ascii="Times New Roman" w:eastAsia="宋体"/>
          <w:lang w:val="en-US" w:eastAsia="zh-CN"/>
        </w:rPr>
        <w:t>时</w:t>
      </w:r>
      <w:r>
        <w:rPr>
          <w:rFonts w:ascii="Times New Roman" w:eastAsia="宋体"/>
        </w:rPr>
        <w:t>，应采用平均壁厚计算理论重量</w:t>
      </w:r>
      <w:r>
        <w:rPr>
          <w:rFonts w:hint="eastAsia" w:ascii="Times New Roman" w:eastAsia="宋体"/>
          <w:lang w:eastAsia="zh-CN"/>
        </w:rPr>
        <w:t>。</w:t>
      </w:r>
      <w:r>
        <w:rPr>
          <w:rFonts w:hint="eastAsia" w:ascii="Times New Roman" w:eastAsia="宋体"/>
          <w:lang w:val="en-US" w:eastAsia="zh-CN"/>
        </w:rPr>
        <w:t>按公称内径交货钢管，应采用计算外径计算理论重量</w:t>
      </w:r>
      <w:r>
        <w:rPr>
          <w:rFonts w:ascii="Times New Roman" w:eastAsia="宋体"/>
        </w:rPr>
        <w:t>。</w:t>
      </w:r>
    </w:p>
    <w:p w14:paraId="324D9E35">
      <w:pPr>
        <w:pStyle w:val="76"/>
        <w:numPr>
          <w:ilvl w:val="3"/>
          <w:numId w:val="17"/>
        </w:numPr>
        <w:tabs>
          <w:tab w:val="left" w:pos="57"/>
          <w:tab w:val="clear" w:pos="0"/>
        </w:tabs>
        <w:spacing w:before="156" w:after="156"/>
        <w:rPr>
          <w:rFonts w:ascii="Times New Roman" w:eastAsia="宋体"/>
        </w:rPr>
      </w:pPr>
      <w:r>
        <w:rPr>
          <w:rFonts w:ascii="Times New Roman" w:eastAsia="宋体"/>
        </w:rPr>
        <w:t>钢管按理论重量交货时，供需双方可协商重量允许偏差，并在合同中注明。</w:t>
      </w:r>
    </w:p>
    <w:p w14:paraId="796F3E9E">
      <w:pPr>
        <w:pStyle w:val="31"/>
        <w:widowControl/>
        <w:numPr>
          <w:ilvl w:val="0"/>
          <w:numId w:val="17"/>
        </w:numPr>
        <w:spacing w:before="312" w:beforeLines="100" w:after="312" w:afterLines="100"/>
        <w:outlineLvl w:val="1"/>
        <w:rPr>
          <w:rFonts w:eastAsia="黑体"/>
          <w:sz w:val="21"/>
          <w:szCs w:val="21"/>
        </w:rPr>
      </w:pPr>
      <w:r>
        <w:rPr>
          <w:rFonts w:eastAsia="黑体"/>
          <w:sz w:val="21"/>
          <w:szCs w:val="21"/>
        </w:rPr>
        <w:t>试验方法</w:t>
      </w:r>
      <w:bookmarkEnd w:id="31"/>
    </w:p>
    <w:p w14:paraId="58097536">
      <w:pPr>
        <w:pStyle w:val="31"/>
        <w:widowControl/>
        <w:numPr>
          <w:ilvl w:val="1"/>
          <w:numId w:val="17"/>
        </w:numPr>
        <w:spacing w:before="156" w:beforeLines="50" w:after="156" w:afterLines="50"/>
        <w:jc w:val="left"/>
        <w:outlineLvl w:val="2"/>
        <w:rPr>
          <w:kern w:val="0"/>
          <w:sz w:val="21"/>
          <w:szCs w:val="21"/>
        </w:rPr>
      </w:pPr>
      <w:r>
        <w:rPr>
          <w:kern w:val="0"/>
          <w:sz w:val="21"/>
          <w:szCs w:val="21"/>
        </w:rPr>
        <w:t xml:space="preserve">钢的化学成分一般按GB/T 223（所有部分）、GB/T 11170、GB/T 11261、GB/T 20123、GB/T 20124、YB/T </w:t>
      </w:r>
      <w:r>
        <w:rPr>
          <w:rFonts w:hint="eastAsia"/>
          <w:kern w:val="0"/>
          <w:sz w:val="21"/>
          <w:szCs w:val="21"/>
          <w:lang w:val="en-US" w:eastAsia="zh-CN"/>
        </w:rPr>
        <w:t>4395、YB/T 4396</w:t>
      </w:r>
      <w:r>
        <w:rPr>
          <w:kern w:val="0"/>
          <w:sz w:val="21"/>
          <w:szCs w:val="21"/>
        </w:rPr>
        <w:t>或通用的化学分析方法进行，仲裁时由供需双方协商确定。</w:t>
      </w:r>
    </w:p>
    <w:p w14:paraId="1DF97991">
      <w:pPr>
        <w:pStyle w:val="31"/>
        <w:widowControl/>
        <w:numPr>
          <w:ilvl w:val="1"/>
          <w:numId w:val="17"/>
        </w:numPr>
        <w:spacing w:before="156" w:beforeLines="50" w:after="156" w:afterLines="50"/>
        <w:jc w:val="left"/>
        <w:outlineLvl w:val="2"/>
        <w:rPr>
          <w:kern w:val="0"/>
          <w:sz w:val="21"/>
          <w:szCs w:val="21"/>
        </w:rPr>
      </w:pPr>
      <w:r>
        <w:rPr>
          <w:kern w:val="0"/>
          <w:sz w:val="21"/>
          <w:szCs w:val="21"/>
        </w:rPr>
        <w:t>钢管的检验项目、取样方法及试验方法应符合表8的规定。</w:t>
      </w:r>
    </w:p>
    <w:p w14:paraId="5D224EE6">
      <w:pPr>
        <w:pStyle w:val="116"/>
        <w:spacing w:before="156" w:after="156"/>
        <w:rPr>
          <w:rFonts w:ascii="Times New Roman"/>
          <w:szCs w:val="21"/>
        </w:rPr>
      </w:pPr>
      <w:r>
        <w:rPr>
          <w:rFonts w:ascii="Times New Roman"/>
          <w:szCs w:val="21"/>
        </w:rPr>
        <w:t>检验项目、取样数量、取样方法及试验方法</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22"/>
        <w:gridCol w:w="2977"/>
        <w:gridCol w:w="2328"/>
        <w:gridCol w:w="2227"/>
      </w:tblGrid>
      <w:tr w14:paraId="1BA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69" w:type="pct"/>
            <w:vAlign w:val="center"/>
          </w:tcPr>
          <w:p w14:paraId="6C31A5C7">
            <w:pPr>
              <w:jc w:val="center"/>
              <w:rPr>
                <w:sz w:val="18"/>
                <w:szCs w:val="18"/>
              </w:rPr>
            </w:pPr>
            <w:r>
              <w:rPr>
                <w:sz w:val="18"/>
                <w:szCs w:val="18"/>
              </w:rPr>
              <w:t>序号</w:t>
            </w:r>
          </w:p>
        </w:tc>
        <w:tc>
          <w:tcPr>
            <w:tcW w:w="691" w:type="pct"/>
            <w:vAlign w:val="center"/>
          </w:tcPr>
          <w:p w14:paraId="2357C683">
            <w:pPr>
              <w:jc w:val="center"/>
              <w:rPr>
                <w:sz w:val="18"/>
                <w:szCs w:val="18"/>
              </w:rPr>
            </w:pPr>
            <w:r>
              <w:rPr>
                <w:sz w:val="18"/>
                <w:szCs w:val="18"/>
              </w:rPr>
              <w:t>检验项目</w:t>
            </w:r>
          </w:p>
        </w:tc>
        <w:tc>
          <w:tcPr>
            <w:tcW w:w="1556" w:type="pct"/>
            <w:vAlign w:val="center"/>
          </w:tcPr>
          <w:p w14:paraId="1CFFA512">
            <w:pPr>
              <w:jc w:val="center"/>
              <w:rPr>
                <w:sz w:val="18"/>
                <w:szCs w:val="18"/>
              </w:rPr>
            </w:pPr>
            <w:r>
              <w:rPr>
                <w:sz w:val="18"/>
                <w:szCs w:val="18"/>
              </w:rPr>
              <w:t>取样数量</w:t>
            </w:r>
          </w:p>
        </w:tc>
        <w:tc>
          <w:tcPr>
            <w:tcW w:w="1217" w:type="pct"/>
            <w:vAlign w:val="center"/>
          </w:tcPr>
          <w:p w14:paraId="022BFF2D">
            <w:pPr>
              <w:jc w:val="center"/>
              <w:rPr>
                <w:sz w:val="18"/>
                <w:szCs w:val="18"/>
              </w:rPr>
            </w:pPr>
            <w:r>
              <w:rPr>
                <w:sz w:val="18"/>
                <w:szCs w:val="18"/>
              </w:rPr>
              <w:t>取样部位及方法</w:t>
            </w:r>
          </w:p>
        </w:tc>
        <w:tc>
          <w:tcPr>
            <w:tcW w:w="1164" w:type="pct"/>
            <w:vAlign w:val="center"/>
          </w:tcPr>
          <w:p w14:paraId="52A80819">
            <w:pPr>
              <w:jc w:val="center"/>
              <w:rPr>
                <w:sz w:val="18"/>
                <w:szCs w:val="18"/>
              </w:rPr>
            </w:pPr>
            <w:r>
              <w:rPr>
                <w:sz w:val="18"/>
                <w:szCs w:val="18"/>
              </w:rPr>
              <w:t>试验方法</w:t>
            </w:r>
          </w:p>
        </w:tc>
      </w:tr>
      <w:tr w14:paraId="2031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vAlign w:val="center"/>
          </w:tcPr>
          <w:p w14:paraId="09AA0B4D">
            <w:pPr>
              <w:jc w:val="center"/>
              <w:rPr>
                <w:rFonts w:hint="eastAsia" w:eastAsia="宋体"/>
                <w:sz w:val="18"/>
                <w:szCs w:val="18"/>
                <w:lang w:val="en-US" w:eastAsia="zh-CN"/>
              </w:rPr>
            </w:pPr>
            <w:r>
              <w:rPr>
                <w:rFonts w:hint="eastAsia"/>
                <w:sz w:val="18"/>
                <w:szCs w:val="18"/>
                <w:lang w:val="en-US" w:eastAsia="zh-CN"/>
              </w:rPr>
              <w:t>1</w:t>
            </w:r>
          </w:p>
        </w:tc>
        <w:tc>
          <w:tcPr>
            <w:tcW w:w="691" w:type="pct"/>
            <w:vAlign w:val="center"/>
          </w:tcPr>
          <w:p w14:paraId="31224981">
            <w:pPr>
              <w:jc w:val="center"/>
              <w:rPr>
                <w:sz w:val="18"/>
                <w:szCs w:val="18"/>
              </w:rPr>
            </w:pPr>
            <w:r>
              <w:rPr>
                <w:sz w:val="18"/>
                <w:szCs w:val="18"/>
              </w:rPr>
              <w:t>化学成分</w:t>
            </w:r>
          </w:p>
        </w:tc>
        <w:tc>
          <w:tcPr>
            <w:tcW w:w="1556" w:type="pct"/>
            <w:vAlign w:val="center"/>
          </w:tcPr>
          <w:p w14:paraId="7D8DC507">
            <w:pPr>
              <w:jc w:val="center"/>
              <w:rPr>
                <w:rFonts w:hint="default" w:eastAsia="宋体"/>
                <w:sz w:val="18"/>
                <w:szCs w:val="18"/>
                <w:lang w:val="en-US" w:eastAsia="zh-CN"/>
              </w:rPr>
            </w:pPr>
            <w:r>
              <w:rPr>
                <w:rFonts w:hint="eastAsia"/>
                <w:sz w:val="18"/>
                <w:szCs w:val="18"/>
                <w:lang w:val="en-US" w:eastAsia="zh-CN"/>
              </w:rPr>
              <w:t>每炉取1个试样</w:t>
            </w:r>
          </w:p>
        </w:tc>
        <w:tc>
          <w:tcPr>
            <w:tcW w:w="1217" w:type="pct"/>
            <w:vAlign w:val="center"/>
          </w:tcPr>
          <w:p w14:paraId="0C428C48">
            <w:pPr>
              <w:jc w:val="center"/>
              <w:rPr>
                <w:sz w:val="18"/>
                <w:szCs w:val="18"/>
                <w:lang w:val="fr-FR"/>
              </w:rPr>
            </w:pPr>
            <w:r>
              <w:rPr>
                <w:sz w:val="18"/>
                <w:szCs w:val="18"/>
              </w:rPr>
              <w:t>GB/T 20066</w:t>
            </w:r>
          </w:p>
        </w:tc>
        <w:tc>
          <w:tcPr>
            <w:tcW w:w="1164" w:type="pct"/>
            <w:vAlign w:val="center"/>
          </w:tcPr>
          <w:p w14:paraId="26EBD08B">
            <w:pPr>
              <w:jc w:val="center"/>
              <w:rPr>
                <w:rFonts w:hint="default" w:eastAsia="宋体"/>
                <w:sz w:val="18"/>
                <w:szCs w:val="18"/>
                <w:lang w:val="en-US" w:eastAsia="zh-CN"/>
              </w:rPr>
            </w:pPr>
            <w:r>
              <w:rPr>
                <w:rFonts w:hint="eastAsia"/>
                <w:sz w:val="18"/>
                <w:szCs w:val="18"/>
                <w:lang w:val="en-US" w:eastAsia="zh-CN"/>
              </w:rPr>
              <w:t>8.1</w:t>
            </w:r>
          </w:p>
        </w:tc>
      </w:tr>
      <w:tr w14:paraId="5B8E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29D91FAB">
            <w:pPr>
              <w:jc w:val="center"/>
              <w:rPr>
                <w:rFonts w:hint="default" w:eastAsia="宋体"/>
                <w:sz w:val="18"/>
                <w:szCs w:val="18"/>
                <w:lang w:val="en-US" w:eastAsia="zh-CN"/>
              </w:rPr>
            </w:pPr>
            <w:r>
              <w:rPr>
                <w:rFonts w:hint="eastAsia"/>
                <w:sz w:val="18"/>
                <w:szCs w:val="18"/>
                <w:lang w:val="en-US" w:eastAsia="zh-CN"/>
              </w:rPr>
              <w:t>2</w:t>
            </w:r>
          </w:p>
        </w:tc>
        <w:tc>
          <w:tcPr>
            <w:tcW w:w="691" w:type="pct"/>
            <w:vAlign w:val="center"/>
          </w:tcPr>
          <w:p w14:paraId="69A4A9C2">
            <w:pPr>
              <w:jc w:val="center"/>
              <w:rPr>
                <w:sz w:val="18"/>
                <w:szCs w:val="18"/>
              </w:rPr>
            </w:pPr>
            <w:r>
              <w:rPr>
                <w:sz w:val="18"/>
                <w:szCs w:val="18"/>
              </w:rPr>
              <w:t>拉伸</w:t>
            </w:r>
          </w:p>
        </w:tc>
        <w:tc>
          <w:tcPr>
            <w:tcW w:w="1556" w:type="pct"/>
            <w:vAlign w:val="center"/>
          </w:tcPr>
          <w:p w14:paraId="6DDD4BDA">
            <w:pPr>
              <w:jc w:val="center"/>
              <w:rPr>
                <w:rFonts w:hint="eastAsia"/>
                <w:sz w:val="18"/>
                <w:szCs w:val="18"/>
                <w:lang w:val="en-US" w:eastAsia="zh-CN"/>
              </w:rPr>
            </w:pPr>
            <w:r>
              <w:rPr>
                <w:sz w:val="18"/>
                <w:szCs w:val="18"/>
                <w:lang w:val="zh-TW" w:eastAsia="zh-TW"/>
              </w:rPr>
              <w:t>每批在两根钢管上各取1个试样</w:t>
            </w:r>
          </w:p>
        </w:tc>
        <w:tc>
          <w:tcPr>
            <w:tcW w:w="1217" w:type="pct"/>
            <w:vAlign w:val="center"/>
          </w:tcPr>
          <w:p w14:paraId="707E7098">
            <w:pPr>
              <w:jc w:val="center"/>
              <w:rPr>
                <w:rFonts w:hint="eastAsia" w:eastAsia="宋体"/>
                <w:sz w:val="18"/>
                <w:szCs w:val="18"/>
                <w:lang w:eastAsia="zh-CN"/>
              </w:rPr>
            </w:pPr>
            <w:r>
              <w:rPr>
                <w:sz w:val="18"/>
                <w:szCs w:val="18"/>
                <w:lang w:eastAsia="en-US"/>
              </w:rPr>
              <w:t>GB/T 2975</w:t>
            </w:r>
          </w:p>
        </w:tc>
        <w:tc>
          <w:tcPr>
            <w:tcW w:w="1164" w:type="pct"/>
            <w:vAlign w:val="center"/>
          </w:tcPr>
          <w:p w14:paraId="5D99ECFB">
            <w:pPr>
              <w:jc w:val="center"/>
              <w:rPr>
                <w:rFonts w:hint="eastAsia"/>
                <w:sz w:val="18"/>
                <w:szCs w:val="18"/>
                <w:lang w:val="en-US" w:eastAsia="zh-CN"/>
              </w:rPr>
            </w:pPr>
            <w:r>
              <w:rPr>
                <w:sz w:val="18"/>
                <w:szCs w:val="18"/>
                <w:lang w:eastAsia="en-US"/>
              </w:rPr>
              <w:t>GB/T 228.1</w:t>
            </w:r>
          </w:p>
        </w:tc>
      </w:tr>
      <w:tr w14:paraId="786B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3150533E">
            <w:pPr>
              <w:jc w:val="center"/>
              <w:rPr>
                <w:rFonts w:hint="default"/>
                <w:sz w:val="18"/>
                <w:szCs w:val="18"/>
                <w:lang w:val="en-US" w:eastAsia="zh-CN"/>
              </w:rPr>
            </w:pPr>
            <w:r>
              <w:rPr>
                <w:rFonts w:hint="eastAsia"/>
                <w:sz w:val="18"/>
                <w:szCs w:val="18"/>
                <w:lang w:val="en-US" w:eastAsia="zh-CN"/>
              </w:rPr>
              <w:t>3</w:t>
            </w:r>
          </w:p>
        </w:tc>
        <w:tc>
          <w:tcPr>
            <w:tcW w:w="691" w:type="pct"/>
            <w:vAlign w:val="center"/>
          </w:tcPr>
          <w:p w14:paraId="3300F0B0">
            <w:pPr>
              <w:jc w:val="center"/>
              <w:rPr>
                <w:sz w:val="18"/>
                <w:szCs w:val="18"/>
              </w:rPr>
            </w:pPr>
            <w:r>
              <w:rPr>
                <w:sz w:val="18"/>
                <w:szCs w:val="18"/>
              </w:rPr>
              <w:t>液压</w:t>
            </w:r>
          </w:p>
        </w:tc>
        <w:tc>
          <w:tcPr>
            <w:tcW w:w="1556" w:type="pct"/>
            <w:vAlign w:val="center"/>
          </w:tcPr>
          <w:p w14:paraId="2D7436FA">
            <w:pPr>
              <w:jc w:val="center"/>
              <w:rPr>
                <w:rFonts w:hint="eastAsia" w:eastAsia="宋体"/>
                <w:sz w:val="18"/>
                <w:szCs w:val="18"/>
                <w:lang w:val="en-US" w:eastAsia="zh-CN"/>
              </w:rPr>
            </w:pPr>
            <w:r>
              <w:rPr>
                <w:sz w:val="18"/>
                <w:szCs w:val="18"/>
              </w:rPr>
              <w:t>逐</w:t>
            </w:r>
            <w:r>
              <w:rPr>
                <w:rFonts w:hint="eastAsia"/>
                <w:sz w:val="18"/>
                <w:szCs w:val="18"/>
                <w:lang w:val="en-US" w:eastAsia="zh-CN"/>
              </w:rPr>
              <w:t>根</w:t>
            </w:r>
          </w:p>
        </w:tc>
        <w:tc>
          <w:tcPr>
            <w:tcW w:w="1217" w:type="pct"/>
            <w:vAlign w:val="center"/>
          </w:tcPr>
          <w:p w14:paraId="7570DC34">
            <w:pPr>
              <w:jc w:val="center"/>
              <w:rPr>
                <w:sz w:val="18"/>
                <w:szCs w:val="18"/>
                <w:lang w:eastAsia="en-US"/>
              </w:rPr>
            </w:pPr>
            <w:r>
              <w:rPr>
                <w:sz w:val="18"/>
                <w:szCs w:val="18"/>
                <w:lang w:val="zh-TW" w:eastAsia="zh-TW"/>
              </w:rPr>
              <w:t>—</w:t>
            </w:r>
          </w:p>
        </w:tc>
        <w:tc>
          <w:tcPr>
            <w:tcW w:w="1164" w:type="pct"/>
            <w:vAlign w:val="center"/>
          </w:tcPr>
          <w:p w14:paraId="7944684B">
            <w:pPr>
              <w:jc w:val="center"/>
              <w:rPr>
                <w:sz w:val="18"/>
                <w:szCs w:val="18"/>
                <w:lang w:eastAsia="en-US"/>
              </w:rPr>
            </w:pPr>
            <w:r>
              <w:rPr>
                <w:sz w:val="18"/>
                <w:szCs w:val="18"/>
                <w:lang w:eastAsia="en-US"/>
              </w:rPr>
              <w:t xml:space="preserve">GB/T </w:t>
            </w:r>
            <w:r>
              <w:rPr>
                <w:sz w:val="18"/>
                <w:szCs w:val="18"/>
                <w:lang w:val="zh-TW" w:eastAsia="zh-TW"/>
              </w:rPr>
              <w:t>241</w:t>
            </w:r>
          </w:p>
        </w:tc>
      </w:tr>
      <w:tr w14:paraId="5CAF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360A87D8">
            <w:pPr>
              <w:jc w:val="center"/>
              <w:rPr>
                <w:rFonts w:hint="default"/>
                <w:sz w:val="18"/>
                <w:szCs w:val="18"/>
                <w:lang w:val="en-US" w:eastAsia="zh-CN"/>
              </w:rPr>
            </w:pPr>
            <w:r>
              <w:rPr>
                <w:rFonts w:hint="eastAsia"/>
                <w:sz w:val="18"/>
                <w:szCs w:val="18"/>
                <w:lang w:val="en-US" w:eastAsia="zh-CN"/>
              </w:rPr>
              <w:t>4</w:t>
            </w:r>
          </w:p>
        </w:tc>
        <w:tc>
          <w:tcPr>
            <w:tcW w:w="691" w:type="pct"/>
            <w:vAlign w:val="center"/>
          </w:tcPr>
          <w:p w14:paraId="21F29C22">
            <w:pPr>
              <w:jc w:val="center"/>
              <w:rPr>
                <w:sz w:val="18"/>
                <w:szCs w:val="18"/>
              </w:rPr>
            </w:pPr>
            <w:r>
              <w:rPr>
                <w:sz w:val="18"/>
                <w:szCs w:val="18"/>
              </w:rPr>
              <w:t>超声</w:t>
            </w:r>
          </w:p>
        </w:tc>
        <w:tc>
          <w:tcPr>
            <w:tcW w:w="1556" w:type="pct"/>
            <w:vAlign w:val="center"/>
          </w:tcPr>
          <w:p w14:paraId="58245FE2">
            <w:pPr>
              <w:jc w:val="center"/>
              <w:rPr>
                <w:sz w:val="18"/>
                <w:szCs w:val="18"/>
              </w:rPr>
            </w:pPr>
            <w:r>
              <w:rPr>
                <w:sz w:val="18"/>
                <w:szCs w:val="18"/>
              </w:rPr>
              <w:t>逐</w:t>
            </w:r>
            <w:r>
              <w:rPr>
                <w:rFonts w:hint="eastAsia"/>
                <w:sz w:val="18"/>
                <w:szCs w:val="18"/>
                <w:lang w:val="en-US" w:eastAsia="zh-CN"/>
              </w:rPr>
              <w:t>根</w:t>
            </w:r>
          </w:p>
        </w:tc>
        <w:tc>
          <w:tcPr>
            <w:tcW w:w="1217" w:type="pct"/>
            <w:vAlign w:val="center"/>
          </w:tcPr>
          <w:p w14:paraId="1D61A3ED">
            <w:pPr>
              <w:jc w:val="center"/>
              <w:rPr>
                <w:sz w:val="18"/>
                <w:szCs w:val="18"/>
                <w:lang w:val="zh-TW" w:eastAsia="zh-TW"/>
              </w:rPr>
            </w:pPr>
            <w:r>
              <w:rPr>
                <w:sz w:val="18"/>
                <w:szCs w:val="18"/>
                <w:lang w:val="zh-TW" w:eastAsia="zh-TW"/>
              </w:rPr>
              <w:t>—</w:t>
            </w:r>
          </w:p>
        </w:tc>
        <w:tc>
          <w:tcPr>
            <w:tcW w:w="1164" w:type="pct"/>
            <w:vAlign w:val="center"/>
          </w:tcPr>
          <w:p w14:paraId="4FBF7FB9">
            <w:pPr>
              <w:jc w:val="center"/>
              <w:rPr>
                <w:sz w:val="18"/>
                <w:szCs w:val="18"/>
                <w:lang w:eastAsia="en-US"/>
              </w:rPr>
            </w:pPr>
            <w:r>
              <w:rPr>
                <w:sz w:val="18"/>
                <w:szCs w:val="18"/>
                <w:lang w:eastAsia="en-US"/>
              </w:rPr>
              <w:t>GB/T 5777</w:t>
            </w:r>
          </w:p>
        </w:tc>
      </w:tr>
      <w:tr w14:paraId="6DFC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5810F113">
            <w:pPr>
              <w:jc w:val="center"/>
              <w:rPr>
                <w:rFonts w:hint="default"/>
                <w:sz w:val="18"/>
                <w:szCs w:val="18"/>
                <w:lang w:val="en-US" w:eastAsia="zh-CN"/>
              </w:rPr>
            </w:pPr>
            <w:r>
              <w:rPr>
                <w:rFonts w:hint="eastAsia"/>
                <w:sz w:val="18"/>
                <w:szCs w:val="18"/>
                <w:lang w:val="en-US" w:eastAsia="zh-CN"/>
              </w:rPr>
              <w:t>5</w:t>
            </w:r>
          </w:p>
        </w:tc>
        <w:tc>
          <w:tcPr>
            <w:tcW w:w="691" w:type="pct"/>
            <w:vAlign w:val="center"/>
          </w:tcPr>
          <w:p w14:paraId="02CDFEE5">
            <w:pPr>
              <w:jc w:val="center"/>
              <w:rPr>
                <w:rFonts w:hint="eastAsia" w:eastAsia="宋体"/>
                <w:sz w:val="18"/>
                <w:szCs w:val="18"/>
                <w:lang w:val="en-US" w:eastAsia="zh-CN"/>
              </w:rPr>
            </w:pPr>
            <w:r>
              <w:rPr>
                <w:rFonts w:hint="eastAsia"/>
                <w:sz w:val="18"/>
                <w:szCs w:val="18"/>
                <w:lang w:val="en-US" w:eastAsia="zh-CN"/>
              </w:rPr>
              <w:t>涡流</w:t>
            </w:r>
          </w:p>
        </w:tc>
        <w:tc>
          <w:tcPr>
            <w:tcW w:w="1556" w:type="pct"/>
            <w:vAlign w:val="center"/>
          </w:tcPr>
          <w:p w14:paraId="3F6ACA84">
            <w:pPr>
              <w:jc w:val="center"/>
              <w:rPr>
                <w:sz w:val="18"/>
                <w:szCs w:val="18"/>
              </w:rPr>
            </w:pPr>
            <w:r>
              <w:rPr>
                <w:sz w:val="18"/>
                <w:szCs w:val="18"/>
              </w:rPr>
              <w:t>逐</w:t>
            </w:r>
            <w:r>
              <w:rPr>
                <w:rFonts w:hint="eastAsia"/>
                <w:sz w:val="18"/>
                <w:szCs w:val="18"/>
                <w:lang w:val="en-US" w:eastAsia="zh-CN"/>
              </w:rPr>
              <w:t>根</w:t>
            </w:r>
          </w:p>
        </w:tc>
        <w:tc>
          <w:tcPr>
            <w:tcW w:w="1217" w:type="pct"/>
            <w:vAlign w:val="center"/>
          </w:tcPr>
          <w:p w14:paraId="60237467">
            <w:pPr>
              <w:jc w:val="center"/>
              <w:rPr>
                <w:sz w:val="18"/>
                <w:szCs w:val="18"/>
                <w:lang w:val="zh-TW" w:eastAsia="zh-TW"/>
              </w:rPr>
            </w:pPr>
            <w:r>
              <w:rPr>
                <w:sz w:val="18"/>
                <w:szCs w:val="18"/>
                <w:lang w:val="zh-TW" w:eastAsia="zh-TW"/>
              </w:rPr>
              <w:t>—</w:t>
            </w:r>
          </w:p>
        </w:tc>
        <w:tc>
          <w:tcPr>
            <w:tcW w:w="1164" w:type="pct"/>
            <w:vAlign w:val="center"/>
          </w:tcPr>
          <w:p w14:paraId="6753C7D3">
            <w:pPr>
              <w:jc w:val="center"/>
              <w:rPr>
                <w:rFonts w:hint="default" w:eastAsia="宋体"/>
                <w:sz w:val="18"/>
                <w:szCs w:val="18"/>
                <w:lang w:val="en-US" w:eastAsia="zh-CN"/>
              </w:rPr>
            </w:pPr>
            <w:r>
              <w:rPr>
                <w:rFonts w:hint="eastAsia"/>
                <w:sz w:val="18"/>
                <w:szCs w:val="18"/>
                <w:lang w:val="en-US" w:eastAsia="zh-CN"/>
              </w:rPr>
              <w:t>GB/T 7735</w:t>
            </w:r>
          </w:p>
        </w:tc>
      </w:tr>
      <w:tr w14:paraId="6937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57B7178E">
            <w:pPr>
              <w:jc w:val="center"/>
              <w:rPr>
                <w:rFonts w:hint="default"/>
                <w:sz w:val="18"/>
                <w:szCs w:val="18"/>
                <w:lang w:val="en-US" w:eastAsia="zh-CN"/>
              </w:rPr>
            </w:pPr>
            <w:r>
              <w:rPr>
                <w:rFonts w:hint="eastAsia"/>
                <w:sz w:val="18"/>
                <w:szCs w:val="18"/>
                <w:lang w:val="en-US" w:eastAsia="zh-CN"/>
              </w:rPr>
              <w:t>6</w:t>
            </w:r>
          </w:p>
        </w:tc>
        <w:tc>
          <w:tcPr>
            <w:tcW w:w="691" w:type="pct"/>
            <w:vAlign w:val="center"/>
          </w:tcPr>
          <w:p w14:paraId="02044AC1">
            <w:pPr>
              <w:jc w:val="center"/>
              <w:rPr>
                <w:rFonts w:hint="eastAsia"/>
                <w:sz w:val="18"/>
                <w:szCs w:val="18"/>
                <w:lang w:val="en-US" w:eastAsia="zh-CN"/>
              </w:rPr>
            </w:pPr>
            <w:r>
              <w:rPr>
                <w:sz w:val="18"/>
                <w:szCs w:val="18"/>
              </w:rPr>
              <w:t>压扁</w:t>
            </w:r>
          </w:p>
        </w:tc>
        <w:tc>
          <w:tcPr>
            <w:tcW w:w="1556" w:type="pct"/>
            <w:vAlign w:val="center"/>
          </w:tcPr>
          <w:p w14:paraId="63ABE62D">
            <w:pPr>
              <w:jc w:val="center"/>
              <w:rPr>
                <w:sz w:val="18"/>
                <w:szCs w:val="18"/>
              </w:rPr>
            </w:pPr>
            <w:r>
              <w:rPr>
                <w:sz w:val="18"/>
                <w:szCs w:val="18"/>
                <w:lang w:val="zh-TW" w:eastAsia="zh-TW"/>
              </w:rPr>
              <w:t>每批在两根钢管上各取1个试样</w:t>
            </w:r>
          </w:p>
        </w:tc>
        <w:tc>
          <w:tcPr>
            <w:tcW w:w="1217" w:type="pct"/>
            <w:vAlign w:val="center"/>
          </w:tcPr>
          <w:p w14:paraId="581FC1D0">
            <w:pPr>
              <w:jc w:val="center"/>
              <w:rPr>
                <w:sz w:val="18"/>
                <w:szCs w:val="18"/>
                <w:lang w:val="zh-TW" w:eastAsia="zh-TW"/>
              </w:rPr>
            </w:pPr>
            <w:r>
              <w:rPr>
                <w:sz w:val="18"/>
                <w:szCs w:val="18"/>
                <w:lang w:eastAsia="en-US"/>
              </w:rPr>
              <w:t xml:space="preserve">GB/T </w:t>
            </w:r>
            <w:r>
              <w:rPr>
                <w:sz w:val="18"/>
                <w:szCs w:val="18"/>
                <w:lang w:val="zh-TW" w:eastAsia="zh-TW"/>
              </w:rPr>
              <w:t>246</w:t>
            </w:r>
          </w:p>
        </w:tc>
        <w:tc>
          <w:tcPr>
            <w:tcW w:w="1164" w:type="pct"/>
            <w:vAlign w:val="center"/>
          </w:tcPr>
          <w:p w14:paraId="0965DDB3">
            <w:pPr>
              <w:jc w:val="center"/>
              <w:rPr>
                <w:rFonts w:hint="eastAsia" w:eastAsia="宋体"/>
                <w:sz w:val="18"/>
                <w:szCs w:val="18"/>
                <w:lang w:val="en-US" w:eastAsia="zh-CN"/>
              </w:rPr>
            </w:pPr>
            <w:r>
              <w:rPr>
                <w:sz w:val="18"/>
                <w:szCs w:val="18"/>
                <w:lang w:eastAsia="en-US"/>
              </w:rPr>
              <w:t xml:space="preserve">GB/T </w:t>
            </w:r>
            <w:r>
              <w:rPr>
                <w:sz w:val="18"/>
                <w:szCs w:val="18"/>
                <w:lang w:val="zh-TW" w:eastAsia="zh-TW"/>
              </w:rPr>
              <w:t>246</w:t>
            </w:r>
          </w:p>
        </w:tc>
      </w:tr>
      <w:tr w14:paraId="7BC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3A88DA27">
            <w:pPr>
              <w:jc w:val="center"/>
              <w:rPr>
                <w:rFonts w:hint="default"/>
                <w:sz w:val="18"/>
                <w:szCs w:val="18"/>
                <w:lang w:val="en-US" w:eastAsia="zh-CN"/>
              </w:rPr>
            </w:pPr>
            <w:r>
              <w:rPr>
                <w:rFonts w:hint="eastAsia"/>
                <w:sz w:val="18"/>
                <w:szCs w:val="18"/>
                <w:lang w:val="en-US" w:eastAsia="zh-CN"/>
              </w:rPr>
              <w:t>7</w:t>
            </w:r>
          </w:p>
        </w:tc>
        <w:tc>
          <w:tcPr>
            <w:tcW w:w="691" w:type="pct"/>
            <w:vAlign w:val="center"/>
          </w:tcPr>
          <w:p w14:paraId="38E985D1">
            <w:pPr>
              <w:jc w:val="center"/>
              <w:rPr>
                <w:rFonts w:hint="eastAsia"/>
                <w:sz w:val="18"/>
                <w:szCs w:val="18"/>
                <w:lang w:val="en-US" w:eastAsia="zh-CN"/>
              </w:rPr>
            </w:pPr>
            <w:r>
              <w:rPr>
                <w:sz w:val="18"/>
                <w:szCs w:val="18"/>
              </w:rPr>
              <w:t>扩口</w:t>
            </w:r>
          </w:p>
        </w:tc>
        <w:tc>
          <w:tcPr>
            <w:tcW w:w="1556" w:type="pct"/>
            <w:vAlign w:val="center"/>
          </w:tcPr>
          <w:p w14:paraId="679F1FDF">
            <w:pPr>
              <w:jc w:val="center"/>
              <w:rPr>
                <w:sz w:val="18"/>
                <w:szCs w:val="18"/>
              </w:rPr>
            </w:pPr>
            <w:r>
              <w:rPr>
                <w:sz w:val="18"/>
                <w:szCs w:val="18"/>
                <w:lang w:val="zh-TW" w:eastAsia="zh-TW"/>
              </w:rPr>
              <w:t>每批在两根钢管上各取1个试样</w:t>
            </w:r>
          </w:p>
        </w:tc>
        <w:tc>
          <w:tcPr>
            <w:tcW w:w="1217" w:type="pct"/>
            <w:shd w:val="clear" w:color="auto" w:fill="auto"/>
            <w:vAlign w:val="center"/>
          </w:tcPr>
          <w:p w14:paraId="28258684">
            <w:pPr>
              <w:jc w:val="center"/>
              <w:rPr>
                <w:rFonts w:ascii="Times New Roman" w:hAnsi="Times New Roman" w:eastAsia="宋体" w:cs="Times New Roman"/>
                <w:kern w:val="2"/>
                <w:sz w:val="18"/>
                <w:szCs w:val="18"/>
                <w:lang w:val="zh-TW" w:eastAsia="zh-TW" w:bidi="ar-SA"/>
              </w:rPr>
            </w:pPr>
            <w:r>
              <w:rPr>
                <w:sz w:val="18"/>
                <w:szCs w:val="18"/>
                <w:lang w:eastAsia="en-US"/>
              </w:rPr>
              <w:t xml:space="preserve">GB/T </w:t>
            </w:r>
            <w:r>
              <w:rPr>
                <w:sz w:val="18"/>
                <w:szCs w:val="18"/>
                <w:lang w:val="zh-TW" w:eastAsia="zh-TW"/>
              </w:rPr>
              <w:t>242</w:t>
            </w:r>
          </w:p>
        </w:tc>
        <w:tc>
          <w:tcPr>
            <w:tcW w:w="1164" w:type="pct"/>
            <w:shd w:val="clear" w:color="auto" w:fill="auto"/>
            <w:vAlign w:val="center"/>
          </w:tcPr>
          <w:p w14:paraId="50ADB9CC">
            <w:pPr>
              <w:jc w:val="center"/>
              <w:rPr>
                <w:rFonts w:hint="eastAsia" w:ascii="Times New Roman" w:hAnsi="Times New Roman" w:eastAsia="宋体" w:cs="Times New Roman"/>
                <w:kern w:val="2"/>
                <w:sz w:val="18"/>
                <w:szCs w:val="18"/>
                <w:lang w:val="en-US" w:eastAsia="zh-CN" w:bidi="ar-SA"/>
              </w:rPr>
            </w:pPr>
            <w:r>
              <w:rPr>
                <w:sz w:val="18"/>
                <w:szCs w:val="18"/>
                <w:lang w:eastAsia="en-US"/>
              </w:rPr>
              <w:t xml:space="preserve">GB/T </w:t>
            </w:r>
            <w:r>
              <w:rPr>
                <w:sz w:val="18"/>
                <w:szCs w:val="18"/>
                <w:lang w:val="zh-TW" w:eastAsia="zh-TW"/>
              </w:rPr>
              <w:t>242</w:t>
            </w:r>
          </w:p>
        </w:tc>
      </w:tr>
      <w:tr w14:paraId="439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42021B3B">
            <w:pPr>
              <w:jc w:val="center"/>
              <w:rPr>
                <w:rFonts w:hint="default"/>
                <w:sz w:val="18"/>
                <w:szCs w:val="18"/>
                <w:lang w:val="en-US" w:eastAsia="zh-CN"/>
              </w:rPr>
            </w:pPr>
            <w:r>
              <w:rPr>
                <w:rFonts w:hint="eastAsia"/>
                <w:sz w:val="18"/>
                <w:szCs w:val="18"/>
                <w:lang w:val="en-US" w:eastAsia="zh-CN"/>
              </w:rPr>
              <w:t>8</w:t>
            </w:r>
          </w:p>
        </w:tc>
        <w:tc>
          <w:tcPr>
            <w:tcW w:w="691" w:type="pct"/>
            <w:vAlign w:val="center"/>
          </w:tcPr>
          <w:p w14:paraId="3496847C">
            <w:pPr>
              <w:jc w:val="center"/>
              <w:rPr>
                <w:sz w:val="18"/>
                <w:szCs w:val="18"/>
              </w:rPr>
            </w:pPr>
            <w:r>
              <w:rPr>
                <w:sz w:val="18"/>
                <w:szCs w:val="18"/>
              </w:rPr>
              <w:t>气密性</w:t>
            </w:r>
          </w:p>
        </w:tc>
        <w:tc>
          <w:tcPr>
            <w:tcW w:w="1556" w:type="pct"/>
            <w:shd w:val="clear" w:color="auto" w:fill="auto"/>
            <w:vAlign w:val="center"/>
          </w:tcPr>
          <w:p w14:paraId="324EC5DB">
            <w:pPr>
              <w:jc w:val="center"/>
              <w:rPr>
                <w:sz w:val="18"/>
                <w:szCs w:val="18"/>
                <w:lang w:val="zh-TW" w:eastAsia="zh-TW"/>
              </w:rPr>
            </w:pPr>
            <w:r>
              <w:rPr>
                <w:sz w:val="18"/>
                <w:szCs w:val="18"/>
              </w:rPr>
              <w:t>逐</w:t>
            </w:r>
            <w:r>
              <w:rPr>
                <w:rFonts w:hint="eastAsia"/>
                <w:sz w:val="18"/>
                <w:szCs w:val="18"/>
                <w:lang w:val="en-US" w:eastAsia="zh-CN"/>
              </w:rPr>
              <w:t>根</w:t>
            </w:r>
          </w:p>
        </w:tc>
        <w:tc>
          <w:tcPr>
            <w:tcW w:w="1217" w:type="pct"/>
            <w:shd w:val="clear" w:color="auto" w:fill="auto"/>
            <w:vAlign w:val="center"/>
          </w:tcPr>
          <w:p w14:paraId="79315CD0">
            <w:pPr>
              <w:jc w:val="center"/>
              <w:rPr>
                <w:rFonts w:ascii="Times New Roman" w:hAnsi="Times New Roman" w:eastAsia="宋体" w:cs="Times New Roman"/>
                <w:kern w:val="2"/>
                <w:sz w:val="18"/>
                <w:szCs w:val="18"/>
                <w:lang w:val="en-US" w:eastAsia="en-US" w:bidi="ar-SA"/>
              </w:rPr>
            </w:pPr>
            <w:r>
              <w:rPr>
                <w:sz w:val="18"/>
                <w:szCs w:val="18"/>
                <w:lang w:val="zh-TW" w:eastAsia="zh-TW"/>
              </w:rPr>
              <w:t>—</w:t>
            </w:r>
          </w:p>
        </w:tc>
        <w:tc>
          <w:tcPr>
            <w:tcW w:w="1164" w:type="pct"/>
            <w:shd w:val="clear" w:color="auto" w:fill="auto"/>
            <w:vAlign w:val="center"/>
          </w:tcPr>
          <w:p w14:paraId="0CCDB68D">
            <w:pPr>
              <w:jc w:val="center"/>
              <w:rPr>
                <w:rFonts w:hint="eastAsia" w:ascii="Times New Roman" w:hAnsi="Times New Roman" w:eastAsia="宋体" w:cs="Times New Roman"/>
                <w:kern w:val="2"/>
                <w:sz w:val="18"/>
                <w:szCs w:val="18"/>
                <w:lang w:val="en-US" w:eastAsia="zh-CN" w:bidi="ar-SA"/>
              </w:rPr>
            </w:pPr>
            <w:r>
              <w:rPr>
                <w:rFonts w:hint="eastAsia"/>
                <w:sz w:val="18"/>
                <w:szCs w:val="18"/>
              </w:rPr>
              <w:t>7.</w:t>
            </w:r>
            <w:r>
              <w:rPr>
                <w:rFonts w:hint="eastAsia"/>
                <w:sz w:val="18"/>
                <w:szCs w:val="18"/>
                <w:lang w:val="en-US" w:eastAsia="zh-CN"/>
              </w:rPr>
              <w:t>5</w:t>
            </w:r>
          </w:p>
        </w:tc>
      </w:tr>
      <w:tr w14:paraId="0E24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2B1AE566">
            <w:pPr>
              <w:jc w:val="center"/>
              <w:rPr>
                <w:rFonts w:hint="default"/>
                <w:sz w:val="18"/>
                <w:szCs w:val="18"/>
                <w:lang w:val="en-US" w:eastAsia="zh-CN"/>
              </w:rPr>
            </w:pPr>
            <w:r>
              <w:rPr>
                <w:rFonts w:hint="eastAsia"/>
                <w:sz w:val="18"/>
                <w:szCs w:val="18"/>
                <w:lang w:val="en-US" w:eastAsia="zh-CN"/>
              </w:rPr>
              <w:t>9</w:t>
            </w:r>
          </w:p>
        </w:tc>
        <w:tc>
          <w:tcPr>
            <w:tcW w:w="691" w:type="pct"/>
            <w:vAlign w:val="center"/>
          </w:tcPr>
          <w:p w14:paraId="0D43F0F3">
            <w:pPr>
              <w:jc w:val="center"/>
              <w:rPr>
                <w:rFonts w:hint="eastAsia" w:eastAsia="宋体"/>
                <w:sz w:val="18"/>
                <w:szCs w:val="18"/>
                <w:lang w:val="en-US" w:eastAsia="zh-CN"/>
              </w:rPr>
            </w:pPr>
            <w:r>
              <w:rPr>
                <w:rFonts w:hint="eastAsia"/>
                <w:sz w:val="18"/>
                <w:szCs w:val="18"/>
                <w:lang w:val="en-US" w:eastAsia="zh-CN"/>
              </w:rPr>
              <w:t>晶间腐蚀</w:t>
            </w:r>
          </w:p>
        </w:tc>
        <w:tc>
          <w:tcPr>
            <w:tcW w:w="1556" w:type="pct"/>
            <w:shd w:val="clear" w:color="auto" w:fill="auto"/>
            <w:vAlign w:val="center"/>
          </w:tcPr>
          <w:p w14:paraId="65975BA6">
            <w:pPr>
              <w:jc w:val="center"/>
              <w:rPr>
                <w:sz w:val="18"/>
                <w:szCs w:val="18"/>
              </w:rPr>
            </w:pPr>
            <w:r>
              <w:rPr>
                <w:sz w:val="18"/>
                <w:szCs w:val="18"/>
                <w:lang w:val="zh-TW" w:eastAsia="zh-TW"/>
              </w:rPr>
              <w:t>每批在两根钢管上各取1个试样</w:t>
            </w:r>
          </w:p>
        </w:tc>
        <w:tc>
          <w:tcPr>
            <w:tcW w:w="1217" w:type="pct"/>
            <w:shd w:val="clear" w:color="auto" w:fill="auto"/>
            <w:vAlign w:val="center"/>
          </w:tcPr>
          <w:p w14:paraId="47829EC2">
            <w:pPr>
              <w:jc w:val="center"/>
              <w:rPr>
                <w:rFonts w:hint="default" w:eastAsia="宋体"/>
                <w:sz w:val="18"/>
                <w:szCs w:val="18"/>
                <w:lang w:val="en-US" w:eastAsia="zh-CN"/>
              </w:rPr>
            </w:pPr>
            <w:r>
              <w:rPr>
                <w:rFonts w:hint="eastAsia"/>
                <w:sz w:val="18"/>
                <w:szCs w:val="18"/>
                <w:lang w:val="en-US" w:eastAsia="zh-CN"/>
              </w:rPr>
              <w:t>GB/T 4334-2020中方法E</w:t>
            </w:r>
          </w:p>
        </w:tc>
        <w:tc>
          <w:tcPr>
            <w:tcW w:w="1164" w:type="pct"/>
            <w:shd w:val="clear" w:color="auto" w:fill="auto"/>
            <w:vAlign w:val="center"/>
          </w:tcPr>
          <w:p w14:paraId="79C6AA13">
            <w:pPr>
              <w:jc w:val="center"/>
              <w:rPr>
                <w:rFonts w:hint="eastAsia"/>
                <w:sz w:val="18"/>
                <w:szCs w:val="18"/>
              </w:rPr>
            </w:pPr>
            <w:r>
              <w:rPr>
                <w:rFonts w:hint="eastAsia"/>
                <w:sz w:val="18"/>
                <w:szCs w:val="18"/>
                <w:lang w:val="en-US" w:eastAsia="zh-CN"/>
              </w:rPr>
              <w:t>GB/T 4334-2020中方法E</w:t>
            </w:r>
          </w:p>
        </w:tc>
      </w:tr>
      <w:tr w14:paraId="771E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4DD7F733">
            <w:pPr>
              <w:jc w:val="center"/>
              <w:rPr>
                <w:rFonts w:hint="default"/>
                <w:sz w:val="18"/>
                <w:szCs w:val="18"/>
                <w:lang w:val="en-US" w:eastAsia="zh-CN"/>
              </w:rPr>
            </w:pPr>
            <w:r>
              <w:rPr>
                <w:rFonts w:hint="eastAsia"/>
                <w:sz w:val="18"/>
                <w:szCs w:val="18"/>
                <w:lang w:val="en-US" w:eastAsia="zh-CN"/>
              </w:rPr>
              <w:t>10</w:t>
            </w:r>
          </w:p>
        </w:tc>
        <w:tc>
          <w:tcPr>
            <w:tcW w:w="691" w:type="pct"/>
            <w:shd w:val="clear" w:color="auto" w:fill="auto"/>
            <w:vAlign w:val="center"/>
          </w:tcPr>
          <w:p w14:paraId="027EA09E">
            <w:pPr>
              <w:jc w:val="center"/>
              <w:rPr>
                <w:rFonts w:ascii="Times New Roman" w:hAnsi="Times New Roman" w:eastAsia="宋体" w:cs="Times New Roman"/>
                <w:kern w:val="2"/>
                <w:sz w:val="18"/>
                <w:szCs w:val="18"/>
                <w:lang w:val="en-US" w:eastAsia="zh-CN" w:bidi="ar-SA"/>
              </w:rPr>
            </w:pPr>
            <w:r>
              <w:rPr>
                <w:sz w:val="18"/>
                <w:szCs w:val="18"/>
              </w:rPr>
              <w:t>低倍组织</w:t>
            </w:r>
          </w:p>
        </w:tc>
        <w:tc>
          <w:tcPr>
            <w:tcW w:w="1556" w:type="pct"/>
            <w:shd w:val="clear" w:color="auto" w:fill="auto"/>
            <w:vAlign w:val="center"/>
          </w:tcPr>
          <w:p w14:paraId="62A8758A">
            <w:pPr>
              <w:jc w:val="center"/>
              <w:rPr>
                <w:rFonts w:ascii="Times New Roman" w:hAnsi="Times New Roman" w:eastAsia="宋体" w:cs="Times New Roman"/>
                <w:kern w:val="2"/>
                <w:sz w:val="18"/>
                <w:szCs w:val="18"/>
                <w:lang w:val="zh-TW" w:eastAsia="zh-TW" w:bidi="ar-SA"/>
              </w:rPr>
            </w:pPr>
            <w:r>
              <w:rPr>
                <w:rFonts w:hint="eastAsia"/>
                <w:sz w:val="18"/>
                <w:szCs w:val="18"/>
                <w:lang w:val="en-US" w:eastAsia="zh-CN"/>
              </w:rPr>
              <w:t>每炉取2个试样</w:t>
            </w:r>
          </w:p>
        </w:tc>
        <w:tc>
          <w:tcPr>
            <w:tcW w:w="1217" w:type="pct"/>
            <w:shd w:val="clear" w:color="auto" w:fill="auto"/>
            <w:vAlign w:val="center"/>
          </w:tcPr>
          <w:p w14:paraId="0B7885C1">
            <w:pPr>
              <w:jc w:val="center"/>
              <w:rPr>
                <w:rFonts w:ascii="Times New Roman" w:hAnsi="Times New Roman" w:eastAsia="宋体" w:cs="Times New Roman"/>
                <w:kern w:val="2"/>
                <w:sz w:val="18"/>
                <w:szCs w:val="18"/>
                <w:lang w:val="en-US" w:eastAsia="en-US" w:bidi="ar-SA"/>
              </w:rPr>
            </w:pPr>
            <w:r>
              <w:rPr>
                <w:sz w:val="18"/>
                <w:szCs w:val="18"/>
              </w:rPr>
              <w:t>在相当于合金锭端部的棒材上截取片样</w:t>
            </w:r>
          </w:p>
        </w:tc>
        <w:tc>
          <w:tcPr>
            <w:tcW w:w="1164" w:type="pct"/>
            <w:shd w:val="clear" w:color="auto" w:fill="auto"/>
            <w:vAlign w:val="center"/>
          </w:tcPr>
          <w:p w14:paraId="26C5D472">
            <w:pPr>
              <w:jc w:val="center"/>
              <w:rPr>
                <w:rFonts w:ascii="Times New Roman" w:hAnsi="Times New Roman" w:eastAsia="宋体" w:cs="Times New Roman"/>
                <w:kern w:val="2"/>
                <w:sz w:val="18"/>
                <w:szCs w:val="18"/>
                <w:lang w:val="en-US" w:eastAsia="en-US" w:bidi="ar-SA"/>
              </w:rPr>
            </w:pPr>
            <w:r>
              <w:rPr>
                <w:sz w:val="18"/>
                <w:szCs w:val="18"/>
              </w:rPr>
              <w:t>GB/T 226、GB/T 1979</w:t>
            </w:r>
          </w:p>
        </w:tc>
      </w:tr>
      <w:tr w14:paraId="5B05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9" w:type="pct"/>
            <w:vAlign w:val="center"/>
          </w:tcPr>
          <w:p w14:paraId="433E5F74">
            <w:pPr>
              <w:jc w:val="center"/>
              <w:rPr>
                <w:rFonts w:hint="default"/>
                <w:sz w:val="18"/>
                <w:szCs w:val="18"/>
                <w:lang w:val="en-US" w:eastAsia="zh-CN"/>
              </w:rPr>
            </w:pPr>
            <w:r>
              <w:rPr>
                <w:rFonts w:hint="eastAsia"/>
                <w:sz w:val="18"/>
                <w:szCs w:val="18"/>
                <w:lang w:val="en-US" w:eastAsia="zh-CN"/>
              </w:rPr>
              <w:t>11</w:t>
            </w:r>
          </w:p>
        </w:tc>
        <w:tc>
          <w:tcPr>
            <w:tcW w:w="691" w:type="pct"/>
            <w:vAlign w:val="center"/>
          </w:tcPr>
          <w:p w14:paraId="3A647E86">
            <w:pPr>
              <w:jc w:val="center"/>
              <w:rPr>
                <w:sz w:val="18"/>
                <w:szCs w:val="18"/>
              </w:rPr>
            </w:pPr>
            <w:r>
              <w:rPr>
                <w:sz w:val="18"/>
                <w:szCs w:val="18"/>
              </w:rPr>
              <w:t>晶粒度</w:t>
            </w:r>
          </w:p>
        </w:tc>
        <w:tc>
          <w:tcPr>
            <w:tcW w:w="1556" w:type="pct"/>
            <w:shd w:val="clear" w:color="auto" w:fill="auto"/>
            <w:vAlign w:val="center"/>
          </w:tcPr>
          <w:p w14:paraId="0DCA1AED">
            <w:pPr>
              <w:jc w:val="center"/>
              <w:rPr>
                <w:rFonts w:ascii="Times New Roman" w:hAnsi="Times New Roman" w:eastAsia="宋体" w:cs="Times New Roman"/>
                <w:snapToGrid w:val="0"/>
                <w:kern w:val="0"/>
                <w:sz w:val="18"/>
                <w:szCs w:val="18"/>
                <w:lang w:val="zh-TW" w:eastAsia="zh-TW" w:bidi="ar-SA"/>
              </w:rPr>
            </w:pPr>
            <w:r>
              <w:rPr>
                <w:sz w:val="18"/>
                <w:szCs w:val="18"/>
                <w:lang w:val="zh-TW" w:eastAsia="zh-TW"/>
              </w:rPr>
              <w:t>每批在两根钢管上各取1个试样</w:t>
            </w:r>
          </w:p>
        </w:tc>
        <w:tc>
          <w:tcPr>
            <w:tcW w:w="1217" w:type="pct"/>
            <w:shd w:val="clear" w:color="auto" w:fill="auto"/>
            <w:vAlign w:val="center"/>
          </w:tcPr>
          <w:p w14:paraId="465CC70C">
            <w:pPr>
              <w:jc w:val="center"/>
              <w:rPr>
                <w:rFonts w:ascii="Times New Roman" w:hAnsi="Times New Roman" w:eastAsia="宋体" w:cs="Times New Roman"/>
                <w:kern w:val="2"/>
                <w:sz w:val="18"/>
                <w:szCs w:val="18"/>
                <w:lang w:val="en-US" w:eastAsia="en-US" w:bidi="ar-SA"/>
              </w:rPr>
            </w:pPr>
            <w:r>
              <w:rPr>
                <w:sz w:val="18"/>
                <w:szCs w:val="18"/>
                <w:lang w:eastAsia="en-US"/>
              </w:rPr>
              <w:t xml:space="preserve">GB/T </w:t>
            </w:r>
            <w:r>
              <w:rPr>
                <w:sz w:val="18"/>
                <w:szCs w:val="18"/>
                <w:lang w:val="zh-TW" w:eastAsia="zh-TW"/>
              </w:rPr>
              <w:t>6394</w:t>
            </w:r>
          </w:p>
        </w:tc>
        <w:tc>
          <w:tcPr>
            <w:tcW w:w="1164" w:type="pct"/>
            <w:shd w:val="clear" w:color="auto" w:fill="auto"/>
            <w:vAlign w:val="center"/>
          </w:tcPr>
          <w:p w14:paraId="7A299EFC">
            <w:pPr>
              <w:jc w:val="center"/>
              <w:rPr>
                <w:rFonts w:ascii="Times New Roman" w:hAnsi="Times New Roman" w:eastAsia="宋体" w:cs="Times New Roman"/>
                <w:kern w:val="2"/>
                <w:sz w:val="18"/>
                <w:szCs w:val="18"/>
                <w:lang w:val="en-US" w:eastAsia="en-US" w:bidi="ar-SA"/>
              </w:rPr>
            </w:pPr>
            <w:r>
              <w:rPr>
                <w:sz w:val="18"/>
                <w:szCs w:val="18"/>
                <w:lang w:eastAsia="en-US"/>
              </w:rPr>
              <w:t xml:space="preserve">GB/T </w:t>
            </w:r>
            <w:r>
              <w:rPr>
                <w:sz w:val="18"/>
                <w:szCs w:val="18"/>
                <w:lang w:val="zh-TW" w:eastAsia="zh-TW"/>
              </w:rPr>
              <w:t>6394</w:t>
            </w:r>
          </w:p>
        </w:tc>
      </w:tr>
      <w:tr w14:paraId="361A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9" w:type="pct"/>
            <w:vAlign w:val="center"/>
          </w:tcPr>
          <w:p w14:paraId="4555DD78">
            <w:pPr>
              <w:jc w:val="center"/>
              <w:rPr>
                <w:rFonts w:hint="default" w:eastAsia="宋体"/>
                <w:sz w:val="18"/>
                <w:szCs w:val="18"/>
                <w:lang w:val="en-US" w:eastAsia="zh-CN"/>
              </w:rPr>
            </w:pPr>
            <w:r>
              <w:rPr>
                <w:rFonts w:hint="eastAsia"/>
                <w:sz w:val="18"/>
                <w:szCs w:val="18"/>
                <w:lang w:val="en-US" w:eastAsia="zh-CN"/>
              </w:rPr>
              <w:t>12</w:t>
            </w:r>
          </w:p>
        </w:tc>
        <w:tc>
          <w:tcPr>
            <w:tcW w:w="691" w:type="pct"/>
            <w:vAlign w:val="center"/>
          </w:tcPr>
          <w:p w14:paraId="5F022E73">
            <w:pPr>
              <w:jc w:val="center"/>
              <w:rPr>
                <w:sz w:val="18"/>
                <w:szCs w:val="18"/>
              </w:rPr>
            </w:pPr>
            <w:r>
              <w:rPr>
                <w:sz w:val="18"/>
                <w:szCs w:val="18"/>
              </w:rPr>
              <w:t>非金属夹杂物</w:t>
            </w:r>
          </w:p>
        </w:tc>
        <w:tc>
          <w:tcPr>
            <w:tcW w:w="1556" w:type="pct"/>
            <w:vAlign w:val="center"/>
          </w:tcPr>
          <w:p w14:paraId="4B73FE90">
            <w:pPr>
              <w:jc w:val="center"/>
              <w:rPr>
                <w:sz w:val="18"/>
                <w:szCs w:val="18"/>
                <w:lang w:val="zh-TW" w:eastAsia="zh-TW"/>
              </w:rPr>
            </w:pPr>
            <w:r>
              <w:rPr>
                <w:rFonts w:hint="eastAsia"/>
                <w:sz w:val="18"/>
                <w:szCs w:val="18"/>
                <w:lang w:val="en-US" w:eastAsia="zh-CN"/>
              </w:rPr>
              <w:t>每炉取2个试样，</w:t>
            </w:r>
          </w:p>
          <w:p w14:paraId="36977C46">
            <w:pPr>
              <w:jc w:val="center"/>
              <w:rPr>
                <w:sz w:val="18"/>
                <w:szCs w:val="18"/>
              </w:rPr>
            </w:pPr>
            <w:r>
              <w:rPr>
                <w:sz w:val="18"/>
                <w:szCs w:val="18"/>
                <w:lang w:val="zh-TW" w:eastAsia="zh-TW"/>
              </w:rPr>
              <w:t>每批在两根钢管上各取1个试样</w:t>
            </w:r>
          </w:p>
        </w:tc>
        <w:tc>
          <w:tcPr>
            <w:tcW w:w="1217" w:type="pct"/>
            <w:vAlign w:val="center"/>
          </w:tcPr>
          <w:p w14:paraId="66757483">
            <w:pPr>
              <w:jc w:val="center"/>
              <w:rPr>
                <w:sz w:val="18"/>
                <w:szCs w:val="18"/>
              </w:rPr>
            </w:pPr>
            <w:r>
              <w:rPr>
                <w:sz w:val="18"/>
                <w:szCs w:val="18"/>
                <w:lang w:eastAsia="en-US"/>
              </w:rPr>
              <w:t>GB/T 10561</w:t>
            </w:r>
            <w:r>
              <w:rPr>
                <w:rFonts w:hint="eastAsia"/>
                <w:sz w:val="18"/>
                <w:szCs w:val="18"/>
              </w:rPr>
              <w:t>-</w:t>
            </w:r>
            <w:r>
              <w:rPr>
                <w:sz w:val="18"/>
                <w:szCs w:val="18"/>
                <w:lang w:eastAsia="en-US"/>
              </w:rPr>
              <w:t>2023</w:t>
            </w:r>
          </w:p>
        </w:tc>
        <w:tc>
          <w:tcPr>
            <w:tcW w:w="1164" w:type="pct"/>
            <w:vAlign w:val="center"/>
          </w:tcPr>
          <w:p w14:paraId="16727D01">
            <w:pPr>
              <w:jc w:val="center"/>
              <w:rPr>
                <w:sz w:val="18"/>
                <w:szCs w:val="18"/>
              </w:rPr>
            </w:pPr>
            <w:r>
              <w:rPr>
                <w:sz w:val="18"/>
                <w:szCs w:val="18"/>
                <w:lang w:eastAsia="en-US"/>
              </w:rPr>
              <w:t>GB/T 10561</w:t>
            </w:r>
            <w:r>
              <w:rPr>
                <w:rFonts w:hint="eastAsia"/>
                <w:sz w:val="18"/>
                <w:szCs w:val="18"/>
              </w:rPr>
              <w:t>-</w:t>
            </w:r>
            <w:r>
              <w:rPr>
                <w:sz w:val="18"/>
                <w:szCs w:val="18"/>
                <w:lang w:eastAsia="en-US"/>
              </w:rPr>
              <w:t>2023</w:t>
            </w:r>
          </w:p>
        </w:tc>
      </w:tr>
      <w:tr w14:paraId="6367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vAlign w:val="center"/>
          </w:tcPr>
          <w:p w14:paraId="043162C8">
            <w:pPr>
              <w:jc w:val="center"/>
              <w:rPr>
                <w:rFonts w:hint="default"/>
                <w:sz w:val="18"/>
                <w:szCs w:val="18"/>
                <w:lang w:val="en-US" w:eastAsia="zh-CN"/>
              </w:rPr>
            </w:pPr>
            <w:r>
              <w:rPr>
                <w:rFonts w:hint="eastAsia"/>
                <w:sz w:val="18"/>
                <w:szCs w:val="18"/>
                <w:lang w:val="en-US" w:eastAsia="zh-CN"/>
              </w:rPr>
              <w:t>13</w:t>
            </w:r>
          </w:p>
        </w:tc>
        <w:tc>
          <w:tcPr>
            <w:tcW w:w="691" w:type="pct"/>
            <w:vAlign w:val="center"/>
          </w:tcPr>
          <w:p w14:paraId="66FB3D28">
            <w:pPr>
              <w:jc w:val="center"/>
              <w:rPr>
                <w:sz w:val="18"/>
                <w:szCs w:val="18"/>
              </w:rPr>
            </w:pPr>
            <w:r>
              <w:rPr>
                <w:sz w:val="18"/>
                <w:szCs w:val="18"/>
              </w:rPr>
              <w:t>表面质量</w:t>
            </w:r>
          </w:p>
        </w:tc>
        <w:tc>
          <w:tcPr>
            <w:tcW w:w="1556" w:type="pct"/>
            <w:vAlign w:val="center"/>
          </w:tcPr>
          <w:p w14:paraId="1EC81EA1">
            <w:pPr>
              <w:jc w:val="center"/>
              <w:rPr>
                <w:sz w:val="18"/>
                <w:szCs w:val="18"/>
                <w:lang w:val="zh-TW" w:eastAsia="zh-TW"/>
              </w:rPr>
            </w:pPr>
            <w:r>
              <w:rPr>
                <w:sz w:val="18"/>
                <w:szCs w:val="18"/>
              </w:rPr>
              <w:t>逐</w:t>
            </w:r>
            <w:r>
              <w:rPr>
                <w:rFonts w:hint="eastAsia"/>
                <w:sz w:val="18"/>
                <w:szCs w:val="18"/>
                <w:lang w:val="en-US" w:eastAsia="zh-CN"/>
              </w:rPr>
              <w:t>根</w:t>
            </w:r>
          </w:p>
        </w:tc>
        <w:tc>
          <w:tcPr>
            <w:tcW w:w="1217" w:type="pct"/>
            <w:vAlign w:val="center"/>
          </w:tcPr>
          <w:p w14:paraId="42907AC1">
            <w:pPr>
              <w:jc w:val="center"/>
              <w:rPr>
                <w:sz w:val="18"/>
                <w:szCs w:val="18"/>
                <w:lang w:eastAsia="en-US"/>
              </w:rPr>
            </w:pPr>
            <w:r>
              <w:rPr>
                <w:sz w:val="18"/>
                <w:szCs w:val="18"/>
                <w:lang w:val="zh-TW" w:eastAsia="zh-TW"/>
              </w:rPr>
              <w:t>—</w:t>
            </w:r>
          </w:p>
        </w:tc>
        <w:tc>
          <w:tcPr>
            <w:tcW w:w="1164" w:type="pct"/>
            <w:vAlign w:val="center"/>
          </w:tcPr>
          <w:p w14:paraId="3AFB6FF3">
            <w:pPr>
              <w:jc w:val="center"/>
              <w:rPr>
                <w:rFonts w:hint="eastAsia" w:eastAsia="宋体"/>
                <w:sz w:val="18"/>
                <w:szCs w:val="18"/>
                <w:lang w:val="en-US" w:eastAsia="zh-CN"/>
              </w:rPr>
            </w:pPr>
            <w:r>
              <w:rPr>
                <w:rFonts w:hint="eastAsia"/>
                <w:sz w:val="18"/>
                <w:szCs w:val="18"/>
                <w:lang w:val="en-US" w:eastAsia="zh-CN"/>
              </w:rPr>
              <w:t>目视</w:t>
            </w:r>
          </w:p>
        </w:tc>
      </w:tr>
      <w:tr w14:paraId="304F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9" w:type="pct"/>
            <w:vAlign w:val="center"/>
          </w:tcPr>
          <w:p w14:paraId="22ACCFEC">
            <w:pPr>
              <w:jc w:val="center"/>
              <w:rPr>
                <w:rFonts w:hint="default" w:eastAsia="宋体"/>
                <w:sz w:val="18"/>
                <w:szCs w:val="18"/>
                <w:lang w:val="en-US" w:eastAsia="zh-CN"/>
              </w:rPr>
            </w:pPr>
            <w:r>
              <w:rPr>
                <w:rFonts w:hint="eastAsia"/>
                <w:sz w:val="18"/>
                <w:szCs w:val="18"/>
                <w:lang w:val="en-US" w:eastAsia="zh-CN"/>
              </w:rPr>
              <w:t>14</w:t>
            </w:r>
          </w:p>
        </w:tc>
        <w:tc>
          <w:tcPr>
            <w:tcW w:w="691" w:type="pct"/>
            <w:vAlign w:val="center"/>
          </w:tcPr>
          <w:p w14:paraId="6C8F1CC7">
            <w:pPr>
              <w:jc w:val="center"/>
              <w:rPr>
                <w:sz w:val="18"/>
                <w:szCs w:val="18"/>
              </w:rPr>
            </w:pPr>
            <w:r>
              <w:rPr>
                <w:sz w:val="18"/>
                <w:szCs w:val="18"/>
              </w:rPr>
              <w:t>尺寸、外形</w:t>
            </w:r>
          </w:p>
        </w:tc>
        <w:tc>
          <w:tcPr>
            <w:tcW w:w="1556" w:type="pct"/>
            <w:vAlign w:val="center"/>
          </w:tcPr>
          <w:p w14:paraId="27E7C638">
            <w:pPr>
              <w:jc w:val="center"/>
              <w:rPr>
                <w:sz w:val="18"/>
                <w:szCs w:val="18"/>
              </w:rPr>
            </w:pPr>
            <w:r>
              <w:rPr>
                <w:sz w:val="18"/>
                <w:szCs w:val="18"/>
              </w:rPr>
              <w:t>逐</w:t>
            </w:r>
            <w:r>
              <w:rPr>
                <w:rFonts w:hint="eastAsia"/>
                <w:sz w:val="18"/>
                <w:szCs w:val="18"/>
                <w:lang w:val="en-US" w:eastAsia="zh-CN"/>
              </w:rPr>
              <w:t>根</w:t>
            </w:r>
          </w:p>
        </w:tc>
        <w:tc>
          <w:tcPr>
            <w:tcW w:w="1217" w:type="pct"/>
            <w:vAlign w:val="center"/>
          </w:tcPr>
          <w:p w14:paraId="0217482E">
            <w:pPr>
              <w:jc w:val="center"/>
              <w:rPr>
                <w:sz w:val="18"/>
                <w:szCs w:val="18"/>
              </w:rPr>
            </w:pPr>
            <w:r>
              <w:rPr>
                <w:sz w:val="18"/>
                <w:szCs w:val="18"/>
                <w:lang w:val="zh-TW" w:eastAsia="zh-TW"/>
              </w:rPr>
              <w:t>—</w:t>
            </w:r>
          </w:p>
        </w:tc>
        <w:tc>
          <w:tcPr>
            <w:tcW w:w="1164" w:type="pct"/>
            <w:vAlign w:val="center"/>
          </w:tcPr>
          <w:p w14:paraId="018C6D74">
            <w:pPr>
              <w:jc w:val="center"/>
              <w:rPr>
                <w:sz w:val="18"/>
                <w:szCs w:val="18"/>
              </w:rPr>
            </w:pPr>
            <w:r>
              <w:rPr>
                <w:rFonts w:hint="eastAsia"/>
                <w:sz w:val="18"/>
                <w:szCs w:val="18"/>
              </w:rPr>
              <w:t>目视</w:t>
            </w:r>
          </w:p>
        </w:tc>
      </w:tr>
    </w:tbl>
    <w:p w14:paraId="4169DD6F">
      <w:pPr>
        <w:pStyle w:val="31"/>
        <w:widowControl/>
        <w:numPr>
          <w:ilvl w:val="0"/>
          <w:numId w:val="17"/>
        </w:numPr>
        <w:spacing w:before="312" w:beforeLines="100" w:after="312" w:afterLines="100"/>
        <w:outlineLvl w:val="1"/>
        <w:rPr>
          <w:rFonts w:eastAsia="黑体"/>
          <w:sz w:val="21"/>
          <w:szCs w:val="21"/>
        </w:rPr>
      </w:pPr>
      <w:bookmarkStart w:id="32" w:name="_Toc27846"/>
      <w:r>
        <w:rPr>
          <w:rFonts w:eastAsia="黑体"/>
          <w:sz w:val="21"/>
          <w:szCs w:val="21"/>
        </w:rPr>
        <w:t>检验规则</w:t>
      </w:r>
      <w:bookmarkEnd w:id="32"/>
    </w:p>
    <w:p w14:paraId="2A8C1D90">
      <w:pPr>
        <w:pStyle w:val="63"/>
        <w:numPr>
          <w:ilvl w:val="1"/>
          <w:numId w:val="17"/>
        </w:numPr>
        <w:tabs>
          <w:tab w:val="left" w:pos="57"/>
          <w:tab w:val="left" w:pos="2554"/>
          <w:tab w:val="clear" w:pos="0"/>
        </w:tabs>
        <w:spacing w:before="156" w:after="156"/>
        <w:rPr>
          <w:rFonts w:ascii="Times New Roman"/>
        </w:rPr>
      </w:pPr>
      <w:bookmarkStart w:id="33" w:name="_Toc3679"/>
      <w:r>
        <w:rPr>
          <w:rFonts w:ascii="Times New Roman"/>
        </w:rPr>
        <w:t>检查和验收</w:t>
      </w:r>
    </w:p>
    <w:p w14:paraId="558A6A65">
      <w:pPr>
        <w:pStyle w:val="76"/>
        <w:numPr>
          <w:ilvl w:val="2"/>
          <w:numId w:val="0"/>
        </w:numPr>
        <w:tabs>
          <w:tab w:val="left" w:pos="57"/>
        </w:tabs>
        <w:spacing w:before="156" w:after="156"/>
        <w:ind w:firstLine="420" w:firstLineChars="200"/>
        <w:rPr>
          <w:rFonts w:ascii="Times New Roman" w:eastAsia="宋体"/>
          <w:lang w:val="zh-TW" w:eastAsia="zh-TW"/>
        </w:rPr>
      </w:pPr>
      <w:r>
        <w:rPr>
          <w:rFonts w:ascii="Times New Roman" w:eastAsia="宋体"/>
          <w:lang w:val="zh-TW" w:eastAsia="zh-TW"/>
        </w:rPr>
        <w:t>钢管的检查和验收由供方质量检验部门进行。</w:t>
      </w:r>
    </w:p>
    <w:p w14:paraId="6692B6DA">
      <w:pPr>
        <w:pStyle w:val="63"/>
        <w:numPr>
          <w:ilvl w:val="1"/>
          <w:numId w:val="17"/>
        </w:numPr>
        <w:tabs>
          <w:tab w:val="left" w:pos="57"/>
          <w:tab w:val="left" w:pos="2554"/>
          <w:tab w:val="clear" w:pos="0"/>
        </w:tabs>
        <w:spacing w:before="156" w:after="156"/>
        <w:rPr>
          <w:rFonts w:ascii="Times New Roman"/>
        </w:rPr>
      </w:pPr>
      <w:r>
        <w:rPr>
          <w:rFonts w:ascii="Times New Roman"/>
        </w:rPr>
        <w:t>组批规则</w:t>
      </w:r>
    </w:p>
    <w:p w14:paraId="7C9F88BE">
      <w:pPr>
        <w:pStyle w:val="76"/>
        <w:numPr>
          <w:ilvl w:val="2"/>
          <w:numId w:val="0"/>
        </w:numPr>
        <w:tabs>
          <w:tab w:val="left" w:pos="57"/>
        </w:tabs>
        <w:spacing w:before="156" w:after="156"/>
        <w:ind w:firstLine="420" w:firstLineChars="200"/>
        <w:rPr>
          <w:rFonts w:ascii="Times New Roman" w:eastAsia="宋体"/>
          <w:lang w:val="zh-TW" w:eastAsia="zh-TW"/>
        </w:rPr>
      </w:pPr>
      <w:r>
        <w:rPr>
          <w:rFonts w:ascii="Times New Roman" w:eastAsia="宋体"/>
          <w:lang w:val="zh-TW" w:eastAsia="zh-TW"/>
        </w:rPr>
        <w:t>钢管应按批进行检查和验收。每批应由同一牌号、同一炉号、同一规格和同一热处理制度（炉次）的钢管组成，每批钢管支数不得超过200支，其总长度不超过2000米。</w:t>
      </w:r>
    </w:p>
    <w:p w14:paraId="7FD11472">
      <w:pPr>
        <w:pStyle w:val="63"/>
        <w:numPr>
          <w:ilvl w:val="1"/>
          <w:numId w:val="17"/>
        </w:numPr>
        <w:tabs>
          <w:tab w:val="left" w:pos="57"/>
          <w:tab w:val="left" w:pos="2554"/>
          <w:tab w:val="clear" w:pos="0"/>
        </w:tabs>
        <w:spacing w:before="156" w:after="156"/>
        <w:rPr>
          <w:rFonts w:ascii="Times New Roman"/>
        </w:rPr>
      </w:pPr>
      <w:r>
        <w:rPr>
          <w:rFonts w:ascii="Times New Roman"/>
        </w:rPr>
        <w:t>取样数量</w:t>
      </w:r>
    </w:p>
    <w:p w14:paraId="5CA156C3">
      <w:pPr>
        <w:pStyle w:val="76"/>
        <w:numPr>
          <w:ilvl w:val="2"/>
          <w:numId w:val="0"/>
        </w:numPr>
        <w:tabs>
          <w:tab w:val="left" w:pos="57"/>
        </w:tabs>
        <w:spacing w:before="156" w:after="156"/>
        <w:ind w:firstLine="420" w:firstLineChars="200"/>
        <w:rPr>
          <w:rFonts w:ascii="Times New Roman" w:eastAsia="宋体"/>
          <w:lang w:val="zh-TW" w:eastAsia="zh-TW"/>
        </w:rPr>
      </w:pPr>
      <w:r>
        <w:rPr>
          <w:rFonts w:hint="eastAsia" w:ascii="Times New Roman" w:eastAsia="宋体"/>
          <w:lang w:val="en-US" w:eastAsia="zh-CN"/>
        </w:rPr>
        <w:t>钢管</w:t>
      </w:r>
      <w:r>
        <w:rPr>
          <w:rFonts w:ascii="Times New Roman" w:eastAsia="宋体"/>
          <w:lang w:val="zh-TW" w:eastAsia="zh-TW"/>
        </w:rPr>
        <w:t>的取样数量应符合表8的规定。</w:t>
      </w:r>
    </w:p>
    <w:p w14:paraId="2593F543">
      <w:pPr>
        <w:pStyle w:val="63"/>
        <w:numPr>
          <w:ilvl w:val="1"/>
          <w:numId w:val="17"/>
        </w:numPr>
        <w:tabs>
          <w:tab w:val="left" w:pos="57"/>
          <w:tab w:val="left" w:pos="2554"/>
          <w:tab w:val="clear" w:pos="0"/>
        </w:tabs>
        <w:spacing w:before="156" w:after="156"/>
        <w:rPr>
          <w:rFonts w:ascii="Times New Roman"/>
        </w:rPr>
      </w:pPr>
      <w:r>
        <w:rPr>
          <w:rFonts w:ascii="Times New Roman"/>
        </w:rPr>
        <w:t>复验和判定规则</w:t>
      </w:r>
    </w:p>
    <w:p w14:paraId="75E0370B">
      <w:pPr>
        <w:pStyle w:val="76"/>
        <w:numPr>
          <w:ilvl w:val="2"/>
          <w:numId w:val="0"/>
        </w:numPr>
        <w:tabs>
          <w:tab w:val="left" w:pos="57"/>
        </w:tabs>
        <w:spacing w:before="156" w:after="156"/>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钢管的复验与判定规则应符合GB/T 2102的规定。</w:t>
      </w:r>
    </w:p>
    <w:p w14:paraId="67DE15C2">
      <w:pPr>
        <w:pStyle w:val="63"/>
        <w:numPr>
          <w:ilvl w:val="1"/>
          <w:numId w:val="17"/>
        </w:numPr>
        <w:tabs>
          <w:tab w:val="left" w:pos="57"/>
          <w:tab w:val="left" w:pos="2554"/>
          <w:tab w:val="clear" w:pos="0"/>
        </w:tabs>
        <w:spacing w:before="156" w:after="156"/>
        <w:rPr>
          <w:rFonts w:ascii="Times New Roman"/>
        </w:rPr>
      </w:pPr>
      <w:r>
        <w:rPr>
          <w:rFonts w:ascii="Times New Roman"/>
        </w:rPr>
        <w:t>重新热处理</w:t>
      </w:r>
    </w:p>
    <w:p w14:paraId="72EFB976">
      <w:pPr>
        <w:pStyle w:val="76"/>
        <w:numPr>
          <w:ilvl w:val="2"/>
          <w:numId w:val="17"/>
        </w:numPr>
        <w:tabs>
          <w:tab w:val="left" w:pos="57"/>
        </w:tabs>
        <w:spacing w:before="156" w:after="156"/>
        <w:rPr>
          <w:rFonts w:ascii="Times New Roman" w:eastAsia="宋体"/>
          <w:lang w:val="zh-TW" w:eastAsia="zh-TW"/>
        </w:rPr>
      </w:pPr>
      <w:r>
        <w:rPr>
          <w:rFonts w:ascii="Times New Roman" w:eastAsia="宋体"/>
          <w:lang w:val="zh-TW" w:eastAsia="zh-TW"/>
        </w:rPr>
        <w:t>如果一批</w:t>
      </w:r>
      <w:r>
        <w:rPr>
          <w:rFonts w:ascii="Times New Roman" w:eastAsia="宋体"/>
          <w:lang w:val="zh-TW"/>
        </w:rPr>
        <w:t>钢</w:t>
      </w:r>
      <w:r>
        <w:rPr>
          <w:rFonts w:ascii="Times New Roman" w:eastAsia="宋体"/>
          <w:lang w:val="zh-TW" w:eastAsia="zh-TW"/>
        </w:rPr>
        <w:t>管由于一项或几项力学性能、工艺性能不合格时，则该批</w:t>
      </w:r>
      <w:r>
        <w:rPr>
          <w:rFonts w:ascii="Times New Roman" w:eastAsia="宋体"/>
          <w:lang w:val="zh-TW"/>
        </w:rPr>
        <w:t>钢</w:t>
      </w:r>
      <w:r>
        <w:rPr>
          <w:rFonts w:ascii="Times New Roman" w:eastAsia="宋体"/>
          <w:lang w:val="zh-TW" w:eastAsia="zh-TW"/>
        </w:rPr>
        <w:t>管可进行重新热处理。</w:t>
      </w:r>
    </w:p>
    <w:p w14:paraId="6B920579">
      <w:pPr>
        <w:pStyle w:val="76"/>
        <w:numPr>
          <w:ilvl w:val="2"/>
          <w:numId w:val="17"/>
        </w:numPr>
        <w:tabs>
          <w:tab w:val="left" w:pos="57"/>
        </w:tabs>
        <w:spacing w:before="156" w:after="156"/>
        <w:rPr>
          <w:rFonts w:ascii="Times New Roman"/>
        </w:rPr>
      </w:pPr>
      <w:r>
        <w:rPr>
          <w:rFonts w:ascii="Times New Roman" w:eastAsia="宋体"/>
          <w:lang w:val="zh-TW" w:eastAsia="zh-TW"/>
        </w:rPr>
        <w:t>重新热处理后应重新进行除化学成分和非金属夹杂物检验外的所有检验和试验。</w:t>
      </w:r>
    </w:p>
    <w:p w14:paraId="3FE0B0B6">
      <w:pPr>
        <w:pStyle w:val="76"/>
        <w:numPr>
          <w:ilvl w:val="2"/>
          <w:numId w:val="17"/>
        </w:numPr>
        <w:tabs>
          <w:tab w:val="left" w:pos="57"/>
        </w:tabs>
        <w:spacing w:before="156" w:after="156"/>
        <w:rPr>
          <w:rFonts w:ascii="Times New Roman" w:eastAsia="宋体"/>
          <w:lang w:val="zh-TW" w:eastAsia="zh-TW"/>
        </w:rPr>
      </w:pPr>
      <w:r>
        <w:rPr>
          <w:rFonts w:ascii="Times New Roman" w:eastAsia="宋体"/>
          <w:lang w:val="zh-TW" w:eastAsia="zh-TW"/>
        </w:rPr>
        <w:t>重新热处理应在质量证明文件中注明。</w:t>
      </w:r>
    </w:p>
    <w:p w14:paraId="27418DE6">
      <w:pPr>
        <w:pStyle w:val="76"/>
        <w:numPr>
          <w:ilvl w:val="2"/>
          <w:numId w:val="17"/>
        </w:numPr>
        <w:tabs>
          <w:tab w:val="left" w:pos="57"/>
        </w:tabs>
        <w:spacing w:before="156" w:after="156"/>
        <w:rPr>
          <w:rFonts w:ascii="Times New Roman" w:eastAsia="宋体"/>
          <w:lang w:val="zh-TW" w:eastAsia="zh-TW"/>
        </w:rPr>
      </w:pPr>
      <w:r>
        <w:rPr>
          <w:rFonts w:ascii="Times New Roman" w:eastAsia="宋体"/>
          <w:lang w:val="zh-TW" w:eastAsia="zh-TW"/>
        </w:rPr>
        <w:t>重新热处理只允许进行一次。</w:t>
      </w:r>
    </w:p>
    <w:p w14:paraId="63E55783">
      <w:pPr>
        <w:pStyle w:val="63"/>
        <w:numPr>
          <w:ilvl w:val="1"/>
          <w:numId w:val="17"/>
        </w:numPr>
        <w:tabs>
          <w:tab w:val="left" w:pos="57"/>
          <w:tab w:val="left" w:pos="2554"/>
          <w:tab w:val="clear" w:pos="0"/>
        </w:tabs>
        <w:spacing w:before="156" w:after="156"/>
        <w:rPr>
          <w:rFonts w:ascii="Times New Roman"/>
        </w:rPr>
      </w:pPr>
      <w:r>
        <w:rPr>
          <w:rFonts w:ascii="Times New Roman"/>
        </w:rPr>
        <w:t>数值修约</w:t>
      </w:r>
    </w:p>
    <w:p w14:paraId="1CE4C29A">
      <w:pPr>
        <w:pStyle w:val="76"/>
        <w:numPr>
          <w:ilvl w:val="2"/>
          <w:numId w:val="0"/>
        </w:numPr>
        <w:tabs>
          <w:tab w:val="left" w:pos="57"/>
        </w:tabs>
        <w:spacing w:before="156" w:after="156"/>
        <w:ind w:firstLine="420" w:firstLineChars="200"/>
        <w:rPr>
          <w:rFonts w:ascii="Times New Roman" w:eastAsia="宋体"/>
          <w:lang w:val="zh-TW" w:eastAsia="zh-TW"/>
        </w:rPr>
      </w:pPr>
      <w:r>
        <w:rPr>
          <w:rFonts w:ascii="Times New Roman" w:eastAsia="宋体"/>
          <w:lang w:val="zh-TW" w:eastAsia="zh-TW"/>
        </w:rPr>
        <w:t>数值判定采用修约值比较法，数值修约按GB/T 8170规定执行。</w:t>
      </w:r>
    </w:p>
    <w:p w14:paraId="15614A14">
      <w:pPr>
        <w:pStyle w:val="31"/>
        <w:widowControl/>
        <w:numPr>
          <w:ilvl w:val="0"/>
          <w:numId w:val="17"/>
        </w:numPr>
        <w:spacing w:before="312" w:beforeLines="100" w:after="312" w:afterLines="100"/>
        <w:outlineLvl w:val="1"/>
        <w:rPr>
          <w:rFonts w:eastAsia="黑体"/>
          <w:sz w:val="21"/>
          <w:szCs w:val="21"/>
        </w:rPr>
      </w:pPr>
      <w:r>
        <w:rPr>
          <w:rFonts w:eastAsia="黑体"/>
          <w:sz w:val="21"/>
          <w:szCs w:val="21"/>
        </w:rPr>
        <w:t>包装、标志和质量说明书</w:t>
      </w:r>
      <w:bookmarkEnd w:id="33"/>
      <w:bookmarkStart w:id="34" w:name="_GoBack"/>
      <w:bookmarkEnd w:id="34"/>
    </w:p>
    <w:p w14:paraId="16D48362">
      <w:pPr>
        <w:pStyle w:val="76"/>
        <w:numPr>
          <w:ilvl w:val="2"/>
          <w:numId w:val="0"/>
        </w:numPr>
        <w:tabs>
          <w:tab w:val="left" w:pos="57"/>
        </w:tabs>
        <w:spacing w:before="156" w:after="156"/>
        <w:ind w:firstLine="420" w:firstLineChars="200"/>
        <w:rPr>
          <w:rFonts w:ascii="Times New Roman" w:eastAsia="宋体"/>
        </w:rPr>
      </w:pPr>
      <w:r>
        <w:rPr>
          <w:rFonts w:ascii="Times New Roman" w:eastAsia="宋体"/>
        </w:rPr>
        <w:t>钢管的包装、标志和质量证明书应符合GB/T 2102的规定</w:t>
      </w:r>
      <w:r>
        <w:rPr>
          <w:rFonts w:hint="eastAsia" w:ascii="Times New Roman" w:eastAsia="宋体"/>
        </w:rPr>
        <w:t>。</w:t>
      </w:r>
    </w:p>
    <w:p w14:paraId="6AE1FE4B">
      <w:pPr>
        <w:pStyle w:val="70"/>
        <w:framePr w:wrap="notBeside" w:hAnchor="page" w:y="1844"/>
      </w:pPr>
      <w:r>
        <w:t>____________________</w:t>
      </w:r>
    </w:p>
    <w:sectPr>
      <w:headerReference r:id="rId9" w:type="default"/>
      <w:footerReference r:id="rId10" w:type="default"/>
      <w:pgSz w:w="11906" w:h="16838"/>
      <w:pgMar w:top="567" w:right="1134" w:bottom="1134" w:left="1418"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D30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CB08">
    <w:pPr>
      <w:pStyle w:val="14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47FC">
    <w:pPr>
      <w:pStyle w:val="140"/>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CAE5">
    <w:pPr>
      <w:pStyle w:val="119"/>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9D64">
    <w:pPr>
      <w:pStyle w:val="119"/>
      <w:wordWrap w:val="0"/>
      <w:spacing w:before="120" w:after="120"/>
      <w:rPr>
        <w:rFonts w:ascii="Times New Roman"/>
        <w:b/>
        <w:bCs/>
        <w:color w:val="000000"/>
      </w:rPr>
    </w:pPr>
    <w:r>
      <w:rPr>
        <w:rFonts w:ascii="Times New Roman"/>
        <w:b/>
        <w:bCs/>
        <w:color w:val="000000"/>
      </w:rPr>
      <w:t>T/CSTA XXXX</w:t>
    </w:r>
    <w:r>
      <w:rPr>
        <w:rFonts w:ascii="Times New Roman" w:eastAsia="宋体"/>
        <w:b/>
        <w:bCs/>
      </w:rPr>
      <w:t>—</w:t>
    </w:r>
    <w:r>
      <w:rPr>
        <w:rFonts w:ascii="Times New Roman"/>
        <w:b/>
        <w:bCs/>
        <w:color w:val="000000"/>
      </w:rPr>
      <w:t>2025</w:t>
    </w:r>
  </w:p>
  <w:p w14:paraId="0957B9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24AB">
    <w:pPr>
      <w:pStyle w:val="119"/>
      <w:wordWrap w:val="0"/>
      <w:spacing w:before="120" w:after="120"/>
      <w:jc w:val="both"/>
    </w:pPr>
    <w:r>
      <w:rPr>
        <w:rFonts w:ascii="Times New Roman"/>
        <w:b/>
        <w:bCs/>
        <w:color w:val="000000"/>
      </w:rPr>
      <w:t>T/CSTA XXXX</w:t>
    </w:r>
    <w:r>
      <w:rPr>
        <w:rFonts w:ascii="Times New Roman" w:eastAsia="宋体"/>
        <w:b/>
        <w:bCs/>
      </w:rPr>
      <w:t>—</w:t>
    </w:r>
    <w:r>
      <w:rPr>
        <w:rFonts w:ascii="Times New Roman"/>
        <w:b/>
        <w:bCs/>
        <w:color w:val="000000"/>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FD1E">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581B">
    <w:pPr>
      <w:pStyle w:val="119"/>
      <w:wordWrap w:val="0"/>
      <w:spacing w:before="120" w:after="120"/>
    </w:pPr>
    <w:r>
      <w:rPr>
        <w:rFonts w:ascii="Times New Roman"/>
        <w:b/>
        <w:bCs/>
        <w:color w:val="000000"/>
      </w:rPr>
      <w:t>T/CSTA XXXX</w:t>
    </w:r>
    <w:r>
      <w:rPr>
        <w:rFonts w:ascii="Times New Roman" w:eastAsia="宋体"/>
        <w:b/>
        <w:bCs/>
      </w:rPr>
      <w:t>—</w:t>
    </w:r>
    <w:r>
      <w:rPr>
        <w:rFonts w:ascii="Times New Roman"/>
        <w:b/>
        <w:bCs/>
        <w:color w:val="000000"/>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8E708"/>
    <w:multiLevelType w:val="singleLevel"/>
    <w:tmpl w:val="8888E708"/>
    <w:lvl w:ilvl="0" w:tentative="0">
      <w:start w:val="1"/>
      <w:numFmt w:val="lowerLetter"/>
      <w:suff w:val="nothing"/>
      <w:lvlText w:val="%1）"/>
      <w:lvlJc w:val="left"/>
    </w:lvl>
  </w:abstractNum>
  <w:abstractNum w:abstractNumId="1">
    <w:nsid w:val="A3F71F58"/>
    <w:multiLevelType w:val="singleLevel"/>
    <w:tmpl w:val="A3F71F58"/>
    <w:lvl w:ilvl="0" w:tentative="0">
      <w:start w:val="1"/>
      <w:numFmt w:val="lowerLetter"/>
      <w:suff w:val="nothing"/>
      <w:lvlText w:val="%1）"/>
      <w:lvlJc w:val="left"/>
    </w:lvl>
  </w:abstractNum>
  <w:abstractNum w:abstractNumId="2">
    <w:nsid w:val="093C6778"/>
    <w:multiLevelType w:val="multilevel"/>
    <w:tmpl w:val="093C6778"/>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9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0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671876E"/>
    <w:multiLevelType w:val="singleLevel"/>
    <w:tmpl w:val="2671876E"/>
    <w:lvl w:ilvl="0" w:tentative="0">
      <w:start w:val="1"/>
      <w:numFmt w:val="lowerLetter"/>
      <w:suff w:val="nothing"/>
      <w:lvlText w:val="%1）"/>
      <w:lvlJc w:val="left"/>
    </w:lvl>
  </w:abstractNum>
  <w:abstractNum w:abstractNumId="6">
    <w:nsid w:val="2A8F7113"/>
    <w:multiLevelType w:val="multilevel"/>
    <w:tmpl w:val="2A8F7113"/>
    <w:lvl w:ilvl="0" w:tentative="0">
      <w:start w:val="1"/>
      <w:numFmt w:val="upperLetter"/>
      <w:pStyle w:val="111"/>
      <w:suff w:val="space"/>
      <w:lvlText w:val="%1"/>
      <w:lvlJc w:val="left"/>
      <w:pPr>
        <w:ind w:left="623" w:hanging="425"/>
      </w:pPr>
      <w:rPr>
        <w:rFonts w:hint="eastAsia"/>
      </w:rPr>
    </w:lvl>
    <w:lvl w:ilvl="1" w:tentative="0">
      <w:start w:val="1"/>
      <w:numFmt w:val="decimal"/>
      <w:pStyle w:val="14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09"/>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hint="default" w:ascii="Symbol" w:hAnsi="Symbol"/>
        <w:color w:val="auto"/>
      </w:rPr>
    </w:lvl>
    <w:lvl w:ilvl="2" w:tentative="0">
      <w:start w:val="1"/>
      <w:numFmt w:val="bullet"/>
      <w:pStyle w:val="12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3389542"/>
    <w:multiLevelType w:val="multilevel"/>
    <w:tmpl w:val="33389542"/>
    <w:lvl w:ilvl="0" w:tentative="0">
      <w:start w:val="1"/>
      <w:numFmt w:val="decimal"/>
      <w:suff w:val="nothing"/>
      <w:lvlText w:val="%1　"/>
      <w:lvlJc w:val="left"/>
      <w:pPr>
        <w:ind w:left="0" w:firstLine="0"/>
      </w:pPr>
      <w:rPr>
        <w:rFonts w:hint="eastAsia" w:ascii="黑体" w:hAnsi="Times New Roman" w:eastAsia="黑体" w:cs="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pacing w:val="0"/>
        <w:sz w:val="21"/>
        <w:szCs w:val="21"/>
      </w:rPr>
    </w:lvl>
    <w:lvl w:ilvl="2" w:tentative="0">
      <w:start w:val="1"/>
      <w:numFmt w:val="decimal"/>
      <w:suff w:val="nothing"/>
      <w:lvlText w:val="%1.%2.%3　"/>
      <w:lvlJc w:val="left"/>
      <w:pPr>
        <w:ind w:left="0" w:firstLine="0"/>
      </w:pPr>
      <w:rPr>
        <w:rFonts w:hint="eastAsia" w:ascii="黑体" w:hAnsi="Times New Roman" w:eastAsia="黑体" w:cs="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9">
    <w:nsid w:val="37C9DB4E"/>
    <w:multiLevelType w:val="multilevel"/>
    <w:tmpl w:val="37C9DB4E"/>
    <w:lvl w:ilvl="0" w:tentative="0">
      <w:start w:val="1"/>
      <w:numFmt w:val="decimal"/>
      <w:pStyle w:val="54"/>
      <w:suff w:val="nothing"/>
      <w:lvlText w:val="A.%1　"/>
      <w:lvlJc w:val="left"/>
      <w:pPr>
        <w:tabs>
          <w:tab w:val="left" w:pos="0"/>
        </w:tabs>
        <w:ind w:left="0" w:firstLine="0"/>
      </w:pPr>
      <w:rPr>
        <w:rFonts w:hint="default" w:ascii="Times New Roman" w:hAnsi="Times New Roman" w:eastAsia="黑体" w:cs="Times New Roman"/>
        <w:b/>
        <w:bCs/>
        <w:i w:val="0"/>
        <w:sz w:val="21"/>
        <w:szCs w:val="21"/>
      </w:rPr>
    </w:lvl>
    <w:lvl w:ilvl="1" w:tentative="0">
      <w:start w:val="1"/>
      <w:numFmt w:val="decimal"/>
      <w:pStyle w:val="63"/>
      <w:suff w:val="nothing"/>
      <w:lvlText w:val="A.%1.%2　"/>
      <w:lvlJc w:val="left"/>
      <w:pPr>
        <w:ind w:left="0" w:firstLine="0"/>
      </w:pPr>
      <w:rPr>
        <w:rFonts w:hint="default" w:ascii="Times New Roman" w:hAnsi="Times New Roman" w:eastAsia="宋体" w:cs="Times New Roman"/>
        <w:b/>
        <w:bCs/>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6"/>
      <w:suff w:val="nothing"/>
      <w:lvlText w:val="A.%1.%2.%3　"/>
      <w:lvlJc w:val="left"/>
      <w:pPr>
        <w:ind w:left="0" w:firstLine="0"/>
      </w:pPr>
      <w:rPr>
        <w:rFonts w:hint="default" w:ascii="Times New Roman" w:hAnsi="Times New Roman" w:eastAsia="宋体" w:cs="Times New Roman"/>
        <w:b w:val="0"/>
        <w:i w:val="0"/>
        <w:sz w:val="21"/>
      </w:rPr>
    </w:lvl>
    <w:lvl w:ilvl="3" w:tentative="0">
      <w:start w:val="1"/>
      <w:numFmt w:val="decimal"/>
      <w:pStyle w:val="77"/>
      <w:suff w:val="nothing"/>
      <w:lvlText w:val="A.%1.%2.%3.%4　"/>
      <w:lvlJc w:val="left"/>
      <w:pPr>
        <w:ind w:left="0" w:firstLine="0"/>
      </w:pPr>
      <w:rPr>
        <w:rFonts w:hint="default" w:ascii="Times New Roman" w:hAnsi="Times New Roman" w:eastAsia="宋体" w:cs="Times New Roman"/>
        <w:b w:val="0"/>
        <w:i w:val="0"/>
        <w:sz w:val="21"/>
      </w:rPr>
    </w:lvl>
    <w:lvl w:ilvl="4" w:tentative="0">
      <w:start w:val="1"/>
      <w:numFmt w:val="decimal"/>
      <w:pStyle w:val="96"/>
      <w:suff w:val="nothing"/>
      <w:lvlText w:val="A.%1.%2.%3.%4.%5　"/>
      <w:lvlJc w:val="left"/>
      <w:pPr>
        <w:ind w:left="0" w:firstLine="0"/>
      </w:pPr>
      <w:rPr>
        <w:rFonts w:hint="default" w:ascii="宋体" w:hAnsi="宋体" w:eastAsia="宋体" w:cs="宋体"/>
        <w:b w:val="0"/>
        <w:i w:val="0"/>
        <w:sz w:val="21"/>
      </w:rPr>
    </w:lvl>
    <w:lvl w:ilvl="5" w:tentative="0">
      <w:start w:val="1"/>
      <w:numFmt w:val="decimal"/>
      <w:pStyle w:val="101"/>
      <w:suff w:val="nothing"/>
      <w:lvlText w:val="A.%1.%2.%3.%4.%5.%6　"/>
      <w:lvlJc w:val="left"/>
      <w:pPr>
        <w:ind w:left="0" w:firstLine="0"/>
      </w:pPr>
      <w:rPr>
        <w:rFonts w:hint="default" w:ascii="宋体" w:hAnsi="宋体" w:eastAsia="宋体" w:cs="宋体"/>
        <w:b w:val="0"/>
        <w:i w:val="0"/>
        <w:sz w:val="21"/>
      </w:rPr>
    </w:lvl>
    <w:lvl w:ilvl="6" w:tentative="0">
      <w:start w:val="1"/>
      <w:numFmt w:val="decimal"/>
      <w:suff w:val="nothing"/>
      <w:lvlText w:val="%1%2.%3.%4.%5.%6.%7　"/>
      <w:lvlJc w:val="left"/>
      <w:pPr>
        <w:ind w:left="0" w:firstLine="0"/>
      </w:pPr>
      <w:rPr>
        <w:rFonts w:hint="default" w:ascii="宋体" w:hAnsi="宋体" w:eastAsia="宋体" w:cs="宋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1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5"/>
      <w:lvlText w:val="%2)"/>
      <w:lvlJc w:val="left"/>
      <w:pPr>
        <w:tabs>
          <w:tab w:val="left" w:pos="1260"/>
        </w:tabs>
        <w:ind w:left="1259" w:hanging="419"/>
      </w:pPr>
      <w:rPr>
        <w:rFonts w:hint="eastAsia"/>
      </w:rPr>
    </w:lvl>
    <w:lvl w:ilvl="2" w:tentative="0">
      <w:start w:val="1"/>
      <w:numFmt w:val="decimal"/>
      <w:pStyle w:val="10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6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57D1A07E"/>
    <w:multiLevelType w:val="multilevel"/>
    <w:tmpl w:val="57D1A07E"/>
    <w:lvl w:ilvl="0" w:tentative="0">
      <w:start w:val="1"/>
      <w:numFmt w:val="decimal"/>
      <w:pStyle w:val="13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59AE3640"/>
    <w:multiLevelType w:val="multilevel"/>
    <w:tmpl w:val="59AE3640"/>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6">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13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16"/>
      <w:suff w:val="nothing"/>
      <w:lvlText w:val="表%1　"/>
      <w:lvlJc w:val="left"/>
      <w:pPr>
        <w:ind w:left="3827"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14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8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0"/>
  </w:num>
  <w:num w:numId="2">
    <w:abstractNumId w:val="2"/>
  </w:num>
  <w:num w:numId="3">
    <w:abstractNumId w:val="9"/>
  </w:num>
  <w:num w:numId="4">
    <w:abstractNumId w:val="13"/>
  </w:num>
  <w:num w:numId="5">
    <w:abstractNumId w:val="18"/>
  </w:num>
  <w:num w:numId="6">
    <w:abstractNumId w:val="19"/>
  </w:num>
  <w:num w:numId="7">
    <w:abstractNumId w:val="12"/>
  </w:num>
  <w:num w:numId="8">
    <w:abstractNumId w:val="3"/>
  </w:num>
  <w:num w:numId="9">
    <w:abstractNumId w:val="4"/>
  </w:num>
  <w:num w:numId="10">
    <w:abstractNumId w:val="11"/>
  </w:num>
  <w:num w:numId="11">
    <w:abstractNumId w:val="7"/>
  </w:num>
  <w:num w:numId="12">
    <w:abstractNumId w:val="6"/>
  </w:num>
  <w:num w:numId="13">
    <w:abstractNumId w:val="17"/>
  </w:num>
  <w:num w:numId="14">
    <w:abstractNumId w:val="16"/>
  </w:num>
  <w:num w:numId="15">
    <w:abstractNumId w:val="15"/>
  </w:num>
  <w:num w:numId="16">
    <w:abstractNumId w:val="14"/>
  </w:num>
  <w:num w:numId="17">
    <w:abstractNumId w:val="8"/>
  </w:num>
  <w:num w:numId="18">
    <w:abstractNumId w:val="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yZWU2ZmQzMTQzOGI5YWRkZjI1NjkxYTMwMWY0M2QifQ=="/>
  </w:docVars>
  <w:rsids>
    <w:rsidRoot w:val="00172A27"/>
    <w:rsid w:val="00000244"/>
    <w:rsid w:val="0000185F"/>
    <w:rsid w:val="00001EA1"/>
    <w:rsid w:val="0000211B"/>
    <w:rsid w:val="00003467"/>
    <w:rsid w:val="00004641"/>
    <w:rsid w:val="00004A51"/>
    <w:rsid w:val="0000586F"/>
    <w:rsid w:val="00006213"/>
    <w:rsid w:val="00007989"/>
    <w:rsid w:val="000121B8"/>
    <w:rsid w:val="000128A2"/>
    <w:rsid w:val="00013C95"/>
    <w:rsid w:val="00013D86"/>
    <w:rsid w:val="00013E02"/>
    <w:rsid w:val="0002143C"/>
    <w:rsid w:val="00022C79"/>
    <w:rsid w:val="00024A28"/>
    <w:rsid w:val="00025A65"/>
    <w:rsid w:val="00026C31"/>
    <w:rsid w:val="00026F18"/>
    <w:rsid w:val="00027280"/>
    <w:rsid w:val="000306A5"/>
    <w:rsid w:val="00030DA6"/>
    <w:rsid w:val="00031641"/>
    <w:rsid w:val="000320A7"/>
    <w:rsid w:val="000343B7"/>
    <w:rsid w:val="00035925"/>
    <w:rsid w:val="000365A7"/>
    <w:rsid w:val="00040C55"/>
    <w:rsid w:val="0004200D"/>
    <w:rsid w:val="00044E75"/>
    <w:rsid w:val="000456F5"/>
    <w:rsid w:val="00052479"/>
    <w:rsid w:val="00063706"/>
    <w:rsid w:val="00063AC9"/>
    <w:rsid w:val="0006738C"/>
    <w:rsid w:val="00067CDF"/>
    <w:rsid w:val="00074FBE"/>
    <w:rsid w:val="00075187"/>
    <w:rsid w:val="00077CE6"/>
    <w:rsid w:val="00083A09"/>
    <w:rsid w:val="000857C7"/>
    <w:rsid w:val="000874AD"/>
    <w:rsid w:val="0009005E"/>
    <w:rsid w:val="00090EEE"/>
    <w:rsid w:val="000913F3"/>
    <w:rsid w:val="000923B7"/>
    <w:rsid w:val="00092857"/>
    <w:rsid w:val="00093930"/>
    <w:rsid w:val="00095CAD"/>
    <w:rsid w:val="00097EB6"/>
    <w:rsid w:val="000A20A9"/>
    <w:rsid w:val="000A3FE7"/>
    <w:rsid w:val="000A47DF"/>
    <w:rsid w:val="000A48B1"/>
    <w:rsid w:val="000B0A19"/>
    <w:rsid w:val="000B0EA6"/>
    <w:rsid w:val="000B1071"/>
    <w:rsid w:val="000B3143"/>
    <w:rsid w:val="000B78AE"/>
    <w:rsid w:val="000C0B51"/>
    <w:rsid w:val="000C20F3"/>
    <w:rsid w:val="000C35E1"/>
    <w:rsid w:val="000C3E6C"/>
    <w:rsid w:val="000C4F67"/>
    <w:rsid w:val="000C6B05"/>
    <w:rsid w:val="000C6DD6"/>
    <w:rsid w:val="000C6FF1"/>
    <w:rsid w:val="000C73D4"/>
    <w:rsid w:val="000D072D"/>
    <w:rsid w:val="000D3D4C"/>
    <w:rsid w:val="000D4F51"/>
    <w:rsid w:val="000D6950"/>
    <w:rsid w:val="000D718B"/>
    <w:rsid w:val="000E0C46"/>
    <w:rsid w:val="000E485D"/>
    <w:rsid w:val="000E581D"/>
    <w:rsid w:val="000E5F02"/>
    <w:rsid w:val="000E71B5"/>
    <w:rsid w:val="000F030C"/>
    <w:rsid w:val="000F0CE1"/>
    <w:rsid w:val="000F129C"/>
    <w:rsid w:val="000F1A93"/>
    <w:rsid w:val="000F1B17"/>
    <w:rsid w:val="000F2A25"/>
    <w:rsid w:val="000F3D71"/>
    <w:rsid w:val="000F5CF2"/>
    <w:rsid w:val="000F6372"/>
    <w:rsid w:val="001007F6"/>
    <w:rsid w:val="00102324"/>
    <w:rsid w:val="001045EB"/>
    <w:rsid w:val="00104E80"/>
    <w:rsid w:val="001056DE"/>
    <w:rsid w:val="00106872"/>
    <w:rsid w:val="00107D2F"/>
    <w:rsid w:val="001124C0"/>
    <w:rsid w:val="00113829"/>
    <w:rsid w:val="00115C05"/>
    <w:rsid w:val="00116BB5"/>
    <w:rsid w:val="00117DD8"/>
    <w:rsid w:val="00121E36"/>
    <w:rsid w:val="00124A44"/>
    <w:rsid w:val="001254A7"/>
    <w:rsid w:val="00125BF4"/>
    <w:rsid w:val="001278F1"/>
    <w:rsid w:val="0013175F"/>
    <w:rsid w:val="001371F4"/>
    <w:rsid w:val="001405D9"/>
    <w:rsid w:val="001430A0"/>
    <w:rsid w:val="001512B4"/>
    <w:rsid w:val="001559DB"/>
    <w:rsid w:val="00157ACF"/>
    <w:rsid w:val="001620A5"/>
    <w:rsid w:val="0016315B"/>
    <w:rsid w:val="00163D24"/>
    <w:rsid w:val="00164467"/>
    <w:rsid w:val="001644B0"/>
    <w:rsid w:val="00164E53"/>
    <w:rsid w:val="00164FB1"/>
    <w:rsid w:val="00165A55"/>
    <w:rsid w:val="0016612D"/>
    <w:rsid w:val="0016699D"/>
    <w:rsid w:val="00166C6D"/>
    <w:rsid w:val="001671A4"/>
    <w:rsid w:val="00170575"/>
    <w:rsid w:val="00172A27"/>
    <w:rsid w:val="00172AE8"/>
    <w:rsid w:val="00173B50"/>
    <w:rsid w:val="00174050"/>
    <w:rsid w:val="00175159"/>
    <w:rsid w:val="0017617D"/>
    <w:rsid w:val="00176208"/>
    <w:rsid w:val="00180F88"/>
    <w:rsid w:val="0018211B"/>
    <w:rsid w:val="001840D3"/>
    <w:rsid w:val="00187AB7"/>
    <w:rsid w:val="001900F8"/>
    <w:rsid w:val="001908E2"/>
    <w:rsid w:val="00190E7E"/>
    <w:rsid w:val="00191258"/>
    <w:rsid w:val="00191555"/>
    <w:rsid w:val="00192680"/>
    <w:rsid w:val="00193037"/>
    <w:rsid w:val="00193A2C"/>
    <w:rsid w:val="001A17C3"/>
    <w:rsid w:val="001A288E"/>
    <w:rsid w:val="001A32B0"/>
    <w:rsid w:val="001A3829"/>
    <w:rsid w:val="001A6E36"/>
    <w:rsid w:val="001A7962"/>
    <w:rsid w:val="001B5ECC"/>
    <w:rsid w:val="001B6DC2"/>
    <w:rsid w:val="001C0599"/>
    <w:rsid w:val="001C149C"/>
    <w:rsid w:val="001C21AC"/>
    <w:rsid w:val="001C2C3D"/>
    <w:rsid w:val="001C3955"/>
    <w:rsid w:val="001C47BA"/>
    <w:rsid w:val="001C4EA1"/>
    <w:rsid w:val="001C59EA"/>
    <w:rsid w:val="001D3B71"/>
    <w:rsid w:val="001D406C"/>
    <w:rsid w:val="001D41EE"/>
    <w:rsid w:val="001E0380"/>
    <w:rsid w:val="001E05C0"/>
    <w:rsid w:val="001E13B1"/>
    <w:rsid w:val="001E17D9"/>
    <w:rsid w:val="001E1E5F"/>
    <w:rsid w:val="001E20E6"/>
    <w:rsid w:val="001F00B9"/>
    <w:rsid w:val="001F0DAE"/>
    <w:rsid w:val="001F378F"/>
    <w:rsid w:val="001F37EA"/>
    <w:rsid w:val="001F3A19"/>
    <w:rsid w:val="00200351"/>
    <w:rsid w:val="002067F6"/>
    <w:rsid w:val="0021257E"/>
    <w:rsid w:val="00212CEE"/>
    <w:rsid w:val="00216C36"/>
    <w:rsid w:val="00225599"/>
    <w:rsid w:val="00225649"/>
    <w:rsid w:val="002256EA"/>
    <w:rsid w:val="0022641E"/>
    <w:rsid w:val="0022669B"/>
    <w:rsid w:val="002274E2"/>
    <w:rsid w:val="00231970"/>
    <w:rsid w:val="00231E54"/>
    <w:rsid w:val="00232E34"/>
    <w:rsid w:val="00234425"/>
    <w:rsid w:val="00234467"/>
    <w:rsid w:val="00234BD5"/>
    <w:rsid w:val="00237D8D"/>
    <w:rsid w:val="00241DA2"/>
    <w:rsid w:val="002427B9"/>
    <w:rsid w:val="00243C3C"/>
    <w:rsid w:val="00244909"/>
    <w:rsid w:val="00245D5E"/>
    <w:rsid w:val="00246942"/>
    <w:rsid w:val="00246B9A"/>
    <w:rsid w:val="00246C5A"/>
    <w:rsid w:val="00247FEE"/>
    <w:rsid w:val="00250E7D"/>
    <w:rsid w:val="002511B8"/>
    <w:rsid w:val="002565D5"/>
    <w:rsid w:val="002622C0"/>
    <w:rsid w:val="002658B5"/>
    <w:rsid w:val="00274272"/>
    <w:rsid w:val="002745E9"/>
    <w:rsid w:val="002778AE"/>
    <w:rsid w:val="002804ED"/>
    <w:rsid w:val="0028269A"/>
    <w:rsid w:val="0028303A"/>
    <w:rsid w:val="002830EE"/>
    <w:rsid w:val="002833B5"/>
    <w:rsid w:val="00283590"/>
    <w:rsid w:val="002848CC"/>
    <w:rsid w:val="00284BA8"/>
    <w:rsid w:val="002862C4"/>
    <w:rsid w:val="00286973"/>
    <w:rsid w:val="00286D25"/>
    <w:rsid w:val="00293B05"/>
    <w:rsid w:val="00294C12"/>
    <w:rsid w:val="00294E70"/>
    <w:rsid w:val="0029765B"/>
    <w:rsid w:val="002A1924"/>
    <w:rsid w:val="002A196F"/>
    <w:rsid w:val="002A2362"/>
    <w:rsid w:val="002A475A"/>
    <w:rsid w:val="002A48D6"/>
    <w:rsid w:val="002A62C3"/>
    <w:rsid w:val="002A7420"/>
    <w:rsid w:val="002B00E5"/>
    <w:rsid w:val="002B0E50"/>
    <w:rsid w:val="002B0F12"/>
    <w:rsid w:val="002B1308"/>
    <w:rsid w:val="002B1E03"/>
    <w:rsid w:val="002B4554"/>
    <w:rsid w:val="002B63A7"/>
    <w:rsid w:val="002B7F66"/>
    <w:rsid w:val="002C07EC"/>
    <w:rsid w:val="002C1493"/>
    <w:rsid w:val="002C1CC4"/>
    <w:rsid w:val="002C72D8"/>
    <w:rsid w:val="002D11FA"/>
    <w:rsid w:val="002D4791"/>
    <w:rsid w:val="002D5652"/>
    <w:rsid w:val="002E0B71"/>
    <w:rsid w:val="002E0DDF"/>
    <w:rsid w:val="002E2906"/>
    <w:rsid w:val="002E5635"/>
    <w:rsid w:val="002E57B5"/>
    <w:rsid w:val="002E64C3"/>
    <w:rsid w:val="002E6A2C"/>
    <w:rsid w:val="002E6C34"/>
    <w:rsid w:val="002E6D1C"/>
    <w:rsid w:val="002F1A95"/>
    <w:rsid w:val="002F1B8B"/>
    <w:rsid w:val="002F1D8C"/>
    <w:rsid w:val="002F21DA"/>
    <w:rsid w:val="002F2CC0"/>
    <w:rsid w:val="00301F39"/>
    <w:rsid w:val="00306365"/>
    <w:rsid w:val="00306DB5"/>
    <w:rsid w:val="00307F5A"/>
    <w:rsid w:val="00310082"/>
    <w:rsid w:val="0031044F"/>
    <w:rsid w:val="00311BD3"/>
    <w:rsid w:val="00317F44"/>
    <w:rsid w:val="00321625"/>
    <w:rsid w:val="00324DD6"/>
    <w:rsid w:val="00325926"/>
    <w:rsid w:val="00327A8A"/>
    <w:rsid w:val="0033349C"/>
    <w:rsid w:val="00334609"/>
    <w:rsid w:val="003357B2"/>
    <w:rsid w:val="00336610"/>
    <w:rsid w:val="003366F5"/>
    <w:rsid w:val="00336AED"/>
    <w:rsid w:val="00340A37"/>
    <w:rsid w:val="00340D9B"/>
    <w:rsid w:val="00343F73"/>
    <w:rsid w:val="00344F7D"/>
    <w:rsid w:val="00345060"/>
    <w:rsid w:val="0035297A"/>
    <w:rsid w:val="00353084"/>
    <w:rsid w:val="0035323B"/>
    <w:rsid w:val="0035690D"/>
    <w:rsid w:val="003609D2"/>
    <w:rsid w:val="00361585"/>
    <w:rsid w:val="00361F80"/>
    <w:rsid w:val="00362A46"/>
    <w:rsid w:val="00363F22"/>
    <w:rsid w:val="003659BA"/>
    <w:rsid w:val="003669AE"/>
    <w:rsid w:val="003711F0"/>
    <w:rsid w:val="00375232"/>
    <w:rsid w:val="00375564"/>
    <w:rsid w:val="00383191"/>
    <w:rsid w:val="00383775"/>
    <w:rsid w:val="00384648"/>
    <w:rsid w:val="00386DED"/>
    <w:rsid w:val="003912E7"/>
    <w:rsid w:val="003915C0"/>
    <w:rsid w:val="003917EA"/>
    <w:rsid w:val="00393947"/>
    <w:rsid w:val="00394094"/>
    <w:rsid w:val="0039501B"/>
    <w:rsid w:val="0039667A"/>
    <w:rsid w:val="003A2275"/>
    <w:rsid w:val="003A3C2E"/>
    <w:rsid w:val="003A4EB5"/>
    <w:rsid w:val="003A6A4F"/>
    <w:rsid w:val="003A7088"/>
    <w:rsid w:val="003B00DF"/>
    <w:rsid w:val="003B1275"/>
    <w:rsid w:val="003B13C3"/>
    <w:rsid w:val="003B1778"/>
    <w:rsid w:val="003B2B57"/>
    <w:rsid w:val="003B555A"/>
    <w:rsid w:val="003B70BF"/>
    <w:rsid w:val="003C11CB"/>
    <w:rsid w:val="003C20A8"/>
    <w:rsid w:val="003C2ED1"/>
    <w:rsid w:val="003C63B5"/>
    <w:rsid w:val="003C6D87"/>
    <w:rsid w:val="003C75F3"/>
    <w:rsid w:val="003C78A3"/>
    <w:rsid w:val="003D3B06"/>
    <w:rsid w:val="003D5BB8"/>
    <w:rsid w:val="003D5F98"/>
    <w:rsid w:val="003D6405"/>
    <w:rsid w:val="003E0A96"/>
    <w:rsid w:val="003E0AC2"/>
    <w:rsid w:val="003E0BC2"/>
    <w:rsid w:val="003E1867"/>
    <w:rsid w:val="003E1BDF"/>
    <w:rsid w:val="003E2A44"/>
    <w:rsid w:val="003E4BB8"/>
    <w:rsid w:val="003E5729"/>
    <w:rsid w:val="003E6E95"/>
    <w:rsid w:val="003E7D81"/>
    <w:rsid w:val="003F4EE0"/>
    <w:rsid w:val="003F5DBC"/>
    <w:rsid w:val="003F797E"/>
    <w:rsid w:val="00401C64"/>
    <w:rsid w:val="00402153"/>
    <w:rsid w:val="00402FC1"/>
    <w:rsid w:val="00416CA8"/>
    <w:rsid w:val="004220AB"/>
    <w:rsid w:val="00423649"/>
    <w:rsid w:val="00423BA2"/>
    <w:rsid w:val="00423FF8"/>
    <w:rsid w:val="00425082"/>
    <w:rsid w:val="00425CC6"/>
    <w:rsid w:val="00426107"/>
    <w:rsid w:val="00427F79"/>
    <w:rsid w:val="0043064A"/>
    <w:rsid w:val="00431DEB"/>
    <w:rsid w:val="00432257"/>
    <w:rsid w:val="0043252B"/>
    <w:rsid w:val="00434257"/>
    <w:rsid w:val="004363DA"/>
    <w:rsid w:val="00443656"/>
    <w:rsid w:val="0044453F"/>
    <w:rsid w:val="00446B29"/>
    <w:rsid w:val="00447BDC"/>
    <w:rsid w:val="00450B6F"/>
    <w:rsid w:val="00453F9A"/>
    <w:rsid w:val="004565EE"/>
    <w:rsid w:val="0045665B"/>
    <w:rsid w:val="0045799A"/>
    <w:rsid w:val="004605CF"/>
    <w:rsid w:val="00463AFD"/>
    <w:rsid w:val="0046708F"/>
    <w:rsid w:val="004707A7"/>
    <w:rsid w:val="00471C5B"/>
    <w:rsid w:val="00471E91"/>
    <w:rsid w:val="004726C0"/>
    <w:rsid w:val="00473283"/>
    <w:rsid w:val="00474371"/>
    <w:rsid w:val="00474675"/>
    <w:rsid w:val="0047470C"/>
    <w:rsid w:val="00475782"/>
    <w:rsid w:val="0047591F"/>
    <w:rsid w:val="004776CB"/>
    <w:rsid w:val="0048148E"/>
    <w:rsid w:val="00484C2C"/>
    <w:rsid w:val="00486AB6"/>
    <w:rsid w:val="00486C78"/>
    <w:rsid w:val="00493B4B"/>
    <w:rsid w:val="004971EB"/>
    <w:rsid w:val="0049772B"/>
    <w:rsid w:val="004A35F9"/>
    <w:rsid w:val="004A5636"/>
    <w:rsid w:val="004A772D"/>
    <w:rsid w:val="004B1C40"/>
    <w:rsid w:val="004B24C1"/>
    <w:rsid w:val="004B43ED"/>
    <w:rsid w:val="004C292F"/>
    <w:rsid w:val="004C2DC4"/>
    <w:rsid w:val="004C36A0"/>
    <w:rsid w:val="004C3F7C"/>
    <w:rsid w:val="004C5DBE"/>
    <w:rsid w:val="004C6056"/>
    <w:rsid w:val="004C7468"/>
    <w:rsid w:val="004C7502"/>
    <w:rsid w:val="004E111B"/>
    <w:rsid w:val="004E2469"/>
    <w:rsid w:val="004E3AC7"/>
    <w:rsid w:val="004E6A71"/>
    <w:rsid w:val="004F3D8B"/>
    <w:rsid w:val="004F5604"/>
    <w:rsid w:val="004F70CE"/>
    <w:rsid w:val="00501F39"/>
    <w:rsid w:val="00502546"/>
    <w:rsid w:val="005059AE"/>
    <w:rsid w:val="005066E8"/>
    <w:rsid w:val="00506C1E"/>
    <w:rsid w:val="00506CF8"/>
    <w:rsid w:val="0050714E"/>
    <w:rsid w:val="00510280"/>
    <w:rsid w:val="00511188"/>
    <w:rsid w:val="00513A99"/>
    <w:rsid w:val="00513D73"/>
    <w:rsid w:val="00514A43"/>
    <w:rsid w:val="00516C07"/>
    <w:rsid w:val="005174E5"/>
    <w:rsid w:val="00522393"/>
    <w:rsid w:val="00522620"/>
    <w:rsid w:val="00524A04"/>
    <w:rsid w:val="00525656"/>
    <w:rsid w:val="00532495"/>
    <w:rsid w:val="0053295D"/>
    <w:rsid w:val="00534C02"/>
    <w:rsid w:val="00534CDF"/>
    <w:rsid w:val="005366CA"/>
    <w:rsid w:val="00537D7A"/>
    <w:rsid w:val="00537DC6"/>
    <w:rsid w:val="00541FE9"/>
    <w:rsid w:val="0054264B"/>
    <w:rsid w:val="00543786"/>
    <w:rsid w:val="00544852"/>
    <w:rsid w:val="00547894"/>
    <w:rsid w:val="00551C74"/>
    <w:rsid w:val="00552D53"/>
    <w:rsid w:val="005533D7"/>
    <w:rsid w:val="00557240"/>
    <w:rsid w:val="005703DE"/>
    <w:rsid w:val="00572C30"/>
    <w:rsid w:val="00573B2C"/>
    <w:rsid w:val="0058071B"/>
    <w:rsid w:val="005815C6"/>
    <w:rsid w:val="00583D5C"/>
    <w:rsid w:val="0058464E"/>
    <w:rsid w:val="00590D2C"/>
    <w:rsid w:val="005910C5"/>
    <w:rsid w:val="00591CE5"/>
    <w:rsid w:val="00592F81"/>
    <w:rsid w:val="00594B3E"/>
    <w:rsid w:val="0059542A"/>
    <w:rsid w:val="00596E7A"/>
    <w:rsid w:val="005A01CB"/>
    <w:rsid w:val="005A07BB"/>
    <w:rsid w:val="005A10CA"/>
    <w:rsid w:val="005A31D5"/>
    <w:rsid w:val="005A41C5"/>
    <w:rsid w:val="005A58FF"/>
    <w:rsid w:val="005A5EAF"/>
    <w:rsid w:val="005A64C0"/>
    <w:rsid w:val="005A6DA2"/>
    <w:rsid w:val="005A6E07"/>
    <w:rsid w:val="005B0885"/>
    <w:rsid w:val="005B2196"/>
    <w:rsid w:val="005B3C11"/>
    <w:rsid w:val="005B4003"/>
    <w:rsid w:val="005B6BBE"/>
    <w:rsid w:val="005B77FC"/>
    <w:rsid w:val="005C12A2"/>
    <w:rsid w:val="005C13F7"/>
    <w:rsid w:val="005C1C28"/>
    <w:rsid w:val="005C49FD"/>
    <w:rsid w:val="005C6DB5"/>
    <w:rsid w:val="005C7EBB"/>
    <w:rsid w:val="005D2D7F"/>
    <w:rsid w:val="005D7051"/>
    <w:rsid w:val="005D752F"/>
    <w:rsid w:val="005E19E7"/>
    <w:rsid w:val="005E4AD3"/>
    <w:rsid w:val="005F3E4F"/>
    <w:rsid w:val="006001AF"/>
    <w:rsid w:val="00600537"/>
    <w:rsid w:val="006116FC"/>
    <w:rsid w:val="00613440"/>
    <w:rsid w:val="006153D9"/>
    <w:rsid w:val="0061698E"/>
    <w:rsid w:val="0061716C"/>
    <w:rsid w:val="00621D2E"/>
    <w:rsid w:val="006243A1"/>
    <w:rsid w:val="0063002B"/>
    <w:rsid w:val="006310A9"/>
    <w:rsid w:val="00631581"/>
    <w:rsid w:val="00632A5B"/>
    <w:rsid w:val="00632E56"/>
    <w:rsid w:val="00633224"/>
    <w:rsid w:val="00633BE5"/>
    <w:rsid w:val="0063455C"/>
    <w:rsid w:val="00635CBA"/>
    <w:rsid w:val="00636AC8"/>
    <w:rsid w:val="0064338B"/>
    <w:rsid w:val="00646542"/>
    <w:rsid w:val="0064741B"/>
    <w:rsid w:val="006504F4"/>
    <w:rsid w:val="00651536"/>
    <w:rsid w:val="00654BC9"/>
    <w:rsid w:val="006552FD"/>
    <w:rsid w:val="00656E4B"/>
    <w:rsid w:val="00657C42"/>
    <w:rsid w:val="00660CF8"/>
    <w:rsid w:val="00663AF3"/>
    <w:rsid w:val="00664B43"/>
    <w:rsid w:val="00666B6C"/>
    <w:rsid w:val="00674B60"/>
    <w:rsid w:val="00676C33"/>
    <w:rsid w:val="00680A2F"/>
    <w:rsid w:val="00682682"/>
    <w:rsid w:val="00682702"/>
    <w:rsid w:val="00686559"/>
    <w:rsid w:val="00686C28"/>
    <w:rsid w:val="00692368"/>
    <w:rsid w:val="00693A86"/>
    <w:rsid w:val="006A2911"/>
    <w:rsid w:val="006A2EBC"/>
    <w:rsid w:val="006A5EA0"/>
    <w:rsid w:val="006A783B"/>
    <w:rsid w:val="006A7B33"/>
    <w:rsid w:val="006B3C38"/>
    <w:rsid w:val="006B4E13"/>
    <w:rsid w:val="006B75DD"/>
    <w:rsid w:val="006B774F"/>
    <w:rsid w:val="006C23DD"/>
    <w:rsid w:val="006C4C76"/>
    <w:rsid w:val="006C67E0"/>
    <w:rsid w:val="006C7A1E"/>
    <w:rsid w:val="006C7ABA"/>
    <w:rsid w:val="006C7DFE"/>
    <w:rsid w:val="006C7E55"/>
    <w:rsid w:val="006D0817"/>
    <w:rsid w:val="006D0D60"/>
    <w:rsid w:val="006D1122"/>
    <w:rsid w:val="006D277E"/>
    <w:rsid w:val="006D3C00"/>
    <w:rsid w:val="006D4CF7"/>
    <w:rsid w:val="006D64C8"/>
    <w:rsid w:val="006E0CCE"/>
    <w:rsid w:val="006E3675"/>
    <w:rsid w:val="006E42FF"/>
    <w:rsid w:val="006E4A7F"/>
    <w:rsid w:val="006E57E6"/>
    <w:rsid w:val="006E5DB1"/>
    <w:rsid w:val="006F2089"/>
    <w:rsid w:val="006F4775"/>
    <w:rsid w:val="006F51AB"/>
    <w:rsid w:val="006F5B01"/>
    <w:rsid w:val="006F6D0F"/>
    <w:rsid w:val="006F7476"/>
    <w:rsid w:val="007034FC"/>
    <w:rsid w:val="00704B53"/>
    <w:rsid w:val="00704DF6"/>
    <w:rsid w:val="00706060"/>
    <w:rsid w:val="0070651C"/>
    <w:rsid w:val="00707123"/>
    <w:rsid w:val="007102B2"/>
    <w:rsid w:val="00710C59"/>
    <w:rsid w:val="00711E72"/>
    <w:rsid w:val="00712265"/>
    <w:rsid w:val="007132A3"/>
    <w:rsid w:val="00716421"/>
    <w:rsid w:val="00724EFB"/>
    <w:rsid w:val="007254E2"/>
    <w:rsid w:val="00727177"/>
    <w:rsid w:val="00732AA1"/>
    <w:rsid w:val="00733B87"/>
    <w:rsid w:val="0073573E"/>
    <w:rsid w:val="007357D7"/>
    <w:rsid w:val="00741550"/>
    <w:rsid w:val="007419C3"/>
    <w:rsid w:val="0074329F"/>
    <w:rsid w:val="007436C7"/>
    <w:rsid w:val="00745230"/>
    <w:rsid w:val="007467A7"/>
    <w:rsid w:val="007469DD"/>
    <w:rsid w:val="0074741B"/>
    <w:rsid w:val="0074759E"/>
    <w:rsid w:val="007478EA"/>
    <w:rsid w:val="0075415C"/>
    <w:rsid w:val="0075418E"/>
    <w:rsid w:val="00762430"/>
    <w:rsid w:val="00762953"/>
    <w:rsid w:val="00763502"/>
    <w:rsid w:val="007648AE"/>
    <w:rsid w:val="007654FB"/>
    <w:rsid w:val="00765FB7"/>
    <w:rsid w:val="007663E3"/>
    <w:rsid w:val="0076673D"/>
    <w:rsid w:val="0076720C"/>
    <w:rsid w:val="00767AC7"/>
    <w:rsid w:val="00771242"/>
    <w:rsid w:val="00772C9E"/>
    <w:rsid w:val="00773AD4"/>
    <w:rsid w:val="00774035"/>
    <w:rsid w:val="007759D3"/>
    <w:rsid w:val="00775ACF"/>
    <w:rsid w:val="00776776"/>
    <w:rsid w:val="007811C7"/>
    <w:rsid w:val="00781612"/>
    <w:rsid w:val="00781F16"/>
    <w:rsid w:val="0078308C"/>
    <w:rsid w:val="007838A5"/>
    <w:rsid w:val="007842D0"/>
    <w:rsid w:val="00786E70"/>
    <w:rsid w:val="00787843"/>
    <w:rsid w:val="007913AB"/>
    <w:rsid w:val="007914F7"/>
    <w:rsid w:val="00792C29"/>
    <w:rsid w:val="00796135"/>
    <w:rsid w:val="00796EB0"/>
    <w:rsid w:val="007A13C2"/>
    <w:rsid w:val="007A1401"/>
    <w:rsid w:val="007A28B5"/>
    <w:rsid w:val="007A4845"/>
    <w:rsid w:val="007A708C"/>
    <w:rsid w:val="007B1625"/>
    <w:rsid w:val="007B1698"/>
    <w:rsid w:val="007B2CCE"/>
    <w:rsid w:val="007B3272"/>
    <w:rsid w:val="007B5C79"/>
    <w:rsid w:val="007B5CFA"/>
    <w:rsid w:val="007B706E"/>
    <w:rsid w:val="007B71EB"/>
    <w:rsid w:val="007B784B"/>
    <w:rsid w:val="007B785E"/>
    <w:rsid w:val="007C10DA"/>
    <w:rsid w:val="007C6205"/>
    <w:rsid w:val="007C686A"/>
    <w:rsid w:val="007C728E"/>
    <w:rsid w:val="007D2C53"/>
    <w:rsid w:val="007D3D60"/>
    <w:rsid w:val="007E059E"/>
    <w:rsid w:val="007E1980"/>
    <w:rsid w:val="007E32DA"/>
    <w:rsid w:val="007E4B76"/>
    <w:rsid w:val="007E5EA8"/>
    <w:rsid w:val="007F0CF1"/>
    <w:rsid w:val="007F12A5"/>
    <w:rsid w:val="007F2DAB"/>
    <w:rsid w:val="007F4B0C"/>
    <w:rsid w:val="007F4CF1"/>
    <w:rsid w:val="007F71D8"/>
    <w:rsid w:val="007F758D"/>
    <w:rsid w:val="007F7D52"/>
    <w:rsid w:val="00800835"/>
    <w:rsid w:val="0080521E"/>
    <w:rsid w:val="0080654C"/>
    <w:rsid w:val="00806833"/>
    <w:rsid w:val="008071C6"/>
    <w:rsid w:val="00816778"/>
    <w:rsid w:val="00816BA4"/>
    <w:rsid w:val="00817A00"/>
    <w:rsid w:val="00820BD4"/>
    <w:rsid w:val="00823F80"/>
    <w:rsid w:val="00824B52"/>
    <w:rsid w:val="00833B34"/>
    <w:rsid w:val="008346A1"/>
    <w:rsid w:val="00834C04"/>
    <w:rsid w:val="00835DB3"/>
    <w:rsid w:val="0083617B"/>
    <w:rsid w:val="008371BD"/>
    <w:rsid w:val="0084438C"/>
    <w:rsid w:val="00845F05"/>
    <w:rsid w:val="00850320"/>
    <w:rsid w:val="008504A8"/>
    <w:rsid w:val="0085282E"/>
    <w:rsid w:val="008534D6"/>
    <w:rsid w:val="008539AE"/>
    <w:rsid w:val="00854F8E"/>
    <w:rsid w:val="00857AAC"/>
    <w:rsid w:val="00866C75"/>
    <w:rsid w:val="0087198C"/>
    <w:rsid w:val="00872C1F"/>
    <w:rsid w:val="00873B42"/>
    <w:rsid w:val="0087452D"/>
    <w:rsid w:val="00875340"/>
    <w:rsid w:val="00883A00"/>
    <w:rsid w:val="008855D7"/>
    <w:rsid w:val="008856B9"/>
    <w:rsid w:val="008856D8"/>
    <w:rsid w:val="00885D1D"/>
    <w:rsid w:val="008867E2"/>
    <w:rsid w:val="008903DB"/>
    <w:rsid w:val="00890DCE"/>
    <w:rsid w:val="00891ECC"/>
    <w:rsid w:val="00892E82"/>
    <w:rsid w:val="008A197A"/>
    <w:rsid w:val="008A547C"/>
    <w:rsid w:val="008A6700"/>
    <w:rsid w:val="008B29EC"/>
    <w:rsid w:val="008B3BE9"/>
    <w:rsid w:val="008B3CA3"/>
    <w:rsid w:val="008B6301"/>
    <w:rsid w:val="008C0CB8"/>
    <w:rsid w:val="008C1B58"/>
    <w:rsid w:val="008C21B1"/>
    <w:rsid w:val="008C39AE"/>
    <w:rsid w:val="008C4D50"/>
    <w:rsid w:val="008C590D"/>
    <w:rsid w:val="008D1EDA"/>
    <w:rsid w:val="008D371B"/>
    <w:rsid w:val="008E031B"/>
    <w:rsid w:val="008E6D30"/>
    <w:rsid w:val="008E7029"/>
    <w:rsid w:val="008E71D3"/>
    <w:rsid w:val="008E7EF6"/>
    <w:rsid w:val="008F0B36"/>
    <w:rsid w:val="008F107B"/>
    <w:rsid w:val="008F1F98"/>
    <w:rsid w:val="008F6758"/>
    <w:rsid w:val="008F6CD7"/>
    <w:rsid w:val="00902483"/>
    <w:rsid w:val="009040DD"/>
    <w:rsid w:val="00905B47"/>
    <w:rsid w:val="00906151"/>
    <w:rsid w:val="00906E4E"/>
    <w:rsid w:val="00907806"/>
    <w:rsid w:val="00911288"/>
    <w:rsid w:val="0091331C"/>
    <w:rsid w:val="00913809"/>
    <w:rsid w:val="009163B5"/>
    <w:rsid w:val="00917474"/>
    <w:rsid w:val="009174ED"/>
    <w:rsid w:val="0091755C"/>
    <w:rsid w:val="0092257A"/>
    <w:rsid w:val="00922B09"/>
    <w:rsid w:val="00923C74"/>
    <w:rsid w:val="009251B7"/>
    <w:rsid w:val="009279DE"/>
    <w:rsid w:val="00927BAE"/>
    <w:rsid w:val="00930116"/>
    <w:rsid w:val="00931E12"/>
    <w:rsid w:val="00932E27"/>
    <w:rsid w:val="0093447D"/>
    <w:rsid w:val="00940DBA"/>
    <w:rsid w:val="009416D5"/>
    <w:rsid w:val="00941D82"/>
    <w:rsid w:val="0094212C"/>
    <w:rsid w:val="0094309F"/>
    <w:rsid w:val="009432CD"/>
    <w:rsid w:val="009467CE"/>
    <w:rsid w:val="00946CA1"/>
    <w:rsid w:val="009478FD"/>
    <w:rsid w:val="0095249C"/>
    <w:rsid w:val="00954689"/>
    <w:rsid w:val="009617C9"/>
    <w:rsid w:val="00961C93"/>
    <w:rsid w:val="00962EDD"/>
    <w:rsid w:val="00965324"/>
    <w:rsid w:val="00965374"/>
    <w:rsid w:val="00967B35"/>
    <w:rsid w:val="0097091E"/>
    <w:rsid w:val="00971F4F"/>
    <w:rsid w:val="009722D6"/>
    <w:rsid w:val="00974BA5"/>
    <w:rsid w:val="009760D3"/>
    <w:rsid w:val="00977132"/>
    <w:rsid w:val="00977A95"/>
    <w:rsid w:val="00980C71"/>
    <w:rsid w:val="009811D4"/>
    <w:rsid w:val="00981397"/>
    <w:rsid w:val="00981A4B"/>
    <w:rsid w:val="00982501"/>
    <w:rsid w:val="00983FBB"/>
    <w:rsid w:val="00984ADB"/>
    <w:rsid w:val="0098548C"/>
    <w:rsid w:val="00986DC4"/>
    <w:rsid w:val="009877D3"/>
    <w:rsid w:val="00987BFA"/>
    <w:rsid w:val="009921F1"/>
    <w:rsid w:val="00993B9F"/>
    <w:rsid w:val="00994E8F"/>
    <w:rsid w:val="009951DC"/>
    <w:rsid w:val="009959BB"/>
    <w:rsid w:val="00995AE1"/>
    <w:rsid w:val="00996B99"/>
    <w:rsid w:val="00997158"/>
    <w:rsid w:val="009A0DD3"/>
    <w:rsid w:val="009A0F45"/>
    <w:rsid w:val="009A167B"/>
    <w:rsid w:val="009A2DC4"/>
    <w:rsid w:val="009A3A7C"/>
    <w:rsid w:val="009B1474"/>
    <w:rsid w:val="009B2ADB"/>
    <w:rsid w:val="009B3BBB"/>
    <w:rsid w:val="009B4627"/>
    <w:rsid w:val="009B5760"/>
    <w:rsid w:val="009B603A"/>
    <w:rsid w:val="009B671C"/>
    <w:rsid w:val="009C1EB9"/>
    <w:rsid w:val="009C25EF"/>
    <w:rsid w:val="009C2D0E"/>
    <w:rsid w:val="009C368A"/>
    <w:rsid w:val="009C3DAC"/>
    <w:rsid w:val="009C3E04"/>
    <w:rsid w:val="009C42E0"/>
    <w:rsid w:val="009C4FD8"/>
    <w:rsid w:val="009D2C70"/>
    <w:rsid w:val="009D5362"/>
    <w:rsid w:val="009D5F58"/>
    <w:rsid w:val="009D7AC7"/>
    <w:rsid w:val="009E0F45"/>
    <w:rsid w:val="009E1415"/>
    <w:rsid w:val="009E3528"/>
    <w:rsid w:val="009E6116"/>
    <w:rsid w:val="009E72D4"/>
    <w:rsid w:val="009F3A90"/>
    <w:rsid w:val="009F5D3C"/>
    <w:rsid w:val="00A0236A"/>
    <w:rsid w:val="00A02523"/>
    <w:rsid w:val="00A02E43"/>
    <w:rsid w:val="00A03ABB"/>
    <w:rsid w:val="00A05487"/>
    <w:rsid w:val="00A057A6"/>
    <w:rsid w:val="00A05BF1"/>
    <w:rsid w:val="00A065F9"/>
    <w:rsid w:val="00A066B7"/>
    <w:rsid w:val="00A06A03"/>
    <w:rsid w:val="00A06D07"/>
    <w:rsid w:val="00A07F34"/>
    <w:rsid w:val="00A122CF"/>
    <w:rsid w:val="00A15F06"/>
    <w:rsid w:val="00A22154"/>
    <w:rsid w:val="00A2558E"/>
    <w:rsid w:val="00A25C38"/>
    <w:rsid w:val="00A25D51"/>
    <w:rsid w:val="00A264B4"/>
    <w:rsid w:val="00A26D12"/>
    <w:rsid w:val="00A26EDE"/>
    <w:rsid w:val="00A32849"/>
    <w:rsid w:val="00A36BBE"/>
    <w:rsid w:val="00A4307A"/>
    <w:rsid w:val="00A438A8"/>
    <w:rsid w:val="00A457DD"/>
    <w:rsid w:val="00A479B5"/>
    <w:rsid w:val="00A47EBB"/>
    <w:rsid w:val="00A51CDD"/>
    <w:rsid w:val="00A54BAB"/>
    <w:rsid w:val="00A56C46"/>
    <w:rsid w:val="00A604D8"/>
    <w:rsid w:val="00A60FAE"/>
    <w:rsid w:val="00A63243"/>
    <w:rsid w:val="00A640BB"/>
    <w:rsid w:val="00A64B92"/>
    <w:rsid w:val="00A6730D"/>
    <w:rsid w:val="00A71625"/>
    <w:rsid w:val="00A71B9B"/>
    <w:rsid w:val="00A72474"/>
    <w:rsid w:val="00A731DB"/>
    <w:rsid w:val="00A73AAD"/>
    <w:rsid w:val="00A751C7"/>
    <w:rsid w:val="00A76237"/>
    <w:rsid w:val="00A81025"/>
    <w:rsid w:val="00A81F5A"/>
    <w:rsid w:val="00A851D2"/>
    <w:rsid w:val="00A85356"/>
    <w:rsid w:val="00A87844"/>
    <w:rsid w:val="00A92698"/>
    <w:rsid w:val="00A93733"/>
    <w:rsid w:val="00A94122"/>
    <w:rsid w:val="00A94C41"/>
    <w:rsid w:val="00A97D49"/>
    <w:rsid w:val="00AA038C"/>
    <w:rsid w:val="00AA2E47"/>
    <w:rsid w:val="00AA34B4"/>
    <w:rsid w:val="00AA3A13"/>
    <w:rsid w:val="00AA3AA2"/>
    <w:rsid w:val="00AA6317"/>
    <w:rsid w:val="00AA7A09"/>
    <w:rsid w:val="00AB1EE7"/>
    <w:rsid w:val="00AB24E2"/>
    <w:rsid w:val="00AB2D72"/>
    <w:rsid w:val="00AB38C8"/>
    <w:rsid w:val="00AB3B50"/>
    <w:rsid w:val="00AB5028"/>
    <w:rsid w:val="00AC05B1"/>
    <w:rsid w:val="00AC2123"/>
    <w:rsid w:val="00AC2EF0"/>
    <w:rsid w:val="00AC5F8E"/>
    <w:rsid w:val="00AD20F1"/>
    <w:rsid w:val="00AD3451"/>
    <w:rsid w:val="00AD356C"/>
    <w:rsid w:val="00AD4511"/>
    <w:rsid w:val="00AE2914"/>
    <w:rsid w:val="00AE2954"/>
    <w:rsid w:val="00AE43EA"/>
    <w:rsid w:val="00AE6D15"/>
    <w:rsid w:val="00AF0833"/>
    <w:rsid w:val="00AF1022"/>
    <w:rsid w:val="00AF1754"/>
    <w:rsid w:val="00AF3C76"/>
    <w:rsid w:val="00AF4FD9"/>
    <w:rsid w:val="00AF5328"/>
    <w:rsid w:val="00AF5782"/>
    <w:rsid w:val="00B012F3"/>
    <w:rsid w:val="00B02BE2"/>
    <w:rsid w:val="00B04182"/>
    <w:rsid w:val="00B06B5D"/>
    <w:rsid w:val="00B07AE3"/>
    <w:rsid w:val="00B07C60"/>
    <w:rsid w:val="00B07E0F"/>
    <w:rsid w:val="00B10E63"/>
    <w:rsid w:val="00B11430"/>
    <w:rsid w:val="00B1190C"/>
    <w:rsid w:val="00B12060"/>
    <w:rsid w:val="00B14DD4"/>
    <w:rsid w:val="00B20C95"/>
    <w:rsid w:val="00B20DB9"/>
    <w:rsid w:val="00B23F87"/>
    <w:rsid w:val="00B27F65"/>
    <w:rsid w:val="00B31176"/>
    <w:rsid w:val="00B33A80"/>
    <w:rsid w:val="00B347E1"/>
    <w:rsid w:val="00B353EB"/>
    <w:rsid w:val="00B35763"/>
    <w:rsid w:val="00B439C4"/>
    <w:rsid w:val="00B44482"/>
    <w:rsid w:val="00B44CE5"/>
    <w:rsid w:val="00B4535E"/>
    <w:rsid w:val="00B4730C"/>
    <w:rsid w:val="00B50E95"/>
    <w:rsid w:val="00B5128A"/>
    <w:rsid w:val="00B52A8C"/>
    <w:rsid w:val="00B56224"/>
    <w:rsid w:val="00B636A8"/>
    <w:rsid w:val="00B665C6"/>
    <w:rsid w:val="00B67DF4"/>
    <w:rsid w:val="00B72B09"/>
    <w:rsid w:val="00B742F7"/>
    <w:rsid w:val="00B74BF3"/>
    <w:rsid w:val="00B8053A"/>
    <w:rsid w:val="00B805AF"/>
    <w:rsid w:val="00B82358"/>
    <w:rsid w:val="00B869EC"/>
    <w:rsid w:val="00B91C57"/>
    <w:rsid w:val="00B9397A"/>
    <w:rsid w:val="00B9633D"/>
    <w:rsid w:val="00B963D9"/>
    <w:rsid w:val="00BA135C"/>
    <w:rsid w:val="00BA1BB9"/>
    <w:rsid w:val="00BA1CB8"/>
    <w:rsid w:val="00BA2EBE"/>
    <w:rsid w:val="00BA34BC"/>
    <w:rsid w:val="00BA7CCD"/>
    <w:rsid w:val="00BB0F28"/>
    <w:rsid w:val="00BB44E2"/>
    <w:rsid w:val="00BB458A"/>
    <w:rsid w:val="00BC24D0"/>
    <w:rsid w:val="00BC389C"/>
    <w:rsid w:val="00BC4CDD"/>
    <w:rsid w:val="00BC550E"/>
    <w:rsid w:val="00BC5AB7"/>
    <w:rsid w:val="00BC631F"/>
    <w:rsid w:val="00BC6DB7"/>
    <w:rsid w:val="00BD00D3"/>
    <w:rsid w:val="00BD15E7"/>
    <w:rsid w:val="00BD1659"/>
    <w:rsid w:val="00BD19AE"/>
    <w:rsid w:val="00BD2767"/>
    <w:rsid w:val="00BD29B3"/>
    <w:rsid w:val="00BD3819"/>
    <w:rsid w:val="00BD3AA9"/>
    <w:rsid w:val="00BD4A18"/>
    <w:rsid w:val="00BD5FF9"/>
    <w:rsid w:val="00BD6DB2"/>
    <w:rsid w:val="00BE11CF"/>
    <w:rsid w:val="00BE2128"/>
    <w:rsid w:val="00BE21AB"/>
    <w:rsid w:val="00BE2D78"/>
    <w:rsid w:val="00BE55CB"/>
    <w:rsid w:val="00BE79E8"/>
    <w:rsid w:val="00BF380C"/>
    <w:rsid w:val="00BF617A"/>
    <w:rsid w:val="00BF7460"/>
    <w:rsid w:val="00C02CDE"/>
    <w:rsid w:val="00C0379D"/>
    <w:rsid w:val="00C03931"/>
    <w:rsid w:val="00C05FE3"/>
    <w:rsid w:val="00C0778B"/>
    <w:rsid w:val="00C10F31"/>
    <w:rsid w:val="00C1503B"/>
    <w:rsid w:val="00C16594"/>
    <w:rsid w:val="00C17D46"/>
    <w:rsid w:val="00C206D9"/>
    <w:rsid w:val="00C2136D"/>
    <w:rsid w:val="00C214EE"/>
    <w:rsid w:val="00C21687"/>
    <w:rsid w:val="00C216CA"/>
    <w:rsid w:val="00C2314B"/>
    <w:rsid w:val="00C24834"/>
    <w:rsid w:val="00C24971"/>
    <w:rsid w:val="00C26529"/>
    <w:rsid w:val="00C26BE5"/>
    <w:rsid w:val="00C26E4D"/>
    <w:rsid w:val="00C27909"/>
    <w:rsid w:val="00C27B03"/>
    <w:rsid w:val="00C27CF1"/>
    <w:rsid w:val="00C30B37"/>
    <w:rsid w:val="00C314E1"/>
    <w:rsid w:val="00C32911"/>
    <w:rsid w:val="00C34397"/>
    <w:rsid w:val="00C356E3"/>
    <w:rsid w:val="00C3594D"/>
    <w:rsid w:val="00C35BE6"/>
    <w:rsid w:val="00C3693E"/>
    <w:rsid w:val="00C40658"/>
    <w:rsid w:val="00C40870"/>
    <w:rsid w:val="00C4095D"/>
    <w:rsid w:val="00C42B4D"/>
    <w:rsid w:val="00C4357E"/>
    <w:rsid w:val="00C4616C"/>
    <w:rsid w:val="00C52822"/>
    <w:rsid w:val="00C57C4E"/>
    <w:rsid w:val="00C601D2"/>
    <w:rsid w:val="00C6147F"/>
    <w:rsid w:val="00C62497"/>
    <w:rsid w:val="00C657AB"/>
    <w:rsid w:val="00C65BCC"/>
    <w:rsid w:val="00C66970"/>
    <w:rsid w:val="00C72A0B"/>
    <w:rsid w:val="00C72F9E"/>
    <w:rsid w:val="00C75A8B"/>
    <w:rsid w:val="00C80806"/>
    <w:rsid w:val="00C80BC9"/>
    <w:rsid w:val="00C84F86"/>
    <w:rsid w:val="00C8517F"/>
    <w:rsid w:val="00C8691C"/>
    <w:rsid w:val="00C87472"/>
    <w:rsid w:val="00C905BE"/>
    <w:rsid w:val="00CA168A"/>
    <w:rsid w:val="00CA1922"/>
    <w:rsid w:val="00CA2F78"/>
    <w:rsid w:val="00CA357E"/>
    <w:rsid w:val="00CA44F9"/>
    <w:rsid w:val="00CA4A69"/>
    <w:rsid w:val="00CA51AD"/>
    <w:rsid w:val="00CB0E42"/>
    <w:rsid w:val="00CB53DF"/>
    <w:rsid w:val="00CC1CE9"/>
    <w:rsid w:val="00CC3E0C"/>
    <w:rsid w:val="00CC43E6"/>
    <w:rsid w:val="00CC58D3"/>
    <w:rsid w:val="00CC664B"/>
    <w:rsid w:val="00CC784D"/>
    <w:rsid w:val="00CD1EF0"/>
    <w:rsid w:val="00CD35CE"/>
    <w:rsid w:val="00CD394E"/>
    <w:rsid w:val="00CD3FDD"/>
    <w:rsid w:val="00CD65C1"/>
    <w:rsid w:val="00CE0973"/>
    <w:rsid w:val="00CE404E"/>
    <w:rsid w:val="00CE539E"/>
    <w:rsid w:val="00CF18E8"/>
    <w:rsid w:val="00CF21C7"/>
    <w:rsid w:val="00CF37D4"/>
    <w:rsid w:val="00CF5D35"/>
    <w:rsid w:val="00CF5D6B"/>
    <w:rsid w:val="00CF5F08"/>
    <w:rsid w:val="00D02D16"/>
    <w:rsid w:val="00D0337B"/>
    <w:rsid w:val="00D038EF"/>
    <w:rsid w:val="00D06B09"/>
    <w:rsid w:val="00D079B2"/>
    <w:rsid w:val="00D10C72"/>
    <w:rsid w:val="00D114E9"/>
    <w:rsid w:val="00D124C8"/>
    <w:rsid w:val="00D16444"/>
    <w:rsid w:val="00D200DD"/>
    <w:rsid w:val="00D21BEE"/>
    <w:rsid w:val="00D2659F"/>
    <w:rsid w:val="00D26842"/>
    <w:rsid w:val="00D4052A"/>
    <w:rsid w:val="00D429C6"/>
    <w:rsid w:val="00D44705"/>
    <w:rsid w:val="00D44D2E"/>
    <w:rsid w:val="00D47531"/>
    <w:rsid w:val="00D47670"/>
    <w:rsid w:val="00D47748"/>
    <w:rsid w:val="00D50B4C"/>
    <w:rsid w:val="00D54CC3"/>
    <w:rsid w:val="00D6041A"/>
    <w:rsid w:val="00D60F0D"/>
    <w:rsid w:val="00D6170F"/>
    <w:rsid w:val="00D61B9A"/>
    <w:rsid w:val="00D632F6"/>
    <w:rsid w:val="00D633EB"/>
    <w:rsid w:val="00D64FC7"/>
    <w:rsid w:val="00D66F27"/>
    <w:rsid w:val="00D759A0"/>
    <w:rsid w:val="00D80F29"/>
    <w:rsid w:val="00D82FF7"/>
    <w:rsid w:val="00D847FE"/>
    <w:rsid w:val="00D9074C"/>
    <w:rsid w:val="00D9210E"/>
    <w:rsid w:val="00D964EA"/>
    <w:rsid w:val="00D966D0"/>
    <w:rsid w:val="00DA0C59"/>
    <w:rsid w:val="00DA3991"/>
    <w:rsid w:val="00DA61DB"/>
    <w:rsid w:val="00DA7A6C"/>
    <w:rsid w:val="00DB4A8E"/>
    <w:rsid w:val="00DB7E6C"/>
    <w:rsid w:val="00DC10AB"/>
    <w:rsid w:val="00DC1255"/>
    <w:rsid w:val="00DC2CDD"/>
    <w:rsid w:val="00DC5814"/>
    <w:rsid w:val="00DD361A"/>
    <w:rsid w:val="00DD36F2"/>
    <w:rsid w:val="00DD5A16"/>
    <w:rsid w:val="00DD5A29"/>
    <w:rsid w:val="00DD5D9D"/>
    <w:rsid w:val="00DD679E"/>
    <w:rsid w:val="00DE11C4"/>
    <w:rsid w:val="00DE1E91"/>
    <w:rsid w:val="00DE2601"/>
    <w:rsid w:val="00DE35CB"/>
    <w:rsid w:val="00DE55F0"/>
    <w:rsid w:val="00DE5DF1"/>
    <w:rsid w:val="00DF0E46"/>
    <w:rsid w:val="00DF21E9"/>
    <w:rsid w:val="00DF6618"/>
    <w:rsid w:val="00DF7333"/>
    <w:rsid w:val="00E00F14"/>
    <w:rsid w:val="00E03074"/>
    <w:rsid w:val="00E03A67"/>
    <w:rsid w:val="00E06386"/>
    <w:rsid w:val="00E07EEA"/>
    <w:rsid w:val="00E10BDA"/>
    <w:rsid w:val="00E11102"/>
    <w:rsid w:val="00E16547"/>
    <w:rsid w:val="00E16D0D"/>
    <w:rsid w:val="00E1738A"/>
    <w:rsid w:val="00E21C77"/>
    <w:rsid w:val="00E2279F"/>
    <w:rsid w:val="00E24EB4"/>
    <w:rsid w:val="00E24F39"/>
    <w:rsid w:val="00E2506D"/>
    <w:rsid w:val="00E30E06"/>
    <w:rsid w:val="00E31407"/>
    <w:rsid w:val="00E320ED"/>
    <w:rsid w:val="00E33AFB"/>
    <w:rsid w:val="00E34218"/>
    <w:rsid w:val="00E3514A"/>
    <w:rsid w:val="00E45013"/>
    <w:rsid w:val="00E45A0A"/>
    <w:rsid w:val="00E46282"/>
    <w:rsid w:val="00E477C3"/>
    <w:rsid w:val="00E50344"/>
    <w:rsid w:val="00E5216E"/>
    <w:rsid w:val="00E53385"/>
    <w:rsid w:val="00E557A7"/>
    <w:rsid w:val="00E5627D"/>
    <w:rsid w:val="00E6233B"/>
    <w:rsid w:val="00E6413E"/>
    <w:rsid w:val="00E731CC"/>
    <w:rsid w:val="00E7604E"/>
    <w:rsid w:val="00E82344"/>
    <w:rsid w:val="00E82BD1"/>
    <w:rsid w:val="00E84532"/>
    <w:rsid w:val="00E84C82"/>
    <w:rsid w:val="00E84D64"/>
    <w:rsid w:val="00E863A4"/>
    <w:rsid w:val="00E87408"/>
    <w:rsid w:val="00E914C4"/>
    <w:rsid w:val="00E91F35"/>
    <w:rsid w:val="00E9296F"/>
    <w:rsid w:val="00E934F5"/>
    <w:rsid w:val="00E96961"/>
    <w:rsid w:val="00EA12B4"/>
    <w:rsid w:val="00EA1911"/>
    <w:rsid w:val="00EA5271"/>
    <w:rsid w:val="00EA66A3"/>
    <w:rsid w:val="00EA6753"/>
    <w:rsid w:val="00EA72EC"/>
    <w:rsid w:val="00EB11CB"/>
    <w:rsid w:val="00EB275A"/>
    <w:rsid w:val="00EB4A18"/>
    <w:rsid w:val="00EB786A"/>
    <w:rsid w:val="00EC1578"/>
    <w:rsid w:val="00EC18EB"/>
    <w:rsid w:val="00EC1C72"/>
    <w:rsid w:val="00EC1CDA"/>
    <w:rsid w:val="00EC3629"/>
    <w:rsid w:val="00EC3CC9"/>
    <w:rsid w:val="00EC680A"/>
    <w:rsid w:val="00EC6FDB"/>
    <w:rsid w:val="00ED2CEB"/>
    <w:rsid w:val="00ED49AD"/>
    <w:rsid w:val="00ED63FD"/>
    <w:rsid w:val="00ED6EEF"/>
    <w:rsid w:val="00ED7D4B"/>
    <w:rsid w:val="00EE0E3D"/>
    <w:rsid w:val="00EE1795"/>
    <w:rsid w:val="00EE2BED"/>
    <w:rsid w:val="00EE374B"/>
    <w:rsid w:val="00EE518F"/>
    <w:rsid w:val="00EE6AA6"/>
    <w:rsid w:val="00EE7905"/>
    <w:rsid w:val="00EF2277"/>
    <w:rsid w:val="00EF3339"/>
    <w:rsid w:val="00EF3C40"/>
    <w:rsid w:val="00EF474A"/>
    <w:rsid w:val="00EF7442"/>
    <w:rsid w:val="00F00B42"/>
    <w:rsid w:val="00F01BDE"/>
    <w:rsid w:val="00F04423"/>
    <w:rsid w:val="00F04F22"/>
    <w:rsid w:val="00F07390"/>
    <w:rsid w:val="00F11BB5"/>
    <w:rsid w:val="00F11DFE"/>
    <w:rsid w:val="00F13FCF"/>
    <w:rsid w:val="00F1417B"/>
    <w:rsid w:val="00F1584B"/>
    <w:rsid w:val="00F27207"/>
    <w:rsid w:val="00F275FA"/>
    <w:rsid w:val="00F27DC4"/>
    <w:rsid w:val="00F34B99"/>
    <w:rsid w:val="00F352E6"/>
    <w:rsid w:val="00F37D1E"/>
    <w:rsid w:val="00F42AFB"/>
    <w:rsid w:val="00F439AC"/>
    <w:rsid w:val="00F45E8C"/>
    <w:rsid w:val="00F46743"/>
    <w:rsid w:val="00F52DAB"/>
    <w:rsid w:val="00F543F0"/>
    <w:rsid w:val="00F55039"/>
    <w:rsid w:val="00F601A5"/>
    <w:rsid w:val="00F61016"/>
    <w:rsid w:val="00F636B7"/>
    <w:rsid w:val="00F65262"/>
    <w:rsid w:val="00F6573A"/>
    <w:rsid w:val="00F70747"/>
    <w:rsid w:val="00F745B6"/>
    <w:rsid w:val="00F75056"/>
    <w:rsid w:val="00F7550A"/>
    <w:rsid w:val="00F76C32"/>
    <w:rsid w:val="00F80343"/>
    <w:rsid w:val="00F81AF6"/>
    <w:rsid w:val="00F81D29"/>
    <w:rsid w:val="00F8423B"/>
    <w:rsid w:val="00F84978"/>
    <w:rsid w:val="00F849F2"/>
    <w:rsid w:val="00F86F6E"/>
    <w:rsid w:val="00F878F0"/>
    <w:rsid w:val="00F903E7"/>
    <w:rsid w:val="00F906D1"/>
    <w:rsid w:val="00F91C4D"/>
    <w:rsid w:val="00F92FD9"/>
    <w:rsid w:val="00F932CE"/>
    <w:rsid w:val="00F9678C"/>
    <w:rsid w:val="00FA03A0"/>
    <w:rsid w:val="00FA6684"/>
    <w:rsid w:val="00FA731E"/>
    <w:rsid w:val="00FB10AE"/>
    <w:rsid w:val="00FB1114"/>
    <w:rsid w:val="00FB1580"/>
    <w:rsid w:val="00FB2B38"/>
    <w:rsid w:val="00FB3B1E"/>
    <w:rsid w:val="00FB3BD8"/>
    <w:rsid w:val="00FB56C7"/>
    <w:rsid w:val="00FB5F3B"/>
    <w:rsid w:val="00FB6C10"/>
    <w:rsid w:val="00FC44EA"/>
    <w:rsid w:val="00FC4D4A"/>
    <w:rsid w:val="00FC6358"/>
    <w:rsid w:val="00FC7C97"/>
    <w:rsid w:val="00FD0712"/>
    <w:rsid w:val="00FD094B"/>
    <w:rsid w:val="00FD1160"/>
    <w:rsid w:val="00FD12CD"/>
    <w:rsid w:val="00FD2B33"/>
    <w:rsid w:val="00FD320D"/>
    <w:rsid w:val="00FE23DE"/>
    <w:rsid w:val="00FE3B55"/>
    <w:rsid w:val="00FE3EBB"/>
    <w:rsid w:val="00FE60EF"/>
    <w:rsid w:val="00FE74EA"/>
    <w:rsid w:val="00FF10DB"/>
    <w:rsid w:val="00FF5C93"/>
    <w:rsid w:val="0177371A"/>
    <w:rsid w:val="02572164"/>
    <w:rsid w:val="027B3405"/>
    <w:rsid w:val="029F0188"/>
    <w:rsid w:val="035C4E88"/>
    <w:rsid w:val="037D252F"/>
    <w:rsid w:val="0477380C"/>
    <w:rsid w:val="04D9791B"/>
    <w:rsid w:val="04DB6014"/>
    <w:rsid w:val="0546166B"/>
    <w:rsid w:val="056A253B"/>
    <w:rsid w:val="05997D1A"/>
    <w:rsid w:val="06474EC7"/>
    <w:rsid w:val="06D11566"/>
    <w:rsid w:val="07A818ED"/>
    <w:rsid w:val="07AC47FD"/>
    <w:rsid w:val="08071AB8"/>
    <w:rsid w:val="080954E3"/>
    <w:rsid w:val="085E581E"/>
    <w:rsid w:val="08AF65E0"/>
    <w:rsid w:val="08C01322"/>
    <w:rsid w:val="08D53DAB"/>
    <w:rsid w:val="08F735FD"/>
    <w:rsid w:val="08FD20F0"/>
    <w:rsid w:val="091D5AAA"/>
    <w:rsid w:val="095838D4"/>
    <w:rsid w:val="0A5B6057"/>
    <w:rsid w:val="0ABB71B9"/>
    <w:rsid w:val="0AC47BA1"/>
    <w:rsid w:val="0AD369AB"/>
    <w:rsid w:val="0B0C7CA8"/>
    <w:rsid w:val="0B48482D"/>
    <w:rsid w:val="0B766C29"/>
    <w:rsid w:val="0B9243F8"/>
    <w:rsid w:val="0BD61F0F"/>
    <w:rsid w:val="0BD83018"/>
    <w:rsid w:val="0BFE665A"/>
    <w:rsid w:val="0C59227B"/>
    <w:rsid w:val="0C8D441E"/>
    <w:rsid w:val="0C9120B0"/>
    <w:rsid w:val="0CAF5CF0"/>
    <w:rsid w:val="0D7B7F44"/>
    <w:rsid w:val="0DA72BF4"/>
    <w:rsid w:val="0DC5397A"/>
    <w:rsid w:val="0DED4C4F"/>
    <w:rsid w:val="0E0D06CF"/>
    <w:rsid w:val="0E3C6031"/>
    <w:rsid w:val="0E3F61C9"/>
    <w:rsid w:val="0E516438"/>
    <w:rsid w:val="0E7336C2"/>
    <w:rsid w:val="0EB57144"/>
    <w:rsid w:val="0EC62C13"/>
    <w:rsid w:val="0F3245A8"/>
    <w:rsid w:val="10211172"/>
    <w:rsid w:val="102F58DD"/>
    <w:rsid w:val="10724162"/>
    <w:rsid w:val="10D22A33"/>
    <w:rsid w:val="10DE5633"/>
    <w:rsid w:val="110D76DD"/>
    <w:rsid w:val="1136602F"/>
    <w:rsid w:val="11CD4E21"/>
    <w:rsid w:val="11DB0FC4"/>
    <w:rsid w:val="11E40BB7"/>
    <w:rsid w:val="12DC13B5"/>
    <w:rsid w:val="12F96D0F"/>
    <w:rsid w:val="132E597D"/>
    <w:rsid w:val="1368094F"/>
    <w:rsid w:val="13D4705E"/>
    <w:rsid w:val="13DF7D07"/>
    <w:rsid w:val="13F34833"/>
    <w:rsid w:val="14105363"/>
    <w:rsid w:val="142B3F85"/>
    <w:rsid w:val="14455093"/>
    <w:rsid w:val="144B1FF2"/>
    <w:rsid w:val="14891A12"/>
    <w:rsid w:val="14AB0CE8"/>
    <w:rsid w:val="14C41E4F"/>
    <w:rsid w:val="150C28CA"/>
    <w:rsid w:val="157B3993"/>
    <w:rsid w:val="15933A4C"/>
    <w:rsid w:val="15E30F51"/>
    <w:rsid w:val="163D3D46"/>
    <w:rsid w:val="166F68FA"/>
    <w:rsid w:val="16A53CE3"/>
    <w:rsid w:val="17070214"/>
    <w:rsid w:val="17534598"/>
    <w:rsid w:val="177A7511"/>
    <w:rsid w:val="184E1E31"/>
    <w:rsid w:val="18E90CD1"/>
    <w:rsid w:val="18F7519C"/>
    <w:rsid w:val="19457D97"/>
    <w:rsid w:val="19731502"/>
    <w:rsid w:val="199A2684"/>
    <w:rsid w:val="19CF2E49"/>
    <w:rsid w:val="1A0D2F6D"/>
    <w:rsid w:val="1A25246C"/>
    <w:rsid w:val="1A292549"/>
    <w:rsid w:val="1A425924"/>
    <w:rsid w:val="1A8277A3"/>
    <w:rsid w:val="1A8A6D1C"/>
    <w:rsid w:val="1A8B42D0"/>
    <w:rsid w:val="1B560B48"/>
    <w:rsid w:val="1B9F57B9"/>
    <w:rsid w:val="1BB231A2"/>
    <w:rsid w:val="1BD21F4C"/>
    <w:rsid w:val="1BEC728D"/>
    <w:rsid w:val="1BFA3E61"/>
    <w:rsid w:val="1C201C05"/>
    <w:rsid w:val="1C4C44CB"/>
    <w:rsid w:val="1C7F0105"/>
    <w:rsid w:val="1CAD25DC"/>
    <w:rsid w:val="1CF34932"/>
    <w:rsid w:val="1CFB40AF"/>
    <w:rsid w:val="1D044409"/>
    <w:rsid w:val="1D347469"/>
    <w:rsid w:val="1D393785"/>
    <w:rsid w:val="1D4C10A1"/>
    <w:rsid w:val="1D581D5A"/>
    <w:rsid w:val="1D804B4B"/>
    <w:rsid w:val="1D9B7480"/>
    <w:rsid w:val="1DA70CAE"/>
    <w:rsid w:val="1DE84208"/>
    <w:rsid w:val="1E6E3E10"/>
    <w:rsid w:val="1EA83D08"/>
    <w:rsid w:val="1ECC63BF"/>
    <w:rsid w:val="1ED46173"/>
    <w:rsid w:val="1EE715BE"/>
    <w:rsid w:val="1EE763BA"/>
    <w:rsid w:val="1F6C1786"/>
    <w:rsid w:val="201645EB"/>
    <w:rsid w:val="202111E6"/>
    <w:rsid w:val="203B0B57"/>
    <w:rsid w:val="208903CA"/>
    <w:rsid w:val="20B0289F"/>
    <w:rsid w:val="20CA7823"/>
    <w:rsid w:val="20D175FB"/>
    <w:rsid w:val="214D54E6"/>
    <w:rsid w:val="21904B03"/>
    <w:rsid w:val="21A041B0"/>
    <w:rsid w:val="21A0733E"/>
    <w:rsid w:val="21CE7104"/>
    <w:rsid w:val="21EF49C5"/>
    <w:rsid w:val="221E3A8A"/>
    <w:rsid w:val="223C5CBE"/>
    <w:rsid w:val="22882930"/>
    <w:rsid w:val="22CA2207"/>
    <w:rsid w:val="22CB0644"/>
    <w:rsid w:val="22E54E58"/>
    <w:rsid w:val="239406CE"/>
    <w:rsid w:val="23C87926"/>
    <w:rsid w:val="23D6601E"/>
    <w:rsid w:val="23DA210D"/>
    <w:rsid w:val="242B3AD4"/>
    <w:rsid w:val="246C6C5A"/>
    <w:rsid w:val="24874166"/>
    <w:rsid w:val="24C54F61"/>
    <w:rsid w:val="24FA067F"/>
    <w:rsid w:val="2529397B"/>
    <w:rsid w:val="25921D92"/>
    <w:rsid w:val="25A01058"/>
    <w:rsid w:val="25E560F9"/>
    <w:rsid w:val="25E56A81"/>
    <w:rsid w:val="26095CBD"/>
    <w:rsid w:val="260B4CDA"/>
    <w:rsid w:val="261C2226"/>
    <w:rsid w:val="26E02338"/>
    <w:rsid w:val="26FF2C03"/>
    <w:rsid w:val="275076AF"/>
    <w:rsid w:val="27514EAE"/>
    <w:rsid w:val="27AB2FE3"/>
    <w:rsid w:val="27AF39A0"/>
    <w:rsid w:val="280007BB"/>
    <w:rsid w:val="281758B4"/>
    <w:rsid w:val="284720AD"/>
    <w:rsid w:val="28684B12"/>
    <w:rsid w:val="286F11A4"/>
    <w:rsid w:val="28C02D0C"/>
    <w:rsid w:val="28C40A63"/>
    <w:rsid w:val="290A7E0D"/>
    <w:rsid w:val="29697686"/>
    <w:rsid w:val="298841DF"/>
    <w:rsid w:val="298E03D4"/>
    <w:rsid w:val="29BB6295"/>
    <w:rsid w:val="29C84C31"/>
    <w:rsid w:val="29D90359"/>
    <w:rsid w:val="29F523C5"/>
    <w:rsid w:val="29FD20FB"/>
    <w:rsid w:val="2ACB2205"/>
    <w:rsid w:val="2B202083"/>
    <w:rsid w:val="2BAE00CD"/>
    <w:rsid w:val="2BB53268"/>
    <w:rsid w:val="2BD00D95"/>
    <w:rsid w:val="2C15405A"/>
    <w:rsid w:val="2C2C06FC"/>
    <w:rsid w:val="2C7575A6"/>
    <w:rsid w:val="2C853D2A"/>
    <w:rsid w:val="2CC06594"/>
    <w:rsid w:val="2D65778C"/>
    <w:rsid w:val="2D72744F"/>
    <w:rsid w:val="2DB67313"/>
    <w:rsid w:val="2DEB4205"/>
    <w:rsid w:val="2DFE34D6"/>
    <w:rsid w:val="2E0367A0"/>
    <w:rsid w:val="2E1F5287"/>
    <w:rsid w:val="2F2073EA"/>
    <w:rsid w:val="2F26698B"/>
    <w:rsid w:val="2FA80B82"/>
    <w:rsid w:val="2FB267B0"/>
    <w:rsid w:val="2FC97744"/>
    <w:rsid w:val="2FED633A"/>
    <w:rsid w:val="302E2888"/>
    <w:rsid w:val="30655B3A"/>
    <w:rsid w:val="30921410"/>
    <w:rsid w:val="31365A77"/>
    <w:rsid w:val="317375C0"/>
    <w:rsid w:val="319625AB"/>
    <w:rsid w:val="31CC68A0"/>
    <w:rsid w:val="32902B67"/>
    <w:rsid w:val="33DA6924"/>
    <w:rsid w:val="33E157A4"/>
    <w:rsid w:val="348800D7"/>
    <w:rsid w:val="35364AF6"/>
    <w:rsid w:val="357E5A8D"/>
    <w:rsid w:val="35B0149E"/>
    <w:rsid w:val="35D773DB"/>
    <w:rsid w:val="36687C9B"/>
    <w:rsid w:val="367049D4"/>
    <w:rsid w:val="3678343A"/>
    <w:rsid w:val="36F01751"/>
    <w:rsid w:val="37164F30"/>
    <w:rsid w:val="37366BA9"/>
    <w:rsid w:val="37FE21CF"/>
    <w:rsid w:val="387C4DBE"/>
    <w:rsid w:val="38AB363A"/>
    <w:rsid w:val="39893797"/>
    <w:rsid w:val="398B5177"/>
    <w:rsid w:val="39A0679E"/>
    <w:rsid w:val="39A531D2"/>
    <w:rsid w:val="39E82BB3"/>
    <w:rsid w:val="3A1B154C"/>
    <w:rsid w:val="3AED1F14"/>
    <w:rsid w:val="3B38358B"/>
    <w:rsid w:val="3B453BD4"/>
    <w:rsid w:val="3B4C750B"/>
    <w:rsid w:val="3B67480A"/>
    <w:rsid w:val="3BB23B60"/>
    <w:rsid w:val="3C5F6F62"/>
    <w:rsid w:val="3CE94711"/>
    <w:rsid w:val="3D176D48"/>
    <w:rsid w:val="3D1C62F2"/>
    <w:rsid w:val="3D9467A2"/>
    <w:rsid w:val="3D954E00"/>
    <w:rsid w:val="3E2A426E"/>
    <w:rsid w:val="3F3029A0"/>
    <w:rsid w:val="401D6F4B"/>
    <w:rsid w:val="40361396"/>
    <w:rsid w:val="40595A2D"/>
    <w:rsid w:val="4081040C"/>
    <w:rsid w:val="408C763A"/>
    <w:rsid w:val="40EF478A"/>
    <w:rsid w:val="41A26EF5"/>
    <w:rsid w:val="41BF069E"/>
    <w:rsid w:val="41E24B29"/>
    <w:rsid w:val="41E46835"/>
    <w:rsid w:val="4222697D"/>
    <w:rsid w:val="422C7225"/>
    <w:rsid w:val="43002B5A"/>
    <w:rsid w:val="43331533"/>
    <w:rsid w:val="43435FD3"/>
    <w:rsid w:val="438C7FB1"/>
    <w:rsid w:val="440B698B"/>
    <w:rsid w:val="444528D0"/>
    <w:rsid w:val="44AE1C44"/>
    <w:rsid w:val="453F3302"/>
    <w:rsid w:val="4597746F"/>
    <w:rsid w:val="45C56A7E"/>
    <w:rsid w:val="45E8574C"/>
    <w:rsid w:val="45F70112"/>
    <w:rsid w:val="460348D1"/>
    <w:rsid w:val="46614400"/>
    <w:rsid w:val="468A79C8"/>
    <w:rsid w:val="46FB0DD6"/>
    <w:rsid w:val="472317A1"/>
    <w:rsid w:val="476C72E7"/>
    <w:rsid w:val="47EC1E5A"/>
    <w:rsid w:val="482144D9"/>
    <w:rsid w:val="48BD61DE"/>
    <w:rsid w:val="48EF42B7"/>
    <w:rsid w:val="49116553"/>
    <w:rsid w:val="4927377A"/>
    <w:rsid w:val="49523147"/>
    <w:rsid w:val="49C857C2"/>
    <w:rsid w:val="4A15327E"/>
    <w:rsid w:val="4A1732E9"/>
    <w:rsid w:val="4A253BA2"/>
    <w:rsid w:val="4AA82755"/>
    <w:rsid w:val="4AAF6CA4"/>
    <w:rsid w:val="4B347361"/>
    <w:rsid w:val="4BF35639"/>
    <w:rsid w:val="4C333C3E"/>
    <w:rsid w:val="4C93332D"/>
    <w:rsid w:val="4D7632F6"/>
    <w:rsid w:val="4D9B55FB"/>
    <w:rsid w:val="4DFC1E73"/>
    <w:rsid w:val="4E7C3E9D"/>
    <w:rsid w:val="4EF503A8"/>
    <w:rsid w:val="4F406E26"/>
    <w:rsid w:val="4F570BB0"/>
    <w:rsid w:val="4F947137"/>
    <w:rsid w:val="4FDD7DAC"/>
    <w:rsid w:val="4FE20C9C"/>
    <w:rsid w:val="4FE63D0B"/>
    <w:rsid w:val="500D6A78"/>
    <w:rsid w:val="501938F8"/>
    <w:rsid w:val="50346A8E"/>
    <w:rsid w:val="50502589"/>
    <w:rsid w:val="50DB71A0"/>
    <w:rsid w:val="51214381"/>
    <w:rsid w:val="519A3CD2"/>
    <w:rsid w:val="519A69B4"/>
    <w:rsid w:val="51C80FF9"/>
    <w:rsid w:val="51CB67DA"/>
    <w:rsid w:val="51FC33E9"/>
    <w:rsid w:val="521825B3"/>
    <w:rsid w:val="521F558F"/>
    <w:rsid w:val="526A3A5C"/>
    <w:rsid w:val="52892932"/>
    <w:rsid w:val="52CD73F0"/>
    <w:rsid w:val="5309279C"/>
    <w:rsid w:val="5375598F"/>
    <w:rsid w:val="538D5AA7"/>
    <w:rsid w:val="53DC5E68"/>
    <w:rsid w:val="54871620"/>
    <w:rsid w:val="549E7AD9"/>
    <w:rsid w:val="559E25A9"/>
    <w:rsid w:val="55F3138F"/>
    <w:rsid w:val="56367F9C"/>
    <w:rsid w:val="56B562E8"/>
    <w:rsid w:val="56BB2FDE"/>
    <w:rsid w:val="56BD178C"/>
    <w:rsid w:val="56DA6C3D"/>
    <w:rsid w:val="56F15266"/>
    <w:rsid w:val="576243EB"/>
    <w:rsid w:val="579D5B8F"/>
    <w:rsid w:val="57AA675D"/>
    <w:rsid w:val="57C75F80"/>
    <w:rsid w:val="57C86F47"/>
    <w:rsid w:val="587170B1"/>
    <w:rsid w:val="58F50230"/>
    <w:rsid w:val="591836DC"/>
    <w:rsid w:val="59952EBE"/>
    <w:rsid w:val="5A637CCC"/>
    <w:rsid w:val="5AEB674B"/>
    <w:rsid w:val="5BBB32E7"/>
    <w:rsid w:val="5BF608F2"/>
    <w:rsid w:val="5C257AF5"/>
    <w:rsid w:val="5C3B2FD2"/>
    <w:rsid w:val="5C444997"/>
    <w:rsid w:val="5C5146B2"/>
    <w:rsid w:val="5C59068B"/>
    <w:rsid w:val="5C5F3953"/>
    <w:rsid w:val="5CBD6EBE"/>
    <w:rsid w:val="5CD327BD"/>
    <w:rsid w:val="5CD9150F"/>
    <w:rsid w:val="5CFE0215"/>
    <w:rsid w:val="5D5C23B7"/>
    <w:rsid w:val="5D904DEC"/>
    <w:rsid w:val="5DC70D63"/>
    <w:rsid w:val="5DE51295"/>
    <w:rsid w:val="5E543C2C"/>
    <w:rsid w:val="5E7870A1"/>
    <w:rsid w:val="5F1015DE"/>
    <w:rsid w:val="5F452BFB"/>
    <w:rsid w:val="5F9272FB"/>
    <w:rsid w:val="5FC627A0"/>
    <w:rsid w:val="5FC92A72"/>
    <w:rsid w:val="601D45CE"/>
    <w:rsid w:val="60234096"/>
    <w:rsid w:val="6032745C"/>
    <w:rsid w:val="606063AF"/>
    <w:rsid w:val="60624485"/>
    <w:rsid w:val="60863707"/>
    <w:rsid w:val="60966715"/>
    <w:rsid w:val="60C73EA2"/>
    <w:rsid w:val="60FF41BB"/>
    <w:rsid w:val="61447635"/>
    <w:rsid w:val="61665FE8"/>
    <w:rsid w:val="61BB7437"/>
    <w:rsid w:val="61BC5DC9"/>
    <w:rsid w:val="61DB29D6"/>
    <w:rsid w:val="61EC16EC"/>
    <w:rsid w:val="61F73497"/>
    <w:rsid w:val="62244AE8"/>
    <w:rsid w:val="633C34BC"/>
    <w:rsid w:val="634636A6"/>
    <w:rsid w:val="63A129E2"/>
    <w:rsid w:val="63AE380B"/>
    <w:rsid w:val="63F521BA"/>
    <w:rsid w:val="63F867AC"/>
    <w:rsid w:val="64716091"/>
    <w:rsid w:val="64DB22AE"/>
    <w:rsid w:val="64F031D4"/>
    <w:rsid w:val="64F71D5D"/>
    <w:rsid w:val="650877CF"/>
    <w:rsid w:val="657F7AF1"/>
    <w:rsid w:val="65CD3EAB"/>
    <w:rsid w:val="667F716A"/>
    <w:rsid w:val="668F0428"/>
    <w:rsid w:val="67462059"/>
    <w:rsid w:val="67532761"/>
    <w:rsid w:val="67671960"/>
    <w:rsid w:val="677105E8"/>
    <w:rsid w:val="67796EE5"/>
    <w:rsid w:val="67960B85"/>
    <w:rsid w:val="67CE17D6"/>
    <w:rsid w:val="686E40F0"/>
    <w:rsid w:val="68936B38"/>
    <w:rsid w:val="689725E8"/>
    <w:rsid w:val="689C2A72"/>
    <w:rsid w:val="68C07DCE"/>
    <w:rsid w:val="68C36942"/>
    <w:rsid w:val="697532BA"/>
    <w:rsid w:val="6A302A39"/>
    <w:rsid w:val="6A5529A3"/>
    <w:rsid w:val="6ACB48E5"/>
    <w:rsid w:val="6B352DA3"/>
    <w:rsid w:val="6B5841EA"/>
    <w:rsid w:val="6B67543D"/>
    <w:rsid w:val="6B932015"/>
    <w:rsid w:val="6BE41E20"/>
    <w:rsid w:val="6BEF108B"/>
    <w:rsid w:val="6C746D77"/>
    <w:rsid w:val="6C7A71C4"/>
    <w:rsid w:val="6C9450E5"/>
    <w:rsid w:val="6C98475E"/>
    <w:rsid w:val="6CDF7BE2"/>
    <w:rsid w:val="6D211D67"/>
    <w:rsid w:val="6D3F3B91"/>
    <w:rsid w:val="6D6F63C4"/>
    <w:rsid w:val="6DAD5639"/>
    <w:rsid w:val="6DCE4168"/>
    <w:rsid w:val="6E0A53A1"/>
    <w:rsid w:val="6E122B1B"/>
    <w:rsid w:val="6E1947E8"/>
    <w:rsid w:val="6E226C98"/>
    <w:rsid w:val="6E4C0213"/>
    <w:rsid w:val="6E915E11"/>
    <w:rsid w:val="6F1A1738"/>
    <w:rsid w:val="6F2C25D4"/>
    <w:rsid w:val="6F5617A9"/>
    <w:rsid w:val="6FDA47C9"/>
    <w:rsid w:val="701A6924"/>
    <w:rsid w:val="702A0AF5"/>
    <w:rsid w:val="705E6FE4"/>
    <w:rsid w:val="709C52BA"/>
    <w:rsid w:val="709F0A11"/>
    <w:rsid w:val="71967B2E"/>
    <w:rsid w:val="722F6B29"/>
    <w:rsid w:val="725A1317"/>
    <w:rsid w:val="729466AF"/>
    <w:rsid w:val="72BA7CDB"/>
    <w:rsid w:val="72D51E93"/>
    <w:rsid w:val="72D6340F"/>
    <w:rsid w:val="72FE033B"/>
    <w:rsid w:val="736F5DF4"/>
    <w:rsid w:val="73DC1AE8"/>
    <w:rsid w:val="73DC1DDF"/>
    <w:rsid w:val="748F68F3"/>
    <w:rsid w:val="754E5E43"/>
    <w:rsid w:val="756F545D"/>
    <w:rsid w:val="757E7A73"/>
    <w:rsid w:val="75897819"/>
    <w:rsid w:val="75971191"/>
    <w:rsid w:val="76004655"/>
    <w:rsid w:val="763E0E8A"/>
    <w:rsid w:val="76585AFA"/>
    <w:rsid w:val="76695334"/>
    <w:rsid w:val="76CC5E0D"/>
    <w:rsid w:val="77843214"/>
    <w:rsid w:val="77880D8C"/>
    <w:rsid w:val="77A24792"/>
    <w:rsid w:val="77D55A7D"/>
    <w:rsid w:val="77F109B7"/>
    <w:rsid w:val="780F37AA"/>
    <w:rsid w:val="781647EC"/>
    <w:rsid w:val="789C28EE"/>
    <w:rsid w:val="78DD4C30"/>
    <w:rsid w:val="78F1584D"/>
    <w:rsid w:val="792E44D6"/>
    <w:rsid w:val="793B262B"/>
    <w:rsid w:val="799170ED"/>
    <w:rsid w:val="79D62C95"/>
    <w:rsid w:val="79FE19B1"/>
    <w:rsid w:val="7A054E89"/>
    <w:rsid w:val="7A3D53CE"/>
    <w:rsid w:val="7A4656CA"/>
    <w:rsid w:val="7A6C5333"/>
    <w:rsid w:val="7A700EEB"/>
    <w:rsid w:val="7B870D7C"/>
    <w:rsid w:val="7C26317C"/>
    <w:rsid w:val="7C4D4DE5"/>
    <w:rsid w:val="7C840E24"/>
    <w:rsid w:val="7CB8496C"/>
    <w:rsid w:val="7CD51E1C"/>
    <w:rsid w:val="7CF02905"/>
    <w:rsid w:val="7D6F7ADA"/>
    <w:rsid w:val="7D7140EB"/>
    <w:rsid w:val="7EAE290D"/>
    <w:rsid w:val="7F741D80"/>
    <w:rsid w:val="7FF56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3"/>
    <w:basedOn w:val="1"/>
    <w:next w:val="1"/>
    <w:autoRedefine/>
    <w:qFormat/>
    <w:uiPriority w:val="0"/>
    <w:pPr>
      <w:jc w:val="left"/>
      <w:outlineLvl w:val="2"/>
    </w:pPr>
    <w:rPr>
      <w:rFonts w:hint="eastAsia" w:ascii="宋体" w:hAnsi="宋体"/>
      <w:b/>
      <w:kern w:val="0"/>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105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156"/>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index 4"/>
    <w:basedOn w:val="1"/>
    <w:next w:val="1"/>
    <w:autoRedefine/>
    <w:qFormat/>
    <w:uiPriority w:val="0"/>
    <w:pPr>
      <w:ind w:left="840" w:hanging="210"/>
      <w:jc w:val="left"/>
    </w:pPr>
    <w:rPr>
      <w:rFonts w:ascii="Calibri" w:hAnsi="Calibri"/>
      <w:sz w:val="20"/>
      <w:szCs w:val="20"/>
    </w:rPr>
  </w:style>
  <w:style w:type="paragraph" w:styleId="12">
    <w:name w:val="toc 5"/>
    <w:basedOn w:val="1"/>
    <w:next w:val="1"/>
    <w:autoRedefine/>
    <w:semiHidden/>
    <w:qFormat/>
    <w:uiPriority w:val="0"/>
    <w:pPr>
      <w:tabs>
        <w:tab w:val="right" w:leader="dot" w:pos="9242"/>
      </w:tabs>
      <w:ind w:firstLine="630" w:firstLineChars="300"/>
      <w:jc w:val="left"/>
    </w:pPr>
    <w:rPr>
      <w:rFonts w:ascii="宋体"/>
      <w:szCs w:val="21"/>
    </w:rPr>
  </w:style>
  <w:style w:type="paragraph" w:styleId="13">
    <w:name w:val="toc 3"/>
    <w:basedOn w:val="1"/>
    <w:next w:val="1"/>
    <w:autoRedefine/>
    <w:semiHidden/>
    <w:qFormat/>
    <w:uiPriority w:val="0"/>
    <w:pPr>
      <w:tabs>
        <w:tab w:val="right" w:leader="dot" w:pos="9242"/>
      </w:tabs>
      <w:ind w:firstLine="210" w:firstLineChars="100"/>
      <w:jc w:val="left"/>
    </w:pPr>
    <w:rPr>
      <w:rFonts w:ascii="宋体"/>
      <w:szCs w:val="21"/>
    </w:rPr>
  </w:style>
  <w:style w:type="paragraph" w:styleId="14">
    <w:name w:val="toc 8"/>
    <w:basedOn w:val="1"/>
    <w:next w:val="1"/>
    <w:autoRedefine/>
    <w:semiHidden/>
    <w:qFormat/>
    <w:uiPriority w:val="0"/>
    <w:pPr>
      <w:tabs>
        <w:tab w:val="right" w:leader="dot" w:pos="9242"/>
      </w:tabs>
      <w:ind w:firstLine="1260" w:firstLineChars="600"/>
      <w:jc w:val="left"/>
    </w:pPr>
    <w:rPr>
      <w:rFonts w:ascii="宋体"/>
      <w:szCs w:val="21"/>
    </w:rPr>
  </w:style>
  <w:style w:type="paragraph" w:styleId="15">
    <w:name w:val="index 3"/>
    <w:basedOn w:val="1"/>
    <w:next w:val="1"/>
    <w:autoRedefine/>
    <w:qFormat/>
    <w:uiPriority w:val="0"/>
    <w:pPr>
      <w:ind w:left="630" w:hanging="210"/>
      <w:jc w:val="left"/>
    </w:pPr>
    <w:rPr>
      <w:rFonts w:ascii="Calibri" w:hAnsi="Calibri"/>
      <w:sz w:val="20"/>
      <w:szCs w:val="20"/>
    </w:rPr>
  </w:style>
  <w:style w:type="paragraph" w:styleId="16">
    <w:name w:val="endnote text"/>
    <w:basedOn w:val="1"/>
    <w:autoRedefine/>
    <w:semiHidden/>
    <w:qFormat/>
    <w:uiPriority w:val="0"/>
    <w:pPr>
      <w:snapToGrid w:val="0"/>
      <w:jc w:val="left"/>
    </w:pPr>
  </w:style>
  <w:style w:type="paragraph" w:styleId="17">
    <w:name w:val="Balloon Text"/>
    <w:basedOn w:val="1"/>
    <w:link w:val="55"/>
    <w:autoRedefine/>
    <w:qFormat/>
    <w:uiPriority w:val="0"/>
    <w:rPr>
      <w:sz w:val="18"/>
      <w:szCs w:val="18"/>
    </w:rPr>
  </w:style>
  <w:style w:type="paragraph" w:styleId="18">
    <w:name w:val="footer"/>
    <w:basedOn w:val="1"/>
    <w:autoRedefine/>
    <w:qFormat/>
    <w:uiPriority w:val="0"/>
    <w:pPr>
      <w:snapToGrid w:val="0"/>
      <w:ind w:right="210" w:rightChars="100"/>
      <w:jc w:val="right"/>
    </w:pPr>
    <w:rPr>
      <w:sz w:val="18"/>
      <w:szCs w:val="18"/>
    </w:rPr>
  </w:style>
  <w:style w:type="paragraph" w:styleId="19">
    <w:name w:val="header"/>
    <w:basedOn w:val="1"/>
    <w:autoRedefine/>
    <w:qFormat/>
    <w:uiPriority w:val="0"/>
    <w:pPr>
      <w:snapToGrid w:val="0"/>
      <w:jc w:val="left"/>
    </w:pPr>
    <w:rPr>
      <w:sz w:val="18"/>
      <w:szCs w:val="18"/>
    </w:rPr>
  </w:style>
  <w:style w:type="paragraph" w:styleId="20">
    <w:name w:val="toc 1"/>
    <w:basedOn w:val="1"/>
    <w:next w:val="1"/>
    <w:autoRedefine/>
    <w:semiHidden/>
    <w:qFormat/>
    <w:uiPriority w:val="0"/>
    <w:pPr>
      <w:tabs>
        <w:tab w:val="right" w:leader="dot" w:pos="9242"/>
      </w:tabs>
      <w:spacing w:beforeLines="25" w:afterLines="25"/>
      <w:jc w:val="left"/>
    </w:pPr>
    <w:rPr>
      <w:rFonts w:ascii="宋体"/>
      <w:szCs w:val="21"/>
    </w:rPr>
  </w:style>
  <w:style w:type="paragraph" w:styleId="21">
    <w:name w:val="toc 4"/>
    <w:basedOn w:val="1"/>
    <w:next w:val="1"/>
    <w:autoRedefine/>
    <w:semiHidden/>
    <w:qFormat/>
    <w:uiPriority w:val="0"/>
    <w:pPr>
      <w:tabs>
        <w:tab w:val="right" w:leader="dot" w:pos="9242"/>
      </w:tabs>
      <w:ind w:firstLine="420" w:firstLineChars="200"/>
      <w:jc w:val="left"/>
    </w:pPr>
    <w:rPr>
      <w:rFonts w:ascii="宋体"/>
      <w:szCs w:val="21"/>
    </w:rPr>
  </w:style>
  <w:style w:type="paragraph" w:styleId="22">
    <w:name w:val="index heading"/>
    <w:basedOn w:val="1"/>
    <w:next w:val="23"/>
    <w:autoRedefine/>
    <w:qFormat/>
    <w:uiPriority w:val="0"/>
    <w:pPr>
      <w:spacing w:before="120" w:after="120"/>
      <w:jc w:val="center"/>
    </w:pPr>
    <w:rPr>
      <w:rFonts w:ascii="Calibri" w:hAnsi="Calibri"/>
      <w:b/>
      <w:bCs/>
      <w:iCs/>
      <w:szCs w:val="20"/>
    </w:rPr>
  </w:style>
  <w:style w:type="paragraph" w:styleId="23">
    <w:name w:val="index 1"/>
    <w:basedOn w:val="1"/>
    <w:next w:val="24"/>
    <w:autoRedefine/>
    <w:qFormat/>
    <w:uiPriority w:val="0"/>
    <w:pPr>
      <w:tabs>
        <w:tab w:val="right" w:leader="dot" w:pos="9299"/>
      </w:tabs>
      <w:jc w:val="left"/>
    </w:pPr>
    <w:rPr>
      <w:rFonts w:ascii="宋体"/>
      <w:szCs w:val="21"/>
    </w:rPr>
  </w:style>
  <w:style w:type="paragraph" w:customStyle="1" w:styleId="24">
    <w:name w:val="段"/>
    <w:link w:val="5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autoRedefine/>
    <w:qFormat/>
    <w:uiPriority w:val="0"/>
    <w:pPr>
      <w:numPr>
        <w:ilvl w:val="0"/>
        <w:numId w:val="1"/>
      </w:numPr>
      <w:snapToGrid w:val="0"/>
      <w:jc w:val="left"/>
    </w:pPr>
    <w:rPr>
      <w:rFonts w:ascii="宋体"/>
      <w:sz w:val="18"/>
      <w:szCs w:val="18"/>
    </w:rPr>
  </w:style>
  <w:style w:type="paragraph" w:styleId="26">
    <w:name w:val="toc 6"/>
    <w:basedOn w:val="1"/>
    <w:next w:val="1"/>
    <w:autoRedefine/>
    <w:semiHidden/>
    <w:qFormat/>
    <w:uiPriority w:val="0"/>
    <w:pPr>
      <w:tabs>
        <w:tab w:val="right" w:leader="dot" w:pos="9242"/>
      </w:tabs>
      <w:ind w:firstLine="840" w:firstLineChars="400"/>
      <w:jc w:val="left"/>
    </w:pPr>
    <w:rPr>
      <w:rFonts w:ascii="宋体"/>
      <w:szCs w:val="21"/>
    </w:rPr>
  </w:style>
  <w:style w:type="paragraph" w:styleId="27">
    <w:name w:val="index 7"/>
    <w:basedOn w:val="1"/>
    <w:next w:val="1"/>
    <w:autoRedefine/>
    <w:qFormat/>
    <w:uiPriority w:val="0"/>
    <w:pPr>
      <w:ind w:left="1470" w:hanging="210"/>
      <w:jc w:val="left"/>
    </w:pPr>
    <w:rPr>
      <w:rFonts w:ascii="Calibri" w:hAnsi="Calibri"/>
      <w:sz w:val="20"/>
      <w:szCs w:val="20"/>
    </w:rPr>
  </w:style>
  <w:style w:type="paragraph" w:styleId="28">
    <w:name w:val="index 9"/>
    <w:basedOn w:val="1"/>
    <w:next w:val="1"/>
    <w:autoRedefine/>
    <w:qFormat/>
    <w:uiPriority w:val="0"/>
    <w:pPr>
      <w:ind w:left="1890" w:hanging="210"/>
      <w:jc w:val="left"/>
    </w:pPr>
    <w:rPr>
      <w:rFonts w:ascii="Calibri" w:hAnsi="Calibri"/>
      <w:sz w:val="20"/>
      <w:szCs w:val="20"/>
    </w:rPr>
  </w:style>
  <w:style w:type="paragraph" w:styleId="29">
    <w:name w:val="toc 2"/>
    <w:basedOn w:val="1"/>
    <w:next w:val="1"/>
    <w:autoRedefine/>
    <w:semiHidden/>
    <w:qFormat/>
    <w:uiPriority w:val="0"/>
    <w:pPr>
      <w:tabs>
        <w:tab w:val="right" w:leader="dot" w:pos="9242"/>
      </w:tabs>
    </w:pPr>
    <w:rPr>
      <w:rFonts w:ascii="宋体"/>
      <w:szCs w:val="21"/>
    </w:rPr>
  </w:style>
  <w:style w:type="paragraph" w:styleId="30">
    <w:name w:val="toc 9"/>
    <w:basedOn w:val="1"/>
    <w:next w:val="1"/>
    <w:autoRedefine/>
    <w:semiHidden/>
    <w:qFormat/>
    <w:uiPriority w:val="0"/>
    <w:pPr>
      <w:ind w:left="1470"/>
      <w:jc w:val="left"/>
    </w:pPr>
    <w:rPr>
      <w:sz w:val="20"/>
      <w:szCs w:val="20"/>
    </w:rPr>
  </w:style>
  <w:style w:type="paragraph" w:styleId="31">
    <w:name w:val="Normal (Web)"/>
    <w:basedOn w:val="1"/>
    <w:autoRedefine/>
    <w:unhideWhenUsed/>
    <w:qFormat/>
    <w:uiPriority w:val="0"/>
    <w:rPr>
      <w:sz w:val="24"/>
    </w:rPr>
  </w:style>
  <w:style w:type="paragraph" w:styleId="32">
    <w:name w:val="index 2"/>
    <w:basedOn w:val="1"/>
    <w:next w:val="1"/>
    <w:autoRedefine/>
    <w:qFormat/>
    <w:uiPriority w:val="0"/>
    <w:pPr>
      <w:ind w:left="420" w:hanging="210"/>
      <w:jc w:val="left"/>
    </w:pPr>
    <w:rPr>
      <w:rFonts w:ascii="Calibri" w:hAnsi="Calibri"/>
      <w:sz w:val="20"/>
      <w:szCs w:val="20"/>
    </w:rPr>
  </w:style>
  <w:style w:type="paragraph" w:styleId="33">
    <w:name w:val="Title"/>
    <w:basedOn w:val="1"/>
    <w:next w:val="1"/>
    <w:autoRedefine/>
    <w:qFormat/>
    <w:uiPriority w:val="0"/>
    <w:pPr>
      <w:spacing w:before="240" w:after="60"/>
      <w:jc w:val="center"/>
      <w:outlineLvl w:val="0"/>
    </w:pPr>
    <w:rPr>
      <w:rFonts w:ascii="Cambria" w:hAnsi="Cambria"/>
      <w:b/>
      <w:bCs/>
      <w:sz w:val="32"/>
      <w:szCs w:val="32"/>
    </w:rPr>
  </w:style>
  <w:style w:type="paragraph" w:styleId="34">
    <w:name w:val="annotation subject"/>
    <w:basedOn w:val="9"/>
    <w:next w:val="9"/>
    <w:link w:val="157"/>
    <w:autoRedefine/>
    <w:semiHidden/>
    <w:unhideWhenUsed/>
    <w:qFormat/>
    <w:uiPriority w:val="0"/>
    <w:rPr>
      <w:b/>
      <w:bCs/>
    </w:rPr>
  </w:style>
  <w:style w:type="table" w:styleId="36">
    <w:name w:val="Table Grid"/>
    <w:basedOn w:val="35"/>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autoRedefine/>
    <w:qFormat/>
    <w:uiPriority w:val="0"/>
    <w:rPr>
      <w:b/>
      <w:sz w:val="24"/>
      <w:szCs w:val="24"/>
    </w:rPr>
  </w:style>
  <w:style w:type="character" w:styleId="39">
    <w:name w:val="endnote reference"/>
    <w:autoRedefine/>
    <w:semiHidden/>
    <w:qFormat/>
    <w:uiPriority w:val="0"/>
    <w:rPr>
      <w:vertAlign w:val="superscript"/>
    </w:rPr>
  </w:style>
  <w:style w:type="character" w:styleId="40">
    <w:name w:val="page number"/>
    <w:autoRedefine/>
    <w:qFormat/>
    <w:uiPriority w:val="0"/>
    <w:rPr>
      <w:rFonts w:ascii="Times New Roman" w:hAnsi="Times New Roman" w:eastAsia="宋体"/>
      <w:sz w:val="18"/>
    </w:rPr>
  </w:style>
  <w:style w:type="character" w:styleId="41">
    <w:name w:val="FollowedHyperlink"/>
    <w:autoRedefine/>
    <w:qFormat/>
    <w:uiPriority w:val="0"/>
    <w:rPr>
      <w:color w:val="800080"/>
      <w:u w:val="single"/>
    </w:rPr>
  </w:style>
  <w:style w:type="character" w:styleId="42">
    <w:name w:val="Emphasis"/>
    <w:autoRedefine/>
    <w:qFormat/>
    <w:uiPriority w:val="0"/>
    <w:rPr>
      <w:color w:val="CC0000"/>
      <w:sz w:val="24"/>
      <w:szCs w:val="24"/>
    </w:rPr>
  </w:style>
  <w:style w:type="character" w:styleId="43">
    <w:name w:val="Hyperlink"/>
    <w:autoRedefine/>
    <w:qFormat/>
    <w:uiPriority w:val="0"/>
    <w:rPr>
      <w:color w:val="0000FF"/>
      <w:spacing w:val="0"/>
      <w:w w:val="100"/>
      <w:szCs w:val="21"/>
      <w:u w:val="single"/>
      <w:lang w:val="en-US" w:eastAsia="zh-CN"/>
    </w:rPr>
  </w:style>
  <w:style w:type="character" w:styleId="44">
    <w:name w:val="annotation reference"/>
    <w:autoRedefine/>
    <w:qFormat/>
    <w:uiPriority w:val="0"/>
    <w:rPr>
      <w:sz w:val="21"/>
      <w:szCs w:val="21"/>
    </w:rPr>
  </w:style>
  <w:style w:type="character" w:styleId="45">
    <w:name w:val="HTML Cite"/>
    <w:autoRedefine/>
    <w:qFormat/>
    <w:uiPriority w:val="0"/>
    <w:rPr>
      <w:sz w:val="24"/>
      <w:szCs w:val="24"/>
    </w:rPr>
  </w:style>
  <w:style w:type="character" w:styleId="46">
    <w:name w:val="footnote reference"/>
    <w:autoRedefine/>
    <w:semiHidden/>
    <w:qFormat/>
    <w:uiPriority w:val="0"/>
    <w:rPr>
      <w:vertAlign w:val="superscript"/>
    </w:rPr>
  </w:style>
  <w:style w:type="character" w:customStyle="1" w:styleId="47">
    <w:name w:val="font11"/>
    <w:autoRedefine/>
    <w:qFormat/>
    <w:uiPriority w:val="0"/>
    <w:rPr>
      <w:rFonts w:hint="default" w:ascii="Times New Roman" w:hAnsi="Times New Roman" w:cs="Times New Roman"/>
      <w:b/>
      <w:color w:val="000000"/>
      <w:sz w:val="24"/>
      <w:szCs w:val="24"/>
      <w:u w:val="none"/>
    </w:rPr>
  </w:style>
  <w:style w:type="character" w:customStyle="1" w:styleId="48">
    <w:name w:val="首示例 Char"/>
    <w:link w:val="49"/>
    <w:autoRedefine/>
    <w:qFormat/>
    <w:uiPriority w:val="0"/>
    <w:rPr>
      <w:rFonts w:ascii="宋体" w:hAnsi="宋体"/>
      <w:kern w:val="2"/>
      <w:sz w:val="18"/>
      <w:szCs w:val="18"/>
      <w:lang w:val="en-US" w:eastAsia="zh-CN" w:bidi="ar-SA"/>
    </w:rPr>
  </w:style>
  <w:style w:type="paragraph" w:customStyle="1" w:styleId="49">
    <w:name w:val="首示例"/>
    <w:next w:val="24"/>
    <w:link w:val="48"/>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0">
    <w:name w:val="附录公式 Char"/>
    <w:link w:val="51"/>
    <w:autoRedefine/>
    <w:qFormat/>
    <w:uiPriority w:val="0"/>
    <w:rPr>
      <w:rFonts w:ascii="宋体"/>
      <w:sz w:val="21"/>
      <w:lang w:val="en-US" w:eastAsia="zh-CN" w:bidi="ar-SA"/>
    </w:rPr>
  </w:style>
  <w:style w:type="paragraph" w:customStyle="1" w:styleId="51">
    <w:name w:val="附录公式"/>
    <w:basedOn w:val="24"/>
    <w:next w:val="24"/>
    <w:link w:val="50"/>
    <w:autoRedefine/>
    <w:qFormat/>
    <w:uiPriority w:val="0"/>
  </w:style>
  <w:style w:type="character" w:customStyle="1" w:styleId="52">
    <w:name w:val="发布"/>
    <w:autoRedefine/>
    <w:qFormat/>
    <w:uiPriority w:val="0"/>
    <w:rPr>
      <w:rFonts w:ascii="黑体" w:eastAsia="黑体"/>
      <w:spacing w:val="85"/>
      <w:w w:val="100"/>
      <w:position w:val="3"/>
      <w:sz w:val="28"/>
      <w:szCs w:val="28"/>
    </w:rPr>
  </w:style>
  <w:style w:type="character" w:customStyle="1" w:styleId="53">
    <w:name w:val="章标题 Char"/>
    <w:link w:val="54"/>
    <w:autoRedefine/>
    <w:qFormat/>
    <w:uiPriority w:val="0"/>
    <w:rPr>
      <w:rFonts w:ascii="黑体" w:eastAsia="黑体"/>
      <w:sz w:val="21"/>
      <w:lang w:val="en-US" w:eastAsia="zh-CN" w:bidi="ar-SA"/>
    </w:rPr>
  </w:style>
  <w:style w:type="paragraph" w:customStyle="1" w:styleId="54">
    <w:name w:val="章标题"/>
    <w:next w:val="24"/>
    <w:link w:val="53"/>
    <w:autoRedefine/>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character" w:customStyle="1" w:styleId="55">
    <w:name w:val="批注框文本 字符"/>
    <w:link w:val="17"/>
    <w:autoRedefine/>
    <w:qFormat/>
    <w:uiPriority w:val="0"/>
    <w:rPr>
      <w:kern w:val="2"/>
      <w:sz w:val="18"/>
      <w:szCs w:val="18"/>
    </w:rPr>
  </w:style>
  <w:style w:type="character" w:customStyle="1" w:styleId="56">
    <w:name w:val="font31"/>
    <w:autoRedefine/>
    <w:qFormat/>
    <w:uiPriority w:val="0"/>
    <w:rPr>
      <w:rFonts w:hint="default" w:ascii="Times New Roman" w:hAnsi="Times New Roman" w:cs="Times New Roman"/>
      <w:color w:val="000000"/>
      <w:sz w:val="24"/>
      <w:szCs w:val="24"/>
      <w:u w:val="none"/>
    </w:rPr>
  </w:style>
  <w:style w:type="character" w:customStyle="1" w:styleId="57">
    <w:name w:val="font21"/>
    <w:autoRedefine/>
    <w:qFormat/>
    <w:uiPriority w:val="0"/>
    <w:rPr>
      <w:rFonts w:hint="eastAsia" w:ascii="宋体" w:hAnsi="宋体" w:eastAsia="宋体" w:cs="宋体"/>
      <w:color w:val="000000"/>
      <w:sz w:val="24"/>
      <w:szCs w:val="24"/>
      <w:u w:val="none"/>
    </w:rPr>
  </w:style>
  <w:style w:type="character" w:customStyle="1" w:styleId="58">
    <w:name w:val="font41"/>
    <w:autoRedefine/>
    <w:qFormat/>
    <w:uiPriority w:val="0"/>
    <w:rPr>
      <w:rFonts w:hint="default" w:ascii="Times New Roman" w:hAnsi="Times New Roman" w:cs="Times New Roman"/>
      <w:b/>
      <w:color w:val="000000"/>
      <w:sz w:val="24"/>
      <w:szCs w:val="24"/>
      <w:u w:val="none"/>
    </w:rPr>
  </w:style>
  <w:style w:type="character" w:customStyle="1" w:styleId="59">
    <w:name w:val="段 Char"/>
    <w:link w:val="24"/>
    <w:autoRedefine/>
    <w:qFormat/>
    <w:uiPriority w:val="0"/>
    <w:rPr>
      <w:rFonts w:ascii="宋体"/>
      <w:sz w:val="21"/>
      <w:lang w:val="en-US" w:eastAsia="zh-CN" w:bidi="ar-SA"/>
    </w:rPr>
  </w:style>
  <w:style w:type="character" w:customStyle="1" w:styleId="60">
    <w:name w:val="font81"/>
    <w:autoRedefine/>
    <w:qFormat/>
    <w:uiPriority w:val="0"/>
    <w:rPr>
      <w:rFonts w:hint="eastAsia" w:ascii="宋体" w:hAnsi="宋体" w:eastAsia="宋体" w:cs="宋体"/>
      <w:color w:val="000000"/>
      <w:sz w:val="22"/>
      <w:szCs w:val="22"/>
      <w:u w:val="none"/>
    </w:rPr>
  </w:style>
  <w:style w:type="character" w:customStyle="1" w:styleId="61">
    <w:name w:val="font51"/>
    <w:autoRedefine/>
    <w:qFormat/>
    <w:uiPriority w:val="0"/>
    <w:rPr>
      <w:rFonts w:hint="eastAsia" w:ascii="宋体" w:hAnsi="宋体" w:eastAsia="宋体" w:cs="宋体"/>
      <w:b/>
      <w:color w:val="000000"/>
      <w:sz w:val="24"/>
      <w:szCs w:val="24"/>
      <w:u w:val="none"/>
    </w:rPr>
  </w:style>
  <w:style w:type="character" w:customStyle="1" w:styleId="62">
    <w:name w:val="一级条标题 Char"/>
    <w:link w:val="63"/>
    <w:autoRedefine/>
    <w:qFormat/>
    <w:uiPriority w:val="0"/>
    <w:rPr>
      <w:rFonts w:ascii="黑体" w:eastAsia="黑体"/>
      <w:sz w:val="21"/>
      <w:szCs w:val="21"/>
    </w:rPr>
  </w:style>
  <w:style w:type="paragraph" w:customStyle="1" w:styleId="63">
    <w:name w:val="一级条标题"/>
    <w:next w:val="24"/>
    <w:link w:val="62"/>
    <w:autoRedefine/>
    <w:qFormat/>
    <w:uiPriority w:val="0"/>
    <w:pPr>
      <w:numPr>
        <w:ilvl w:val="1"/>
        <w:numId w:val="3"/>
      </w:numPr>
      <w:tabs>
        <w:tab w:val="left" w:pos="0"/>
      </w:tabs>
      <w:spacing w:beforeLines="50" w:afterLines="50"/>
      <w:outlineLvl w:val="2"/>
    </w:pPr>
    <w:rPr>
      <w:rFonts w:ascii="黑体" w:hAnsi="Times New Roman" w:eastAsia="黑体" w:cs="Times New Roman"/>
      <w:sz w:val="21"/>
      <w:szCs w:val="21"/>
      <w:lang w:val="en-US" w:eastAsia="zh-CN" w:bidi="ar-SA"/>
    </w:rPr>
  </w:style>
  <w:style w:type="paragraph" w:customStyle="1" w:styleId="6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5">
    <w:name w:val="附录四级条标题"/>
    <w:basedOn w:val="66"/>
    <w:next w:val="24"/>
    <w:autoRedefine/>
    <w:qFormat/>
    <w:uiPriority w:val="0"/>
    <w:pPr>
      <w:tabs>
        <w:tab w:val="left" w:pos="360"/>
      </w:tabs>
      <w:outlineLvl w:val="5"/>
    </w:pPr>
  </w:style>
  <w:style w:type="paragraph" w:customStyle="1" w:styleId="66">
    <w:name w:val="附录三级条标题"/>
    <w:basedOn w:val="67"/>
    <w:next w:val="24"/>
    <w:autoRedefine/>
    <w:qFormat/>
    <w:uiPriority w:val="0"/>
    <w:pPr>
      <w:tabs>
        <w:tab w:val="left" w:pos="360"/>
      </w:tabs>
      <w:outlineLvl w:val="4"/>
    </w:pPr>
  </w:style>
  <w:style w:type="paragraph" w:customStyle="1" w:styleId="67">
    <w:name w:val="附录二级条标题"/>
    <w:basedOn w:val="1"/>
    <w:next w:val="24"/>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8">
    <w:name w:val="示例后文字"/>
    <w:basedOn w:val="24"/>
    <w:next w:val="24"/>
    <w:autoRedefine/>
    <w:qFormat/>
    <w:uiPriority w:val="0"/>
    <w:pPr>
      <w:ind w:firstLine="360"/>
    </w:pPr>
    <w:rPr>
      <w:sz w:val="18"/>
    </w:rPr>
  </w:style>
  <w:style w:type="paragraph" w:customStyle="1" w:styleId="69">
    <w:name w:val="正文图标题"/>
    <w:next w:val="24"/>
    <w:autoRedefine/>
    <w:qFormat/>
    <w:uiPriority w:val="0"/>
    <w:pPr>
      <w:numPr>
        <w:ilvl w:val="0"/>
        <w:numId w:val="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0">
    <w:name w:val="终结线"/>
    <w:basedOn w:val="1"/>
    <w:autoRedefine/>
    <w:qFormat/>
    <w:uiPriority w:val="0"/>
    <w:pPr>
      <w:framePr w:hSpace="181" w:vSpace="181" w:wrap="around" w:vAnchor="text" w:hAnchor="margin" w:xAlign="center" w:y="285"/>
    </w:pPr>
  </w:style>
  <w:style w:type="paragraph" w:customStyle="1" w:styleId="71">
    <w:name w:val="附录五级条标题"/>
    <w:basedOn w:val="65"/>
    <w:next w:val="24"/>
    <w:autoRedefine/>
    <w:qFormat/>
    <w:uiPriority w:val="0"/>
    <w:pPr>
      <w:outlineLvl w:val="6"/>
    </w:pPr>
  </w:style>
  <w:style w:type="paragraph" w:customStyle="1" w:styleId="72">
    <w:name w:val="标准书眉一"/>
    <w:autoRedefine/>
    <w:qFormat/>
    <w:uiPriority w:val="0"/>
    <w:pPr>
      <w:jc w:val="both"/>
    </w:pPr>
    <w:rPr>
      <w:rFonts w:ascii="Times New Roman" w:hAnsi="Times New Roman" w:eastAsia="宋体" w:cs="Times New Roman"/>
      <w:lang w:val="en-US" w:eastAsia="zh-CN" w:bidi="ar-SA"/>
    </w:rPr>
  </w:style>
  <w:style w:type="paragraph" w:customStyle="1" w:styleId="73">
    <w:name w:val="附录标题"/>
    <w:basedOn w:val="24"/>
    <w:next w:val="24"/>
    <w:autoRedefine/>
    <w:qFormat/>
    <w:uiPriority w:val="0"/>
    <w:pPr>
      <w:ind w:firstLine="0" w:firstLineChars="0"/>
      <w:jc w:val="center"/>
    </w:pPr>
    <w:rPr>
      <w:rFonts w:ascii="黑体" w:eastAsia="黑体"/>
    </w:rPr>
  </w:style>
  <w:style w:type="paragraph" w:customStyle="1" w:styleId="74">
    <w:name w:val="附录章标题"/>
    <w:next w:val="24"/>
    <w:autoRedefine/>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二级条标题"/>
    <w:basedOn w:val="63"/>
    <w:next w:val="24"/>
    <w:autoRedefine/>
    <w:qFormat/>
    <w:uiPriority w:val="0"/>
    <w:pPr>
      <w:numPr>
        <w:ilvl w:val="2"/>
      </w:numPr>
      <w:spacing w:before="50" w:after="50"/>
      <w:outlineLvl w:val="3"/>
    </w:pPr>
  </w:style>
  <w:style w:type="paragraph" w:customStyle="1" w:styleId="77">
    <w:name w:val="三级条标题"/>
    <w:basedOn w:val="76"/>
    <w:next w:val="24"/>
    <w:autoRedefine/>
    <w:qFormat/>
    <w:uiPriority w:val="0"/>
    <w:pPr>
      <w:numPr>
        <w:ilvl w:val="3"/>
      </w:numPr>
      <w:outlineLvl w:val="4"/>
    </w:pPr>
  </w:style>
  <w:style w:type="paragraph" w:customStyle="1" w:styleId="78">
    <w:name w:val="封面标准文稿编辑信息"/>
    <w:basedOn w:val="79"/>
    <w:autoRedefine/>
    <w:qFormat/>
    <w:uiPriority w:val="0"/>
    <w:pPr>
      <w:framePr w:wrap="around"/>
      <w:spacing w:before="180" w:line="180" w:lineRule="exact"/>
    </w:pPr>
    <w:rPr>
      <w:sz w:val="21"/>
    </w:rPr>
  </w:style>
  <w:style w:type="paragraph" w:customStyle="1" w:styleId="79">
    <w:name w:val="封面标准文稿类别"/>
    <w:basedOn w:val="80"/>
    <w:autoRedefine/>
    <w:qFormat/>
    <w:uiPriority w:val="0"/>
    <w:pPr>
      <w:framePr w:wrap="around"/>
      <w:spacing w:after="160" w:line="240" w:lineRule="auto"/>
    </w:pPr>
    <w:rPr>
      <w:sz w:val="24"/>
    </w:rPr>
  </w:style>
  <w:style w:type="paragraph" w:customStyle="1" w:styleId="80">
    <w:name w:val="封面一致性程度标识"/>
    <w:basedOn w:val="81"/>
    <w:autoRedefine/>
    <w:qFormat/>
    <w:uiPriority w:val="0"/>
    <w:pPr>
      <w:framePr w:wrap="around"/>
      <w:spacing w:before="440"/>
    </w:pPr>
    <w:rPr>
      <w:rFonts w:ascii="宋体" w:eastAsia="宋体"/>
    </w:rPr>
  </w:style>
  <w:style w:type="paragraph" w:customStyle="1" w:styleId="81">
    <w:name w:val="封面标准英文名称"/>
    <w:basedOn w:val="82"/>
    <w:autoRedefine/>
    <w:qFormat/>
    <w:uiPriority w:val="0"/>
    <w:pPr>
      <w:framePr w:wrap="around"/>
      <w:spacing w:before="370" w:line="400" w:lineRule="exact"/>
    </w:pPr>
    <w:rPr>
      <w:rFonts w:ascii="Times New Roman"/>
      <w:sz w:val="28"/>
      <w:szCs w:val="28"/>
    </w:rPr>
  </w:style>
  <w:style w:type="paragraph" w:customStyle="1" w:styleId="8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一级无"/>
    <w:basedOn w:val="63"/>
    <w:autoRedefine/>
    <w:qFormat/>
    <w:uiPriority w:val="0"/>
    <w:pPr>
      <w:spacing w:beforeLines="0" w:afterLines="0"/>
    </w:pPr>
    <w:rPr>
      <w:rFonts w:ascii="宋体" w:eastAsia="宋体"/>
    </w:rPr>
  </w:style>
  <w:style w:type="paragraph" w:customStyle="1" w:styleId="84">
    <w:name w:val="图标脚注说明"/>
    <w:basedOn w:val="24"/>
    <w:autoRedefine/>
    <w:qFormat/>
    <w:uiPriority w:val="0"/>
    <w:pPr>
      <w:ind w:left="840" w:hanging="420" w:firstLineChars="0"/>
    </w:pPr>
    <w:rPr>
      <w:sz w:val="18"/>
      <w:szCs w:val="18"/>
    </w:rPr>
  </w:style>
  <w:style w:type="paragraph" w:customStyle="1" w:styleId="85">
    <w:name w:val="实施日期"/>
    <w:basedOn w:val="75"/>
    <w:autoRedefine/>
    <w:qFormat/>
    <w:uiPriority w:val="0"/>
    <w:pPr>
      <w:framePr w:wrap="around" w:vAnchor="page" w:hAnchor="text"/>
      <w:jc w:val="right"/>
    </w:pPr>
  </w:style>
  <w:style w:type="paragraph" w:customStyle="1" w:styleId="86">
    <w:name w:val="附录公式编号制表符"/>
    <w:basedOn w:val="1"/>
    <w:next w:val="24"/>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87">
    <w:name w:val="附录数字编号列项（二级）"/>
    <w:autoRedefine/>
    <w:qFormat/>
    <w:uiPriority w:val="0"/>
    <w:pPr>
      <w:numPr>
        <w:ilvl w:val="1"/>
        <w:numId w:val="6"/>
      </w:numPr>
    </w:pPr>
    <w:rPr>
      <w:rFonts w:ascii="宋体" w:hAnsi="Times New Roman" w:eastAsia="宋体" w:cs="Times New Roman"/>
      <w:sz w:val="21"/>
      <w:lang w:val="en-US" w:eastAsia="zh-CN" w:bidi="ar-SA"/>
    </w:rPr>
  </w:style>
  <w:style w:type="paragraph" w:customStyle="1" w:styleId="88">
    <w:name w:val="示例×："/>
    <w:basedOn w:val="54"/>
    <w:autoRedefine/>
    <w:qFormat/>
    <w:uiPriority w:val="0"/>
    <w:pPr>
      <w:numPr>
        <w:numId w:val="7"/>
      </w:numPr>
      <w:spacing w:beforeLines="0" w:afterLines="0"/>
      <w:outlineLvl w:val="9"/>
    </w:pPr>
    <w:rPr>
      <w:rFonts w:ascii="宋体" w:eastAsia="宋体"/>
      <w:sz w:val="18"/>
      <w:szCs w:val="18"/>
    </w:rPr>
  </w:style>
  <w:style w:type="paragraph" w:customStyle="1" w:styleId="8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9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封面标准文稿编辑信息2"/>
    <w:basedOn w:val="78"/>
    <w:autoRedefine/>
    <w:qFormat/>
    <w:uiPriority w:val="0"/>
    <w:pPr>
      <w:framePr w:wrap="around" w:y="4469"/>
    </w:pPr>
  </w:style>
  <w:style w:type="paragraph" w:customStyle="1" w:styleId="92">
    <w:name w:val="三级无"/>
    <w:basedOn w:val="77"/>
    <w:autoRedefine/>
    <w:qFormat/>
    <w:uiPriority w:val="0"/>
    <w:pPr>
      <w:spacing w:beforeLines="0" w:afterLines="0"/>
    </w:pPr>
    <w:rPr>
      <w:rFonts w:ascii="宋体" w:eastAsia="宋体"/>
    </w:rPr>
  </w:style>
  <w:style w:type="paragraph" w:customStyle="1" w:styleId="93">
    <w:name w:val="封面一致性程度标识2"/>
    <w:basedOn w:val="80"/>
    <w:autoRedefine/>
    <w:qFormat/>
    <w:uiPriority w:val="0"/>
    <w:pPr>
      <w:framePr w:wrap="around" w:y="4469"/>
    </w:pPr>
  </w:style>
  <w:style w:type="paragraph" w:customStyle="1" w:styleId="94">
    <w:name w:val="正文公式编号制表符"/>
    <w:basedOn w:val="24"/>
    <w:next w:val="24"/>
    <w:autoRedefine/>
    <w:qFormat/>
    <w:uiPriority w:val="0"/>
    <w:pPr>
      <w:ind w:firstLine="0" w:firstLineChars="0"/>
    </w:pPr>
  </w:style>
  <w:style w:type="paragraph" w:customStyle="1" w:styleId="9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四级条标题"/>
    <w:basedOn w:val="77"/>
    <w:next w:val="24"/>
    <w:autoRedefine/>
    <w:qFormat/>
    <w:uiPriority w:val="0"/>
    <w:pPr>
      <w:numPr>
        <w:ilvl w:val="4"/>
      </w:numPr>
      <w:outlineLvl w:val="5"/>
    </w:pPr>
  </w:style>
  <w:style w:type="paragraph" w:customStyle="1" w:styleId="97">
    <w:name w:val="示例"/>
    <w:next w:val="98"/>
    <w:autoRedefine/>
    <w:qFormat/>
    <w:uiPriority w:val="0"/>
    <w:pPr>
      <w:widowControl w:val="0"/>
      <w:numPr>
        <w:ilvl w:val="0"/>
        <w:numId w:val="8"/>
      </w:numPr>
      <w:jc w:val="both"/>
    </w:pPr>
    <w:rPr>
      <w:rFonts w:ascii="宋体" w:hAnsi="Times New Roman" w:eastAsia="宋体" w:cs="Times New Roman"/>
      <w:sz w:val="18"/>
      <w:szCs w:val="18"/>
      <w:lang w:val="en-US" w:eastAsia="zh-CN" w:bidi="ar-SA"/>
    </w:rPr>
  </w:style>
  <w:style w:type="paragraph" w:customStyle="1" w:styleId="98">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99">
    <w:name w:val="附录五级无"/>
    <w:basedOn w:val="71"/>
    <w:autoRedefine/>
    <w:qFormat/>
    <w:uiPriority w:val="0"/>
    <w:pPr>
      <w:spacing w:beforeLines="0" w:afterLines="0"/>
    </w:pPr>
    <w:rPr>
      <w:rFonts w:ascii="宋体" w:eastAsia="宋体"/>
      <w:szCs w:val="21"/>
    </w:rPr>
  </w:style>
  <w:style w:type="paragraph" w:customStyle="1" w:styleId="100">
    <w:name w:val="五级无"/>
    <w:basedOn w:val="101"/>
    <w:autoRedefine/>
    <w:qFormat/>
    <w:uiPriority w:val="0"/>
    <w:pPr>
      <w:tabs>
        <w:tab w:val="left" w:pos="0"/>
      </w:tabs>
      <w:spacing w:beforeLines="0" w:afterLines="0"/>
    </w:pPr>
    <w:rPr>
      <w:rFonts w:ascii="宋体" w:eastAsia="宋体"/>
    </w:rPr>
  </w:style>
  <w:style w:type="paragraph" w:customStyle="1" w:styleId="101">
    <w:name w:val="五级条标题"/>
    <w:basedOn w:val="96"/>
    <w:next w:val="24"/>
    <w:autoRedefine/>
    <w:qFormat/>
    <w:uiPriority w:val="0"/>
    <w:pPr>
      <w:numPr>
        <w:ilvl w:val="5"/>
      </w:numPr>
      <w:outlineLvl w:val="6"/>
    </w:pPr>
  </w:style>
  <w:style w:type="paragraph" w:customStyle="1" w:styleId="102">
    <w:name w:val="附录字母编号列项（一级）"/>
    <w:autoRedefine/>
    <w:qFormat/>
    <w:uiPriority w:val="0"/>
    <w:pPr>
      <w:numPr>
        <w:ilvl w:val="0"/>
        <w:numId w:val="6"/>
      </w:numPr>
    </w:pPr>
    <w:rPr>
      <w:rFonts w:ascii="宋体" w:hAnsi="Times New Roman" w:eastAsia="宋体" w:cs="Times New Roman"/>
      <w:sz w:val="21"/>
      <w:lang w:val="en-US" w:eastAsia="zh-CN" w:bidi="ar-SA"/>
    </w:rPr>
  </w:style>
  <w:style w:type="paragraph" w:customStyle="1" w:styleId="103">
    <w:name w:val="图表脚注说明"/>
    <w:basedOn w:val="1"/>
    <w:autoRedefine/>
    <w:qFormat/>
    <w:uiPriority w:val="0"/>
    <w:pPr>
      <w:numPr>
        <w:ilvl w:val="0"/>
        <w:numId w:val="9"/>
      </w:numPr>
    </w:pPr>
    <w:rPr>
      <w:rFonts w:ascii="宋体"/>
      <w:sz w:val="18"/>
      <w:szCs w:val="18"/>
    </w:rPr>
  </w:style>
  <w:style w:type="paragraph" w:customStyle="1" w:styleId="104">
    <w:name w:val="参考文献、索引标题"/>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5">
    <w:name w:val="图的脚注"/>
    <w:next w:val="24"/>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7">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8">
    <w:name w:val="编号列项（三级）"/>
    <w:autoRedefine/>
    <w:qFormat/>
    <w:uiPriority w:val="0"/>
    <w:pPr>
      <w:numPr>
        <w:ilvl w:val="2"/>
        <w:numId w:val="10"/>
      </w:numPr>
    </w:pPr>
    <w:rPr>
      <w:rFonts w:ascii="宋体" w:hAnsi="Times New Roman" w:eastAsia="宋体" w:cs="Times New Roman"/>
      <w:sz w:val="21"/>
      <w:lang w:val="en-US" w:eastAsia="zh-CN" w:bidi="ar-SA"/>
    </w:rPr>
  </w:style>
  <w:style w:type="paragraph" w:customStyle="1" w:styleId="109">
    <w:name w:val="列项——（一级）"/>
    <w:autoRedefine/>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10">
    <w:name w:val="发布部门"/>
    <w:next w:val="2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1">
    <w:name w:val="附录图标号"/>
    <w:basedOn w:val="1"/>
    <w:autoRedefine/>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12">
    <w:name w:val="其他标准标志"/>
    <w:basedOn w:val="113"/>
    <w:autoRedefine/>
    <w:qFormat/>
    <w:uiPriority w:val="0"/>
    <w:pPr>
      <w:framePr w:w="6101" w:wrap="around" w:vAnchor="page" w:hAnchor="page" w:x="4673" w:y="942"/>
    </w:pPr>
    <w:rPr>
      <w:w w:val="130"/>
    </w:rPr>
  </w:style>
  <w:style w:type="paragraph" w:customStyle="1" w:styleId="11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字母编号列项（一级）"/>
    <w:autoRedefine/>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15">
    <w:name w:val="封面正文"/>
    <w:autoRedefine/>
    <w:qFormat/>
    <w:uiPriority w:val="0"/>
    <w:pPr>
      <w:jc w:val="both"/>
    </w:pPr>
    <w:rPr>
      <w:rFonts w:ascii="Times New Roman" w:hAnsi="Times New Roman" w:eastAsia="宋体" w:cs="Times New Roman"/>
      <w:lang w:val="en-US" w:eastAsia="zh-CN" w:bidi="ar-SA"/>
    </w:rPr>
  </w:style>
  <w:style w:type="paragraph" w:customStyle="1" w:styleId="116">
    <w:name w:val="正文表标题"/>
    <w:next w:val="24"/>
    <w:autoRedefine/>
    <w:qFormat/>
    <w:uiPriority w:val="0"/>
    <w:pPr>
      <w:numPr>
        <w:ilvl w:val="0"/>
        <w:numId w:val="13"/>
      </w:numPr>
      <w:tabs>
        <w:tab w:val="left" w:pos="360"/>
      </w:tabs>
      <w:spacing w:beforeLines="50" w:afterLines="50"/>
      <w:ind w:left="0"/>
      <w:jc w:val="center"/>
    </w:pPr>
    <w:rPr>
      <w:rFonts w:ascii="黑体" w:hAnsi="Times New Roman" w:eastAsia="黑体" w:cs="Times New Roman"/>
      <w:sz w:val="21"/>
      <w:lang w:val="en-US" w:eastAsia="zh-CN" w:bidi="ar-SA"/>
    </w:rPr>
  </w:style>
  <w:style w:type="paragraph" w:customStyle="1" w:styleId="117">
    <w:name w:val="附录一级条标题"/>
    <w:basedOn w:val="74"/>
    <w:next w:val="24"/>
    <w:autoRedefine/>
    <w:qFormat/>
    <w:uiPriority w:val="0"/>
    <w:pPr>
      <w:numPr>
        <w:ilvl w:val="0"/>
        <w:numId w:val="0"/>
      </w:numPr>
      <w:autoSpaceDN w:val="0"/>
      <w:spacing w:beforeLines="50" w:afterLines="50"/>
      <w:outlineLvl w:val="2"/>
    </w:pPr>
  </w:style>
  <w:style w:type="paragraph" w:customStyle="1" w:styleId="118">
    <w:name w:val="附录一级无"/>
    <w:basedOn w:val="117"/>
    <w:autoRedefine/>
    <w:qFormat/>
    <w:uiPriority w:val="0"/>
    <w:pPr>
      <w:spacing w:beforeLines="0" w:afterLines="0"/>
    </w:pPr>
    <w:rPr>
      <w:rFonts w:ascii="宋体" w:eastAsia="宋体"/>
      <w:szCs w:val="21"/>
    </w:rPr>
  </w:style>
  <w:style w:type="paragraph" w:customStyle="1" w:styleId="119">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0">
    <w:name w:val="列项●（二级）"/>
    <w:autoRedefine/>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21">
    <w:name w:val="附录三级无"/>
    <w:basedOn w:val="66"/>
    <w:autoRedefine/>
    <w:qFormat/>
    <w:uiPriority w:val="0"/>
    <w:pPr>
      <w:tabs>
        <w:tab w:val="clear" w:pos="360"/>
      </w:tabs>
      <w:spacing w:beforeLines="0" w:afterLines="0"/>
    </w:pPr>
    <w:rPr>
      <w:rFonts w:ascii="宋体" w:eastAsia="宋体"/>
      <w:szCs w:val="21"/>
    </w:rPr>
  </w:style>
  <w:style w:type="paragraph" w:customStyle="1" w:styleId="122">
    <w:name w:val="封面标准英文名称2"/>
    <w:basedOn w:val="81"/>
    <w:autoRedefine/>
    <w:qFormat/>
    <w:uiPriority w:val="0"/>
    <w:pPr>
      <w:framePr w:wrap="around" w:y="4469"/>
    </w:pPr>
  </w:style>
  <w:style w:type="paragraph" w:customStyle="1" w:styleId="123">
    <w:name w:val="注：（正文）"/>
    <w:basedOn w:val="124"/>
    <w:next w:val="24"/>
    <w:autoRedefine/>
    <w:qFormat/>
    <w:uiPriority w:val="0"/>
  </w:style>
  <w:style w:type="paragraph" w:customStyle="1" w:styleId="124">
    <w:name w:val="注："/>
    <w:next w:val="24"/>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数字编号列项（二级）"/>
    <w:autoRedefine/>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26">
    <w:name w:val="其他发布日期"/>
    <w:basedOn w:val="75"/>
    <w:autoRedefine/>
    <w:qFormat/>
    <w:uiPriority w:val="0"/>
    <w:pPr>
      <w:framePr w:wrap="around" w:vAnchor="page" w:hAnchor="text" w:x="1419"/>
    </w:pPr>
  </w:style>
  <w:style w:type="paragraph" w:customStyle="1" w:styleId="127">
    <w:name w:val="二级无"/>
    <w:basedOn w:val="76"/>
    <w:autoRedefine/>
    <w:qFormat/>
    <w:uiPriority w:val="0"/>
    <w:pPr>
      <w:spacing w:beforeLines="0" w:afterLines="0"/>
    </w:pPr>
    <w:rPr>
      <w:rFonts w:ascii="宋体" w:eastAsia="宋体"/>
    </w:rPr>
  </w:style>
  <w:style w:type="paragraph" w:customStyle="1" w:styleId="128">
    <w:name w:val="标准书眉_偶数页"/>
    <w:basedOn w:val="119"/>
    <w:next w:val="1"/>
    <w:autoRedefine/>
    <w:qFormat/>
    <w:uiPriority w:val="0"/>
    <w:pPr>
      <w:jc w:val="left"/>
    </w:pPr>
  </w:style>
  <w:style w:type="paragraph" w:customStyle="1" w:styleId="129">
    <w:name w:val="列项◆（三级）"/>
    <w:basedOn w:val="1"/>
    <w:autoRedefine/>
    <w:qFormat/>
    <w:uiPriority w:val="0"/>
    <w:pPr>
      <w:numPr>
        <w:ilvl w:val="2"/>
        <w:numId w:val="11"/>
      </w:numPr>
    </w:pPr>
    <w:rPr>
      <w:rFonts w:ascii="宋体"/>
      <w:szCs w:val="21"/>
    </w:rPr>
  </w:style>
  <w:style w:type="paragraph" w:styleId="130">
    <w:name w:val="List Paragraph"/>
    <w:basedOn w:val="1"/>
    <w:autoRedefine/>
    <w:qFormat/>
    <w:uiPriority w:val="99"/>
    <w:pPr>
      <w:ind w:firstLine="420" w:firstLineChars="200"/>
    </w:pPr>
  </w:style>
  <w:style w:type="paragraph" w:customStyle="1" w:styleId="131">
    <w:name w:val="列出段落1"/>
    <w:basedOn w:val="1"/>
    <w:autoRedefine/>
    <w:qFormat/>
    <w:uiPriority w:val="34"/>
    <w:pPr>
      <w:ind w:firstLine="420" w:firstLineChars="200"/>
    </w:pPr>
  </w:style>
  <w:style w:type="paragraph" w:customStyle="1" w:styleId="132">
    <w:name w:val="条文脚注"/>
    <w:basedOn w:val="25"/>
    <w:autoRedefine/>
    <w:qFormat/>
    <w:uiPriority w:val="0"/>
    <w:pPr>
      <w:numPr>
        <w:numId w:val="0"/>
      </w:numPr>
      <w:jc w:val="both"/>
    </w:pPr>
  </w:style>
  <w:style w:type="paragraph" w:customStyle="1" w:styleId="133">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4">
    <w:name w:val="附录表标题"/>
    <w:basedOn w:val="1"/>
    <w:next w:val="24"/>
    <w:autoRedefine/>
    <w:qFormat/>
    <w:uiPriority w:val="0"/>
    <w:pPr>
      <w:numPr>
        <w:ilvl w:val="1"/>
        <w:numId w:val="14"/>
      </w:numPr>
      <w:tabs>
        <w:tab w:val="left" w:pos="180"/>
      </w:tabs>
      <w:spacing w:beforeLines="50" w:afterLines="50"/>
      <w:ind w:left="0" w:firstLine="0"/>
      <w:jc w:val="center"/>
    </w:pPr>
    <w:rPr>
      <w:rFonts w:ascii="黑体" w:eastAsia="黑体"/>
      <w:szCs w:val="21"/>
    </w:rPr>
  </w:style>
  <w:style w:type="paragraph" w:customStyle="1" w:styleId="135">
    <w:name w:val="封面标准名称2"/>
    <w:basedOn w:val="82"/>
    <w:autoRedefine/>
    <w:qFormat/>
    <w:uiPriority w:val="0"/>
    <w:pPr>
      <w:framePr w:wrap="around" w:y="4469"/>
      <w:spacing w:beforeLines="630"/>
    </w:pPr>
  </w:style>
  <w:style w:type="paragraph" w:customStyle="1" w:styleId="136">
    <w:name w:val="其他实施日期"/>
    <w:basedOn w:val="85"/>
    <w:autoRedefine/>
    <w:qFormat/>
    <w:uiPriority w:val="0"/>
    <w:pPr>
      <w:framePr w:wrap="around"/>
    </w:pPr>
  </w:style>
  <w:style w:type="paragraph" w:customStyle="1" w:styleId="137">
    <w:name w:val="注×：（正文）"/>
    <w:autoRedefine/>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38">
    <w:name w:val="附录四级无"/>
    <w:basedOn w:val="65"/>
    <w:autoRedefine/>
    <w:qFormat/>
    <w:uiPriority w:val="0"/>
    <w:pPr>
      <w:tabs>
        <w:tab w:val="clear" w:pos="360"/>
      </w:tabs>
      <w:spacing w:beforeLines="0" w:afterLines="0"/>
    </w:pPr>
    <w:rPr>
      <w:rFonts w:ascii="宋体" w:eastAsia="宋体"/>
      <w:szCs w:val="21"/>
    </w:rPr>
  </w:style>
  <w:style w:type="paragraph" w:customStyle="1" w:styleId="139">
    <w:name w:val="注×："/>
    <w:autoRedefine/>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4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1">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附录图标题"/>
    <w:basedOn w:val="1"/>
    <w:next w:val="24"/>
    <w:autoRedefine/>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43">
    <w:name w:val="前言、引言标题"/>
    <w:next w:val="24"/>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封面标准文稿类别2"/>
    <w:basedOn w:val="79"/>
    <w:autoRedefine/>
    <w:qFormat/>
    <w:uiPriority w:val="0"/>
    <w:pPr>
      <w:framePr w:wrap="around" w:y="4469"/>
    </w:pPr>
  </w:style>
  <w:style w:type="paragraph" w:customStyle="1" w:styleId="145">
    <w:name w:val="四级无"/>
    <w:basedOn w:val="96"/>
    <w:autoRedefine/>
    <w:qFormat/>
    <w:uiPriority w:val="0"/>
    <w:pPr>
      <w:spacing w:beforeLines="0" w:afterLines="0"/>
    </w:pPr>
    <w:rPr>
      <w:rFonts w:ascii="宋体" w:eastAsia="宋体"/>
    </w:rPr>
  </w:style>
  <w:style w:type="paragraph" w:customStyle="1" w:styleId="146">
    <w:name w:val="参考文献"/>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附录二级无"/>
    <w:basedOn w:val="67"/>
    <w:autoRedefine/>
    <w:qFormat/>
    <w:uiPriority w:val="0"/>
    <w:pPr>
      <w:tabs>
        <w:tab w:val="clear" w:pos="360"/>
      </w:tabs>
      <w:spacing w:beforeLines="0" w:afterLines="0"/>
    </w:pPr>
    <w:rPr>
      <w:rFonts w:ascii="宋体" w:eastAsia="宋体"/>
      <w:szCs w:val="21"/>
    </w:rPr>
  </w:style>
  <w:style w:type="paragraph" w:customStyle="1" w:styleId="148">
    <w:name w:val="附录标识"/>
    <w:basedOn w:val="1"/>
    <w:next w:val="24"/>
    <w:autoRedefine/>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9">
    <w:name w:val="其他发布部门"/>
    <w:basedOn w:val="110"/>
    <w:autoRedefine/>
    <w:qFormat/>
    <w:uiPriority w:val="0"/>
    <w:pPr>
      <w:framePr w:wrap="around" w:y="15310"/>
      <w:spacing w:line="0" w:lineRule="atLeast"/>
    </w:pPr>
    <w:rPr>
      <w:rFonts w:ascii="黑体" w:eastAsia="黑体"/>
      <w:b w:val="0"/>
    </w:rPr>
  </w:style>
  <w:style w:type="paragraph" w:customStyle="1" w:styleId="15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2">
    <w:name w:val="附录表标号"/>
    <w:basedOn w:val="1"/>
    <w:next w:val="24"/>
    <w:autoRedefine/>
    <w:qFormat/>
    <w:uiPriority w:val="0"/>
    <w:pPr>
      <w:numPr>
        <w:ilvl w:val="0"/>
        <w:numId w:val="14"/>
      </w:numPr>
      <w:spacing w:line="14" w:lineRule="exact"/>
      <w:ind w:left="811" w:hanging="448"/>
      <w:jc w:val="center"/>
      <w:outlineLvl w:val="0"/>
    </w:pPr>
    <w:rPr>
      <w:color w:val="FFFFFF"/>
    </w:rPr>
  </w:style>
  <w:style w:type="paragraph" w:customStyle="1" w:styleId="153">
    <w:name w:val="目次、标准名称标题"/>
    <w:basedOn w:val="1"/>
    <w:next w:val="24"/>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5">
    <w:name w:val="fontstyle01"/>
    <w:basedOn w:val="37"/>
    <w:autoRedefine/>
    <w:qFormat/>
    <w:uiPriority w:val="0"/>
    <w:rPr>
      <w:rFonts w:ascii="宋体" w:hAnsi="宋体" w:eastAsia="宋体" w:cs="宋体"/>
      <w:color w:val="000000"/>
      <w:sz w:val="22"/>
      <w:szCs w:val="22"/>
    </w:rPr>
  </w:style>
  <w:style w:type="character" w:customStyle="1" w:styleId="156">
    <w:name w:val="批注文字 字符"/>
    <w:basedOn w:val="37"/>
    <w:link w:val="9"/>
    <w:autoRedefine/>
    <w:qFormat/>
    <w:uiPriority w:val="0"/>
    <w:rPr>
      <w:kern w:val="2"/>
      <w:sz w:val="21"/>
      <w:szCs w:val="24"/>
    </w:rPr>
  </w:style>
  <w:style w:type="character" w:customStyle="1" w:styleId="157">
    <w:name w:val="批注主题 字符"/>
    <w:basedOn w:val="156"/>
    <w:link w:val="34"/>
    <w:autoRedefine/>
    <w:semiHidden/>
    <w:qFormat/>
    <w:uiPriority w:val="0"/>
    <w:rPr>
      <w:b/>
      <w:bCs/>
      <w:kern w:val="2"/>
      <w:sz w:val="21"/>
      <w:szCs w:val="24"/>
    </w:rPr>
  </w:style>
  <w:style w:type="paragraph" w:customStyle="1" w:styleId="15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61">
    <w:name w:val="Table Normal"/>
    <w:autoRedefine/>
    <w:semiHidden/>
    <w:unhideWhenUsed/>
    <w:qFormat/>
    <w:uiPriority w:val="0"/>
    <w:tblPr>
      <w:tblCellMar>
        <w:top w:w="0" w:type="dxa"/>
        <w:left w:w="0" w:type="dxa"/>
        <w:bottom w:w="0" w:type="dxa"/>
        <w:right w:w="0" w:type="dxa"/>
      </w:tblCellMar>
    </w:tblPr>
  </w:style>
  <w:style w:type="paragraph" w:customStyle="1" w:styleId="162">
    <w:name w:val="Table Text"/>
    <w:basedOn w:val="1"/>
    <w:semiHidden/>
    <w:qFormat/>
    <w:uiPriority w:val="0"/>
    <w:rPr>
      <w:rFonts w:ascii="宋体" w:hAnsi="宋体" w:cs="宋体"/>
      <w:sz w:val="18"/>
      <w:szCs w:val="18"/>
      <w:lang w:eastAsia="en-US"/>
    </w:rPr>
  </w:style>
  <w:style w:type="paragraph" w:customStyle="1" w:styleId="163">
    <w:name w:val="Body text|2"/>
    <w:basedOn w:val="1"/>
    <w:autoRedefine/>
    <w:qFormat/>
    <w:uiPriority w:val="99"/>
    <w:pPr>
      <w:shd w:val="clear" w:color="auto" w:fill="FFFFFF"/>
      <w:spacing w:after="2880" w:line="232" w:lineRule="exact"/>
    </w:pPr>
    <w:rPr>
      <w:rFonts w:ascii="PMingLiU" w:hAnsi="PMingLiU" w:eastAsia="PMingLiU"/>
      <w:spacing w:val="10"/>
      <w:kern w:val="0"/>
      <w:sz w:val="19"/>
      <w:szCs w:val="19"/>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4506</Words>
  <Characters>5710</Characters>
  <Lines>61</Lines>
  <Paragraphs>17</Paragraphs>
  <TotalTime>11</TotalTime>
  <ScaleCrop>false</ScaleCrop>
  <LinksUpToDate>false</LinksUpToDate>
  <CharactersWithSpaces>6059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2025-01-08T00:35:00Z</dcterms:created>
  <cp:lastPrinted>2024-06-13T06:30:00Z</cp:lastPrinted>
  <dcterms:modified xsi:type="dcterms:W3CDTF">2025-10-09T07:03:14Z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686875250176441292EC3B9F9828078B_13</vt:lpwstr>
  </property>
  <property fmtid="{D5CDD505-2E9C-101B-9397-08002B2CF9AE}" pid="4" name="KSOTemplateDocerSaveRecord">
    <vt:lpwstr>eyJoZGlkIjoiNzg3NmQ5NzJkYWUzODUxZmI0ZGYwNDg2ZjY5ZjdjNDciLCJ1c2VySWQiOiIzNTU1NDMzMTUifQ==</vt:lpwstr>
  </property>
</Properties>
</file>