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97DED">
      <w:pPr>
        <w:jc w:val="center"/>
        <w:rPr>
          <w:rFonts w:ascii="Times New Roman" w:hAnsi="Times New Roman" w:eastAsia="黑体" w:cs="Times New Roman"/>
          <w:b/>
          <w:bCs/>
          <w:color w:val="auto"/>
          <w:sz w:val="36"/>
          <w:szCs w:val="32"/>
        </w:rPr>
      </w:pPr>
      <w:bookmarkStart w:id="0" w:name="_Toc481651147"/>
      <w:r>
        <w:rPr>
          <w:rFonts w:ascii="Times New Roman" w:hAnsi="Times New Roman" w:eastAsia="黑体" w:cs="Times New Roman"/>
          <w:b/>
          <w:bCs/>
          <w:color w:val="auto"/>
          <w:sz w:val="36"/>
          <w:szCs w:val="32"/>
        </w:rPr>
        <w:t>《</w:t>
      </w:r>
      <w:r>
        <w:rPr>
          <w:rFonts w:hint="eastAsia" w:ascii="Times New Roman" w:hAnsi="Times New Roman" w:eastAsia="黑体" w:cs="Times New Roman"/>
          <w:b/>
          <w:bCs/>
          <w:color w:val="auto"/>
          <w:sz w:val="36"/>
          <w:szCs w:val="32"/>
        </w:rPr>
        <w:t>半导体制备装置用超高纯净不锈钢管</w:t>
      </w:r>
      <w:r>
        <w:rPr>
          <w:rFonts w:ascii="Times New Roman" w:hAnsi="Times New Roman" w:eastAsia="黑体" w:cs="Times New Roman"/>
          <w:b/>
          <w:bCs/>
          <w:color w:val="auto"/>
          <w:sz w:val="36"/>
          <w:szCs w:val="32"/>
        </w:rPr>
        <w:t>》</w:t>
      </w:r>
    </w:p>
    <w:p w14:paraId="3D30AA9D">
      <w:pPr>
        <w:jc w:val="center"/>
        <w:rPr>
          <w:rFonts w:ascii="Times New Roman" w:hAnsi="Times New Roman" w:eastAsia="黑体" w:cs="Times New Roman"/>
          <w:b/>
          <w:bCs/>
          <w:color w:val="auto"/>
          <w:sz w:val="36"/>
          <w:szCs w:val="32"/>
        </w:rPr>
      </w:pPr>
      <w:r>
        <w:rPr>
          <w:rFonts w:ascii="Times New Roman" w:hAnsi="Times New Roman" w:eastAsia="黑体" w:cs="Times New Roman"/>
          <w:b/>
          <w:bCs/>
          <w:color w:val="auto"/>
          <w:sz w:val="36"/>
          <w:szCs w:val="32"/>
        </w:rPr>
        <w:t>团体标准编制说明</w:t>
      </w:r>
    </w:p>
    <w:p w14:paraId="0F0E27BF">
      <w:pPr>
        <w:jc w:val="center"/>
        <w:rPr>
          <w:rFonts w:ascii="Times New Roman" w:hAnsi="Times New Roman" w:eastAsia="黑体" w:cs="Times New Roman"/>
          <w:b/>
          <w:bCs/>
          <w:color w:val="auto"/>
          <w:sz w:val="32"/>
          <w:szCs w:val="32"/>
        </w:rPr>
      </w:pPr>
    </w:p>
    <w:bookmarkEnd w:id="0"/>
    <w:p w14:paraId="2D1794A4">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一、任务来源</w:t>
      </w:r>
    </w:p>
    <w:p w14:paraId="055075FB">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贯彻落实中共中央、国务院印发的《国家标准化发展纲要》中大力发展团体标准的有关要求，制定满足市场和创新需要的团体标准，落实国家关于钢铁行业高质量发展的政策导向，满足生产企业和下游用户对半导体制备装置用超高纯净不锈钢管产品标准的实际需求，提出《半导体制备装置用超高纯净不锈钢管》团体标准制定项目。</w:t>
      </w:r>
    </w:p>
    <w:p w14:paraId="7CAE31A3">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本标准由中关村不锈及特种合金新材料产业技术创新联盟提出并归口。由浙江久立特材科技股份有限公司</w:t>
      </w:r>
      <w:r>
        <w:rPr>
          <w:rFonts w:hint="eastAsia" w:ascii="Times New Roman" w:hAnsi="Times New Roman" w:eastAsia="仿宋_GB2312" w:cs="Times New Roman"/>
          <w:color w:val="auto"/>
          <w:sz w:val="28"/>
          <w:szCs w:val="28"/>
          <w:lang w:val="en-US" w:eastAsia="zh-CN"/>
        </w:rPr>
        <w:t>、冶金工业规划研究院</w:t>
      </w:r>
      <w:r>
        <w:rPr>
          <w:rFonts w:hint="eastAsia" w:ascii="Times New Roman" w:hAnsi="Times New Roman" w:eastAsia="仿宋_GB2312" w:cs="Times New Roman"/>
          <w:color w:val="auto"/>
          <w:sz w:val="28"/>
          <w:szCs w:val="28"/>
        </w:rPr>
        <w:t>等起草，并共同参与前期研究、调研和标准的编制、修改、技术数据验证以及标准推广等工作。</w:t>
      </w:r>
    </w:p>
    <w:p w14:paraId="41B34728">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二、制定本标准的目的和意义</w:t>
      </w:r>
    </w:p>
    <w:p w14:paraId="73C12351">
      <w:p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随着人工智能的爆发，全球半导体市场也迎来了大复苏，也间接带动半导体设备用特种不锈钢需求的高增长。具相关机构预测，到2030年，全球半导体制备装备用特种不锈钢需求量将持续增长。</w:t>
      </w:r>
    </w:p>
    <w:p w14:paraId="25489B2C">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在半导体制造过程中，确保杂质的精准控制是至关重要的一环。杂质的存在会对半导体的电导率产生负面影响，从而导致半导体性能的下降或破坏。在半导体制造过程中，控制金属杂质含量是一项至关重要的任务，因为这些杂质可以通过扩散或电迁移的方式在芯片中快速扩散，从而成为最主要的来源之一。半导体设备用不锈钢主要分为7大类：304、316L、UNS S35000、Alloy 625、C22、C276、Alloy242。由于用于半导体制造设施中先进化学分配系统的组件需要在关键工艺化学品中实现最佳的耐腐蚀性和抗污染能力，因此需要超高纯度（UHP）等级的316L不锈钢来作为用于制造与半导体生产流程中气体、液体直接接触的部件，包括管阀件、超高纯产品、气体控制组件、IGS等的原料，以满足半导体行业的洁净标准。因此亟需制定《半导体制备装置用超高纯净不锈钢管》相关标准来指导半导体制备装置用超高纯净不锈钢管的生产和下游用户的采购和使用</w:t>
      </w:r>
      <w:r>
        <w:rPr>
          <w:rFonts w:hint="eastAsia" w:ascii="Times New Roman" w:hAnsi="Times New Roman" w:eastAsia="仿宋_GB2312" w:cs="Times New Roman"/>
          <w:color w:val="auto"/>
          <w:sz w:val="28"/>
          <w:szCs w:val="28"/>
        </w:rPr>
        <w:t>。</w:t>
      </w:r>
    </w:p>
    <w:p w14:paraId="6D75A40C">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三、标准编制过程</w:t>
      </w:r>
    </w:p>
    <w:p w14:paraId="552361FC">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浙江久立特材科技股份有限公司、</w:t>
      </w:r>
      <w:r>
        <w:rPr>
          <w:rFonts w:ascii="Times New Roman" w:hAnsi="Times New Roman" w:eastAsia="仿宋_GB2312" w:cs="Times New Roman"/>
          <w:color w:val="auto"/>
          <w:sz w:val="28"/>
          <w:szCs w:val="28"/>
        </w:rPr>
        <w:t>冶金工业规划研究院等单位共同承担了《</w:t>
      </w:r>
      <w:r>
        <w:rPr>
          <w:rFonts w:hint="eastAsia" w:ascii="Times New Roman" w:hAnsi="Times New Roman" w:eastAsia="仿宋_GB2312" w:cs="Times New Roman"/>
          <w:color w:val="auto"/>
          <w:sz w:val="28"/>
          <w:szCs w:val="28"/>
          <w:lang w:val="en-US" w:eastAsia="zh-CN"/>
        </w:rPr>
        <w:t>半导体制备装置用超高纯净不锈钢管</w:t>
      </w:r>
      <w:r>
        <w:rPr>
          <w:rFonts w:ascii="Times New Roman" w:hAnsi="Times New Roman" w:eastAsia="仿宋_GB2312" w:cs="Times New Roman"/>
          <w:color w:val="auto"/>
          <w:sz w:val="28"/>
          <w:szCs w:val="28"/>
        </w:rPr>
        <w:t>》团体标准的编制工作，共同组建了该团体标准起草小组，明确各自的责任和分工，并开展工作。在《</w:t>
      </w:r>
      <w:r>
        <w:rPr>
          <w:rFonts w:hint="eastAsia" w:ascii="Times New Roman" w:hAnsi="Times New Roman" w:eastAsia="仿宋_GB2312" w:cs="Times New Roman"/>
          <w:color w:val="auto"/>
          <w:sz w:val="28"/>
          <w:szCs w:val="28"/>
          <w:lang w:val="en-US" w:eastAsia="zh-CN"/>
        </w:rPr>
        <w:t>半导体制备装置用超高纯净不锈钢管</w:t>
      </w:r>
      <w:r>
        <w:rPr>
          <w:rFonts w:ascii="Times New Roman" w:hAnsi="Times New Roman" w:eastAsia="仿宋_GB2312" w:cs="Times New Roman"/>
          <w:color w:val="auto"/>
          <w:sz w:val="28"/>
          <w:szCs w:val="28"/>
        </w:rPr>
        <w:t>》标准制定过程中，起草小组认真查阅有关资料、收集相关数据信息，结合国内外生产情况，以及产品下游用户提出的性能要求，以及相关产品标准等，进行本团体标准的编制工作。</w:t>
      </w:r>
    </w:p>
    <w:p w14:paraId="4972E3AD">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主要编制过程如下：</w:t>
      </w:r>
    </w:p>
    <w:p w14:paraId="57954999">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rPr>
        <w:t>中关村不锈及特种合金新材料产业技术创新联盟</w:t>
      </w:r>
      <w:r>
        <w:rPr>
          <w:rFonts w:ascii="Times New Roman" w:hAnsi="Times New Roman" w:eastAsia="仿宋_GB2312" w:cs="Times New Roman"/>
          <w:color w:val="auto"/>
          <w:sz w:val="28"/>
          <w:szCs w:val="28"/>
        </w:rPr>
        <w:t>团体标准化工作委员会（以下简称团标委）秘书处给各位委员发出团体标准立项函审单。到立项函审截止日期，没有委员提出不同意见；</w:t>
      </w:r>
    </w:p>
    <w:p w14:paraId="1535660D">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6</w:t>
      </w:r>
      <w:r>
        <w:rPr>
          <w:rFonts w:ascii="Times New Roman" w:hAnsi="Times New Roman" w:eastAsia="仿宋_GB2312" w:cs="Times New Roman"/>
          <w:color w:val="auto"/>
          <w:sz w:val="28"/>
          <w:szCs w:val="28"/>
        </w:rPr>
        <w:t>月，团标委正式下达《</w:t>
      </w:r>
      <w:r>
        <w:rPr>
          <w:rFonts w:hint="eastAsia" w:ascii="Times New Roman" w:hAnsi="Times New Roman" w:eastAsia="仿宋_GB2312" w:cs="Times New Roman"/>
          <w:color w:val="auto"/>
          <w:sz w:val="28"/>
          <w:szCs w:val="28"/>
          <w:lang w:val="en-US" w:eastAsia="zh-CN"/>
        </w:rPr>
        <w:t>半导体制备装置用超高纯净不锈钢管</w:t>
      </w:r>
      <w:r>
        <w:rPr>
          <w:rFonts w:ascii="Times New Roman" w:hAnsi="Times New Roman" w:eastAsia="仿宋_GB2312" w:cs="Times New Roman"/>
          <w:color w:val="auto"/>
          <w:sz w:val="28"/>
          <w:szCs w:val="28"/>
        </w:rPr>
        <w:t>》团体标准立项计划。由</w:t>
      </w:r>
      <w:r>
        <w:rPr>
          <w:rFonts w:hint="eastAsia" w:ascii="Times New Roman" w:hAnsi="Times New Roman" w:eastAsia="仿宋_GB2312" w:cs="Times New Roman"/>
          <w:color w:val="auto"/>
          <w:sz w:val="28"/>
          <w:szCs w:val="28"/>
          <w:lang w:val="en-US" w:eastAsia="zh-CN"/>
        </w:rPr>
        <w:t>浙江久立特材科技股份有限公司、</w:t>
      </w:r>
      <w:r>
        <w:rPr>
          <w:rFonts w:ascii="Times New Roman" w:hAnsi="Times New Roman" w:eastAsia="仿宋" w:cs="Times New Roman"/>
          <w:color w:val="auto"/>
          <w:sz w:val="28"/>
          <w:szCs w:val="28"/>
        </w:rPr>
        <w:t>冶金工业规划研究院</w:t>
      </w:r>
      <w:r>
        <w:rPr>
          <w:rFonts w:ascii="Times New Roman" w:hAnsi="Times New Roman" w:eastAsia="仿宋_GB2312" w:cs="Times New Roman"/>
          <w:color w:val="auto"/>
          <w:sz w:val="28"/>
          <w:szCs w:val="28"/>
        </w:rPr>
        <w:t>相关人员组成了标准起草组，提出了标准编制计划和任务分工，并开始标准编制工作；</w:t>
      </w:r>
    </w:p>
    <w:p w14:paraId="3C98B0AD">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8</w:t>
      </w:r>
      <w:r>
        <w:rPr>
          <w:rFonts w:ascii="Times New Roman" w:hAnsi="Times New Roman" w:eastAsia="仿宋_GB2312" w:cs="Times New Roman"/>
          <w:color w:val="auto"/>
          <w:sz w:val="28"/>
          <w:szCs w:val="28"/>
        </w:rPr>
        <w:t>月：进行了起草标准的调研、问题分析和相关资料收集等准备工作，完成了标准制定提纲、标准草案；</w:t>
      </w:r>
    </w:p>
    <w:p w14:paraId="58E33F0E">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9</w:t>
      </w:r>
      <w:r>
        <w:rPr>
          <w:rFonts w:ascii="Times New Roman" w:hAnsi="Times New Roman" w:eastAsia="仿宋_GB2312" w:cs="Times New Roman"/>
          <w:color w:val="auto"/>
          <w:sz w:val="28"/>
          <w:szCs w:val="28"/>
        </w:rPr>
        <w:t>月：召开标准启动会，围绕标准草案进行讨论，并按照与会意见和建议作进一步修改，形成征求意见稿，发出征求意见；</w:t>
      </w:r>
    </w:p>
    <w:p w14:paraId="20F6DF12">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10</w:t>
      </w:r>
      <w:r>
        <w:rPr>
          <w:rFonts w:ascii="Times New Roman" w:hAnsi="Times New Roman" w:eastAsia="仿宋_GB2312" w:cs="Times New Roman"/>
          <w:color w:val="auto"/>
          <w:sz w:val="28"/>
          <w:szCs w:val="28"/>
        </w:rPr>
        <w:t>月：计划完成征求意见处理、形成标准送审稿；</w:t>
      </w:r>
    </w:p>
    <w:p w14:paraId="39D866FE">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10</w:t>
      </w:r>
      <w:r>
        <w:rPr>
          <w:rFonts w:ascii="Times New Roman" w:hAnsi="Times New Roman" w:eastAsia="仿宋_GB2312" w:cs="Times New Roman"/>
          <w:color w:val="auto"/>
          <w:sz w:val="28"/>
          <w:szCs w:val="28"/>
        </w:rPr>
        <w:t>月：计划完成该标准审定会和标准报批稿，上报</w:t>
      </w:r>
      <w:r>
        <w:rPr>
          <w:rFonts w:hint="eastAsia" w:ascii="Times New Roman" w:hAnsi="Times New Roman" w:eastAsia="仿宋_GB2312" w:cs="Times New Roman"/>
          <w:color w:val="auto"/>
          <w:sz w:val="28"/>
          <w:szCs w:val="28"/>
        </w:rPr>
        <w:t>中关村不锈及特种合金新材料产业技术创新联盟</w:t>
      </w:r>
      <w:r>
        <w:rPr>
          <w:rFonts w:ascii="Times New Roman" w:hAnsi="Times New Roman" w:eastAsia="仿宋_GB2312" w:cs="Times New Roman"/>
          <w:color w:val="auto"/>
          <w:sz w:val="28"/>
          <w:szCs w:val="28"/>
        </w:rPr>
        <w:t>审批；</w:t>
      </w:r>
    </w:p>
    <w:p w14:paraId="3DF3F39E">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11</w:t>
      </w:r>
      <w:r>
        <w:rPr>
          <w:rFonts w:ascii="Times New Roman" w:hAnsi="Times New Roman" w:eastAsia="仿宋_GB2312" w:cs="Times New Roman"/>
          <w:color w:val="auto"/>
          <w:sz w:val="28"/>
          <w:szCs w:val="28"/>
        </w:rPr>
        <w:t>月：计划完成该标准发布、实施。</w:t>
      </w:r>
    </w:p>
    <w:p w14:paraId="52D5C9F7">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四、标准编制原则</w:t>
      </w:r>
    </w:p>
    <w:p w14:paraId="6EB1F333">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本标准的制定一是坚持先进性与实用性相结合、统一性与灵活性相结合、可靠性与经济性相结合的原则，尽可能使标准满足多目标要求；二是充分考虑</w:t>
      </w:r>
      <w:r>
        <w:rPr>
          <w:rFonts w:hint="eastAsia" w:ascii="Times New Roman" w:hAnsi="Times New Roman" w:eastAsia="仿宋_GB2312" w:cs="Times New Roman"/>
          <w:color w:val="auto"/>
          <w:sz w:val="28"/>
          <w:szCs w:val="28"/>
        </w:rPr>
        <w:t>半导体制备装置用超高纯净不锈钢管</w:t>
      </w:r>
      <w:r>
        <w:rPr>
          <w:rFonts w:ascii="Times New Roman" w:hAnsi="Times New Roman" w:eastAsia="仿宋_GB2312" w:cs="Times New Roman"/>
          <w:color w:val="auto"/>
          <w:sz w:val="28"/>
          <w:szCs w:val="28"/>
        </w:rPr>
        <w:t>的使用需求，在充分调研交流基础上开展标准编制工作，尽可能使该标准符合实际现状和满足未来发展要求；三是技术创新的原则。在与国家标准体系协调一致的基础上，在标准结构、内容及主要技术指标等方面进行技术创新，在标准中充分体现新产品的技术特点。</w:t>
      </w:r>
    </w:p>
    <w:p w14:paraId="3BCBF000">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五、主要技术内容</w:t>
      </w:r>
    </w:p>
    <w:p w14:paraId="0CCA3CA3">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由于目前国内针对半导体用316L不锈钢没有专用标准，但产品已实现了国产化替代，因此本标准在国外相关标准的基础上结合国内目前生产情况，对相关指标进行规定，以用于规范和推广半导体级316L不锈钢的生产和应用。</w:t>
      </w:r>
    </w:p>
    <w:p w14:paraId="19C30F3D">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（一）标准编写格式</w:t>
      </w:r>
    </w:p>
    <w:p w14:paraId="6B2C4577">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本文件按照GB/T 1.1-2020《标准化工作导则 第1部分：标准化文件的结构和起草规则》的规定起草。</w:t>
      </w:r>
    </w:p>
    <w:p w14:paraId="1C71C9D0">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本文件规定了半导体制备装置用超高纯净不锈钢管的分类及代号、订货内容、制造工艺、技术要求、试验方法、检验规则、包装、标志和质量说明书。</w:t>
      </w:r>
    </w:p>
    <w:p w14:paraId="5457F379">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（二）关于适用范围</w:t>
      </w:r>
    </w:p>
    <w:p w14:paraId="4D244AAA">
      <w:pPr>
        <w:spacing w:line="360" w:lineRule="auto"/>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rPr>
        <w:t>本文件适用于半导体制备装置用超高纯净不锈钢无缝钢管（以下简称钢管）</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主要通途为输送氮气、氢气、氩气等特种气体，以及硅烷、磷烷等高纯电子特气。管道必须确保气体在输送过程中不被金属离子或颗粒物污染</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以及</w:t>
      </w:r>
      <w:r>
        <w:rPr>
          <w:rFonts w:hint="eastAsia" w:ascii="Times New Roman" w:hAnsi="Times New Roman" w:eastAsia="仿宋_GB2312" w:cs="Times New Roman"/>
          <w:color w:val="auto"/>
          <w:sz w:val="28"/>
          <w:szCs w:val="28"/>
        </w:rPr>
        <w:t>输送蚀刻液、显影液、清洗液等高纯度化学试剂</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主要作用为</w:t>
      </w:r>
      <w:r>
        <w:rPr>
          <w:rFonts w:hint="eastAsia" w:ascii="Times New Roman" w:hAnsi="Times New Roman" w:eastAsia="仿宋_GB2312" w:cs="Times New Roman"/>
          <w:color w:val="auto"/>
          <w:sz w:val="28"/>
          <w:szCs w:val="28"/>
        </w:rPr>
        <w:t>保障化学品的活性与纯度</w:t>
      </w:r>
      <w:r>
        <w:rPr>
          <w:rFonts w:hint="eastAsia" w:ascii="Times New Roman" w:hAnsi="Times New Roman" w:eastAsia="仿宋_GB2312" w:cs="Times New Roman"/>
          <w:color w:val="auto"/>
          <w:sz w:val="28"/>
          <w:szCs w:val="28"/>
          <w:lang w:eastAsia="zh-CN"/>
        </w:rPr>
        <w:t>。</w:t>
      </w:r>
    </w:p>
    <w:p w14:paraId="7966F033">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三</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分类及代号</w:t>
      </w:r>
    </w:p>
    <w:p w14:paraId="7412B600">
      <w:p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钢管按交货状态分类和代号如下：</w:t>
      </w:r>
    </w:p>
    <w:p w14:paraId="1C4E8407">
      <w:pPr>
        <w:numPr>
          <w:ilvl w:val="0"/>
          <w:numId w:val="4"/>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冷加工/硬状态 +C；</w:t>
      </w:r>
    </w:p>
    <w:p w14:paraId="04BEA401">
      <w:pPr>
        <w:numPr>
          <w:ilvl w:val="0"/>
          <w:numId w:val="4"/>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冷加工/软状态 +LC；</w:t>
      </w:r>
    </w:p>
    <w:p w14:paraId="273510BE">
      <w:pPr>
        <w:numPr>
          <w:ilvl w:val="0"/>
          <w:numId w:val="4"/>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消除应力退火状态 +SR；</w:t>
      </w:r>
    </w:p>
    <w:p w14:paraId="15D130B3">
      <w:pPr>
        <w:numPr>
          <w:ilvl w:val="0"/>
          <w:numId w:val="4"/>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退火状态 +A；</w:t>
      </w:r>
    </w:p>
    <w:p w14:paraId="2B186126">
      <w:pPr>
        <w:numPr>
          <w:ilvl w:val="0"/>
          <w:numId w:val="4"/>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正火状态 +N。</w:t>
      </w:r>
    </w:p>
    <w:p w14:paraId="5C501EEB">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（三）关于订货内容</w:t>
      </w:r>
    </w:p>
    <w:p w14:paraId="751B7BC7">
      <w:pPr>
        <w:spacing w:line="360" w:lineRule="auto"/>
        <w:ind w:firstLine="560" w:firstLineChars="200"/>
        <w:rPr>
          <w:rFonts w:ascii="Times New Roman" w:hAnsi="Times New Roman" w:eastAsia="仿宋_GB2312" w:cs="Times New Roman"/>
          <w:color w:val="auto"/>
          <w:sz w:val="28"/>
          <w:szCs w:val="28"/>
        </w:rPr>
      </w:pPr>
      <w:bookmarkStart w:id="1" w:name="_Hlk80689531"/>
      <w:r>
        <w:rPr>
          <w:rFonts w:ascii="Times New Roman" w:hAnsi="Times New Roman" w:eastAsia="仿宋_GB2312" w:cs="Times New Roman"/>
          <w:color w:val="auto"/>
          <w:sz w:val="28"/>
          <w:szCs w:val="28"/>
        </w:rPr>
        <w:t>按本文件订货的合同或订单应包括下列内容：本文件编号</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产品名称</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钢的</w:t>
      </w:r>
      <w:r>
        <w:rPr>
          <w:rFonts w:ascii="Times New Roman" w:hAnsi="Times New Roman" w:eastAsia="仿宋_GB2312" w:cs="Times New Roman"/>
          <w:color w:val="auto"/>
          <w:sz w:val="28"/>
          <w:szCs w:val="28"/>
        </w:rPr>
        <w:t>牌号</w:t>
      </w:r>
      <w:r>
        <w:rPr>
          <w:rFonts w:hint="eastAsia" w:ascii="Times New Roman" w:hAnsi="Times New Roman" w:eastAsia="仿宋_GB2312" w:cs="Times New Roman"/>
          <w:color w:val="auto"/>
          <w:sz w:val="28"/>
          <w:szCs w:val="28"/>
          <w:lang w:val="en-US" w:eastAsia="zh-CN"/>
        </w:rPr>
        <w:t>或同一数字代号、</w:t>
      </w:r>
      <w:r>
        <w:rPr>
          <w:rFonts w:ascii="Times New Roman" w:hAnsi="Times New Roman" w:eastAsia="仿宋_GB2312" w:cs="Times New Roman"/>
          <w:color w:val="auto"/>
          <w:sz w:val="28"/>
          <w:szCs w:val="28"/>
        </w:rPr>
        <w:t>尺寸规格</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订购的数量（总重量或总长度</w:t>
      </w:r>
      <w:r>
        <w:rPr>
          <w:rFonts w:hint="eastAsia" w:ascii="Times New Roman" w:hAnsi="Times New Roman" w:eastAsia="仿宋_GB2312" w:cs="Times New Roman"/>
          <w:color w:val="auto"/>
          <w:sz w:val="28"/>
          <w:szCs w:val="28"/>
          <w:lang w:val="en-US" w:eastAsia="zh-CN"/>
        </w:rPr>
        <w:t>或支数</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交货状态</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特殊要求。</w:t>
      </w:r>
      <w:bookmarkEnd w:id="1"/>
    </w:p>
    <w:p w14:paraId="633C5918">
      <w:pPr>
        <w:spacing w:line="360" w:lineRule="auto"/>
        <w:ind w:firstLine="560" w:firstLineChars="200"/>
        <w:rPr>
          <w:rFonts w:hint="eastAsia"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五</w:t>
      </w:r>
      <w:r>
        <w:rPr>
          <w:rFonts w:ascii="Times New Roman" w:hAnsi="Times New Roman" w:eastAsia="仿宋_GB2312" w:cs="Times New Roman"/>
          <w:color w:val="auto"/>
          <w:sz w:val="28"/>
          <w:szCs w:val="28"/>
        </w:rPr>
        <w:t>）关于</w:t>
      </w:r>
      <w:r>
        <w:rPr>
          <w:rFonts w:hint="eastAsia" w:ascii="Times New Roman" w:hAnsi="Times New Roman" w:eastAsia="仿宋_GB2312" w:cs="Times New Roman"/>
          <w:color w:val="auto"/>
          <w:sz w:val="28"/>
          <w:szCs w:val="28"/>
          <w:lang w:val="en-US" w:eastAsia="zh-CN"/>
        </w:rPr>
        <w:t>制造工艺</w:t>
      </w:r>
    </w:p>
    <w:p w14:paraId="75F8C831">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rPr>
        <w:t xml:space="preserve">1. </w:t>
      </w:r>
      <w:r>
        <w:rPr>
          <w:rFonts w:hint="eastAsia" w:ascii="Times New Roman" w:hAnsi="Times New Roman" w:eastAsia="仿宋_GB2312" w:cs="Times New Roman"/>
          <w:color w:val="auto"/>
          <w:sz w:val="28"/>
          <w:szCs w:val="28"/>
          <w:lang w:val="en-US" w:eastAsia="zh-CN"/>
        </w:rPr>
        <w:t>钢的冶炼方法</w:t>
      </w:r>
    </w:p>
    <w:p w14:paraId="2436F68F">
      <w:p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钢应采用真空电弧重熔（VAR）或真空感应熔炼和真空电弧重熔（VIM-VAR）或真空感应熔炼和两次真空电弧重熔（VIM-VAR-VAR）方法冶炼。经供需双方协商，并在合同中注明，可采用其他更高要求的方法冶炼。</w:t>
      </w:r>
    </w:p>
    <w:p w14:paraId="49975EE5">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kern w:val="2"/>
          <w:sz w:val="28"/>
          <w:szCs w:val="28"/>
          <w:lang w:val="en-US" w:eastAsia="zh-CN" w:bidi="ar-SA"/>
        </w:rPr>
        <w:t>2.</w:t>
      </w:r>
      <w:r>
        <w:rPr>
          <w:rFonts w:hint="eastAsia" w:ascii="Times New Roman" w:hAnsi="Times New Roman" w:eastAsia="仿宋_GB2312" w:cs="Times New Roman"/>
          <w:color w:val="auto"/>
          <w:sz w:val="28"/>
          <w:szCs w:val="28"/>
          <w:lang w:val="en-US" w:eastAsia="zh-CN"/>
        </w:rPr>
        <w:t>钢管的加工方法</w:t>
      </w:r>
    </w:p>
    <w:p w14:paraId="40410912">
      <w:pPr>
        <w:spacing w:line="360" w:lineRule="auto"/>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钢管应采用冷轧（拔）无缝方法制造。需方指定某一种制造方法时，应在合同中注明。</w:t>
      </w:r>
    </w:p>
    <w:p w14:paraId="16FA0A8B">
      <w:pPr>
        <w:numPr>
          <w:ilvl w:val="0"/>
          <w:numId w:val="0"/>
        </w:numPr>
        <w:spacing w:line="360" w:lineRule="auto"/>
        <w:ind w:left="0" w:leftChars="0"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2"/>
          <w:sz w:val="28"/>
          <w:szCs w:val="28"/>
          <w:lang w:val="en-US" w:eastAsia="zh-CN" w:bidi="ar-SA"/>
        </w:rPr>
        <w:t>3.</w:t>
      </w:r>
      <w:r>
        <w:rPr>
          <w:rFonts w:hint="eastAsia" w:ascii="Times New Roman" w:hAnsi="Times New Roman" w:eastAsia="仿宋_GB2312" w:cs="Times New Roman"/>
          <w:color w:val="auto"/>
          <w:sz w:val="28"/>
          <w:szCs w:val="28"/>
          <w:lang w:val="en-US" w:eastAsia="zh-CN"/>
        </w:rPr>
        <w:t>交货状态</w:t>
      </w:r>
    </w:p>
    <w:p w14:paraId="692F2303">
      <w:pPr>
        <w:numPr>
          <w:ilvl w:val="0"/>
          <w:numId w:val="0"/>
        </w:numPr>
        <w:spacing w:line="360" w:lineRule="auto"/>
        <w:ind w:left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钢管应以表1所列其中一种状态交货</w:t>
      </w:r>
      <w:r>
        <w:rPr>
          <w:rFonts w:hint="eastAsia" w:ascii="Times New Roman" w:hAnsi="Times New Roman" w:eastAsia="仿宋_GB2312" w:cs="Times New Roman"/>
          <w:color w:val="auto"/>
          <w:sz w:val="28"/>
          <w:szCs w:val="28"/>
          <w:lang w:val="en-US" w:eastAsia="zh-CN"/>
        </w:rPr>
        <w:t>。</w:t>
      </w:r>
    </w:p>
    <w:p w14:paraId="6C3D01CB">
      <w:pPr>
        <w:pStyle w:val="21"/>
        <w:keepNext w:val="0"/>
        <w:keepLines w:val="0"/>
        <w:pageBreakBefore w:val="0"/>
        <w:widowControl/>
        <w:tabs>
          <w:tab w:val="left" w:pos="360"/>
        </w:tabs>
        <w:kinsoku/>
        <w:wordWrap/>
        <w:overflowPunct/>
        <w:topLinePunct w:val="0"/>
        <w:autoSpaceDE/>
        <w:autoSpaceDN/>
        <w:bidi w:val="0"/>
        <w:adjustRightInd/>
        <w:snapToGrid/>
        <w:spacing w:before="156" w:after="156"/>
        <w:ind w:left="0" w:leftChars="0" w:firstLineChars="0"/>
        <w:jc w:val="center"/>
        <w:textAlignment w:val="auto"/>
        <w:rPr>
          <w:rFonts w:ascii="Times New Roman"/>
          <w:color w:val="auto"/>
          <w:kern w:val="2"/>
          <w:szCs w:val="21"/>
        </w:rPr>
      </w:pPr>
      <w:r>
        <w:rPr>
          <w:rFonts w:ascii="Times New Roman"/>
          <w:color w:val="auto"/>
          <w:kern w:val="2"/>
          <w:szCs w:val="21"/>
        </w:rPr>
        <w:t>钢管的交货状态</w:t>
      </w:r>
    </w:p>
    <w:tbl>
      <w:tblPr>
        <w:tblStyle w:val="2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3"/>
        <w:gridCol w:w="2309"/>
        <w:gridCol w:w="466"/>
        <w:gridCol w:w="5078"/>
      </w:tblGrid>
      <w:tr w14:paraId="721E1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4" w:type="pct"/>
            <w:tcBorders>
              <w:left w:val="single" w:color="000000" w:sz="6" w:space="0"/>
            </w:tcBorders>
          </w:tcPr>
          <w:p w14:paraId="021AC58B">
            <w:pPr>
              <w:spacing w:line="260" w:lineRule="exact"/>
              <w:jc w:val="center"/>
              <w:rPr>
                <w:color w:val="auto"/>
                <w:sz w:val="18"/>
                <w:szCs w:val="18"/>
                <w:lang w:val="zh-TW"/>
              </w:rPr>
            </w:pPr>
            <w:r>
              <w:rPr>
                <w:color w:val="auto"/>
                <w:sz w:val="18"/>
                <w:szCs w:val="18"/>
                <w:lang w:val="zh-TW"/>
              </w:rPr>
              <w:t>序号</w:t>
            </w:r>
          </w:p>
        </w:tc>
        <w:tc>
          <w:tcPr>
            <w:tcW w:w="1386" w:type="pct"/>
          </w:tcPr>
          <w:p w14:paraId="27C3C6DD">
            <w:pPr>
              <w:spacing w:line="260" w:lineRule="exact"/>
              <w:jc w:val="center"/>
              <w:rPr>
                <w:color w:val="auto"/>
                <w:sz w:val="18"/>
                <w:szCs w:val="18"/>
                <w:lang w:val="zh-TW"/>
              </w:rPr>
            </w:pPr>
            <w:r>
              <w:rPr>
                <w:color w:val="auto"/>
                <w:sz w:val="18"/>
                <w:szCs w:val="18"/>
                <w:lang w:val="zh-TW"/>
              </w:rPr>
              <w:t>交货状态</w:t>
            </w:r>
          </w:p>
        </w:tc>
        <w:tc>
          <w:tcPr>
            <w:tcW w:w="280" w:type="pct"/>
          </w:tcPr>
          <w:p w14:paraId="7982CCD8">
            <w:pPr>
              <w:spacing w:line="260" w:lineRule="exact"/>
              <w:jc w:val="center"/>
              <w:rPr>
                <w:color w:val="auto"/>
                <w:sz w:val="18"/>
                <w:szCs w:val="18"/>
                <w:lang w:val="zh-TW"/>
              </w:rPr>
            </w:pPr>
            <w:r>
              <w:rPr>
                <w:color w:val="auto"/>
                <w:sz w:val="18"/>
                <w:szCs w:val="18"/>
                <w:lang w:val="zh-TW"/>
              </w:rPr>
              <w:t>代号</w:t>
            </w:r>
          </w:p>
        </w:tc>
        <w:tc>
          <w:tcPr>
            <w:tcW w:w="3048" w:type="pct"/>
            <w:tcBorders>
              <w:right w:val="single" w:color="000000" w:sz="6" w:space="0"/>
            </w:tcBorders>
          </w:tcPr>
          <w:p w14:paraId="57771C0D">
            <w:pPr>
              <w:spacing w:line="260" w:lineRule="exact"/>
              <w:jc w:val="center"/>
              <w:rPr>
                <w:color w:val="auto"/>
                <w:sz w:val="18"/>
                <w:szCs w:val="18"/>
                <w:lang w:val="zh-TW"/>
              </w:rPr>
            </w:pPr>
            <w:r>
              <w:rPr>
                <w:color w:val="auto"/>
                <w:sz w:val="18"/>
                <w:szCs w:val="18"/>
                <w:lang w:val="zh-TW"/>
              </w:rPr>
              <w:t>说明</w:t>
            </w:r>
          </w:p>
        </w:tc>
      </w:tr>
      <w:tr w14:paraId="0BC6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84" w:type="pct"/>
            <w:tcBorders>
              <w:left w:val="single" w:color="000000" w:sz="6" w:space="0"/>
            </w:tcBorders>
          </w:tcPr>
          <w:p w14:paraId="50ED2370">
            <w:pPr>
              <w:spacing w:line="260" w:lineRule="exact"/>
              <w:jc w:val="center"/>
              <w:rPr>
                <w:color w:val="auto"/>
                <w:sz w:val="18"/>
                <w:szCs w:val="18"/>
                <w:lang w:val="zh-TW"/>
              </w:rPr>
            </w:pPr>
            <w:r>
              <w:rPr>
                <w:color w:val="auto"/>
                <w:sz w:val="18"/>
                <w:szCs w:val="18"/>
                <w:lang w:val="zh-TW"/>
              </w:rPr>
              <w:t>1</w:t>
            </w:r>
          </w:p>
        </w:tc>
        <w:tc>
          <w:tcPr>
            <w:tcW w:w="1386" w:type="pct"/>
          </w:tcPr>
          <w:p w14:paraId="69183750">
            <w:pPr>
              <w:spacing w:line="260" w:lineRule="exact"/>
              <w:jc w:val="center"/>
              <w:rPr>
                <w:color w:val="auto"/>
                <w:sz w:val="18"/>
                <w:szCs w:val="18"/>
                <w:lang w:val="zh-TW"/>
              </w:rPr>
            </w:pPr>
            <w:r>
              <w:rPr>
                <w:color w:val="auto"/>
                <w:sz w:val="18"/>
                <w:szCs w:val="18"/>
                <w:lang w:val="zh-TW"/>
              </w:rPr>
              <w:t>冷加工／硬</w:t>
            </w:r>
          </w:p>
        </w:tc>
        <w:tc>
          <w:tcPr>
            <w:tcW w:w="280" w:type="pct"/>
          </w:tcPr>
          <w:p w14:paraId="66B6B29D">
            <w:pPr>
              <w:spacing w:line="260" w:lineRule="exact"/>
              <w:jc w:val="center"/>
              <w:rPr>
                <w:color w:val="auto"/>
                <w:sz w:val="18"/>
                <w:szCs w:val="18"/>
                <w:lang w:val="zh-TW"/>
              </w:rPr>
            </w:pPr>
            <w:r>
              <w:rPr>
                <w:color w:val="auto"/>
                <w:sz w:val="18"/>
                <w:szCs w:val="18"/>
                <w:lang w:val="zh-TW"/>
              </w:rPr>
              <w:t>+C</w:t>
            </w:r>
          </w:p>
        </w:tc>
        <w:tc>
          <w:tcPr>
            <w:tcW w:w="3048" w:type="pct"/>
            <w:tcBorders>
              <w:right w:val="single" w:color="000000" w:sz="6" w:space="0"/>
            </w:tcBorders>
          </w:tcPr>
          <w:p w14:paraId="465D0236">
            <w:pPr>
              <w:spacing w:line="260" w:lineRule="exact"/>
              <w:jc w:val="center"/>
              <w:rPr>
                <w:color w:val="auto"/>
                <w:sz w:val="18"/>
                <w:szCs w:val="18"/>
                <w:lang w:val="zh-TW"/>
              </w:rPr>
            </w:pPr>
            <w:r>
              <w:rPr>
                <w:color w:val="auto"/>
                <w:sz w:val="18"/>
                <w:szCs w:val="18"/>
                <w:lang w:val="zh-TW"/>
              </w:rPr>
              <w:t>最终冷加工之后钢管不进行热处理</w:t>
            </w:r>
          </w:p>
        </w:tc>
      </w:tr>
      <w:tr w14:paraId="6834B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84" w:type="pct"/>
            <w:tcBorders>
              <w:left w:val="single" w:color="000000" w:sz="6" w:space="0"/>
            </w:tcBorders>
          </w:tcPr>
          <w:p w14:paraId="4933EF1D">
            <w:pPr>
              <w:spacing w:line="260" w:lineRule="exact"/>
              <w:jc w:val="center"/>
              <w:rPr>
                <w:color w:val="auto"/>
                <w:sz w:val="18"/>
                <w:szCs w:val="18"/>
                <w:lang w:val="zh-TW"/>
              </w:rPr>
            </w:pPr>
            <w:r>
              <w:rPr>
                <w:color w:val="auto"/>
                <w:sz w:val="18"/>
                <w:szCs w:val="18"/>
                <w:lang w:val="zh-TW"/>
              </w:rPr>
              <w:t>2</w:t>
            </w:r>
          </w:p>
        </w:tc>
        <w:tc>
          <w:tcPr>
            <w:tcW w:w="1386" w:type="pct"/>
          </w:tcPr>
          <w:p w14:paraId="6B2FFF8D">
            <w:pPr>
              <w:spacing w:line="260" w:lineRule="exact"/>
              <w:jc w:val="center"/>
              <w:rPr>
                <w:color w:val="auto"/>
                <w:sz w:val="18"/>
                <w:szCs w:val="18"/>
                <w:lang w:val="zh-TW"/>
              </w:rPr>
            </w:pPr>
            <w:r>
              <w:rPr>
                <w:color w:val="auto"/>
                <w:sz w:val="18"/>
                <w:szCs w:val="18"/>
                <w:lang w:val="zh-TW"/>
              </w:rPr>
              <w:t>冷加工／软</w:t>
            </w:r>
          </w:p>
        </w:tc>
        <w:tc>
          <w:tcPr>
            <w:tcW w:w="280" w:type="pct"/>
          </w:tcPr>
          <w:p w14:paraId="5F3DB1D8">
            <w:pPr>
              <w:spacing w:line="260" w:lineRule="exact"/>
              <w:jc w:val="center"/>
              <w:rPr>
                <w:color w:val="auto"/>
                <w:sz w:val="18"/>
                <w:szCs w:val="18"/>
                <w:lang w:val="zh-TW"/>
              </w:rPr>
            </w:pPr>
            <w:r>
              <w:rPr>
                <w:color w:val="auto"/>
                <w:sz w:val="18"/>
                <w:szCs w:val="18"/>
                <w:lang w:val="zh-TW"/>
              </w:rPr>
              <w:t>+LC</w:t>
            </w:r>
          </w:p>
        </w:tc>
        <w:tc>
          <w:tcPr>
            <w:tcW w:w="3048" w:type="pct"/>
            <w:tcBorders>
              <w:right w:val="single" w:color="000000" w:sz="6" w:space="0"/>
            </w:tcBorders>
          </w:tcPr>
          <w:p w14:paraId="69C10CDE">
            <w:pPr>
              <w:spacing w:line="260" w:lineRule="exact"/>
              <w:jc w:val="center"/>
              <w:rPr>
                <w:color w:val="auto"/>
                <w:sz w:val="18"/>
                <w:szCs w:val="18"/>
                <w:lang w:val="zh-TW"/>
              </w:rPr>
            </w:pPr>
            <w:r>
              <w:rPr>
                <w:color w:val="auto"/>
                <w:sz w:val="18"/>
                <w:szCs w:val="18"/>
                <w:lang w:val="zh-TW"/>
              </w:rPr>
              <w:t>最终热处理之后进行适当的冷加工</w:t>
            </w:r>
          </w:p>
        </w:tc>
      </w:tr>
      <w:tr w14:paraId="207F8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84" w:type="pct"/>
            <w:tcBorders>
              <w:left w:val="single" w:color="000000" w:sz="6" w:space="0"/>
            </w:tcBorders>
          </w:tcPr>
          <w:p w14:paraId="6D0F7C6D">
            <w:pPr>
              <w:spacing w:line="260" w:lineRule="exact"/>
              <w:jc w:val="center"/>
              <w:rPr>
                <w:color w:val="auto"/>
                <w:sz w:val="18"/>
                <w:szCs w:val="18"/>
                <w:lang w:val="zh-TW"/>
              </w:rPr>
            </w:pPr>
            <w:r>
              <w:rPr>
                <w:color w:val="auto"/>
                <w:sz w:val="18"/>
                <w:szCs w:val="18"/>
                <w:lang w:val="zh-TW"/>
              </w:rPr>
              <w:t>3</w:t>
            </w:r>
          </w:p>
        </w:tc>
        <w:tc>
          <w:tcPr>
            <w:tcW w:w="1386" w:type="pct"/>
          </w:tcPr>
          <w:p w14:paraId="26BB6999">
            <w:pPr>
              <w:spacing w:line="260" w:lineRule="exact"/>
              <w:jc w:val="center"/>
              <w:rPr>
                <w:color w:val="auto"/>
                <w:sz w:val="18"/>
                <w:szCs w:val="18"/>
                <w:lang w:val="zh-TW"/>
              </w:rPr>
            </w:pPr>
            <w:r>
              <w:rPr>
                <w:color w:val="auto"/>
                <w:sz w:val="18"/>
                <w:szCs w:val="18"/>
                <w:lang w:val="zh-TW"/>
              </w:rPr>
              <w:t>冷加工后消除应力退火</w:t>
            </w:r>
          </w:p>
        </w:tc>
        <w:tc>
          <w:tcPr>
            <w:tcW w:w="280" w:type="pct"/>
          </w:tcPr>
          <w:p w14:paraId="63154F22">
            <w:pPr>
              <w:spacing w:line="260" w:lineRule="exact"/>
              <w:jc w:val="center"/>
              <w:rPr>
                <w:color w:val="auto"/>
                <w:sz w:val="18"/>
                <w:szCs w:val="18"/>
                <w:lang w:val="zh-TW"/>
              </w:rPr>
            </w:pPr>
            <w:r>
              <w:rPr>
                <w:color w:val="auto"/>
                <w:sz w:val="18"/>
                <w:szCs w:val="18"/>
                <w:lang w:val="zh-TW"/>
              </w:rPr>
              <w:t>+</w:t>
            </w:r>
            <w:r>
              <w:rPr>
                <w:color w:val="auto"/>
                <w:sz w:val="18"/>
                <w:szCs w:val="18"/>
              </w:rPr>
              <w:t>S</w:t>
            </w:r>
            <w:r>
              <w:rPr>
                <w:color w:val="auto"/>
                <w:sz w:val="18"/>
                <w:szCs w:val="18"/>
                <w:lang w:val="zh-TW"/>
              </w:rPr>
              <w:t>R</w:t>
            </w:r>
          </w:p>
        </w:tc>
        <w:tc>
          <w:tcPr>
            <w:tcW w:w="3048" w:type="pct"/>
            <w:tcBorders>
              <w:right w:val="single" w:color="000000" w:sz="6" w:space="0"/>
            </w:tcBorders>
          </w:tcPr>
          <w:p w14:paraId="6A9F1562">
            <w:pPr>
              <w:spacing w:line="260" w:lineRule="exact"/>
              <w:jc w:val="center"/>
              <w:rPr>
                <w:color w:val="auto"/>
                <w:sz w:val="18"/>
                <w:szCs w:val="18"/>
                <w:lang w:val="zh-TW"/>
              </w:rPr>
            </w:pPr>
            <w:r>
              <w:rPr>
                <w:color w:val="auto"/>
                <w:sz w:val="18"/>
                <w:szCs w:val="18"/>
                <w:lang w:val="zh-TW"/>
              </w:rPr>
              <w:t>最终冷加工后，钢管在控制气氛中进行去应力退火</w:t>
            </w:r>
          </w:p>
        </w:tc>
      </w:tr>
      <w:tr w14:paraId="61313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84" w:type="pct"/>
            <w:tcBorders>
              <w:left w:val="single" w:color="000000" w:sz="6" w:space="0"/>
            </w:tcBorders>
          </w:tcPr>
          <w:p w14:paraId="76B52971">
            <w:pPr>
              <w:spacing w:line="260" w:lineRule="exact"/>
              <w:jc w:val="center"/>
              <w:rPr>
                <w:color w:val="auto"/>
                <w:sz w:val="18"/>
                <w:szCs w:val="18"/>
                <w:lang w:val="zh-TW"/>
              </w:rPr>
            </w:pPr>
            <w:r>
              <w:rPr>
                <w:color w:val="auto"/>
                <w:sz w:val="18"/>
                <w:szCs w:val="18"/>
                <w:lang w:val="zh-TW"/>
              </w:rPr>
              <w:t>4</w:t>
            </w:r>
          </w:p>
        </w:tc>
        <w:tc>
          <w:tcPr>
            <w:tcW w:w="1386" w:type="pct"/>
          </w:tcPr>
          <w:p w14:paraId="5772BD1F">
            <w:pPr>
              <w:spacing w:line="260" w:lineRule="exact"/>
              <w:jc w:val="center"/>
              <w:rPr>
                <w:color w:val="auto"/>
                <w:sz w:val="18"/>
                <w:szCs w:val="18"/>
                <w:lang w:val="zh-TW"/>
              </w:rPr>
            </w:pPr>
            <w:r>
              <w:rPr>
                <w:color w:val="auto"/>
                <w:sz w:val="18"/>
                <w:szCs w:val="18"/>
                <w:lang w:val="zh-TW"/>
              </w:rPr>
              <w:t>退火</w:t>
            </w:r>
          </w:p>
        </w:tc>
        <w:tc>
          <w:tcPr>
            <w:tcW w:w="280" w:type="pct"/>
          </w:tcPr>
          <w:p w14:paraId="6F7F6943">
            <w:pPr>
              <w:spacing w:line="260" w:lineRule="exact"/>
              <w:jc w:val="center"/>
              <w:rPr>
                <w:color w:val="auto"/>
                <w:sz w:val="18"/>
                <w:szCs w:val="18"/>
                <w:lang w:val="zh-TW"/>
              </w:rPr>
            </w:pPr>
            <w:r>
              <w:rPr>
                <w:color w:val="auto"/>
                <w:sz w:val="18"/>
                <w:szCs w:val="18"/>
                <w:lang w:val="zh-TW"/>
              </w:rPr>
              <w:t>+A</w:t>
            </w:r>
          </w:p>
        </w:tc>
        <w:tc>
          <w:tcPr>
            <w:tcW w:w="3048" w:type="pct"/>
            <w:tcBorders>
              <w:right w:val="single" w:color="000000" w:sz="6" w:space="0"/>
            </w:tcBorders>
          </w:tcPr>
          <w:p w14:paraId="381DBF10">
            <w:pPr>
              <w:spacing w:line="260" w:lineRule="exact"/>
              <w:jc w:val="center"/>
              <w:rPr>
                <w:color w:val="auto"/>
                <w:sz w:val="18"/>
                <w:szCs w:val="18"/>
                <w:lang w:val="zh-TW"/>
              </w:rPr>
            </w:pPr>
            <w:r>
              <w:rPr>
                <w:color w:val="auto"/>
                <w:sz w:val="18"/>
                <w:szCs w:val="18"/>
                <w:lang w:val="zh-TW"/>
              </w:rPr>
              <w:t>最终冷加工之后，钢管在控制气氛中进行完全退火</w:t>
            </w:r>
          </w:p>
        </w:tc>
      </w:tr>
      <w:tr w14:paraId="64665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4" w:type="pct"/>
            <w:tcBorders>
              <w:left w:val="single" w:color="000000" w:sz="6" w:space="0"/>
            </w:tcBorders>
          </w:tcPr>
          <w:p w14:paraId="5E72C9B3">
            <w:pPr>
              <w:spacing w:line="260" w:lineRule="exact"/>
              <w:jc w:val="center"/>
              <w:rPr>
                <w:color w:val="auto"/>
                <w:sz w:val="18"/>
                <w:szCs w:val="18"/>
                <w:lang w:val="zh-TW"/>
              </w:rPr>
            </w:pPr>
            <w:r>
              <w:rPr>
                <w:color w:val="auto"/>
                <w:sz w:val="18"/>
                <w:szCs w:val="18"/>
                <w:lang w:val="zh-TW"/>
              </w:rPr>
              <w:t>5</w:t>
            </w:r>
          </w:p>
        </w:tc>
        <w:tc>
          <w:tcPr>
            <w:tcW w:w="1386" w:type="pct"/>
          </w:tcPr>
          <w:p w14:paraId="64F4E5EE">
            <w:pPr>
              <w:spacing w:line="260" w:lineRule="exact"/>
              <w:jc w:val="center"/>
              <w:rPr>
                <w:color w:val="auto"/>
                <w:sz w:val="18"/>
                <w:szCs w:val="18"/>
                <w:lang w:val="zh-TW"/>
              </w:rPr>
            </w:pPr>
            <w:r>
              <w:rPr>
                <w:color w:val="auto"/>
                <w:sz w:val="18"/>
                <w:szCs w:val="18"/>
                <w:lang w:val="zh-TW"/>
              </w:rPr>
              <w:t>正火</w:t>
            </w:r>
          </w:p>
        </w:tc>
        <w:tc>
          <w:tcPr>
            <w:tcW w:w="280" w:type="pct"/>
          </w:tcPr>
          <w:p w14:paraId="6C8416F6">
            <w:pPr>
              <w:spacing w:line="260" w:lineRule="exact"/>
              <w:jc w:val="center"/>
              <w:rPr>
                <w:color w:val="auto"/>
                <w:sz w:val="18"/>
                <w:szCs w:val="18"/>
                <w:lang w:val="zh-TW"/>
              </w:rPr>
            </w:pPr>
            <w:r>
              <w:rPr>
                <w:color w:val="auto"/>
                <w:sz w:val="18"/>
                <w:szCs w:val="18"/>
                <w:lang w:val="zh-TW"/>
              </w:rPr>
              <w:t>+N</w:t>
            </w:r>
          </w:p>
        </w:tc>
        <w:tc>
          <w:tcPr>
            <w:tcW w:w="3048" w:type="pct"/>
            <w:tcBorders>
              <w:right w:val="single" w:color="000000" w:sz="6" w:space="0"/>
            </w:tcBorders>
          </w:tcPr>
          <w:p w14:paraId="20FD9ECB">
            <w:pPr>
              <w:spacing w:line="260" w:lineRule="exact"/>
              <w:jc w:val="center"/>
              <w:rPr>
                <w:color w:val="auto"/>
                <w:sz w:val="18"/>
                <w:szCs w:val="18"/>
                <w:lang w:val="zh-TW"/>
              </w:rPr>
            </w:pPr>
            <w:r>
              <w:rPr>
                <w:color w:val="auto"/>
                <w:sz w:val="18"/>
                <w:szCs w:val="18"/>
                <w:lang w:val="zh-TW"/>
              </w:rPr>
              <w:t>最终冷加工之后，钢管在控制气氛中进行正火</w:t>
            </w:r>
          </w:p>
        </w:tc>
      </w:tr>
    </w:tbl>
    <w:p w14:paraId="660C3673">
      <w:pPr>
        <w:numPr>
          <w:ilvl w:val="0"/>
          <w:numId w:val="0"/>
        </w:numPr>
        <w:spacing w:line="360" w:lineRule="auto"/>
        <w:ind w:left="420" w:left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kern w:val="2"/>
          <w:sz w:val="28"/>
          <w:szCs w:val="28"/>
          <w:lang w:val="en-US" w:eastAsia="zh-CN" w:bidi="ar-SA"/>
        </w:rPr>
        <w:t>（六）</w:t>
      </w:r>
      <w:r>
        <w:rPr>
          <w:rFonts w:hint="eastAsia" w:ascii="Times New Roman" w:hAnsi="Times New Roman" w:eastAsia="仿宋_GB2312" w:cs="Times New Roman"/>
          <w:color w:val="auto"/>
          <w:sz w:val="28"/>
          <w:szCs w:val="28"/>
          <w:lang w:val="en-US" w:eastAsia="zh-CN"/>
        </w:rPr>
        <w:t>技术要求</w:t>
      </w:r>
    </w:p>
    <w:p w14:paraId="12AB1DD4">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1.牌号和化学成分</w:t>
      </w:r>
    </w:p>
    <w:p w14:paraId="783874AA">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钢的牌号和化学成分（熔炼分析）应符合表2的规定。根据需方要求，经供需双方协商，并在合同中注明，可供应表2以外牌号或化学成分的钢管</w:t>
      </w:r>
      <w:r>
        <w:rPr>
          <w:rFonts w:hint="eastAsia" w:ascii="Times New Roman" w:hAnsi="Times New Roman" w:eastAsia="仿宋_GB2312" w:cs="Times New Roman"/>
          <w:color w:val="auto"/>
          <w:sz w:val="28"/>
          <w:szCs w:val="28"/>
          <w:lang w:val="en-US" w:eastAsia="zh-CN"/>
        </w:rPr>
        <w:t>。</w:t>
      </w:r>
    </w:p>
    <w:p w14:paraId="78BD980E">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（2）需方要求进行成品分析时，应在合同中注明。成品钢管的化学成分允许偏差应符合GB/T 222的规定。</w:t>
      </w:r>
    </w:p>
    <w:p w14:paraId="2206DBC9">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（3）根据需方要求，经供需双方协商，并在合同中注明，供方可分析并报告钢中气体元素氢、氧的含量。</w:t>
      </w:r>
    </w:p>
    <w:p w14:paraId="55F1BD90">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本文件中牌号、统一数字代码随与国标保持一致，但在化学成分上参考了国际半导体产业协会标准SEMI F20-0706E (Reapproved 0611)-2011《通用、高纯度和超高纯度半导体制造应用中使用的316L不锈钢棒材、锻件、挤压型材、板材和管材规范》。并在其基础上对指标进行了进一步设计。本文件化学成分与通用标准、国际半导体产业协会标准比对如下表所示。</w:t>
      </w:r>
    </w:p>
    <w:p w14:paraId="07E7817D">
      <w:pPr>
        <w:pStyle w:val="21"/>
        <w:keepNext w:val="0"/>
        <w:keepLines w:val="0"/>
        <w:pageBreakBefore w:val="0"/>
        <w:widowControl/>
        <w:tabs>
          <w:tab w:val="left" w:pos="360"/>
        </w:tabs>
        <w:kinsoku/>
        <w:wordWrap/>
        <w:overflowPunct/>
        <w:topLinePunct w:val="0"/>
        <w:autoSpaceDE/>
        <w:autoSpaceDN/>
        <w:bidi w:val="0"/>
        <w:adjustRightInd/>
        <w:snapToGrid/>
        <w:spacing w:before="156" w:after="156"/>
        <w:ind w:left="0"/>
        <w:textAlignment w:val="auto"/>
        <w:rPr>
          <w:rFonts w:ascii="Times New Roman"/>
          <w:color w:val="auto"/>
          <w:kern w:val="2"/>
          <w:szCs w:val="21"/>
        </w:rPr>
      </w:pPr>
      <w:r>
        <w:rPr>
          <w:rFonts w:ascii="Times New Roman"/>
          <w:color w:val="auto"/>
          <w:kern w:val="2"/>
          <w:szCs w:val="21"/>
        </w:rPr>
        <w:t>牌号（熔炼分析）和化学成分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946"/>
        <w:gridCol w:w="802"/>
        <w:gridCol w:w="874"/>
        <w:gridCol w:w="946"/>
        <w:gridCol w:w="946"/>
        <w:gridCol w:w="946"/>
        <w:gridCol w:w="802"/>
        <w:gridCol w:w="549"/>
        <w:gridCol w:w="549"/>
        <w:gridCol w:w="550"/>
      </w:tblGrid>
      <w:tr w14:paraId="43F7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362" w:type="pct"/>
            <w:vMerge w:val="restart"/>
            <w:vAlign w:val="center"/>
          </w:tcPr>
          <w:p w14:paraId="4FBE1EB7">
            <w:pPr>
              <w:spacing w:line="2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4637" w:type="pct"/>
            <w:gridSpan w:val="10"/>
            <w:vAlign w:val="center"/>
          </w:tcPr>
          <w:p w14:paraId="404B4E59">
            <w:pPr>
              <w:spacing w:line="2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化学成分（质量百分比）%</w:t>
            </w:r>
          </w:p>
        </w:tc>
      </w:tr>
      <w:tr w14:paraId="5F61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362" w:type="pct"/>
            <w:vMerge w:val="continue"/>
            <w:vAlign w:val="center"/>
          </w:tcPr>
          <w:p w14:paraId="7F06C0E1">
            <w:pPr>
              <w:spacing w:line="260" w:lineRule="exact"/>
              <w:jc w:val="center"/>
              <w:rPr>
                <w:rFonts w:hint="default" w:ascii="Times New Roman" w:hAnsi="Times New Roman" w:cs="Times New Roman"/>
                <w:color w:val="auto"/>
                <w:sz w:val="18"/>
                <w:szCs w:val="18"/>
              </w:rPr>
            </w:pPr>
          </w:p>
        </w:tc>
        <w:tc>
          <w:tcPr>
            <w:tcW w:w="554" w:type="pct"/>
            <w:vAlign w:val="center"/>
          </w:tcPr>
          <w:p w14:paraId="1A213C7B">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w:t>
            </w:r>
          </w:p>
        </w:tc>
        <w:tc>
          <w:tcPr>
            <w:tcW w:w="470" w:type="pct"/>
            <w:vAlign w:val="center"/>
          </w:tcPr>
          <w:p w14:paraId="3309A5DE">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Si</w:t>
            </w:r>
          </w:p>
        </w:tc>
        <w:tc>
          <w:tcPr>
            <w:tcW w:w="512" w:type="pct"/>
            <w:shd w:val="clear" w:color="auto" w:fill="auto"/>
            <w:vAlign w:val="center"/>
          </w:tcPr>
          <w:p w14:paraId="1A9E76D1">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Mn</w:t>
            </w:r>
          </w:p>
        </w:tc>
        <w:tc>
          <w:tcPr>
            <w:tcW w:w="554" w:type="pct"/>
            <w:shd w:val="clear" w:color="auto" w:fill="auto"/>
            <w:vAlign w:val="center"/>
          </w:tcPr>
          <w:p w14:paraId="064C0097">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S</w:t>
            </w:r>
          </w:p>
        </w:tc>
        <w:tc>
          <w:tcPr>
            <w:tcW w:w="554" w:type="pct"/>
            <w:shd w:val="clear" w:color="auto" w:fill="auto"/>
            <w:vAlign w:val="center"/>
          </w:tcPr>
          <w:p w14:paraId="46FE6B80">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Cr</w:t>
            </w:r>
          </w:p>
        </w:tc>
        <w:tc>
          <w:tcPr>
            <w:tcW w:w="554" w:type="pct"/>
            <w:shd w:val="clear" w:color="auto" w:fill="auto"/>
            <w:vAlign w:val="center"/>
          </w:tcPr>
          <w:p w14:paraId="15A7D256">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Ni</w:t>
            </w:r>
          </w:p>
        </w:tc>
        <w:tc>
          <w:tcPr>
            <w:tcW w:w="470" w:type="pct"/>
            <w:shd w:val="clear" w:color="auto" w:fill="auto"/>
            <w:vAlign w:val="center"/>
          </w:tcPr>
          <w:p w14:paraId="2AC43E07">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Mo</w:t>
            </w:r>
          </w:p>
        </w:tc>
        <w:tc>
          <w:tcPr>
            <w:tcW w:w="321" w:type="pct"/>
            <w:vAlign w:val="center"/>
          </w:tcPr>
          <w:p w14:paraId="175DC5D5">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Cu</w:t>
            </w:r>
          </w:p>
        </w:tc>
        <w:tc>
          <w:tcPr>
            <w:tcW w:w="321" w:type="pct"/>
            <w:vAlign w:val="center"/>
          </w:tcPr>
          <w:p w14:paraId="4AF95E5B">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Al</w:t>
            </w:r>
          </w:p>
        </w:tc>
        <w:tc>
          <w:tcPr>
            <w:tcW w:w="322" w:type="pct"/>
            <w:vAlign w:val="center"/>
          </w:tcPr>
          <w:p w14:paraId="574A5ADF">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Ti</w:t>
            </w:r>
          </w:p>
        </w:tc>
      </w:tr>
      <w:tr w14:paraId="0D2E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362" w:type="pct"/>
            <w:vAlign w:val="center"/>
          </w:tcPr>
          <w:p w14:paraId="4B2C3DA9">
            <w:pPr>
              <w:pStyle w:val="29"/>
              <w:spacing w:before="167" w:line="181" w:lineRule="auto"/>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1</w:t>
            </w:r>
          </w:p>
        </w:tc>
        <w:tc>
          <w:tcPr>
            <w:tcW w:w="554" w:type="pct"/>
            <w:vAlign w:val="center"/>
          </w:tcPr>
          <w:p w14:paraId="55F744AF">
            <w:pPr>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FF0000"/>
                <w:sz w:val="18"/>
                <w:szCs w:val="18"/>
                <w:lang w:val="en-US" w:eastAsia="zh-CN"/>
              </w:rPr>
              <w:t>0.010~0.020</w:t>
            </w:r>
          </w:p>
        </w:tc>
        <w:tc>
          <w:tcPr>
            <w:tcW w:w="470" w:type="pct"/>
            <w:vAlign w:val="center"/>
          </w:tcPr>
          <w:p w14:paraId="44A246E2">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0.10~0.30</w:t>
            </w:r>
          </w:p>
        </w:tc>
        <w:tc>
          <w:tcPr>
            <w:tcW w:w="512" w:type="pct"/>
            <w:vAlign w:val="center"/>
          </w:tcPr>
          <w:p w14:paraId="582FF543">
            <w:pPr>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FF0000"/>
                <w:sz w:val="18"/>
                <w:szCs w:val="18"/>
                <w:lang w:val="en-US" w:eastAsia="zh-CN"/>
              </w:rPr>
              <w:t>0.30~1.00</w:t>
            </w:r>
          </w:p>
        </w:tc>
        <w:tc>
          <w:tcPr>
            <w:tcW w:w="554" w:type="pct"/>
            <w:vAlign w:val="center"/>
          </w:tcPr>
          <w:p w14:paraId="559A7173">
            <w:pPr>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FF0000"/>
                <w:sz w:val="18"/>
                <w:szCs w:val="18"/>
                <w:lang w:val="en-US" w:eastAsia="zh-CN"/>
              </w:rPr>
              <w:t>0.005~0.010</w:t>
            </w:r>
          </w:p>
        </w:tc>
        <w:tc>
          <w:tcPr>
            <w:tcW w:w="554" w:type="pct"/>
            <w:vAlign w:val="center"/>
          </w:tcPr>
          <w:p w14:paraId="330DB6AA">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16.00~17.00</w:t>
            </w:r>
          </w:p>
        </w:tc>
        <w:tc>
          <w:tcPr>
            <w:tcW w:w="554" w:type="pct"/>
            <w:vAlign w:val="center"/>
          </w:tcPr>
          <w:p w14:paraId="0922C422">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11.00~14.00</w:t>
            </w:r>
          </w:p>
        </w:tc>
        <w:tc>
          <w:tcPr>
            <w:tcW w:w="470" w:type="pct"/>
            <w:vAlign w:val="center"/>
          </w:tcPr>
          <w:p w14:paraId="58FD6672">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2.00~3.00</w:t>
            </w:r>
          </w:p>
        </w:tc>
        <w:tc>
          <w:tcPr>
            <w:tcW w:w="321" w:type="pct"/>
            <w:vAlign w:val="center"/>
          </w:tcPr>
          <w:p w14:paraId="49AD162B">
            <w:pPr>
              <w:jc w:val="center"/>
              <w:rPr>
                <w:rFonts w:hint="default" w:ascii="Times New Roman" w:hAnsi="Times New Roman" w:cs="Times New Roman"/>
                <w:color w:val="FF0000"/>
                <w:sz w:val="18"/>
                <w:szCs w:val="18"/>
                <w:lang w:val="en-US"/>
              </w:rPr>
            </w:pPr>
            <w:r>
              <w:rPr>
                <w:rFonts w:hint="default" w:ascii="Times New Roman" w:hAnsi="Times New Roman" w:cs="Times New Roman"/>
                <w:color w:val="FF0000"/>
                <w:sz w:val="18"/>
                <w:szCs w:val="18"/>
                <w:lang w:val="en-US" w:eastAsia="zh-CN"/>
              </w:rPr>
              <w:t>≤0.30</w:t>
            </w:r>
          </w:p>
        </w:tc>
        <w:tc>
          <w:tcPr>
            <w:tcW w:w="321" w:type="pct"/>
            <w:vAlign w:val="center"/>
          </w:tcPr>
          <w:p w14:paraId="3757FB52">
            <w:pPr>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FF0000"/>
                <w:sz w:val="18"/>
                <w:szCs w:val="18"/>
                <w:lang w:val="en-US" w:eastAsia="zh-CN"/>
              </w:rPr>
              <w:t>≤0.01</w:t>
            </w:r>
          </w:p>
        </w:tc>
        <w:tc>
          <w:tcPr>
            <w:tcW w:w="322" w:type="pct"/>
            <w:vAlign w:val="center"/>
          </w:tcPr>
          <w:p w14:paraId="387A48E7">
            <w:pPr>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FF0000"/>
                <w:sz w:val="18"/>
                <w:szCs w:val="18"/>
                <w:lang w:val="en-US" w:eastAsia="zh-CN"/>
              </w:rPr>
              <w:t>≤0.02</w:t>
            </w:r>
          </w:p>
        </w:tc>
      </w:tr>
      <w:tr w14:paraId="03ED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362" w:type="pct"/>
            <w:vAlign w:val="center"/>
          </w:tcPr>
          <w:p w14:paraId="4D5B53B7">
            <w:pPr>
              <w:pStyle w:val="29"/>
              <w:spacing w:before="168" w:line="181" w:lineRule="auto"/>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2</w:t>
            </w:r>
          </w:p>
        </w:tc>
        <w:tc>
          <w:tcPr>
            <w:tcW w:w="554" w:type="pct"/>
            <w:vAlign w:val="center"/>
          </w:tcPr>
          <w:p w14:paraId="6669287F">
            <w:pPr>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FF0000"/>
                <w:sz w:val="18"/>
                <w:szCs w:val="18"/>
                <w:lang w:val="en-US" w:eastAsia="zh-CN"/>
              </w:rPr>
              <w:t>0.005~0.015</w:t>
            </w:r>
          </w:p>
        </w:tc>
        <w:tc>
          <w:tcPr>
            <w:tcW w:w="470" w:type="pct"/>
            <w:vAlign w:val="center"/>
          </w:tcPr>
          <w:p w14:paraId="23D3C059">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0.10~0.30</w:t>
            </w:r>
          </w:p>
        </w:tc>
        <w:tc>
          <w:tcPr>
            <w:tcW w:w="512" w:type="pct"/>
            <w:vAlign w:val="center"/>
          </w:tcPr>
          <w:p w14:paraId="451C2B5C">
            <w:pPr>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FF0000"/>
                <w:sz w:val="18"/>
                <w:szCs w:val="18"/>
                <w:lang w:val="en-US" w:eastAsia="zh-CN"/>
              </w:rPr>
              <w:t>0.10~0.50</w:t>
            </w:r>
          </w:p>
        </w:tc>
        <w:tc>
          <w:tcPr>
            <w:tcW w:w="554" w:type="pct"/>
            <w:vAlign w:val="center"/>
          </w:tcPr>
          <w:p w14:paraId="514B7137">
            <w:pPr>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FF0000"/>
                <w:sz w:val="18"/>
                <w:szCs w:val="18"/>
                <w:lang w:val="en-US" w:eastAsia="zh-CN"/>
              </w:rPr>
              <w:t>0.002~0.005</w:t>
            </w:r>
          </w:p>
        </w:tc>
        <w:tc>
          <w:tcPr>
            <w:tcW w:w="554" w:type="pct"/>
            <w:vAlign w:val="center"/>
          </w:tcPr>
          <w:p w14:paraId="21A36E2E">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16.00~17.00</w:t>
            </w:r>
          </w:p>
        </w:tc>
        <w:tc>
          <w:tcPr>
            <w:tcW w:w="554" w:type="pct"/>
            <w:vAlign w:val="center"/>
          </w:tcPr>
          <w:p w14:paraId="56373BED">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12.00~15.00</w:t>
            </w:r>
          </w:p>
        </w:tc>
        <w:tc>
          <w:tcPr>
            <w:tcW w:w="470" w:type="pct"/>
            <w:vAlign w:val="center"/>
          </w:tcPr>
          <w:p w14:paraId="595EF99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2.00~3.00</w:t>
            </w:r>
          </w:p>
        </w:tc>
        <w:tc>
          <w:tcPr>
            <w:tcW w:w="321" w:type="pct"/>
            <w:shd w:val="clear" w:color="auto" w:fill="auto"/>
            <w:vAlign w:val="center"/>
          </w:tcPr>
          <w:p w14:paraId="53EE26F1">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sz w:val="18"/>
                <w:szCs w:val="18"/>
                <w:lang w:val="en-US" w:eastAsia="zh-CN"/>
              </w:rPr>
              <w:t>≤0.30</w:t>
            </w:r>
          </w:p>
        </w:tc>
        <w:tc>
          <w:tcPr>
            <w:tcW w:w="321" w:type="pct"/>
            <w:shd w:val="clear" w:color="auto" w:fill="auto"/>
            <w:vAlign w:val="center"/>
          </w:tcPr>
          <w:p w14:paraId="368E8BF2">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sz w:val="18"/>
                <w:szCs w:val="18"/>
                <w:lang w:val="en-US" w:eastAsia="zh-CN"/>
              </w:rPr>
              <w:t>≤0.01</w:t>
            </w:r>
          </w:p>
        </w:tc>
        <w:tc>
          <w:tcPr>
            <w:tcW w:w="322" w:type="pct"/>
            <w:shd w:val="clear" w:color="auto" w:fill="auto"/>
            <w:vAlign w:val="center"/>
          </w:tcPr>
          <w:p w14:paraId="5E0D2E6F">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sz w:val="18"/>
                <w:szCs w:val="18"/>
                <w:lang w:val="en-US" w:eastAsia="zh-CN"/>
              </w:rPr>
              <w:t>≤0.02</w:t>
            </w:r>
          </w:p>
        </w:tc>
      </w:tr>
      <w:tr w14:paraId="78B6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362" w:type="pct"/>
            <w:vAlign w:val="center"/>
          </w:tcPr>
          <w:p w14:paraId="7629574A">
            <w:pPr>
              <w:pStyle w:val="29"/>
              <w:spacing w:before="170" w:line="181" w:lineRule="auto"/>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3</w:t>
            </w:r>
          </w:p>
        </w:tc>
        <w:tc>
          <w:tcPr>
            <w:tcW w:w="554" w:type="pct"/>
            <w:vAlign w:val="center"/>
          </w:tcPr>
          <w:p w14:paraId="2A5F86E7">
            <w:pPr>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FF0000"/>
                <w:sz w:val="18"/>
                <w:szCs w:val="18"/>
                <w:lang w:val="en-US" w:eastAsia="zh-CN"/>
              </w:rPr>
              <w:t>0.005~0.010</w:t>
            </w:r>
          </w:p>
        </w:tc>
        <w:tc>
          <w:tcPr>
            <w:tcW w:w="470" w:type="pct"/>
            <w:vAlign w:val="center"/>
          </w:tcPr>
          <w:p w14:paraId="75626D91">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0.10~0.30</w:t>
            </w:r>
          </w:p>
        </w:tc>
        <w:tc>
          <w:tcPr>
            <w:tcW w:w="512" w:type="pct"/>
            <w:vAlign w:val="center"/>
          </w:tcPr>
          <w:p w14:paraId="6853DA6D">
            <w:pPr>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FF0000"/>
                <w:sz w:val="18"/>
                <w:szCs w:val="18"/>
                <w:lang w:val="en-US" w:eastAsia="zh-CN"/>
              </w:rPr>
              <w:t>0.035~0.10</w:t>
            </w:r>
            <w:bookmarkStart w:id="2" w:name="_GoBack"/>
            <w:bookmarkEnd w:id="2"/>
          </w:p>
        </w:tc>
        <w:tc>
          <w:tcPr>
            <w:tcW w:w="554" w:type="pct"/>
            <w:vAlign w:val="center"/>
          </w:tcPr>
          <w:p w14:paraId="1C29FD6A">
            <w:pPr>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FF0000"/>
                <w:sz w:val="18"/>
                <w:szCs w:val="18"/>
                <w:lang w:val="en-US" w:eastAsia="zh-CN"/>
              </w:rPr>
              <w:t>0.001~0.005</w:t>
            </w:r>
          </w:p>
        </w:tc>
        <w:tc>
          <w:tcPr>
            <w:tcW w:w="554" w:type="pct"/>
            <w:vAlign w:val="center"/>
          </w:tcPr>
          <w:p w14:paraId="674077A9">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16.00~17.00</w:t>
            </w:r>
          </w:p>
        </w:tc>
        <w:tc>
          <w:tcPr>
            <w:tcW w:w="554" w:type="pct"/>
            <w:vAlign w:val="center"/>
          </w:tcPr>
          <w:p w14:paraId="24C1B55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14.00~15.00</w:t>
            </w:r>
          </w:p>
        </w:tc>
        <w:tc>
          <w:tcPr>
            <w:tcW w:w="470" w:type="pct"/>
            <w:vAlign w:val="center"/>
          </w:tcPr>
          <w:p w14:paraId="54F54712">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sz w:val="18"/>
                <w:szCs w:val="18"/>
                <w:lang w:val="en-US" w:eastAsia="zh-CN"/>
              </w:rPr>
              <w:t>2.00~3.00</w:t>
            </w:r>
          </w:p>
        </w:tc>
        <w:tc>
          <w:tcPr>
            <w:tcW w:w="321" w:type="pct"/>
            <w:shd w:val="clear" w:color="auto" w:fill="auto"/>
            <w:vAlign w:val="center"/>
          </w:tcPr>
          <w:p w14:paraId="2892D360">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sz w:val="18"/>
                <w:szCs w:val="18"/>
                <w:lang w:val="en-US" w:eastAsia="zh-CN"/>
              </w:rPr>
              <w:t>≤0.30</w:t>
            </w:r>
          </w:p>
        </w:tc>
        <w:tc>
          <w:tcPr>
            <w:tcW w:w="321" w:type="pct"/>
            <w:shd w:val="clear" w:color="auto" w:fill="auto"/>
            <w:vAlign w:val="center"/>
          </w:tcPr>
          <w:p w14:paraId="353E9759">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sz w:val="18"/>
                <w:szCs w:val="18"/>
                <w:lang w:val="en-US" w:eastAsia="zh-CN"/>
              </w:rPr>
              <w:t>≤0.01</w:t>
            </w:r>
          </w:p>
        </w:tc>
        <w:tc>
          <w:tcPr>
            <w:tcW w:w="322" w:type="pct"/>
            <w:shd w:val="clear" w:color="auto" w:fill="auto"/>
            <w:vAlign w:val="center"/>
          </w:tcPr>
          <w:p w14:paraId="22A024E3">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sz w:val="18"/>
                <w:szCs w:val="18"/>
                <w:lang w:val="en-US" w:eastAsia="zh-CN"/>
              </w:rPr>
              <w:t>≤0.02</w:t>
            </w:r>
          </w:p>
        </w:tc>
      </w:tr>
      <w:tr w14:paraId="37E4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362" w:type="pct"/>
            <w:vAlign w:val="center"/>
          </w:tcPr>
          <w:p w14:paraId="2FEA190F">
            <w:pPr>
              <w:pStyle w:val="29"/>
              <w:spacing w:before="170" w:line="181" w:lineRule="auto"/>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SEMI</w:t>
            </w:r>
          </w:p>
        </w:tc>
        <w:tc>
          <w:tcPr>
            <w:tcW w:w="554" w:type="pct"/>
            <w:shd w:val="clear" w:color="auto" w:fill="auto"/>
            <w:vAlign w:val="center"/>
          </w:tcPr>
          <w:p w14:paraId="614909C1">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≤0.030</w:t>
            </w:r>
          </w:p>
        </w:tc>
        <w:tc>
          <w:tcPr>
            <w:tcW w:w="470" w:type="pct"/>
            <w:shd w:val="clear" w:color="auto" w:fill="auto"/>
            <w:vAlign w:val="center"/>
          </w:tcPr>
          <w:p w14:paraId="41EB1082">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w:t>
            </w:r>
          </w:p>
        </w:tc>
        <w:tc>
          <w:tcPr>
            <w:tcW w:w="512" w:type="pct"/>
            <w:shd w:val="clear" w:color="auto" w:fill="auto"/>
            <w:vAlign w:val="center"/>
          </w:tcPr>
          <w:p w14:paraId="702C2A86">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≤1.5</w:t>
            </w:r>
          </w:p>
        </w:tc>
        <w:tc>
          <w:tcPr>
            <w:tcW w:w="554" w:type="pct"/>
            <w:shd w:val="clear" w:color="auto" w:fill="auto"/>
            <w:vAlign w:val="center"/>
          </w:tcPr>
          <w:p w14:paraId="3D44D5B8">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≤0.010</w:t>
            </w:r>
          </w:p>
        </w:tc>
        <w:tc>
          <w:tcPr>
            <w:tcW w:w="554" w:type="pct"/>
            <w:shd w:val="clear" w:color="auto" w:fill="auto"/>
            <w:vAlign w:val="center"/>
          </w:tcPr>
          <w:p w14:paraId="31D7B2F4">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w:t>
            </w:r>
          </w:p>
        </w:tc>
        <w:tc>
          <w:tcPr>
            <w:tcW w:w="554" w:type="pct"/>
            <w:shd w:val="clear" w:color="auto" w:fill="auto"/>
            <w:vAlign w:val="center"/>
          </w:tcPr>
          <w:p w14:paraId="5DF7D6F5">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w:t>
            </w:r>
          </w:p>
        </w:tc>
        <w:tc>
          <w:tcPr>
            <w:tcW w:w="470" w:type="pct"/>
            <w:shd w:val="clear" w:color="auto" w:fill="auto"/>
            <w:vAlign w:val="center"/>
          </w:tcPr>
          <w:p w14:paraId="2E3F759F">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w:t>
            </w:r>
          </w:p>
        </w:tc>
        <w:tc>
          <w:tcPr>
            <w:tcW w:w="321" w:type="pct"/>
            <w:shd w:val="clear" w:color="auto" w:fill="auto"/>
            <w:vAlign w:val="center"/>
          </w:tcPr>
          <w:p w14:paraId="7A38C6C7">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≤0.30</w:t>
            </w:r>
          </w:p>
        </w:tc>
        <w:tc>
          <w:tcPr>
            <w:tcW w:w="321" w:type="pct"/>
            <w:shd w:val="clear" w:color="auto" w:fill="auto"/>
            <w:vAlign w:val="center"/>
          </w:tcPr>
          <w:p w14:paraId="4D315AD6">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≤0.01</w:t>
            </w:r>
          </w:p>
        </w:tc>
        <w:tc>
          <w:tcPr>
            <w:tcW w:w="322" w:type="pct"/>
            <w:shd w:val="clear" w:color="auto" w:fill="auto"/>
            <w:vAlign w:val="center"/>
          </w:tcPr>
          <w:p w14:paraId="30076B94">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≤0.02</w:t>
            </w:r>
          </w:p>
        </w:tc>
      </w:tr>
      <w:tr w14:paraId="54CA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362" w:type="pct"/>
            <w:vAlign w:val="center"/>
          </w:tcPr>
          <w:p w14:paraId="50514E69">
            <w:pPr>
              <w:pStyle w:val="29"/>
              <w:spacing w:before="170" w:line="181" w:lineRule="auto"/>
              <w:jc w:val="center"/>
              <w:rPr>
                <w:rFonts w:hint="default" w:ascii="Times New Roman" w:hAnsi="Times New Roman" w:cs="Times New Roman"/>
                <w:color w:val="0000FF"/>
                <w:sz w:val="18"/>
                <w:szCs w:val="18"/>
                <w:lang w:val="en-US" w:eastAsia="zh-CN"/>
              </w:rPr>
            </w:pPr>
            <w:r>
              <w:rPr>
                <w:rFonts w:hint="eastAsia" w:ascii="Times New Roman" w:hAnsi="Times New Roman" w:cs="Times New Roman"/>
                <w:color w:val="0000FF"/>
                <w:sz w:val="18"/>
                <w:szCs w:val="18"/>
                <w:lang w:val="en-US" w:eastAsia="zh-CN"/>
              </w:rPr>
              <w:t>ASTM</w:t>
            </w:r>
          </w:p>
        </w:tc>
        <w:tc>
          <w:tcPr>
            <w:tcW w:w="554" w:type="pct"/>
            <w:shd w:val="clear" w:color="auto" w:fill="auto"/>
            <w:vAlign w:val="center"/>
          </w:tcPr>
          <w:p w14:paraId="4C2C5C83">
            <w:pPr>
              <w:jc w:val="center"/>
              <w:rPr>
                <w:rFonts w:hint="default" w:ascii="Times New Roman" w:hAnsi="Times New Roman" w:cs="Times New Roman"/>
                <w:color w:val="0000FF"/>
                <w:sz w:val="18"/>
                <w:szCs w:val="18"/>
                <w:lang w:val="en-US" w:eastAsia="zh-CN"/>
              </w:rPr>
            </w:pPr>
          </w:p>
        </w:tc>
        <w:tc>
          <w:tcPr>
            <w:tcW w:w="470" w:type="pct"/>
            <w:shd w:val="clear" w:color="auto" w:fill="auto"/>
            <w:vAlign w:val="center"/>
          </w:tcPr>
          <w:p w14:paraId="31738651">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w:t>
            </w:r>
            <w:r>
              <w:rPr>
                <w:rFonts w:hint="eastAsia" w:ascii="Times New Roman" w:hAnsi="Times New Roman" w:cs="Times New Roman"/>
                <w:color w:val="0000FF"/>
                <w:sz w:val="18"/>
                <w:szCs w:val="18"/>
                <w:lang w:val="en-US" w:eastAsia="zh-CN"/>
              </w:rPr>
              <w:t>1.00</w:t>
            </w:r>
          </w:p>
        </w:tc>
        <w:tc>
          <w:tcPr>
            <w:tcW w:w="512" w:type="pct"/>
            <w:shd w:val="clear" w:color="auto" w:fill="auto"/>
            <w:vAlign w:val="center"/>
          </w:tcPr>
          <w:p w14:paraId="3B1F968A">
            <w:pPr>
              <w:jc w:val="center"/>
              <w:rPr>
                <w:rFonts w:hint="default" w:ascii="Times New Roman" w:hAnsi="Times New Roman" w:cs="Times New Roman"/>
                <w:color w:val="0000FF"/>
                <w:sz w:val="18"/>
                <w:szCs w:val="18"/>
                <w:lang w:val="en-US" w:eastAsia="zh-CN"/>
              </w:rPr>
            </w:pPr>
          </w:p>
        </w:tc>
        <w:tc>
          <w:tcPr>
            <w:tcW w:w="554" w:type="pct"/>
            <w:shd w:val="clear" w:color="auto" w:fill="auto"/>
            <w:vAlign w:val="center"/>
          </w:tcPr>
          <w:p w14:paraId="7CE6CFF4">
            <w:pPr>
              <w:jc w:val="center"/>
              <w:rPr>
                <w:rFonts w:hint="default" w:ascii="Times New Roman" w:hAnsi="Times New Roman" w:cs="Times New Roman"/>
                <w:color w:val="0000FF"/>
                <w:sz w:val="18"/>
                <w:szCs w:val="18"/>
                <w:lang w:val="en-US" w:eastAsia="zh-CN"/>
              </w:rPr>
            </w:pPr>
          </w:p>
        </w:tc>
        <w:tc>
          <w:tcPr>
            <w:tcW w:w="554" w:type="pct"/>
            <w:shd w:val="clear" w:color="auto" w:fill="auto"/>
            <w:vAlign w:val="center"/>
          </w:tcPr>
          <w:p w14:paraId="214CAFD4">
            <w:pPr>
              <w:jc w:val="center"/>
              <w:rPr>
                <w:rFonts w:hint="default" w:ascii="Times New Roman" w:hAnsi="Times New Roman" w:cs="Times New Roman"/>
                <w:color w:val="0000FF"/>
                <w:sz w:val="18"/>
                <w:szCs w:val="18"/>
                <w:lang w:val="en-US" w:eastAsia="zh-CN"/>
              </w:rPr>
            </w:pPr>
            <w:r>
              <w:rPr>
                <w:rFonts w:hint="eastAsia" w:ascii="Times New Roman" w:hAnsi="Times New Roman" w:cs="Times New Roman"/>
                <w:color w:val="0000FF"/>
                <w:sz w:val="18"/>
                <w:szCs w:val="18"/>
                <w:lang w:val="en-US" w:eastAsia="zh-CN"/>
              </w:rPr>
              <w:t>16.00~18.00</w:t>
            </w:r>
          </w:p>
        </w:tc>
        <w:tc>
          <w:tcPr>
            <w:tcW w:w="554" w:type="pct"/>
            <w:shd w:val="clear" w:color="auto" w:fill="auto"/>
            <w:vAlign w:val="center"/>
          </w:tcPr>
          <w:p w14:paraId="542451FF">
            <w:pPr>
              <w:jc w:val="center"/>
              <w:rPr>
                <w:rFonts w:hint="default" w:ascii="Times New Roman" w:hAnsi="Times New Roman" w:cs="Times New Roman"/>
                <w:color w:val="0000FF"/>
                <w:sz w:val="18"/>
                <w:szCs w:val="18"/>
                <w:lang w:val="en-US" w:eastAsia="zh-CN"/>
              </w:rPr>
            </w:pPr>
            <w:r>
              <w:rPr>
                <w:rFonts w:hint="eastAsia" w:ascii="Times New Roman" w:hAnsi="Times New Roman" w:cs="Times New Roman"/>
                <w:color w:val="0000FF"/>
                <w:sz w:val="18"/>
                <w:szCs w:val="18"/>
                <w:lang w:val="en-US" w:eastAsia="zh-CN"/>
              </w:rPr>
              <w:t>10.00~15.00</w:t>
            </w:r>
          </w:p>
        </w:tc>
        <w:tc>
          <w:tcPr>
            <w:tcW w:w="470" w:type="pct"/>
            <w:shd w:val="clear" w:color="auto" w:fill="auto"/>
            <w:vAlign w:val="center"/>
          </w:tcPr>
          <w:p w14:paraId="5B54570F">
            <w:pPr>
              <w:jc w:val="center"/>
              <w:rPr>
                <w:rFonts w:hint="default" w:ascii="Times New Roman" w:hAnsi="Times New Roman" w:cs="Times New Roman"/>
                <w:color w:val="0000FF"/>
                <w:sz w:val="18"/>
                <w:szCs w:val="18"/>
                <w:lang w:val="en-US" w:eastAsia="zh-CN"/>
              </w:rPr>
            </w:pPr>
            <w:r>
              <w:rPr>
                <w:rFonts w:hint="eastAsia" w:ascii="Times New Roman" w:hAnsi="Times New Roman" w:cs="Times New Roman"/>
                <w:color w:val="0000FF"/>
                <w:sz w:val="18"/>
                <w:szCs w:val="18"/>
                <w:lang w:val="en-US" w:eastAsia="zh-CN"/>
              </w:rPr>
              <w:t>2.00~3.00</w:t>
            </w:r>
          </w:p>
        </w:tc>
        <w:tc>
          <w:tcPr>
            <w:tcW w:w="321" w:type="pct"/>
            <w:shd w:val="clear" w:color="auto" w:fill="auto"/>
            <w:vAlign w:val="center"/>
          </w:tcPr>
          <w:p w14:paraId="3D9BDEB9">
            <w:pPr>
              <w:jc w:val="center"/>
              <w:rPr>
                <w:rFonts w:hint="default" w:ascii="Times New Roman" w:hAnsi="Times New Roman" w:cs="Times New Roman"/>
                <w:color w:val="0000FF"/>
                <w:sz w:val="18"/>
                <w:szCs w:val="18"/>
                <w:lang w:val="en-US" w:eastAsia="zh-CN"/>
              </w:rPr>
            </w:pPr>
          </w:p>
        </w:tc>
        <w:tc>
          <w:tcPr>
            <w:tcW w:w="321" w:type="pct"/>
            <w:shd w:val="clear" w:color="auto" w:fill="auto"/>
            <w:vAlign w:val="center"/>
          </w:tcPr>
          <w:p w14:paraId="5E9BA2D3">
            <w:pPr>
              <w:jc w:val="center"/>
              <w:rPr>
                <w:rFonts w:hint="default" w:ascii="Times New Roman" w:hAnsi="Times New Roman" w:cs="Times New Roman"/>
                <w:color w:val="0000FF"/>
                <w:sz w:val="18"/>
                <w:szCs w:val="18"/>
                <w:lang w:val="en-US" w:eastAsia="zh-CN"/>
              </w:rPr>
            </w:pPr>
          </w:p>
        </w:tc>
        <w:tc>
          <w:tcPr>
            <w:tcW w:w="322" w:type="pct"/>
            <w:shd w:val="clear" w:color="auto" w:fill="auto"/>
            <w:vAlign w:val="center"/>
          </w:tcPr>
          <w:p w14:paraId="7FBA4420">
            <w:pPr>
              <w:jc w:val="center"/>
              <w:rPr>
                <w:rFonts w:hint="default" w:ascii="Times New Roman" w:hAnsi="Times New Roman" w:cs="Times New Roman"/>
                <w:color w:val="0000FF"/>
                <w:sz w:val="18"/>
                <w:szCs w:val="18"/>
                <w:lang w:val="en-US" w:eastAsia="zh-CN"/>
              </w:rPr>
            </w:pPr>
          </w:p>
        </w:tc>
      </w:tr>
    </w:tbl>
    <w:p w14:paraId="0E55978A">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其中，SEMI标准对于C、Mn、S、Cu、Al、Ti的化学成分进行了规定，其余元素化学成分需满足普通316L的要求即可。与SEMI标准相比，本文件中对C、Mn、S三个元素进一步细分和收窄，根部不同的冶炼方法将C含量控制在0.020%~0.005%，Mn含量控制在0.035%~1.00%，S含量控制在0.010%~0.001%。对于Cu、Al、Ti三个元素则于SEMI标准保持一致。而对于其余化学成分，本文件则按照SEMI中引用的ASTM A269的基本指标进行了微调，如Si含量控制在0.10%~0.30%，远严格与国家标准以保证产品的纯净度。</w:t>
      </w:r>
    </w:p>
    <w:p w14:paraId="2E7FA396">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2.力学性能</w:t>
      </w:r>
    </w:p>
    <w:p w14:paraId="6CC43E9B">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钢管交货状态下室温拉伸性能和热处理温度应符合表3的规定</w:t>
      </w:r>
      <w:r>
        <w:rPr>
          <w:rFonts w:hint="eastAsia" w:ascii="Times New Roman" w:hAnsi="Times New Roman" w:eastAsia="仿宋_GB2312" w:cs="Times New Roman"/>
          <w:color w:val="auto"/>
          <w:sz w:val="28"/>
          <w:szCs w:val="28"/>
          <w:lang w:val="en-US" w:eastAsia="zh-CN"/>
        </w:rPr>
        <w:t>。</w:t>
      </w:r>
    </w:p>
    <w:p w14:paraId="4E28F1AA">
      <w:pPr>
        <w:pStyle w:val="21"/>
        <w:keepNext w:val="0"/>
        <w:keepLines w:val="0"/>
        <w:pageBreakBefore w:val="0"/>
        <w:widowControl/>
        <w:tabs>
          <w:tab w:val="left" w:pos="360"/>
        </w:tabs>
        <w:kinsoku/>
        <w:wordWrap/>
        <w:overflowPunct/>
        <w:topLinePunct w:val="0"/>
        <w:autoSpaceDE/>
        <w:autoSpaceDN/>
        <w:bidi w:val="0"/>
        <w:adjustRightInd/>
        <w:snapToGrid/>
        <w:spacing w:before="156" w:after="156"/>
        <w:ind w:left="0"/>
        <w:textAlignment w:val="auto"/>
        <w:rPr>
          <w:rFonts w:ascii="Times New Roman"/>
          <w:color w:val="auto"/>
          <w:kern w:val="2"/>
          <w:szCs w:val="21"/>
        </w:rPr>
      </w:pPr>
      <w:r>
        <w:rPr>
          <w:rFonts w:hint="eastAsia" w:ascii="Times New Roman"/>
          <w:color w:val="auto"/>
          <w:kern w:val="2"/>
          <w:szCs w:val="21"/>
          <w:lang w:val="en-US" w:eastAsia="zh-CN"/>
        </w:rPr>
        <w:t>钢管室温拉伸性能和热处理温度</w:t>
      </w:r>
    </w:p>
    <w:tbl>
      <w:tblPr>
        <w:tblStyle w:val="2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2"/>
        <w:gridCol w:w="1341"/>
        <w:gridCol w:w="1428"/>
        <w:gridCol w:w="1193"/>
        <w:gridCol w:w="1539"/>
        <w:gridCol w:w="1516"/>
        <w:gridCol w:w="797"/>
      </w:tblGrid>
      <w:tr w14:paraId="2279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247" w:type="pct"/>
            <w:vMerge w:val="restart"/>
            <w:tcBorders>
              <w:top w:val="single" w:color="000000" w:sz="6" w:space="0"/>
              <w:left w:val="single" w:color="000000" w:sz="6" w:space="0"/>
              <w:bottom w:val="nil"/>
            </w:tcBorders>
            <w:shd w:val="clear" w:color="auto" w:fill="auto"/>
            <w:vAlign w:val="center"/>
          </w:tcPr>
          <w:p w14:paraId="2635BD19">
            <w:pPr>
              <w:spacing w:line="260" w:lineRule="exact"/>
              <w:jc w:val="center"/>
              <w:rPr>
                <w:rFonts w:hint="default" w:ascii="Times New Roman" w:hAnsi="Times New Roman" w:cs="Times New Roman"/>
                <w:color w:val="auto"/>
                <w:sz w:val="18"/>
                <w:szCs w:val="18"/>
                <w:lang w:val="zh-TW"/>
              </w:rPr>
            </w:pPr>
            <w:r>
              <w:rPr>
                <w:rFonts w:hint="default" w:ascii="Times New Roman" w:hAnsi="Times New Roman" w:cs="Times New Roman"/>
                <w:color w:val="auto"/>
                <w:sz w:val="18"/>
                <w:szCs w:val="18"/>
              </w:rPr>
              <w:t>序号</w:t>
            </w:r>
          </w:p>
        </w:tc>
        <w:tc>
          <w:tcPr>
            <w:tcW w:w="815" w:type="pct"/>
            <w:vMerge w:val="restart"/>
            <w:tcBorders>
              <w:top w:val="single" w:color="000000" w:sz="6" w:space="0"/>
            </w:tcBorders>
            <w:vAlign w:val="center"/>
          </w:tcPr>
          <w:p w14:paraId="0C5B2C73">
            <w:pPr>
              <w:spacing w:line="260" w:lineRule="exact"/>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lang w:val="en-US" w:eastAsia="zh-CN"/>
              </w:rPr>
              <w:t>冶炼方法</w:t>
            </w:r>
          </w:p>
        </w:tc>
        <w:tc>
          <w:tcPr>
            <w:tcW w:w="2527" w:type="pct"/>
            <w:gridSpan w:val="3"/>
            <w:tcBorders>
              <w:top w:val="single" w:color="000000" w:sz="6" w:space="0"/>
              <w:bottom w:val="single" w:color="000000" w:sz="6" w:space="0"/>
            </w:tcBorders>
            <w:vAlign w:val="center"/>
          </w:tcPr>
          <w:p w14:paraId="3FC5C787">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室温</w:t>
            </w:r>
          </w:p>
        </w:tc>
        <w:tc>
          <w:tcPr>
            <w:tcW w:w="919" w:type="pct"/>
            <w:vMerge w:val="restart"/>
            <w:tcBorders>
              <w:top w:val="single" w:color="000000" w:sz="6" w:space="0"/>
            </w:tcBorders>
            <w:vAlign w:val="center"/>
          </w:tcPr>
          <w:p w14:paraId="082090FA">
            <w:pPr>
              <w:spacing w:line="260" w:lineRule="exact"/>
              <w:jc w:val="center"/>
              <w:rPr>
                <w:rFonts w:hint="default" w:ascii="Times New Roman" w:hAnsi="Times New Roman" w:cs="Times New Roman" w:eastAsiaTheme="minorEastAsia"/>
                <w:color w:val="auto"/>
                <w:sz w:val="18"/>
                <w:szCs w:val="18"/>
                <w:lang w:val="zh-TW" w:eastAsia="zh-CN"/>
              </w:rPr>
            </w:pPr>
            <w:r>
              <w:rPr>
                <w:rFonts w:hint="default" w:ascii="Times New Roman" w:hAnsi="Times New Roman" w:cs="Times New Roman" w:eastAsiaTheme="minorEastAsia"/>
                <w:color w:val="auto"/>
                <w:sz w:val="18"/>
                <w:szCs w:val="18"/>
                <w:lang w:val="zh-TW"/>
              </w:rPr>
              <w:t>热处理温度</w:t>
            </w:r>
            <w:r>
              <w:rPr>
                <w:rFonts w:hint="default" w:ascii="Times New Roman" w:hAnsi="Times New Roman" w:cs="Times New Roman" w:eastAsiaTheme="minorEastAsia"/>
                <w:color w:val="auto"/>
                <w:sz w:val="18"/>
                <w:szCs w:val="18"/>
                <w:lang w:val="zh-TW" w:eastAsia="zh-CN"/>
              </w:rPr>
              <w:t>（</w:t>
            </w:r>
            <w:r>
              <w:rPr>
                <w:rFonts w:hint="default" w:ascii="Times New Roman" w:hAnsi="Times New Roman" w:cs="Times New Roman" w:eastAsiaTheme="minorEastAsia"/>
                <w:color w:val="auto"/>
                <w:sz w:val="18"/>
                <w:szCs w:val="18"/>
                <w:lang w:val="en-US" w:eastAsia="zh-CN"/>
              </w:rPr>
              <w:t>T</w:t>
            </w:r>
            <w:r>
              <w:rPr>
                <w:rFonts w:hint="default" w:ascii="Times New Roman" w:hAnsi="Times New Roman" w:cs="Times New Roman" w:eastAsiaTheme="minorEastAsia"/>
                <w:color w:val="auto"/>
                <w:sz w:val="18"/>
                <w:szCs w:val="18"/>
                <w:lang w:val="zh-TW" w:eastAsia="zh-CN"/>
              </w:rPr>
              <w:t>）</w:t>
            </w:r>
          </w:p>
          <w:p w14:paraId="014B0B6B">
            <w:pPr>
              <w:spacing w:line="260" w:lineRule="exact"/>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lang w:val="en-US" w:eastAsia="zh-CN"/>
              </w:rPr>
              <w:t>℃</w:t>
            </w:r>
          </w:p>
        </w:tc>
        <w:tc>
          <w:tcPr>
            <w:tcW w:w="488" w:type="pct"/>
            <w:vMerge w:val="restart"/>
            <w:tcBorders>
              <w:top w:val="single" w:color="000000" w:sz="6" w:space="0"/>
              <w:right w:val="single" w:color="000000" w:sz="6" w:space="0"/>
            </w:tcBorders>
            <w:vAlign w:val="center"/>
          </w:tcPr>
          <w:p w14:paraId="174EB466">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冷却方式</w:t>
            </w:r>
          </w:p>
        </w:tc>
      </w:tr>
      <w:tr w14:paraId="0B8C5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247" w:type="pct"/>
            <w:vMerge w:val="continue"/>
            <w:tcBorders>
              <w:top w:val="nil"/>
              <w:left w:val="single" w:color="000000" w:sz="6" w:space="0"/>
              <w:bottom w:val="nil"/>
            </w:tcBorders>
            <w:textDirection w:val="tbRlV"/>
            <w:vAlign w:val="center"/>
          </w:tcPr>
          <w:p w14:paraId="67BB7015">
            <w:pPr>
              <w:spacing w:line="260" w:lineRule="exact"/>
              <w:jc w:val="center"/>
              <w:rPr>
                <w:rFonts w:hint="default" w:ascii="Times New Roman" w:hAnsi="Times New Roman" w:cs="Times New Roman" w:eastAsiaTheme="minorEastAsia"/>
                <w:color w:val="auto"/>
                <w:sz w:val="18"/>
                <w:szCs w:val="18"/>
                <w:lang w:val="zh-TW"/>
              </w:rPr>
            </w:pPr>
          </w:p>
        </w:tc>
        <w:tc>
          <w:tcPr>
            <w:tcW w:w="815" w:type="pct"/>
            <w:vMerge w:val="continue"/>
            <w:vAlign w:val="center"/>
          </w:tcPr>
          <w:p w14:paraId="05A023F2">
            <w:pPr>
              <w:spacing w:line="260" w:lineRule="exact"/>
              <w:jc w:val="center"/>
              <w:rPr>
                <w:rFonts w:hint="default" w:ascii="Times New Roman" w:hAnsi="Times New Roman" w:cs="Times New Roman" w:eastAsiaTheme="minorEastAsia"/>
                <w:color w:val="auto"/>
                <w:sz w:val="18"/>
                <w:szCs w:val="18"/>
                <w:lang w:val="zh-TW"/>
              </w:rPr>
            </w:pPr>
          </w:p>
        </w:tc>
        <w:tc>
          <w:tcPr>
            <w:tcW w:w="867" w:type="pct"/>
            <w:tcBorders>
              <w:top w:val="single" w:color="000000" w:sz="6" w:space="0"/>
            </w:tcBorders>
            <w:vAlign w:val="center"/>
          </w:tcPr>
          <w:p w14:paraId="3F0EDAE5">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抗拉强度</w:t>
            </w:r>
            <w:r>
              <w:rPr>
                <w:rFonts w:hint="default" w:ascii="Times New Roman" w:hAnsi="Times New Roman" w:cs="Times New Roman" w:eastAsiaTheme="minorEastAsia"/>
                <w:color w:val="auto"/>
                <w:sz w:val="18"/>
                <w:szCs w:val="18"/>
                <w:lang w:val="zh-TW" w:eastAsia="zh-CN"/>
              </w:rPr>
              <w:t>（</w:t>
            </w:r>
            <w:r>
              <w:rPr>
                <w:rFonts w:hint="default" w:ascii="Times New Roman" w:hAnsi="Times New Roman" w:cs="Times New Roman" w:eastAsiaTheme="minorEastAsia"/>
                <w:color w:val="auto"/>
                <w:sz w:val="18"/>
                <w:szCs w:val="18"/>
                <w:lang w:val="zh-TW"/>
              </w:rPr>
              <w:t>R</w:t>
            </w:r>
            <w:r>
              <w:rPr>
                <w:rFonts w:hint="default" w:ascii="Times New Roman" w:hAnsi="Times New Roman" w:cs="Times New Roman" w:eastAsiaTheme="minorEastAsia"/>
                <w:color w:val="auto"/>
                <w:sz w:val="18"/>
                <w:szCs w:val="18"/>
                <w:vertAlign w:val="subscript"/>
                <w:lang w:val="zh-TW"/>
              </w:rPr>
              <w:t>m</w:t>
            </w:r>
            <w:r>
              <w:rPr>
                <w:rFonts w:hint="default" w:ascii="Times New Roman" w:hAnsi="Times New Roman" w:cs="Times New Roman" w:eastAsiaTheme="minorEastAsia"/>
                <w:color w:val="auto"/>
                <w:sz w:val="18"/>
                <w:szCs w:val="18"/>
                <w:lang w:val="zh-TW" w:eastAsia="zh-CN"/>
              </w:rPr>
              <w:t>）</w:t>
            </w:r>
          </w:p>
          <w:p w14:paraId="0B87B4BD">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MPa</w:t>
            </w:r>
          </w:p>
        </w:tc>
        <w:tc>
          <w:tcPr>
            <w:tcW w:w="726" w:type="pct"/>
            <w:tcBorders>
              <w:top w:val="single" w:color="000000" w:sz="6" w:space="0"/>
            </w:tcBorders>
            <w:vAlign w:val="center"/>
          </w:tcPr>
          <w:p w14:paraId="3D6B1B66">
            <w:pPr>
              <w:spacing w:line="260" w:lineRule="exact"/>
              <w:jc w:val="center"/>
              <w:rPr>
                <w:rFonts w:hint="default" w:ascii="Times New Roman" w:hAnsi="Times New Roman" w:cs="Times New Roman" w:eastAsiaTheme="minorEastAsia"/>
                <w:color w:val="auto"/>
                <w:sz w:val="18"/>
                <w:szCs w:val="18"/>
                <w:lang w:val="zh-TW" w:eastAsia="zh-CN"/>
              </w:rPr>
            </w:pPr>
            <w:r>
              <w:rPr>
                <w:rFonts w:hint="default" w:ascii="Times New Roman" w:hAnsi="Times New Roman" w:cs="Times New Roman" w:eastAsiaTheme="minorEastAsia"/>
                <w:color w:val="auto"/>
                <w:sz w:val="18"/>
                <w:szCs w:val="18"/>
                <w:lang w:val="zh-TW"/>
              </w:rPr>
              <w:t>规定塑性延伸</w:t>
            </w:r>
          </w:p>
          <w:p w14:paraId="0B64C2D8">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强度</w:t>
            </w:r>
            <w:r>
              <w:rPr>
                <w:rFonts w:hint="default" w:ascii="Times New Roman" w:hAnsi="Times New Roman" w:cs="Times New Roman" w:eastAsiaTheme="minorEastAsia"/>
                <w:color w:val="auto"/>
                <w:sz w:val="18"/>
                <w:szCs w:val="18"/>
                <w:lang w:val="zh-TW" w:eastAsia="zh-CN"/>
              </w:rPr>
              <w:t>（</w:t>
            </w:r>
            <w:r>
              <w:rPr>
                <w:rFonts w:hint="default" w:ascii="Times New Roman" w:hAnsi="Times New Roman" w:cs="Times New Roman" w:eastAsiaTheme="minorEastAsia"/>
                <w:color w:val="auto"/>
                <w:sz w:val="18"/>
                <w:szCs w:val="18"/>
                <w:lang w:val="zh-TW"/>
              </w:rPr>
              <w:t>R</w:t>
            </w:r>
            <w:r>
              <w:rPr>
                <w:rFonts w:hint="default" w:ascii="Times New Roman" w:hAnsi="Times New Roman" w:cs="Times New Roman" w:eastAsiaTheme="minorEastAsia"/>
                <w:color w:val="auto"/>
                <w:sz w:val="18"/>
                <w:szCs w:val="18"/>
                <w:vertAlign w:val="subscript"/>
                <w:lang w:val="zh-TW"/>
              </w:rPr>
              <w:t>p0.2</w:t>
            </w:r>
            <w:r>
              <w:rPr>
                <w:rFonts w:hint="default" w:ascii="Times New Roman" w:hAnsi="Times New Roman" w:cs="Times New Roman" w:eastAsiaTheme="minorEastAsia"/>
                <w:color w:val="auto"/>
                <w:sz w:val="18"/>
                <w:szCs w:val="18"/>
                <w:lang w:val="zh-TW" w:eastAsia="zh-CN"/>
              </w:rPr>
              <w:t>）</w:t>
            </w:r>
          </w:p>
          <w:p w14:paraId="79750203">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MPa</w:t>
            </w:r>
          </w:p>
        </w:tc>
        <w:tc>
          <w:tcPr>
            <w:tcW w:w="933" w:type="pct"/>
            <w:tcBorders>
              <w:top w:val="single" w:color="000000" w:sz="6" w:space="0"/>
            </w:tcBorders>
            <w:vAlign w:val="center"/>
          </w:tcPr>
          <w:p w14:paraId="42A84683">
            <w:pPr>
              <w:spacing w:line="260" w:lineRule="exact"/>
              <w:jc w:val="center"/>
              <w:rPr>
                <w:rFonts w:hint="default" w:ascii="Times New Roman" w:hAnsi="Times New Roman" w:cs="Times New Roman" w:eastAsiaTheme="minorEastAsia"/>
                <w:color w:val="auto"/>
                <w:sz w:val="18"/>
                <w:szCs w:val="18"/>
                <w:lang w:val="zh-TW" w:eastAsia="zh-CN"/>
              </w:rPr>
            </w:pPr>
            <w:r>
              <w:rPr>
                <w:rFonts w:hint="default" w:ascii="Times New Roman" w:hAnsi="Times New Roman" w:cs="Times New Roman" w:eastAsiaTheme="minorEastAsia"/>
                <w:color w:val="auto"/>
                <w:sz w:val="18"/>
                <w:szCs w:val="18"/>
                <w:lang w:val="zh-TW"/>
              </w:rPr>
              <w:t>断后伸长率</w:t>
            </w:r>
            <w:r>
              <w:rPr>
                <w:rFonts w:hint="default" w:ascii="Times New Roman" w:hAnsi="Times New Roman" w:cs="Times New Roman" w:eastAsiaTheme="minorEastAsia"/>
                <w:color w:val="auto"/>
                <w:sz w:val="18"/>
                <w:szCs w:val="18"/>
                <w:lang w:val="zh-TW" w:eastAsia="zh-CN"/>
              </w:rPr>
              <w:t>（</w:t>
            </w:r>
            <w:r>
              <w:rPr>
                <w:rFonts w:hint="default" w:ascii="Times New Roman" w:hAnsi="Times New Roman" w:cs="Times New Roman" w:eastAsiaTheme="minorEastAsia"/>
                <w:color w:val="auto"/>
                <w:sz w:val="18"/>
                <w:szCs w:val="18"/>
                <w:lang w:val="zh-TW"/>
              </w:rPr>
              <w:t>A</w:t>
            </w:r>
            <w:r>
              <w:rPr>
                <w:rFonts w:hint="default" w:ascii="Times New Roman" w:hAnsi="Times New Roman" w:cs="Times New Roman" w:eastAsiaTheme="minorEastAsia"/>
                <w:color w:val="auto"/>
                <w:sz w:val="18"/>
                <w:szCs w:val="18"/>
                <w:lang w:val="zh-TW" w:eastAsia="zh-CN"/>
              </w:rPr>
              <w:t>）</w:t>
            </w:r>
          </w:p>
          <w:p w14:paraId="0A4FE1AC">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w:t>
            </w:r>
          </w:p>
        </w:tc>
        <w:tc>
          <w:tcPr>
            <w:tcW w:w="919" w:type="pct"/>
            <w:vMerge w:val="continue"/>
            <w:vAlign w:val="center"/>
          </w:tcPr>
          <w:p w14:paraId="64A95CBF">
            <w:pPr>
              <w:spacing w:line="260" w:lineRule="exact"/>
              <w:jc w:val="center"/>
              <w:rPr>
                <w:rFonts w:hint="default" w:ascii="Times New Roman" w:hAnsi="Times New Roman" w:cs="Times New Roman" w:eastAsiaTheme="minorEastAsia"/>
                <w:color w:val="auto"/>
                <w:sz w:val="18"/>
                <w:szCs w:val="18"/>
                <w:lang w:val="zh-TW"/>
              </w:rPr>
            </w:pPr>
          </w:p>
        </w:tc>
        <w:tc>
          <w:tcPr>
            <w:tcW w:w="488" w:type="pct"/>
            <w:vMerge w:val="continue"/>
            <w:tcBorders>
              <w:right w:val="single" w:color="000000" w:sz="6" w:space="0"/>
            </w:tcBorders>
            <w:vAlign w:val="center"/>
          </w:tcPr>
          <w:p w14:paraId="38181237">
            <w:pPr>
              <w:spacing w:line="260" w:lineRule="exact"/>
              <w:jc w:val="center"/>
              <w:rPr>
                <w:rFonts w:hint="default" w:ascii="Times New Roman" w:hAnsi="Times New Roman" w:cs="Times New Roman" w:eastAsiaTheme="minorEastAsia"/>
                <w:color w:val="auto"/>
                <w:sz w:val="18"/>
                <w:szCs w:val="18"/>
                <w:lang w:val="zh-TW"/>
              </w:rPr>
            </w:pPr>
          </w:p>
        </w:tc>
      </w:tr>
      <w:tr w14:paraId="2BAE5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47" w:type="pct"/>
            <w:vMerge w:val="continue"/>
            <w:tcBorders>
              <w:top w:val="nil"/>
              <w:left w:val="single" w:color="000000" w:sz="6" w:space="0"/>
            </w:tcBorders>
            <w:textDirection w:val="tbRlV"/>
            <w:vAlign w:val="center"/>
          </w:tcPr>
          <w:p w14:paraId="50A286DC">
            <w:pPr>
              <w:spacing w:line="260" w:lineRule="exact"/>
              <w:jc w:val="center"/>
              <w:rPr>
                <w:rFonts w:hint="default" w:ascii="Times New Roman" w:hAnsi="Times New Roman" w:cs="Times New Roman" w:eastAsiaTheme="minorEastAsia"/>
                <w:color w:val="auto"/>
                <w:sz w:val="18"/>
                <w:szCs w:val="18"/>
                <w:lang w:val="zh-TW"/>
              </w:rPr>
            </w:pPr>
          </w:p>
        </w:tc>
        <w:tc>
          <w:tcPr>
            <w:tcW w:w="815" w:type="pct"/>
            <w:vMerge w:val="continue"/>
            <w:vAlign w:val="center"/>
          </w:tcPr>
          <w:p w14:paraId="48D3172E">
            <w:pPr>
              <w:spacing w:line="260" w:lineRule="exact"/>
              <w:jc w:val="center"/>
              <w:rPr>
                <w:rFonts w:hint="default" w:ascii="Times New Roman" w:hAnsi="Times New Roman" w:cs="Times New Roman" w:eastAsiaTheme="minorEastAsia"/>
                <w:color w:val="auto"/>
                <w:sz w:val="18"/>
                <w:szCs w:val="18"/>
                <w:lang w:val="zh-TW"/>
              </w:rPr>
            </w:pPr>
          </w:p>
        </w:tc>
        <w:tc>
          <w:tcPr>
            <w:tcW w:w="3447" w:type="pct"/>
            <w:gridSpan w:val="4"/>
            <w:vAlign w:val="center"/>
          </w:tcPr>
          <w:p w14:paraId="41464173">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不小于</w:t>
            </w:r>
          </w:p>
        </w:tc>
        <w:tc>
          <w:tcPr>
            <w:tcW w:w="488" w:type="pct"/>
            <w:vMerge w:val="continue"/>
            <w:tcBorders>
              <w:right w:val="single" w:color="000000" w:sz="6" w:space="0"/>
            </w:tcBorders>
            <w:vAlign w:val="center"/>
          </w:tcPr>
          <w:p w14:paraId="131588E4">
            <w:pPr>
              <w:spacing w:line="260" w:lineRule="exact"/>
              <w:jc w:val="center"/>
              <w:rPr>
                <w:rFonts w:hint="default" w:ascii="Times New Roman" w:hAnsi="Times New Roman" w:cs="Times New Roman" w:eastAsiaTheme="minorEastAsia"/>
                <w:color w:val="auto"/>
                <w:sz w:val="18"/>
                <w:szCs w:val="18"/>
                <w:lang w:val="zh-TW"/>
              </w:rPr>
            </w:pPr>
          </w:p>
        </w:tc>
      </w:tr>
      <w:tr w14:paraId="23CC2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7" w:type="pct"/>
            <w:tcBorders>
              <w:left w:val="single" w:color="000000" w:sz="6" w:space="0"/>
            </w:tcBorders>
            <w:vAlign w:val="center"/>
          </w:tcPr>
          <w:p w14:paraId="1D39C88F">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1</w:t>
            </w:r>
          </w:p>
        </w:tc>
        <w:tc>
          <w:tcPr>
            <w:tcW w:w="815" w:type="pct"/>
            <w:shd w:val="clear" w:color="auto" w:fill="auto"/>
            <w:vAlign w:val="center"/>
          </w:tcPr>
          <w:p w14:paraId="10E5C901">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eastAsia="zh-CN"/>
              </w:rPr>
              <w:t>VAR</w:t>
            </w:r>
          </w:p>
        </w:tc>
        <w:tc>
          <w:tcPr>
            <w:tcW w:w="867" w:type="pct"/>
            <w:vAlign w:val="center"/>
          </w:tcPr>
          <w:p w14:paraId="536273B3">
            <w:pPr>
              <w:spacing w:line="260" w:lineRule="exact"/>
              <w:jc w:val="center"/>
              <w:rPr>
                <w:rFonts w:hint="default" w:ascii="Times New Roman" w:hAnsi="Times New Roman" w:eastAsia="PMingLiU" w:cs="Times New Roman"/>
                <w:color w:val="auto"/>
                <w:sz w:val="18"/>
                <w:szCs w:val="18"/>
                <w:lang w:val="zh-TW" w:eastAsia="zh-TW"/>
              </w:rPr>
            </w:pPr>
            <w:r>
              <w:rPr>
                <w:rFonts w:hint="default" w:ascii="Times New Roman" w:hAnsi="Times New Roman" w:cs="Times New Roman"/>
                <w:color w:val="auto"/>
                <w:sz w:val="18"/>
                <w:szCs w:val="18"/>
              </w:rPr>
              <w:t>485</w:t>
            </w:r>
          </w:p>
        </w:tc>
        <w:tc>
          <w:tcPr>
            <w:tcW w:w="726" w:type="pct"/>
            <w:vAlign w:val="center"/>
          </w:tcPr>
          <w:p w14:paraId="1B03021C">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color w:val="auto"/>
                <w:sz w:val="18"/>
                <w:szCs w:val="18"/>
              </w:rPr>
              <w:t>170</w:t>
            </w:r>
          </w:p>
        </w:tc>
        <w:tc>
          <w:tcPr>
            <w:tcW w:w="933" w:type="pct"/>
            <w:vAlign w:val="center"/>
          </w:tcPr>
          <w:p w14:paraId="42304698">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color w:val="auto"/>
                <w:sz w:val="18"/>
                <w:szCs w:val="18"/>
              </w:rPr>
              <w:t>35</w:t>
            </w:r>
          </w:p>
        </w:tc>
        <w:tc>
          <w:tcPr>
            <w:tcW w:w="919" w:type="pct"/>
            <w:vAlign w:val="center"/>
          </w:tcPr>
          <w:p w14:paraId="43EC078F">
            <w:pPr>
              <w:spacing w:line="260" w:lineRule="exact"/>
              <w:jc w:val="center"/>
              <w:rPr>
                <w:rFonts w:hint="default" w:ascii="Times New Roman" w:hAnsi="Times New Roman" w:eastAsia="PMingLiU" w:cs="Times New Roman"/>
                <w:color w:val="auto"/>
                <w:sz w:val="18"/>
                <w:szCs w:val="18"/>
                <w:lang w:val="zh-TW" w:eastAsia="zh-TW"/>
              </w:rPr>
            </w:pPr>
            <w:r>
              <w:rPr>
                <w:rFonts w:hint="default" w:ascii="Times New Roman" w:hAnsi="Times New Roman" w:cs="Times New Roman" w:eastAsiaTheme="minorEastAsia"/>
                <w:color w:val="auto"/>
                <w:sz w:val="18"/>
                <w:szCs w:val="18"/>
                <w:lang w:val="zh-TW"/>
              </w:rPr>
              <w:t>1</w:t>
            </w:r>
            <w:r>
              <w:rPr>
                <w:rFonts w:hint="default" w:ascii="Times New Roman" w:hAnsi="Times New Roman" w:eastAsia="PMingLiU" w:cs="Times New Roman"/>
                <w:color w:val="auto"/>
                <w:sz w:val="18"/>
                <w:szCs w:val="18"/>
                <w:lang w:val="zh-TW" w:eastAsia="zh-TW"/>
              </w:rPr>
              <w:t>020</w:t>
            </w:r>
          </w:p>
        </w:tc>
        <w:tc>
          <w:tcPr>
            <w:tcW w:w="488" w:type="pct"/>
            <w:vMerge w:val="restart"/>
            <w:tcBorders>
              <w:right w:val="single" w:color="000000" w:sz="6" w:space="0"/>
            </w:tcBorders>
            <w:vAlign w:val="center"/>
          </w:tcPr>
          <w:p w14:paraId="18BE6859">
            <w:pPr>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水冷</w:t>
            </w:r>
          </w:p>
        </w:tc>
      </w:tr>
      <w:tr w14:paraId="02447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7" w:type="pct"/>
            <w:tcBorders>
              <w:left w:val="single" w:color="000000" w:sz="6" w:space="0"/>
            </w:tcBorders>
            <w:vAlign w:val="center"/>
          </w:tcPr>
          <w:p w14:paraId="52E7A689">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2</w:t>
            </w:r>
          </w:p>
        </w:tc>
        <w:tc>
          <w:tcPr>
            <w:tcW w:w="815" w:type="pct"/>
            <w:shd w:val="clear" w:color="auto" w:fill="auto"/>
            <w:vAlign w:val="center"/>
          </w:tcPr>
          <w:p w14:paraId="007C9EE8">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eastAsia="zh-CN"/>
              </w:rPr>
              <w:t>VIM-VAR</w:t>
            </w:r>
          </w:p>
        </w:tc>
        <w:tc>
          <w:tcPr>
            <w:tcW w:w="867" w:type="pct"/>
            <w:vAlign w:val="center"/>
          </w:tcPr>
          <w:p w14:paraId="55E0B237">
            <w:pPr>
              <w:spacing w:line="260" w:lineRule="exact"/>
              <w:jc w:val="center"/>
              <w:rPr>
                <w:rFonts w:hint="default" w:ascii="Times New Roman" w:hAnsi="Times New Roman" w:eastAsia="PMingLiU" w:cs="Times New Roman"/>
                <w:color w:val="auto"/>
                <w:sz w:val="18"/>
                <w:szCs w:val="18"/>
                <w:lang w:val="zh-TW" w:eastAsia="zh-TW"/>
              </w:rPr>
            </w:pPr>
            <w:r>
              <w:rPr>
                <w:rFonts w:hint="default" w:ascii="Times New Roman" w:hAnsi="Times New Roman" w:cs="Times New Roman"/>
                <w:color w:val="auto"/>
                <w:sz w:val="18"/>
                <w:szCs w:val="18"/>
              </w:rPr>
              <w:t>485</w:t>
            </w:r>
          </w:p>
        </w:tc>
        <w:tc>
          <w:tcPr>
            <w:tcW w:w="726" w:type="pct"/>
            <w:vAlign w:val="center"/>
          </w:tcPr>
          <w:p w14:paraId="728D4793">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color w:val="auto"/>
                <w:sz w:val="18"/>
                <w:szCs w:val="18"/>
              </w:rPr>
              <w:t>170</w:t>
            </w:r>
          </w:p>
        </w:tc>
        <w:tc>
          <w:tcPr>
            <w:tcW w:w="933" w:type="pct"/>
            <w:vAlign w:val="center"/>
          </w:tcPr>
          <w:p w14:paraId="3B20DCF4">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color w:val="auto"/>
                <w:sz w:val="18"/>
                <w:szCs w:val="18"/>
              </w:rPr>
              <w:t>35</w:t>
            </w:r>
          </w:p>
        </w:tc>
        <w:tc>
          <w:tcPr>
            <w:tcW w:w="919" w:type="pct"/>
            <w:vAlign w:val="center"/>
          </w:tcPr>
          <w:p w14:paraId="0EF5783C">
            <w:pPr>
              <w:spacing w:line="260" w:lineRule="exact"/>
              <w:jc w:val="center"/>
              <w:rPr>
                <w:rFonts w:hint="default" w:ascii="Times New Roman" w:hAnsi="Times New Roman" w:eastAsia="PMingLiU" w:cs="Times New Roman"/>
                <w:color w:val="auto"/>
                <w:sz w:val="18"/>
                <w:szCs w:val="18"/>
                <w:lang w:val="zh-TW" w:eastAsia="zh-TW"/>
              </w:rPr>
            </w:pPr>
            <w:r>
              <w:rPr>
                <w:rFonts w:hint="default" w:ascii="Times New Roman" w:hAnsi="Times New Roman" w:cs="Times New Roman" w:eastAsiaTheme="minorEastAsia"/>
                <w:color w:val="auto"/>
                <w:sz w:val="18"/>
                <w:szCs w:val="18"/>
                <w:lang w:val="zh-TW"/>
              </w:rPr>
              <w:t>1</w:t>
            </w:r>
            <w:r>
              <w:rPr>
                <w:rFonts w:hint="default" w:ascii="Times New Roman" w:hAnsi="Times New Roman" w:eastAsia="PMingLiU" w:cs="Times New Roman"/>
                <w:color w:val="auto"/>
                <w:sz w:val="18"/>
                <w:szCs w:val="18"/>
                <w:lang w:val="zh-TW" w:eastAsia="zh-TW"/>
              </w:rPr>
              <w:t>020</w:t>
            </w:r>
          </w:p>
        </w:tc>
        <w:tc>
          <w:tcPr>
            <w:tcW w:w="488" w:type="pct"/>
            <w:vMerge w:val="continue"/>
            <w:tcBorders>
              <w:right w:val="single" w:color="000000" w:sz="6" w:space="0"/>
            </w:tcBorders>
            <w:vAlign w:val="center"/>
          </w:tcPr>
          <w:p w14:paraId="16AF157B">
            <w:pPr>
              <w:jc w:val="center"/>
              <w:rPr>
                <w:rFonts w:hint="default" w:ascii="Times New Roman" w:hAnsi="Times New Roman" w:cs="Times New Roman" w:eastAsiaTheme="minorEastAsia"/>
                <w:color w:val="auto"/>
                <w:sz w:val="18"/>
                <w:szCs w:val="18"/>
                <w:lang w:val="zh-TW"/>
              </w:rPr>
            </w:pPr>
          </w:p>
        </w:tc>
      </w:tr>
      <w:tr w14:paraId="1353D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7" w:type="pct"/>
            <w:tcBorders>
              <w:left w:val="single" w:color="000000" w:sz="6" w:space="0"/>
            </w:tcBorders>
            <w:vAlign w:val="center"/>
          </w:tcPr>
          <w:p w14:paraId="321BCF28">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eastAsiaTheme="minorEastAsia"/>
                <w:color w:val="auto"/>
                <w:sz w:val="18"/>
                <w:szCs w:val="18"/>
                <w:lang w:val="zh-TW"/>
              </w:rPr>
              <w:t>3</w:t>
            </w:r>
          </w:p>
        </w:tc>
        <w:tc>
          <w:tcPr>
            <w:tcW w:w="815" w:type="pct"/>
            <w:shd w:val="clear" w:color="auto" w:fill="auto"/>
            <w:vAlign w:val="center"/>
          </w:tcPr>
          <w:p w14:paraId="7EFE843C">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eastAsia="zh-CN"/>
              </w:rPr>
              <w:t>VIM–VAR-VAR</w:t>
            </w:r>
          </w:p>
        </w:tc>
        <w:tc>
          <w:tcPr>
            <w:tcW w:w="867" w:type="pct"/>
            <w:vAlign w:val="center"/>
          </w:tcPr>
          <w:p w14:paraId="631F7E1C">
            <w:pPr>
              <w:spacing w:line="260" w:lineRule="exact"/>
              <w:jc w:val="center"/>
              <w:rPr>
                <w:rFonts w:hint="default" w:ascii="Times New Roman" w:hAnsi="Times New Roman" w:eastAsia="PMingLiU" w:cs="Times New Roman"/>
                <w:color w:val="auto"/>
                <w:sz w:val="18"/>
                <w:szCs w:val="18"/>
                <w:lang w:val="zh-TW" w:eastAsia="zh-TW"/>
              </w:rPr>
            </w:pPr>
            <w:r>
              <w:rPr>
                <w:rFonts w:hint="default" w:ascii="Times New Roman" w:hAnsi="Times New Roman" w:cs="Times New Roman"/>
                <w:color w:val="auto"/>
                <w:sz w:val="18"/>
                <w:szCs w:val="18"/>
              </w:rPr>
              <w:t>520</w:t>
            </w:r>
          </w:p>
        </w:tc>
        <w:tc>
          <w:tcPr>
            <w:tcW w:w="726" w:type="pct"/>
            <w:vAlign w:val="center"/>
          </w:tcPr>
          <w:p w14:paraId="45F808BB">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color w:val="auto"/>
                <w:sz w:val="18"/>
                <w:szCs w:val="18"/>
              </w:rPr>
              <w:t>205</w:t>
            </w:r>
          </w:p>
        </w:tc>
        <w:tc>
          <w:tcPr>
            <w:tcW w:w="933" w:type="pct"/>
            <w:vAlign w:val="center"/>
          </w:tcPr>
          <w:p w14:paraId="52D387BA">
            <w:pPr>
              <w:spacing w:line="260" w:lineRule="exact"/>
              <w:jc w:val="center"/>
              <w:rPr>
                <w:rFonts w:hint="default" w:ascii="Times New Roman" w:hAnsi="Times New Roman" w:cs="Times New Roman" w:eastAsiaTheme="minorEastAsia"/>
                <w:color w:val="auto"/>
                <w:sz w:val="18"/>
                <w:szCs w:val="18"/>
                <w:lang w:val="zh-TW"/>
              </w:rPr>
            </w:pPr>
            <w:r>
              <w:rPr>
                <w:rFonts w:hint="default" w:ascii="Times New Roman" w:hAnsi="Times New Roman" w:cs="Times New Roman"/>
                <w:color w:val="auto"/>
                <w:sz w:val="18"/>
                <w:szCs w:val="18"/>
              </w:rPr>
              <w:t>35</w:t>
            </w:r>
          </w:p>
        </w:tc>
        <w:tc>
          <w:tcPr>
            <w:tcW w:w="919" w:type="pct"/>
            <w:vAlign w:val="center"/>
          </w:tcPr>
          <w:p w14:paraId="4BB0083C">
            <w:pPr>
              <w:spacing w:line="260" w:lineRule="exact"/>
              <w:jc w:val="center"/>
              <w:rPr>
                <w:rFonts w:hint="default" w:ascii="Times New Roman" w:hAnsi="Times New Roman" w:eastAsia="PMingLiU" w:cs="Times New Roman"/>
                <w:color w:val="auto"/>
                <w:sz w:val="18"/>
                <w:szCs w:val="18"/>
                <w:lang w:val="zh-TW" w:eastAsia="zh-TW"/>
              </w:rPr>
            </w:pPr>
            <w:r>
              <w:rPr>
                <w:rFonts w:hint="default" w:ascii="Times New Roman" w:hAnsi="Times New Roman" w:cs="Times New Roman" w:eastAsiaTheme="minorEastAsia"/>
                <w:color w:val="auto"/>
                <w:sz w:val="18"/>
                <w:szCs w:val="18"/>
                <w:lang w:val="zh-TW"/>
              </w:rPr>
              <w:t>1</w:t>
            </w:r>
            <w:r>
              <w:rPr>
                <w:rFonts w:hint="default" w:ascii="Times New Roman" w:hAnsi="Times New Roman" w:eastAsia="PMingLiU" w:cs="Times New Roman"/>
                <w:color w:val="auto"/>
                <w:sz w:val="18"/>
                <w:szCs w:val="18"/>
                <w:lang w:val="zh-TW" w:eastAsia="zh-TW"/>
              </w:rPr>
              <w:t>040</w:t>
            </w:r>
          </w:p>
        </w:tc>
        <w:tc>
          <w:tcPr>
            <w:tcW w:w="488" w:type="pct"/>
            <w:vMerge w:val="continue"/>
            <w:tcBorders>
              <w:right w:val="single" w:color="000000" w:sz="6" w:space="0"/>
            </w:tcBorders>
            <w:vAlign w:val="center"/>
          </w:tcPr>
          <w:p w14:paraId="0487455F">
            <w:pPr>
              <w:jc w:val="center"/>
              <w:rPr>
                <w:rFonts w:hint="default" w:ascii="Times New Roman" w:hAnsi="Times New Roman" w:cs="Times New Roman" w:eastAsiaTheme="minorEastAsia"/>
                <w:color w:val="auto"/>
                <w:sz w:val="18"/>
                <w:szCs w:val="18"/>
                <w:lang w:val="zh-TW"/>
              </w:rPr>
            </w:pPr>
          </w:p>
        </w:tc>
      </w:tr>
      <w:tr w14:paraId="63852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7" w:type="pct"/>
            <w:tcBorders>
              <w:left w:val="single" w:color="000000" w:sz="6" w:space="0"/>
            </w:tcBorders>
            <w:vAlign w:val="center"/>
          </w:tcPr>
          <w:p w14:paraId="5977C922">
            <w:pPr>
              <w:spacing w:line="260" w:lineRule="exact"/>
              <w:jc w:val="center"/>
              <w:rPr>
                <w:rFonts w:hint="default" w:ascii="Times New Roman" w:hAnsi="Times New Roman" w:cs="Times New Roman" w:eastAsiaTheme="minorEastAsia"/>
                <w:color w:val="0000FF"/>
                <w:sz w:val="18"/>
                <w:szCs w:val="18"/>
                <w:lang w:val="en-US" w:eastAsia="zh-CN"/>
              </w:rPr>
            </w:pPr>
            <w:r>
              <w:rPr>
                <w:rFonts w:hint="eastAsia" w:ascii="Times New Roman" w:hAnsi="Times New Roman" w:cs="Times New Roman"/>
                <w:color w:val="0000FF"/>
                <w:sz w:val="18"/>
                <w:szCs w:val="18"/>
                <w:lang w:val="en-US" w:eastAsia="zh-CN"/>
              </w:rPr>
              <w:t>ASTM</w:t>
            </w:r>
          </w:p>
        </w:tc>
        <w:tc>
          <w:tcPr>
            <w:tcW w:w="815" w:type="pct"/>
            <w:shd w:val="clear" w:color="auto" w:fill="auto"/>
            <w:vAlign w:val="center"/>
          </w:tcPr>
          <w:p w14:paraId="7240F99E">
            <w:pPr>
              <w:jc w:val="center"/>
              <w:rPr>
                <w:rFonts w:hint="default" w:ascii="Times New Roman" w:hAnsi="Times New Roman" w:cs="Times New Roman"/>
                <w:color w:val="0000FF"/>
                <w:sz w:val="18"/>
                <w:szCs w:val="18"/>
                <w:lang w:val="en-US" w:eastAsia="zh-CN"/>
              </w:rPr>
            </w:pPr>
            <w:r>
              <w:rPr>
                <w:rFonts w:hint="default" w:ascii="Times New Roman" w:hAnsi="Times New Roman" w:cs="Times New Roman"/>
                <w:color w:val="0000FF"/>
                <w:sz w:val="18"/>
                <w:szCs w:val="18"/>
                <w:lang w:val="en-US" w:eastAsia="zh-CN"/>
              </w:rPr>
              <w:t>/</w:t>
            </w:r>
          </w:p>
        </w:tc>
        <w:tc>
          <w:tcPr>
            <w:tcW w:w="867" w:type="pct"/>
            <w:vAlign w:val="center"/>
          </w:tcPr>
          <w:p w14:paraId="002C1B63">
            <w:pPr>
              <w:spacing w:line="260" w:lineRule="exact"/>
              <w:jc w:val="center"/>
              <w:rPr>
                <w:rFonts w:hint="default" w:ascii="Times New Roman" w:hAnsi="Times New Roman" w:cs="Times New Roman" w:eastAsiaTheme="minorEastAsia"/>
                <w:color w:val="0000FF"/>
                <w:sz w:val="18"/>
                <w:szCs w:val="18"/>
                <w:lang w:val="en-US" w:eastAsia="zh-CN"/>
              </w:rPr>
            </w:pPr>
            <w:r>
              <w:rPr>
                <w:rFonts w:hint="default" w:ascii="Times New Roman" w:hAnsi="Times New Roman" w:cs="Times New Roman"/>
                <w:color w:val="0000FF"/>
                <w:sz w:val="18"/>
                <w:szCs w:val="18"/>
                <w:lang w:val="en-US" w:eastAsia="zh-CN"/>
              </w:rPr>
              <w:t>48</w:t>
            </w:r>
            <w:r>
              <w:rPr>
                <w:rFonts w:hint="eastAsia" w:ascii="Times New Roman" w:hAnsi="Times New Roman" w:cs="Times New Roman"/>
                <w:color w:val="0000FF"/>
                <w:sz w:val="18"/>
                <w:szCs w:val="18"/>
                <w:lang w:val="en-US" w:eastAsia="zh-CN"/>
              </w:rPr>
              <w:t>5</w:t>
            </w:r>
          </w:p>
        </w:tc>
        <w:tc>
          <w:tcPr>
            <w:tcW w:w="726" w:type="pct"/>
            <w:vAlign w:val="center"/>
          </w:tcPr>
          <w:p w14:paraId="0746E37C">
            <w:pPr>
              <w:spacing w:line="260" w:lineRule="exact"/>
              <w:jc w:val="center"/>
              <w:rPr>
                <w:rFonts w:hint="default" w:ascii="Times New Roman" w:hAnsi="Times New Roman" w:cs="Times New Roman" w:eastAsiaTheme="minorEastAsia"/>
                <w:color w:val="0000FF"/>
                <w:sz w:val="18"/>
                <w:szCs w:val="18"/>
                <w:lang w:val="en-US" w:eastAsia="zh-CN"/>
              </w:rPr>
            </w:pPr>
            <w:r>
              <w:rPr>
                <w:rFonts w:hint="default" w:ascii="Times New Roman" w:hAnsi="Times New Roman" w:cs="Times New Roman"/>
                <w:color w:val="0000FF"/>
                <w:sz w:val="18"/>
                <w:szCs w:val="18"/>
                <w:lang w:val="en-US" w:eastAsia="zh-CN"/>
              </w:rPr>
              <w:t>17</w:t>
            </w:r>
            <w:r>
              <w:rPr>
                <w:rFonts w:hint="eastAsia" w:ascii="Times New Roman" w:hAnsi="Times New Roman" w:cs="Times New Roman"/>
                <w:color w:val="0000FF"/>
                <w:sz w:val="18"/>
                <w:szCs w:val="18"/>
                <w:lang w:val="en-US" w:eastAsia="zh-CN"/>
              </w:rPr>
              <w:t>0</w:t>
            </w:r>
          </w:p>
        </w:tc>
        <w:tc>
          <w:tcPr>
            <w:tcW w:w="933" w:type="pct"/>
            <w:vAlign w:val="center"/>
          </w:tcPr>
          <w:p w14:paraId="29944882">
            <w:pPr>
              <w:spacing w:line="260" w:lineRule="exact"/>
              <w:jc w:val="center"/>
              <w:rPr>
                <w:rFonts w:hint="default" w:ascii="Times New Roman" w:hAnsi="Times New Roman" w:cs="Times New Roman" w:eastAsiaTheme="minorEastAsia"/>
                <w:color w:val="0000FF"/>
                <w:sz w:val="18"/>
                <w:szCs w:val="18"/>
                <w:lang w:val="en-US" w:eastAsia="zh-CN"/>
              </w:rPr>
            </w:pPr>
            <w:r>
              <w:rPr>
                <w:rFonts w:hint="eastAsia" w:ascii="Times New Roman" w:hAnsi="Times New Roman" w:cs="Times New Roman"/>
                <w:color w:val="0000FF"/>
                <w:sz w:val="18"/>
                <w:szCs w:val="18"/>
                <w:lang w:val="en-US" w:eastAsia="zh-CN"/>
              </w:rPr>
              <w:t>35</w:t>
            </w:r>
          </w:p>
        </w:tc>
        <w:tc>
          <w:tcPr>
            <w:tcW w:w="919" w:type="pct"/>
            <w:vAlign w:val="center"/>
          </w:tcPr>
          <w:p w14:paraId="75994739">
            <w:pPr>
              <w:spacing w:line="260" w:lineRule="exact"/>
              <w:jc w:val="center"/>
              <w:rPr>
                <w:rFonts w:hint="default" w:ascii="Times New Roman" w:hAnsi="Times New Roman" w:cs="Times New Roman" w:eastAsiaTheme="minorEastAsia"/>
                <w:color w:val="0000FF"/>
                <w:sz w:val="18"/>
                <w:szCs w:val="18"/>
                <w:lang w:val="en-US" w:eastAsia="zh-CN"/>
              </w:rPr>
            </w:pPr>
            <w:r>
              <w:rPr>
                <w:rFonts w:hint="eastAsia" w:ascii="Times New Roman" w:hAnsi="Times New Roman" w:cs="Times New Roman"/>
                <w:color w:val="0000FF"/>
                <w:sz w:val="18"/>
                <w:szCs w:val="18"/>
                <w:lang w:val="en-US" w:eastAsia="zh-CN"/>
              </w:rPr>
              <w:t>1040</w:t>
            </w:r>
          </w:p>
        </w:tc>
        <w:tc>
          <w:tcPr>
            <w:tcW w:w="488" w:type="pct"/>
            <w:tcBorders>
              <w:right w:val="single" w:color="000000" w:sz="6" w:space="0"/>
            </w:tcBorders>
            <w:vAlign w:val="center"/>
          </w:tcPr>
          <w:p w14:paraId="30B36845">
            <w:pPr>
              <w:jc w:val="center"/>
              <w:rPr>
                <w:rFonts w:hint="eastAsia" w:ascii="Times New Roman" w:hAnsi="Times New Roman" w:cs="Times New Roman" w:eastAsiaTheme="minorEastAsia"/>
                <w:color w:val="0000FF"/>
                <w:sz w:val="18"/>
                <w:szCs w:val="18"/>
                <w:lang w:val="en-US" w:eastAsia="zh-CN"/>
              </w:rPr>
            </w:pPr>
            <w:r>
              <w:rPr>
                <w:rFonts w:hint="eastAsia" w:ascii="Times New Roman" w:hAnsi="Times New Roman" w:cs="Times New Roman"/>
                <w:color w:val="0000FF"/>
                <w:sz w:val="18"/>
                <w:szCs w:val="18"/>
                <w:lang w:val="en-US" w:eastAsia="zh-CN"/>
              </w:rPr>
              <w:t>水冷</w:t>
            </w:r>
          </w:p>
        </w:tc>
      </w:tr>
    </w:tbl>
    <w:p w14:paraId="0A9AD590">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由于SEMI标准中没有针对材料力学性能做出额外要求，而是满足普通316L的力学要求即可，因此本文件中力学性能参考了ASTM A312中的要求，并基本保持一致。</w:t>
      </w:r>
    </w:p>
    <w:p w14:paraId="774ED384">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kern w:val="2"/>
          <w:sz w:val="28"/>
          <w:szCs w:val="28"/>
          <w:lang w:val="en-US" w:eastAsia="zh-CN" w:bidi="ar-SA"/>
        </w:rPr>
        <w:t>3.</w:t>
      </w:r>
      <w:r>
        <w:rPr>
          <w:rFonts w:hint="eastAsia" w:ascii="Times New Roman" w:hAnsi="Times New Roman" w:eastAsia="仿宋_GB2312" w:cs="Times New Roman"/>
          <w:color w:val="auto"/>
          <w:sz w:val="28"/>
          <w:szCs w:val="28"/>
          <w:lang w:val="en-US" w:eastAsia="zh-CN"/>
        </w:rPr>
        <w:t>液压</w:t>
      </w:r>
    </w:p>
    <w:p w14:paraId="2ABF44E0">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与国标相比，本标准的液压最大试验压力增大为50N。</w:t>
      </w:r>
    </w:p>
    <w:p w14:paraId="55075D00">
      <w:pPr>
        <w:numPr>
          <w:ilvl w:val="0"/>
          <w:numId w:val="0"/>
        </w:numPr>
        <w:spacing w:line="360" w:lineRule="auto"/>
        <w:ind w:left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4.工艺性能</w:t>
      </w:r>
    </w:p>
    <w:p w14:paraId="220284D3">
      <w:pPr>
        <w:numPr>
          <w:ilvl w:val="0"/>
          <w:numId w:val="0"/>
        </w:numPr>
        <w:spacing w:line="360" w:lineRule="auto"/>
        <w:ind w:left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（1）压扁试验</w:t>
      </w:r>
    </w:p>
    <w:p w14:paraId="63D4211D">
      <w:pPr>
        <w:numPr>
          <w:ilvl w:val="0"/>
          <w:numId w:val="0"/>
        </w:numPr>
        <w:spacing w:line="360" w:lineRule="auto"/>
        <w:ind w:left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与国标相比，本标准的单位长度变形系数为0.13。</w:t>
      </w:r>
    </w:p>
    <w:p w14:paraId="6A22F8F2">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（2）扩口</w:t>
      </w:r>
    </w:p>
    <w:p w14:paraId="09750709">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本标准扩口试验要求与国标保持一致。</w:t>
      </w:r>
    </w:p>
    <w:p w14:paraId="2F74229D">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（3）气密性</w:t>
      </w:r>
    </w:p>
    <w:p w14:paraId="728347DF">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本标准增加对钢管的气密性要求，根据需方要求，经供需双方协商，并在合同中注明，钢管可进行气密性试验，气密性试验推荐压力值为0.1MPa～1.0MPa。</w:t>
      </w:r>
    </w:p>
    <w:p w14:paraId="22E7CB1A">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（4）晶间腐蚀</w:t>
      </w:r>
    </w:p>
    <w:p w14:paraId="69481FDD">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本标准晶间腐蚀要求与国标保持一致。</w:t>
      </w:r>
    </w:p>
    <w:p w14:paraId="3B1CDE48">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（5）低倍组织</w:t>
      </w:r>
    </w:p>
    <w:p w14:paraId="04BB249A">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本标准增加对于管坯的低倍组织要求，管坯（棒材）的横截面按GB/T 226进行酸浸检验，按GB/T 1979进行评级，低倍试片上不允许有目视可见的缩孔、气泡、裂纹、翻皮、夹杂、夹渣、白点、分层等，一般疏松、中心疏松、偏析应符合表4的规定。经供需双方协商，并在合同中注明，允许按照GB/T 4162的规定采用超声波探伤法或其它无损探伤法代替低倍检验。</w:t>
      </w:r>
    </w:p>
    <w:p w14:paraId="18E03C06">
      <w:pPr>
        <w:pStyle w:val="21"/>
        <w:keepNext w:val="0"/>
        <w:keepLines w:val="0"/>
        <w:pageBreakBefore w:val="0"/>
        <w:widowControl/>
        <w:tabs>
          <w:tab w:val="left" w:pos="360"/>
        </w:tabs>
        <w:kinsoku/>
        <w:wordWrap/>
        <w:overflowPunct/>
        <w:topLinePunct w:val="0"/>
        <w:autoSpaceDE/>
        <w:autoSpaceDN/>
        <w:bidi w:val="0"/>
        <w:adjustRightInd/>
        <w:snapToGrid/>
        <w:spacing w:before="156" w:after="156"/>
        <w:ind w:left="0"/>
        <w:textAlignment w:val="auto"/>
        <w:rPr>
          <w:rFonts w:ascii="Times New Roman"/>
          <w:kern w:val="2"/>
          <w:szCs w:val="21"/>
        </w:rPr>
      </w:pPr>
      <w:r>
        <w:rPr>
          <w:rFonts w:ascii="Times New Roman"/>
          <w:kern w:val="2"/>
          <w:szCs w:val="21"/>
        </w:rPr>
        <w:t>低倍组织合格级别</w:t>
      </w:r>
    </w:p>
    <w:tbl>
      <w:tblPr>
        <w:tblStyle w:val="10"/>
        <w:tblW w:w="937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3102"/>
        <w:gridCol w:w="3013"/>
        <w:gridCol w:w="3259"/>
      </w:tblGrid>
      <w:tr w14:paraId="410443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42" w:hRule="exact"/>
          <w:jc w:val="center"/>
        </w:trPr>
        <w:tc>
          <w:tcPr>
            <w:tcW w:w="3102" w:type="dxa"/>
            <w:tcBorders>
              <w:top w:val="single" w:color="auto" w:sz="4" w:space="0"/>
            </w:tcBorders>
            <w:vAlign w:val="center"/>
          </w:tcPr>
          <w:p w14:paraId="3ADAD684">
            <w:pPr>
              <w:pStyle w:val="22"/>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一般疏松</w:t>
            </w:r>
          </w:p>
        </w:tc>
        <w:tc>
          <w:tcPr>
            <w:tcW w:w="3013" w:type="dxa"/>
            <w:tcBorders>
              <w:top w:val="single" w:color="auto" w:sz="4" w:space="0"/>
              <w:left w:val="single" w:color="auto" w:sz="4" w:space="0"/>
            </w:tcBorders>
            <w:vAlign w:val="center"/>
          </w:tcPr>
          <w:p w14:paraId="30B0ED50">
            <w:pPr>
              <w:pStyle w:val="22"/>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中心疏松</w:t>
            </w:r>
          </w:p>
        </w:tc>
        <w:tc>
          <w:tcPr>
            <w:tcW w:w="3259" w:type="dxa"/>
            <w:tcBorders>
              <w:top w:val="single" w:color="auto" w:sz="4" w:space="0"/>
              <w:left w:val="single" w:color="auto" w:sz="4" w:space="0"/>
            </w:tcBorders>
            <w:vAlign w:val="center"/>
          </w:tcPr>
          <w:p w14:paraId="6C825F1D">
            <w:pPr>
              <w:pStyle w:val="22"/>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偏析</w:t>
            </w:r>
          </w:p>
        </w:tc>
      </w:tr>
      <w:tr w14:paraId="73B3B3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42" w:hRule="exact"/>
          <w:jc w:val="center"/>
        </w:trPr>
        <w:tc>
          <w:tcPr>
            <w:tcW w:w="3102" w:type="dxa"/>
            <w:tcBorders>
              <w:top w:val="single" w:color="auto" w:sz="4" w:space="0"/>
              <w:bottom w:val="single" w:color="auto" w:sz="4" w:space="0"/>
            </w:tcBorders>
            <w:vAlign w:val="center"/>
          </w:tcPr>
          <w:p w14:paraId="2FBC2C95">
            <w:pPr>
              <w:pStyle w:val="22"/>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sz w:val="18"/>
                <w:szCs w:val="18"/>
              </w:rPr>
              <w:t>≤1.0</w:t>
            </w:r>
          </w:p>
        </w:tc>
        <w:tc>
          <w:tcPr>
            <w:tcW w:w="3013" w:type="dxa"/>
            <w:tcBorders>
              <w:top w:val="single" w:color="auto" w:sz="4" w:space="0"/>
              <w:left w:val="single" w:color="auto" w:sz="4" w:space="0"/>
              <w:bottom w:val="single" w:color="auto" w:sz="4" w:space="0"/>
            </w:tcBorders>
            <w:vAlign w:val="center"/>
          </w:tcPr>
          <w:p w14:paraId="0EE7BFD5">
            <w:pPr>
              <w:pStyle w:val="22"/>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sz w:val="18"/>
                <w:szCs w:val="18"/>
              </w:rPr>
              <w:t>≤1.0</w:t>
            </w:r>
          </w:p>
        </w:tc>
        <w:tc>
          <w:tcPr>
            <w:tcW w:w="3259" w:type="dxa"/>
            <w:tcBorders>
              <w:top w:val="single" w:color="auto" w:sz="4" w:space="0"/>
              <w:left w:val="single" w:color="auto" w:sz="4" w:space="0"/>
              <w:bottom w:val="single" w:color="auto" w:sz="4" w:space="0"/>
            </w:tcBorders>
            <w:vAlign w:val="center"/>
          </w:tcPr>
          <w:p w14:paraId="4E13792C">
            <w:pPr>
              <w:pStyle w:val="22"/>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sz w:val="18"/>
                <w:szCs w:val="18"/>
              </w:rPr>
              <w:t>≤1.0</w:t>
            </w:r>
          </w:p>
        </w:tc>
      </w:tr>
    </w:tbl>
    <w:p w14:paraId="0AE25EBC">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（6）晶粒度</w:t>
      </w:r>
    </w:p>
    <w:p w14:paraId="09B619B2">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钢管的平均晶粒度应为5级或更细</w:t>
      </w:r>
      <w:r>
        <w:rPr>
          <w:rFonts w:hint="eastAsia" w:ascii="Times New Roman" w:hAnsi="Times New Roman" w:eastAsia="仿宋_GB2312" w:cs="Times New Roman"/>
          <w:color w:val="auto"/>
          <w:sz w:val="28"/>
          <w:szCs w:val="28"/>
          <w:lang w:val="en-US" w:eastAsia="zh-CN"/>
        </w:rPr>
        <w:t>。</w:t>
      </w:r>
    </w:p>
    <w:p w14:paraId="0E933B74">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（7）非金属夹杂物</w:t>
      </w:r>
    </w:p>
    <w:p w14:paraId="7EED7B21">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管坯（棒材）应按 GB/T 10561的A法进行非金属夹杂物检测，其合格级别应符合表5的规定</w:t>
      </w:r>
      <w:r>
        <w:rPr>
          <w:rFonts w:hint="eastAsia" w:ascii="Times New Roman" w:hAnsi="Times New Roman" w:eastAsia="仿宋_GB2312" w:cs="Times New Roman"/>
          <w:color w:val="auto"/>
          <w:sz w:val="28"/>
          <w:szCs w:val="28"/>
          <w:lang w:val="en-US" w:eastAsia="zh-CN"/>
        </w:rPr>
        <w:t>。</w:t>
      </w:r>
    </w:p>
    <w:p w14:paraId="57FA36C0">
      <w:pPr>
        <w:pStyle w:val="21"/>
        <w:keepNext w:val="0"/>
        <w:keepLines w:val="0"/>
        <w:pageBreakBefore w:val="0"/>
        <w:widowControl/>
        <w:tabs>
          <w:tab w:val="left" w:pos="360"/>
        </w:tabs>
        <w:kinsoku/>
        <w:wordWrap/>
        <w:overflowPunct/>
        <w:topLinePunct w:val="0"/>
        <w:autoSpaceDE/>
        <w:autoSpaceDN/>
        <w:bidi w:val="0"/>
        <w:adjustRightInd/>
        <w:snapToGrid/>
        <w:spacing w:before="156" w:after="156"/>
        <w:ind w:left="0"/>
        <w:textAlignment w:val="auto"/>
        <w:rPr>
          <w:rFonts w:ascii="Times New Roman"/>
          <w:kern w:val="2"/>
          <w:szCs w:val="21"/>
        </w:rPr>
      </w:pPr>
      <w:r>
        <w:rPr>
          <w:rFonts w:ascii="Times New Roman"/>
          <w:kern w:val="2"/>
          <w:szCs w:val="21"/>
        </w:rPr>
        <w:t>非金属夹杂物要求</w:t>
      </w:r>
    </w:p>
    <w:tbl>
      <w:tblPr>
        <w:tblStyle w:val="10"/>
        <w:tblW w:w="91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9"/>
        <w:gridCol w:w="711"/>
        <w:gridCol w:w="711"/>
        <w:gridCol w:w="711"/>
        <w:gridCol w:w="711"/>
        <w:gridCol w:w="711"/>
        <w:gridCol w:w="711"/>
        <w:gridCol w:w="711"/>
        <w:gridCol w:w="711"/>
        <w:gridCol w:w="711"/>
        <w:gridCol w:w="712"/>
        <w:gridCol w:w="726"/>
      </w:tblGrid>
      <w:tr w14:paraId="152B2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1319" w:type="dxa"/>
            <w:vMerge w:val="restart"/>
            <w:vAlign w:val="center"/>
          </w:tcPr>
          <w:p w14:paraId="2A5C91B3">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夹杂物类型</w:t>
            </w:r>
          </w:p>
        </w:tc>
        <w:tc>
          <w:tcPr>
            <w:tcW w:w="1422" w:type="dxa"/>
            <w:gridSpan w:val="2"/>
            <w:tcBorders>
              <w:bottom w:val="single" w:color="auto" w:sz="4" w:space="0"/>
            </w:tcBorders>
            <w:vAlign w:val="center"/>
          </w:tcPr>
          <w:p w14:paraId="0D6AA186">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A类（级）</w:t>
            </w:r>
          </w:p>
        </w:tc>
        <w:tc>
          <w:tcPr>
            <w:tcW w:w="1422" w:type="dxa"/>
            <w:gridSpan w:val="2"/>
            <w:tcBorders>
              <w:bottom w:val="single" w:color="auto" w:sz="4" w:space="0"/>
            </w:tcBorders>
            <w:vAlign w:val="center"/>
          </w:tcPr>
          <w:p w14:paraId="7F5E8CA2">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B类（级）</w:t>
            </w:r>
          </w:p>
        </w:tc>
        <w:tc>
          <w:tcPr>
            <w:tcW w:w="1422" w:type="dxa"/>
            <w:gridSpan w:val="2"/>
            <w:tcBorders>
              <w:bottom w:val="single" w:color="auto" w:sz="4" w:space="0"/>
            </w:tcBorders>
            <w:vAlign w:val="center"/>
          </w:tcPr>
          <w:p w14:paraId="4DCE6BC4">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C类（级）</w:t>
            </w:r>
          </w:p>
        </w:tc>
        <w:tc>
          <w:tcPr>
            <w:tcW w:w="1422" w:type="dxa"/>
            <w:gridSpan w:val="2"/>
            <w:tcBorders>
              <w:bottom w:val="single" w:color="auto" w:sz="4" w:space="0"/>
              <w:right w:val="single" w:color="auto" w:sz="4" w:space="0"/>
            </w:tcBorders>
            <w:vAlign w:val="center"/>
          </w:tcPr>
          <w:p w14:paraId="302A3033">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D类（级）</w:t>
            </w:r>
          </w:p>
        </w:tc>
        <w:tc>
          <w:tcPr>
            <w:tcW w:w="1423" w:type="dxa"/>
            <w:gridSpan w:val="2"/>
            <w:tcBorders>
              <w:left w:val="single" w:color="auto" w:sz="4" w:space="0"/>
            </w:tcBorders>
            <w:vAlign w:val="center"/>
          </w:tcPr>
          <w:p w14:paraId="02172616">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A+B+C+D</w:t>
            </w:r>
          </w:p>
        </w:tc>
        <w:tc>
          <w:tcPr>
            <w:tcW w:w="726" w:type="dxa"/>
            <w:vMerge w:val="restart"/>
            <w:tcBorders>
              <w:left w:val="single" w:color="auto" w:sz="4" w:space="0"/>
            </w:tcBorders>
            <w:vAlign w:val="center"/>
          </w:tcPr>
          <w:p w14:paraId="0E7E31D8">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DS类（级）</w:t>
            </w:r>
          </w:p>
        </w:tc>
      </w:tr>
      <w:tr w14:paraId="47760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 w:hRule="atLeast"/>
          <w:jc w:val="center"/>
        </w:trPr>
        <w:tc>
          <w:tcPr>
            <w:tcW w:w="1319" w:type="dxa"/>
            <w:vMerge w:val="continue"/>
            <w:vAlign w:val="center"/>
          </w:tcPr>
          <w:p w14:paraId="4EDF59E3">
            <w:pPr>
              <w:widowControl/>
              <w:autoSpaceDE w:val="0"/>
              <w:autoSpaceDN w:val="0"/>
              <w:jc w:val="center"/>
              <w:rPr>
                <w:rFonts w:hint="default" w:ascii="Times New Roman" w:hAnsi="Times New Roman" w:cs="Times New Roman"/>
                <w:kern w:val="0"/>
                <w:sz w:val="18"/>
                <w:szCs w:val="18"/>
              </w:rPr>
            </w:pPr>
          </w:p>
        </w:tc>
        <w:tc>
          <w:tcPr>
            <w:tcW w:w="711" w:type="dxa"/>
            <w:tcBorders>
              <w:top w:val="single" w:color="auto" w:sz="4" w:space="0"/>
              <w:right w:val="single" w:color="auto" w:sz="4" w:space="0"/>
            </w:tcBorders>
            <w:vAlign w:val="center"/>
          </w:tcPr>
          <w:p w14:paraId="0E36561D">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细系</w:t>
            </w:r>
          </w:p>
        </w:tc>
        <w:tc>
          <w:tcPr>
            <w:tcW w:w="711" w:type="dxa"/>
            <w:tcBorders>
              <w:top w:val="single" w:color="auto" w:sz="4" w:space="0"/>
              <w:left w:val="single" w:color="auto" w:sz="4" w:space="0"/>
            </w:tcBorders>
            <w:vAlign w:val="center"/>
          </w:tcPr>
          <w:p w14:paraId="5495F8ED">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粗系</w:t>
            </w:r>
          </w:p>
        </w:tc>
        <w:tc>
          <w:tcPr>
            <w:tcW w:w="711" w:type="dxa"/>
            <w:tcBorders>
              <w:top w:val="single" w:color="auto" w:sz="4" w:space="0"/>
              <w:right w:val="single" w:color="auto" w:sz="4" w:space="0"/>
            </w:tcBorders>
            <w:vAlign w:val="center"/>
          </w:tcPr>
          <w:p w14:paraId="26CE5E53">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细系</w:t>
            </w:r>
          </w:p>
        </w:tc>
        <w:tc>
          <w:tcPr>
            <w:tcW w:w="711" w:type="dxa"/>
            <w:tcBorders>
              <w:top w:val="single" w:color="auto" w:sz="4" w:space="0"/>
              <w:left w:val="single" w:color="auto" w:sz="4" w:space="0"/>
            </w:tcBorders>
            <w:vAlign w:val="center"/>
          </w:tcPr>
          <w:p w14:paraId="16AE1BEA">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粗系</w:t>
            </w:r>
          </w:p>
        </w:tc>
        <w:tc>
          <w:tcPr>
            <w:tcW w:w="711" w:type="dxa"/>
            <w:tcBorders>
              <w:top w:val="single" w:color="auto" w:sz="4" w:space="0"/>
              <w:right w:val="single" w:color="auto" w:sz="4" w:space="0"/>
            </w:tcBorders>
            <w:vAlign w:val="center"/>
          </w:tcPr>
          <w:p w14:paraId="66F0DA85">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细系</w:t>
            </w:r>
          </w:p>
        </w:tc>
        <w:tc>
          <w:tcPr>
            <w:tcW w:w="711" w:type="dxa"/>
            <w:tcBorders>
              <w:top w:val="single" w:color="auto" w:sz="4" w:space="0"/>
              <w:left w:val="single" w:color="auto" w:sz="4" w:space="0"/>
            </w:tcBorders>
            <w:vAlign w:val="center"/>
          </w:tcPr>
          <w:p w14:paraId="174D5834">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粗系</w:t>
            </w:r>
          </w:p>
        </w:tc>
        <w:tc>
          <w:tcPr>
            <w:tcW w:w="711" w:type="dxa"/>
            <w:tcBorders>
              <w:top w:val="single" w:color="auto" w:sz="4" w:space="0"/>
              <w:right w:val="single" w:color="auto" w:sz="4" w:space="0"/>
            </w:tcBorders>
            <w:vAlign w:val="center"/>
          </w:tcPr>
          <w:p w14:paraId="6F2BF83E">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细系</w:t>
            </w:r>
          </w:p>
        </w:tc>
        <w:tc>
          <w:tcPr>
            <w:tcW w:w="711" w:type="dxa"/>
            <w:tcBorders>
              <w:top w:val="single" w:color="auto" w:sz="4" w:space="0"/>
              <w:right w:val="single" w:color="auto" w:sz="4" w:space="0"/>
            </w:tcBorders>
            <w:vAlign w:val="center"/>
          </w:tcPr>
          <w:p w14:paraId="73069D74">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粗系</w:t>
            </w:r>
          </w:p>
        </w:tc>
        <w:tc>
          <w:tcPr>
            <w:tcW w:w="711" w:type="dxa"/>
            <w:tcBorders>
              <w:left w:val="single" w:color="auto" w:sz="4" w:space="0"/>
              <w:right w:val="single" w:color="auto" w:sz="4" w:space="0"/>
            </w:tcBorders>
            <w:vAlign w:val="center"/>
          </w:tcPr>
          <w:p w14:paraId="6BE24DB5">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细系</w:t>
            </w:r>
          </w:p>
        </w:tc>
        <w:tc>
          <w:tcPr>
            <w:tcW w:w="712" w:type="dxa"/>
            <w:tcBorders>
              <w:left w:val="single" w:color="auto" w:sz="4" w:space="0"/>
            </w:tcBorders>
            <w:vAlign w:val="center"/>
          </w:tcPr>
          <w:p w14:paraId="2DAC127F">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粗系</w:t>
            </w:r>
          </w:p>
        </w:tc>
        <w:tc>
          <w:tcPr>
            <w:tcW w:w="726" w:type="dxa"/>
            <w:vMerge w:val="continue"/>
            <w:tcBorders>
              <w:left w:val="single" w:color="auto" w:sz="4" w:space="0"/>
            </w:tcBorders>
            <w:vAlign w:val="center"/>
          </w:tcPr>
          <w:p w14:paraId="2EA68CE9">
            <w:pPr>
              <w:widowControl/>
              <w:autoSpaceDE w:val="0"/>
              <w:autoSpaceDN w:val="0"/>
              <w:jc w:val="center"/>
              <w:rPr>
                <w:rFonts w:hint="default" w:ascii="Times New Roman" w:hAnsi="Times New Roman" w:cs="Times New Roman"/>
                <w:kern w:val="0"/>
                <w:sz w:val="18"/>
                <w:szCs w:val="18"/>
              </w:rPr>
            </w:pPr>
          </w:p>
        </w:tc>
      </w:tr>
      <w:tr w14:paraId="6257E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 w:hRule="atLeast"/>
          <w:jc w:val="center"/>
        </w:trPr>
        <w:tc>
          <w:tcPr>
            <w:tcW w:w="1319" w:type="dxa"/>
            <w:vAlign w:val="center"/>
          </w:tcPr>
          <w:p w14:paraId="4F48F771">
            <w:pPr>
              <w:spacing w:line="260" w:lineRule="exact"/>
              <w:jc w:val="center"/>
              <w:rPr>
                <w:rFonts w:hint="default" w:ascii="Times New Roman" w:hAnsi="Times New Roman" w:eastAsia="PMingLiU" w:cs="Times New Roman"/>
                <w:sz w:val="18"/>
                <w:szCs w:val="18"/>
                <w:lang w:val="zh-TW" w:eastAsia="zh-TW"/>
              </w:rPr>
            </w:pPr>
            <w:r>
              <w:rPr>
                <w:rFonts w:hint="default" w:ascii="Times New Roman" w:hAnsi="Times New Roman" w:cs="Times New Roman"/>
                <w:sz w:val="18"/>
                <w:szCs w:val="18"/>
              </w:rPr>
              <w:t>316L（VAR）</w:t>
            </w:r>
          </w:p>
        </w:tc>
        <w:tc>
          <w:tcPr>
            <w:tcW w:w="711" w:type="dxa"/>
            <w:tcBorders>
              <w:top w:val="single" w:color="auto" w:sz="4" w:space="0"/>
              <w:right w:val="single" w:color="auto" w:sz="4" w:space="0"/>
            </w:tcBorders>
            <w:vAlign w:val="center"/>
          </w:tcPr>
          <w:p w14:paraId="4EDC6AAD">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11" w:type="dxa"/>
            <w:tcBorders>
              <w:top w:val="single" w:color="auto" w:sz="4" w:space="0"/>
              <w:left w:val="single" w:color="auto" w:sz="4" w:space="0"/>
            </w:tcBorders>
            <w:vAlign w:val="center"/>
          </w:tcPr>
          <w:p w14:paraId="0B6A76BA">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11" w:type="dxa"/>
            <w:tcBorders>
              <w:top w:val="single" w:color="auto" w:sz="4" w:space="0"/>
              <w:right w:val="single" w:color="auto" w:sz="4" w:space="0"/>
            </w:tcBorders>
            <w:vAlign w:val="center"/>
          </w:tcPr>
          <w:p w14:paraId="1A8910D6">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11" w:type="dxa"/>
            <w:tcBorders>
              <w:top w:val="single" w:color="auto" w:sz="4" w:space="0"/>
              <w:left w:val="single" w:color="auto" w:sz="4" w:space="0"/>
            </w:tcBorders>
            <w:vAlign w:val="center"/>
          </w:tcPr>
          <w:p w14:paraId="40F55925">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11" w:type="dxa"/>
            <w:tcBorders>
              <w:top w:val="single" w:color="auto" w:sz="4" w:space="0"/>
              <w:right w:val="single" w:color="auto" w:sz="4" w:space="0"/>
            </w:tcBorders>
            <w:vAlign w:val="center"/>
          </w:tcPr>
          <w:p w14:paraId="6FCBB595">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11" w:type="dxa"/>
            <w:tcBorders>
              <w:top w:val="single" w:color="auto" w:sz="4" w:space="0"/>
              <w:left w:val="single" w:color="auto" w:sz="4" w:space="0"/>
            </w:tcBorders>
            <w:vAlign w:val="center"/>
          </w:tcPr>
          <w:p w14:paraId="4366CAAE">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11" w:type="dxa"/>
            <w:tcBorders>
              <w:top w:val="single" w:color="auto" w:sz="4" w:space="0"/>
              <w:right w:val="single" w:color="auto" w:sz="4" w:space="0"/>
            </w:tcBorders>
            <w:vAlign w:val="center"/>
          </w:tcPr>
          <w:p w14:paraId="24F63B3E">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11" w:type="dxa"/>
            <w:tcBorders>
              <w:top w:val="single" w:color="auto" w:sz="4" w:space="0"/>
              <w:right w:val="single" w:color="auto" w:sz="4" w:space="0"/>
            </w:tcBorders>
            <w:vAlign w:val="center"/>
          </w:tcPr>
          <w:p w14:paraId="5D841548">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11" w:type="dxa"/>
            <w:tcBorders>
              <w:left w:val="single" w:color="auto" w:sz="4" w:space="0"/>
              <w:right w:val="single" w:color="auto" w:sz="4" w:space="0"/>
            </w:tcBorders>
            <w:vAlign w:val="center"/>
          </w:tcPr>
          <w:p w14:paraId="59443F05">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≤4.0</w:t>
            </w:r>
          </w:p>
        </w:tc>
        <w:tc>
          <w:tcPr>
            <w:tcW w:w="712" w:type="dxa"/>
            <w:tcBorders>
              <w:left w:val="single" w:color="auto" w:sz="4" w:space="0"/>
            </w:tcBorders>
            <w:vAlign w:val="center"/>
          </w:tcPr>
          <w:p w14:paraId="3F0BD5CE">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≤4.0</w:t>
            </w:r>
          </w:p>
        </w:tc>
        <w:tc>
          <w:tcPr>
            <w:tcW w:w="726" w:type="dxa"/>
            <w:tcBorders>
              <w:left w:val="single" w:color="auto" w:sz="4" w:space="0"/>
            </w:tcBorders>
            <w:vAlign w:val="center"/>
          </w:tcPr>
          <w:p w14:paraId="01EDCF08">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r>
      <w:tr w14:paraId="09D61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 w:hRule="atLeast"/>
          <w:jc w:val="center"/>
        </w:trPr>
        <w:tc>
          <w:tcPr>
            <w:tcW w:w="1319" w:type="dxa"/>
            <w:vAlign w:val="center"/>
          </w:tcPr>
          <w:p w14:paraId="15110407">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sz w:val="18"/>
                <w:szCs w:val="18"/>
              </w:rPr>
              <w:t>316L（VIM</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VAR）</w:t>
            </w:r>
          </w:p>
        </w:tc>
        <w:tc>
          <w:tcPr>
            <w:tcW w:w="711" w:type="dxa"/>
            <w:tcBorders>
              <w:top w:val="single" w:color="auto" w:sz="4" w:space="0"/>
              <w:right w:val="single" w:color="auto" w:sz="4" w:space="0"/>
            </w:tcBorders>
            <w:vAlign w:val="center"/>
          </w:tcPr>
          <w:p w14:paraId="6943D628">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top w:val="single" w:color="auto" w:sz="4" w:space="0"/>
              <w:left w:val="single" w:color="auto" w:sz="4" w:space="0"/>
            </w:tcBorders>
            <w:vAlign w:val="center"/>
          </w:tcPr>
          <w:p w14:paraId="3A7D826C">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top w:val="single" w:color="auto" w:sz="4" w:space="0"/>
              <w:right w:val="single" w:color="auto" w:sz="4" w:space="0"/>
            </w:tcBorders>
            <w:vAlign w:val="center"/>
          </w:tcPr>
          <w:p w14:paraId="671BA30F">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11" w:type="dxa"/>
            <w:tcBorders>
              <w:top w:val="single" w:color="auto" w:sz="4" w:space="0"/>
              <w:left w:val="single" w:color="auto" w:sz="4" w:space="0"/>
            </w:tcBorders>
            <w:vAlign w:val="center"/>
          </w:tcPr>
          <w:p w14:paraId="00297762">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top w:val="single" w:color="auto" w:sz="4" w:space="0"/>
              <w:right w:val="single" w:color="auto" w:sz="4" w:space="0"/>
            </w:tcBorders>
            <w:vAlign w:val="center"/>
          </w:tcPr>
          <w:p w14:paraId="704D35D9">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top w:val="single" w:color="auto" w:sz="4" w:space="0"/>
              <w:left w:val="single" w:color="auto" w:sz="4" w:space="0"/>
            </w:tcBorders>
            <w:vAlign w:val="center"/>
          </w:tcPr>
          <w:p w14:paraId="4837C256">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top w:val="single" w:color="auto" w:sz="4" w:space="0"/>
              <w:right w:val="single" w:color="auto" w:sz="4" w:space="0"/>
            </w:tcBorders>
            <w:vAlign w:val="center"/>
          </w:tcPr>
          <w:p w14:paraId="208B7786">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11" w:type="dxa"/>
            <w:tcBorders>
              <w:top w:val="single" w:color="auto" w:sz="4" w:space="0"/>
              <w:right w:val="single" w:color="auto" w:sz="4" w:space="0"/>
            </w:tcBorders>
            <w:vAlign w:val="center"/>
          </w:tcPr>
          <w:p w14:paraId="5E929A04">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11" w:type="dxa"/>
            <w:tcBorders>
              <w:left w:val="single" w:color="auto" w:sz="4" w:space="0"/>
              <w:right w:val="single" w:color="auto" w:sz="4" w:space="0"/>
            </w:tcBorders>
            <w:vAlign w:val="center"/>
          </w:tcPr>
          <w:p w14:paraId="38C8F1BD">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c>
          <w:tcPr>
            <w:tcW w:w="712" w:type="dxa"/>
            <w:tcBorders>
              <w:left w:val="single" w:color="auto" w:sz="4" w:space="0"/>
            </w:tcBorders>
            <w:vAlign w:val="center"/>
          </w:tcPr>
          <w:p w14:paraId="26A391A1">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26" w:type="dxa"/>
            <w:tcBorders>
              <w:left w:val="single" w:color="auto" w:sz="4" w:space="0"/>
            </w:tcBorders>
            <w:vAlign w:val="center"/>
          </w:tcPr>
          <w:p w14:paraId="5A7BAA4A">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≤0.5</w:t>
            </w:r>
          </w:p>
        </w:tc>
      </w:tr>
      <w:tr w14:paraId="1A9A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9" w:type="dxa"/>
            <w:vAlign w:val="center"/>
          </w:tcPr>
          <w:p w14:paraId="1BE711F6">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sz w:val="18"/>
                <w:szCs w:val="18"/>
              </w:rPr>
              <w:t>316L（VIM</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VAR</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VAR）</w:t>
            </w:r>
          </w:p>
        </w:tc>
        <w:tc>
          <w:tcPr>
            <w:tcW w:w="711" w:type="dxa"/>
            <w:tcBorders>
              <w:right w:val="single" w:color="auto" w:sz="4" w:space="0"/>
            </w:tcBorders>
            <w:vAlign w:val="center"/>
          </w:tcPr>
          <w:p w14:paraId="15A6E246">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left w:val="single" w:color="auto" w:sz="4" w:space="0"/>
            </w:tcBorders>
            <w:vAlign w:val="center"/>
          </w:tcPr>
          <w:p w14:paraId="5BED233C">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right w:val="single" w:color="auto" w:sz="4" w:space="0"/>
            </w:tcBorders>
            <w:vAlign w:val="center"/>
          </w:tcPr>
          <w:p w14:paraId="03EC2B7C">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left w:val="single" w:color="auto" w:sz="4" w:space="0"/>
            </w:tcBorders>
            <w:vAlign w:val="center"/>
          </w:tcPr>
          <w:p w14:paraId="50E98765">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right w:val="single" w:color="auto" w:sz="4" w:space="0"/>
            </w:tcBorders>
            <w:vAlign w:val="center"/>
          </w:tcPr>
          <w:p w14:paraId="77DF03B0">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left w:val="single" w:color="auto" w:sz="4" w:space="0"/>
            </w:tcBorders>
            <w:vAlign w:val="center"/>
          </w:tcPr>
          <w:p w14:paraId="17DD0A46">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right w:val="single" w:color="auto" w:sz="4" w:space="0"/>
            </w:tcBorders>
            <w:vAlign w:val="center"/>
          </w:tcPr>
          <w:p w14:paraId="42C1C3A4">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≤0.5</w:t>
            </w:r>
          </w:p>
        </w:tc>
        <w:tc>
          <w:tcPr>
            <w:tcW w:w="711" w:type="dxa"/>
            <w:tcBorders>
              <w:right w:val="single" w:color="auto" w:sz="4" w:space="0"/>
            </w:tcBorders>
            <w:vAlign w:val="center"/>
          </w:tcPr>
          <w:p w14:paraId="524F49E6">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11" w:type="dxa"/>
            <w:tcBorders>
              <w:left w:val="single" w:color="auto" w:sz="4" w:space="0"/>
              <w:right w:val="single" w:color="auto" w:sz="4" w:space="0"/>
            </w:tcBorders>
            <w:vAlign w:val="center"/>
          </w:tcPr>
          <w:p w14:paraId="14F670C4">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≤0.5</w:t>
            </w:r>
          </w:p>
        </w:tc>
        <w:tc>
          <w:tcPr>
            <w:tcW w:w="712" w:type="dxa"/>
            <w:tcBorders>
              <w:left w:val="single" w:color="auto" w:sz="4" w:space="0"/>
            </w:tcBorders>
            <w:vAlign w:val="center"/>
          </w:tcPr>
          <w:p w14:paraId="11DBAC52">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726" w:type="dxa"/>
            <w:tcBorders>
              <w:left w:val="single" w:color="auto" w:sz="4" w:space="0"/>
            </w:tcBorders>
            <w:vAlign w:val="center"/>
          </w:tcPr>
          <w:p w14:paraId="7847689C">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r>
      <w:tr w14:paraId="29B7D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9" w:type="dxa"/>
            <w:vAlign w:val="center"/>
          </w:tcPr>
          <w:p w14:paraId="0C13C604">
            <w:pPr>
              <w:spacing w:line="260" w:lineRule="exact"/>
              <w:jc w:val="center"/>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SEMI</w:t>
            </w:r>
          </w:p>
        </w:tc>
        <w:tc>
          <w:tcPr>
            <w:tcW w:w="711" w:type="dxa"/>
            <w:tcBorders>
              <w:right w:val="single" w:color="auto" w:sz="4" w:space="0"/>
            </w:tcBorders>
            <w:vAlign w:val="center"/>
          </w:tcPr>
          <w:p w14:paraId="63D003F7">
            <w:pPr>
              <w:widowControl/>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1.5</w:t>
            </w:r>
          </w:p>
        </w:tc>
        <w:tc>
          <w:tcPr>
            <w:tcW w:w="711" w:type="dxa"/>
            <w:tcBorders>
              <w:left w:val="single" w:color="auto" w:sz="4" w:space="0"/>
            </w:tcBorders>
            <w:vAlign w:val="center"/>
          </w:tcPr>
          <w:p w14:paraId="40B9D5F0">
            <w:pPr>
              <w:widowControl/>
              <w:autoSpaceDE w:val="0"/>
              <w:autoSpaceDN w:val="0"/>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1.0</w:t>
            </w:r>
          </w:p>
        </w:tc>
        <w:tc>
          <w:tcPr>
            <w:tcW w:w="711" w:type="dxa"/>
            <w:tcBorders>
              <w:right w:val="single" w:color="auto" w:sz="4" w:space="0"/>
            </w:tcBorders>
            <w:vAlign w:val="center"/>
          </w:tcPr>
          <w:p w14:paraId="0D7466EB">
            <w:pPr>
              <w:widowControl/>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1.0</w:t>
            </w:r>
          </w:p>
        </w:tc>
        <w:tc>
          <w:tcPr>
            <w:tcW w:w="711" w:type="dxa"/>
            <w:tcBorders>
              <w:left w:val="single" w:color="auto" w:sz="4" w:space="0"/>
            </w:tcBorders>
            <w:vAlign w:val="center"/>
          </w:tcPr>
          <w:p w14:paraId="15F3DA28">
            <w:pPr>
              <w:widowControl/>
              <w:autoSpaceDE w:val="0"/>
              <w:autoSpaceDN w:val="0"/>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1.0</w:t>
            </w:r>
          </w:p>
        </w:tc>
        <w:tc>
          <w:tcPr>
            <w:tcW w:w="711" w:type="dxa"/>
            <w:tcBorders>
              <w:right w:val="single" w:color="auto" w:sz="4" w:space="0"/>
            </w:tcBorders>
            <w:vAlign w:val="center"/>
          </w:tcPr>
          <w:p w14:paraId="08AAE6C5">
            <w:pPr>
              <w:widowControl/>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1.0</w:t>
            </w:r>
          </w:p>
        </w:tc>
        <w:tc>
          <w:tcPr>
            <w:tcW w:w="711" w:type="dxa"/>
            <w:tcBorders>
              <w:left w:val="single" w:color="auto" w:sz="4" w:space="0"/>
            </w:tcBorders>
            <w:vAlign w:val="center"/>
          </w:tcPr>
          <w:p w14:paraId="7A872D2F">
            <w:pPr>
              <w:widowControl/>
              <w:autoSpaceDE w:val="0"/>
              <w:autoSpaceDN w:val="0"/>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1.0</w:t>
            </w:r>
          </w:p>
        </w:tc>
        <w:tc>
          <w:tcPr>
            <w:tcW w:w="711" w:type="dxa"/>
            <w:tcBorders>
              <w:right w:val="single" w:color="auto" w:sz="4" w:space="0"/>
            </w:tcBorders>
            <w:vAlign w:val="center"/>
          </w:tcPr>
          <w:p w14:paraId="15B36B22">
            <w:pPr>
              <w:widowControl/>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1.0</w:t>
            </w:r>
          </w:p>
        </w:tc>
        <w:tc>
          <w:tcPr>
            <w:tcW w:w="711" w:type="dxa"/>
            <w:tcBorders>
              <w:right w:val="single" w:color="auto" w:sz="4" w:space="0"/>
            </w:tcBorders>
            <w:vAlign w:val="center"/>
          </w:tcPr>
          <w:p w14:paraId="752E0DF6">
            <w:pPr>
              <w:widowControl/>
              <w:autoSpaceDE w:val="0"/>
              <w:autoSpaceDN w:val="0"/>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1.0</w:t>
            </w:r>
          </w:p>
        </w:tc>
        <w:tc>
          <w:tcPr>
            <w:tcW w:w="711" w:type="dxa"/>
            <w:tcBorders>
              <w:left w:val="single" w:color="auto" w:sz="4" w:space="0"/>
              <w:right w:val="single" w:color="auto" w:sz="4" w:space="0"/>
            </w:tcBorders>
            <w:vAlign w:val="center"/>
          </w:tcPr>
          <w:p w14:paraId="42363835">
            <w:pPr>
              <w:widowControl/>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w:t>
            </w:r>
          </w:p>
        </w:tc>
        <w:tc>
          <w:tcPr>
            <w:tcW w:w="712" w:type="dxa"/>
            <w:tcBorders>
              <w:left w:val="single" w:color="auto" w:sz="4" w:space="0"/>
            </w:tcBorders>
            <w:vAlign w:val="center"/>
          </w:tcPr>
          <w:p w14:paraId="11F1C76E">
            <w:pPr>
              <w:widowControl/>
              <w:autoSpaceDE w:val="0"/>
              <w:autoSpaceDN w:val="0"/>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w:t>
            </w:r>
          </w:p>
        </w:tc>
        <w:tc>
          <w:tcPr>
            <w:tcW w:w="726" w:type="dxa"/>
            <w:tcBorders>
              <w:left w:val="single" w:color="auto" w:sz="4" w:space="0"/>
            </w:tcBorders>
            <w:vAlign w:val="center"/>
          </w:tcPr>
          <w:p w14:paraId="3CE80C32">
            <w:pPr>
              <w:widowControl/>
              <w:autoSpaceDE w:val="0"/>
              <w:autoSpaceDN w:val="0"/>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w:t>
            </w:r>
          </w:p>
        </w:tc>
      </w:tr>
    </w:tbl>
    <w:p w14:paraId="5A3DD8EC">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本文件中非金属夹杂物参考了SEMI标准中UHP（超高纯净）等级对非金属夹杂物的要求，并针对不同冶炼方法的钢规定了更加严格指标，包括A+B+C+D综合以及DS类的要求。</w:t>
      </w:r>
    </w:p>
    <w:p w14:paraId="7FA62B6D">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（8）无损检测</w:t>
      </w:r>
    </w:p>
    <w:p w14:paraId="6E6D803D">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无损检测要求与国标保持一致。</w:t>
      </w:r>
    </w:p>
    <w:p w14:paraId="02324CA7">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（9）表面质量</w:t>
      </w:r>
    </w:p>
    <w:p w14:paraId="6F2FE4DA">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钢管外表面以抛光态交货。交货时表面应洁净，不应有油污、灰尘和碎屑等异物，不应有残留的酸液或碱液等腐蚀性介质</w:t>
      </w:r>
      <w:r>
        <w:rPr>
          <w:rFonts w:hint="eastAsia" w:ascii="Times New Roman" w:hAnsi="Times New Roman" w:eastAsia="仿宋_GB2312" w:cs="Times New Roman"/>
          <w:color w:val="auto"/>
          <w:sz w:val="28"/>
          <w:szCs w:val="28"/>
          <w:lang w:val="en-US" w:eastAsia="zh-CN"/>
        </w:rPr>
        <w:t>。钢管内外表面不得有裂纹、折叠、轧折、离层、结疤等缺陷存在。这些缺陷应完全清除，清除深度应不超过壁厚的10%，缺陷清除处的实际壁厚应不小于壁厚所允许的最小值。缺陷清除处不准许焊补，且应圆滑过渡。钢管外表面粗糙度Ra不超过0.8μm；若内表面有粗糙度特殊要求的，应在合同中注明。</w:t>
      </w:r>
    </w:p>
    <w:p w14:paraId="468BDD12">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5.尺寸、外形、重量</w:t>
      </w:r>
    </w:p>
    <w:p w14:paraId="5C7569DC">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（1）尺寸及允许偏差</w:t>
      </w:r>
    </w:p>
    <w:p w14:paraId="5544B757">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钢管通常按公称外径（</w:t>
      </w:r>
      <w:r>
        <w:rPr>
          <w:rFonts w:hint="default" w:ascii="Times New Roman" w:hAnsi="Times New Roman" w:eastAsia="仿宋_GB2312" w:cs="Times New Roman"/>
          <w:i/>
          <w:iCs/>
          <w:color w:val="auto"/>
          <w:sz w:val="28"/>
          <w:szCs w:val="28"/>
          <w:lang w:val="en-US" w:eastAsia="zh-CN"/>
        </w:rPr>
        <w:t>D</w:t>
      </w:r>
      <w:r>
        <w:rPr>
          <w:rFonts w:hint="default" w:ascii="Times New Roman" w:hAnsi="Times New Roman" w:eastAsia="仿宋_GB2312" w:cs="Times New Roman"/>
          <w:color w:val="auto"/>
          <w:sz w:val="28"/>
          <w:szCs w:val="28"/>
          <w:lang w:val="en-US" w:eastAsia="zh-CN"/>
        </w:rPr>
        <w:t>）和公称壁厚（</w:t>
      </w:r>
      <w:r>
        <w:rPr>
          <w:rFonts w:hint="default" w:ascii="Times New Roman" w:hAnsi="Times New Roman" w:eastAsia="仿宋_GB2312" w:cs="Times New Roman"/>
          <w:i/>
          <w:iCs/>
          <w:color w:val="auto"/>
          <w:sz w:val="28"/>
          <w:szCs w:val="28"/>
          <w:lang w:val="en-US" w:eastAsia="zh-CN"/>
        </w:rPr>
        <w:t>S</w:t>
      </w:r>
      <w:r>
        <w:rPr>
          <w:rFonts w:hint="default" w:ascii="Times New Roman" w:hAnsi="Times New Roman" w:eastAsia="仿宋_GB2312" w:cs="Times New Roman"/>
          <w:color w:val="auto"/>
          <w:sz w:val="28"/>
          <w:szCs w:val="28"/>
          <w:lang w:val="en-US" w:eastAsia="zh-CN"/>
        </w:rPr>
        <w:t>）交货。根据需方要求，经供需双方协商，钢管也可按公称外径和公称内径（</w:t>
      </w:r>
      <w:r>
        <w:rPr>
          <w:rFonts w:hint="default" w:ascii="Times New Roman" w:hAnsi="Times New Roman" w:eastAsia="仿宋_GB2312" w:cs="Times New Roman"/>
          <w:i/>
          <w:iCs/>
          <w:color w:val="auto"/>
          <w:sz w:val="28"/>
          <w:szCs w:val="28"/>
          <w:lang w:val="en-US" w:eastAsia="zh-CN"/>
        </w:rPr>
        <w:t>d</w:t>
      </w:r>
      <w:r>
        <w:rPr>
          <w:rFonts w:hint="default" w:ascii="Times New Roman" w:hAnsi="Times New Roman" w:eastAsia="仿宋_GB2312" w:cs="Times New Roman"/>
          <w:color w:val="auto"/>
          <w:sz w:val="28"/>
          <w:szCs w:val="28"/>
          <w:lang w:val="en-US" w:eastAsia="zh-CN"/>
        </w:rPr>
        <w:t>）或公称内径和公称壁厚交货</w:t>
      </w:r>
      <w:r>
        <w:rPr>
          <w:rFonts w:hint="eastAsia" w:ascii="Times New Roman" w:hAnsi="Times New Roman" w:eastAsia="仿宋_GB2312" w:cs="Times New Roman"/>
          <w:color w:val="auto"/>
          <w:sz w:val="28"/>
          <w:szCs w:val="28"/>
          <w:lang w:val="en-US" w:eastAsia="zh-CN"/>
        </w:rPr>
        <w:t>。钢管的公称外径和公称壁厚的允许偏差应符合表6和表7的规定。根据需方要求，经供需双方协商，并在合同中注明，可供表6和表7规定以外尺寸允许偏差的钢管。</w:t>
      </w:r>
    </w:p>
    <w:p w14:paraId="1870D14D">
      <w:pPr>
        <w:pStyle w:val="21"/>
        <w:tabs>
          <w:tab w:val="left" w:pos="360"/>
        </w:tabs>
        <w:spacing w:before="156" w:after="156"/>
        <w:jc w:val="right"/>
        <w:rPr>
          <w:rFonts w:ascii="Times New Roman"/>
          <w:kern w:val="2"/>
          <w:szCs w:val="21"/>
        </w:rPr>
      </w:pPr>
      <w:r>
        <w:rPr>
          <w:rFonts w:hint="eastAsia" w:ascii="Times New Roman"/>
          <w:szCs w:val="21"/>
          <w:lang w:val="en-US" w:eastAsia="zh-CN"/>
        </w:rPr>
        <w:t>公称</w:t>
      </w:r>
      <w:r>
        <w:rPr>
          <w:rFonts w:ascii="Times New Roman"/>
          <w:szCs w:val="21"/>
        </w:rPr>
        <w:t>外径</w:t>
      </w:r>
      <w:r>
        <w:rPr>
          <w:rFonts w:hint="eastAsia" w:ascii="Times New Roman"/>
          <w:szCs w:val="21"/>
          <w:lang w:val="en-US" w:eastAsia="zh-CN"/>
        </w:rPr>
        <w:t>的</w:t>
      </w:r>
      <w:r>
        <w:rPr>
          <w:rFonts w:ascii="Times New Roman"/>
          <w:szCs w:val="21"/>
        </w:rPr>
        <w:t>允许偏差</w:t>
      </w:r>
      <w:r>
        <w:rPr>
          <w:rFonts w:hint="eastAsia" w:ascii="Times New Roman"/>
          <w:szCs w:val="21"/>
          <w:lang w:val="en-US" w:eastAsia="zh-CN"/>
        </w:rPr>
        <w:t xml:space="preserve">                  </w:t>
      </w:r>
      <w:r>
        <w:rPr>
          <w:rFonts w:hint="eastAsia" w:ascii="宋体" w:hAnsi="宋体" w:eastAsia="宋体" w:cs="宋体"/>
          <w:szCs w:val="21"/>
          <w:lang w:val="en-US" w:eastAsia="zh-CN"/>
        </w:rPr>
        <w:t>单位为毫米</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5"/>
      </w:tblGrid>
      <w:tr w14:paraId="4F7F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2499" w:type="pct"/>
            <w:vAlign w:val="center"/>
          </w:tcPr>
          <w:p w14:paraId="1D80F3FC">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公称外径</w:t>
            </w:r>
          </w:p>
          <w:p w14:paraId="3AAD556E">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w:t>
            </w:r>
            <w:r>
              <w:rPr>
                <w:rFonts w:hint="default" w:ascii="Times New Roman" w:hAnsi="Times New Roman" w:cs="Times New Roman"/>
                <w:i/>
                <w:iCs/>
                <w:sz w:val="18"/>
                <w:szCs w:val="18"/>
                <w:lang w:val="en-US" w:eastAsia="zh-CN"/>
              </w:rPr>
              <w:t>D</w:t>
            </w:r>
            <w:r>
              <w:rPr>
                <w:rFonts w:hint="default" w:ascii="Times New Roman" w:hAnsi="Times New Roman" w:cs="Times New Roman"/>
                <w:sz w:val="18"/>
                <w:szCs w:val="18"/>
                <w:lang w:val="en-US" w:eastAsia="zh-CN"/>
              </w:rPr>
              <w:t>）</w:t>
            </w:r>
          </w:p>
        </w:tc>
        <w:tc>
          <w:tcPr>
            <w:tcW w:w="2501" w:type="pct"/>
            <w:vAlign w:val="center"/>
          </w:tcPr>
          <w:p w14:paraId="6621F8DF">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允许偏差</w:t>
            </w:r>
          </w:p>
        </w:tc>
      </w:tr>
      <w:tr w14:paraId="0027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2499" w:type="pct"/>
            <w:vAlign w:val="center"/>
          </w:tcPr>
          <w:p w14:paraId="6A9FD578">
            <w:pPr>
              <w:jc w:val="center"/>
              <w:rPr>
                <w:rFonts w:hint="default" w:ascii="Times New Roman" w:hAnsi="Times New Roman" w:cs="Times New Roman"/>
                <w:sz w:val="18"/>
                <w:szCs w:val="18"/>
              </w:rPr>
            </w:pPr>
            <w:r>
              <w:rPr>
                <w:rFonts w:hint="default" w:ascii="Times New Roman" w:hAnsi="Times New Roman" w:cs="Times New Roman"/>
                <w:sz w:val="18"/>
                <w:szCs w:val="18"/>
              </w:rPr>
              <w:t>6.35</w:t>
            </w:r>
          </w:p>
        </w:tc>
        <w:tc>
          <w:tcPr>
            <w:tcW w:w="2501" w:type="pct"/>
          </w:tcPr>
          <w:p w14:paraId="3CDE61F4">
            <w:pPr>
              <w:jc w:val="center"/>
              <w:rPr>
                <w:rFonts w:hint="default" w:ascii="Times New Roman" w:hAnsi="Times New Roman" w:cs="Times New Roman"/>
                <w:sz w:val="18"/>
                <w:szCs w:val="18"/>
              </w:rPr>
            </w:pPr>
            <w:r>
              <w:rPr>
                <w:rFonts w:hint="default" w:ascii="Times New Roman" w:hAnsi="Times New Roman" w:cs="Times New Roman"/>
                <w:sz w:val="18"/>
                <w:szCs w:val="18"/>
              </w:rPr>
              <w:t>±0.05</w:t>
            </w:r>
          </w:p>
        </w:tc>
      </w:tr>
      <w:tr w14:paraId="6742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9" w:type="pct"/>
            <w:vAlign w:val="center"/>
          </w:tcPr>
          <w:p w14:paraId="63E7923E">
            <w:pPr>
              <w:jc w:val="center"/>
              <w:rPr>
                <w:rFonts w:hint="default" w:ascii="Times New Roman" w:hAnsi="Times New Roman" w:cs="Times New Roman"/>
                <w:sz w:val="18"/>
                <w:szCs w:val="18"/>
              </w:rPr>
            </w:pPr>
            <w:r>
              <w:rPr>
                <w:rFonts w:hint="default" w:ascii="Times New Roman" w:hAnsi="Times New Roman" w:cs="Times New Roman"/>
                <w:sz w:val="18"/>
                <w:szCs w:val="18"/>
              </w:rPr>
              <w:t>9.525</w:t>
            </w:r>
          </w:p>
        </w:tc>
        <w:tc>
          <w:tcPr>
            <w:tcW w:w="2501" w:type="pct"/>
          </w:tcPr>
          <w:p w14:paraId="19FA6D07">
            <w:pPr>
              <w:jc w:val="center"/>
              <w:rPr>
                <w:rFonts w:hint="default" w:ascii="Times New Roman" w:hAnsi="Times New Roman" w:cs="Times New Roman"/>
                <w:sz w:val="18"/>
                <w:szCs w:val="18"/>
              </w:rPr>
            </w:pPr>
            <w:r>
              <w:rPr>
                <w:rFonts w:hint="default" w:ascii="Times New Roman" w:hAnsi="Times New Roman" w:cs="Times New Roman"/>
                <w:sz w:val="18"/>
                <w:szCs w:val="18"/>
              </w:rPr>
              <w:t>±0.05</w:t>
            </w:r>
          </w:p>
        </w:tc>
      </w:tr>
      <w:tr w14:paraId="242F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9" w:type="pct"/>
            <w:vAlign w:val="center"/>
          </w:tcPr>
          <w:p w14:paraId="46152A4F">
            <w:pPr>
              <w:jc w:val="center"/>
              <w:rPr>
                <w:rFonts w:hint="default" w:ascii="Times New Roman" w:hAnsi="Times New Roman" w:cs="Times New Roman"/>
                <w:sz w:val="18"/>
                <w:szCs w:val="18"/>
              </w:rPr>
            </w:pPr>
            <w:r>
              <w:rPr>
                <w:rFonts w:hint="default" w:ascii="Times New Roman" w:hAnsi="Times New Roman" w:cs="Times New Roman"/>
                <w:sz w:val="18"/>
                <w:szCs w:val="18"/>
              </w:rPr>
              <w:t>12.70</w:t>
            </w:r>
          </w:p>
        </w:tc>
        <w:tc>
          <w:tcPr>
            <w:tcW w:w="2501" w:type="pct"/>
          </w:tcPr>
          <w:p w14:paraId="0BC7B007">
            <w:pPr>
              <w:jc w:val="center"/>
              <w:rPr>
                <w:rFonts w:hint="default" w:ascii="Times New Roman" w:hAnsi="Times New Roman" w:cs="Times New Roman"/>
                <w:sz w:val="18"/>
                <w:szCs w:val="18"/>
              </w:rPr>
            </w:pPr>
            <w:r>
              <w:rPr>
                <w:rFonts w:hint="default" w:ascii="Times New Roman" w:hAnsi="Times New Roman" w:cs="Times New Roman"/>
                <w:sz w:val="18"/>
                <w:szCs w:val="18"/>
              </w:rPr>
              <w:t>±0.05</w:t>
            </w:r>
          </w:p>
        </w:tc>
      </w:tr>
      <w:tr w14:paraId="57C3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9" w:type="pct"/>
            <w:vAlign w:val="center"/>
          </w:tcPr>
          <w:p w14:paraId="3BA87F89">
            <w:pPr>
              <w:jc w:val="center"/>
              <w:rPr>
                <w:rFonts w:hint="default" w:ascii="Times New Roman" w:hAnsi="Times New Roman" w:cs="Times New Roman"/>
                <w:sz w:val="18"/>
                <w:szCs w:val="18"/>
              </w:rPr>
            </w:pPr>
            <w:r>
              <w:rPr>
                <w:rFonts w:hint="default" w:ascii="Times New Roman" w:hAnsi="Times New Roman" w:cs="Times New Roman"/>
                <w:sz w:val="18"/>
                <w:szCs w:val="18"/>
              </w:rPr>
              <w:t>19.05</w:t>
            </w:r>
          </w:p>
        </w:tc>
        <w:tc>
          <w:tcPr>
            <w:tcW w:w="2501" w:type="pct"/>
          </w:tcPr>
          <w:p w14:paraId="4778E202">
            <w:pPr>
              <w:jc w:val="center"/>
              <w:rPr>
                <w:rFonts w:hint="default" w:ascii="Times New Roman" w:hAnsi="Times New Roman" w:cs="Times New Roman"/>
                <w:sz w:val="18"/>
                <w:szCs w:val="18"/>
              </w:rPr>
            </w:pPr>
            <w:r>
              <w:rPr>
                <w:rFonts w:hint="default" w:ascii="Times New Roman" w:hAnsi="Times New Roman" w:cs="Times New Roman"/>
                <w:sz w:val="18"/>
                <w:szCs w:val="18"/>
              </w:rPr>
              <w:t>±0.05</w:t>
            </w:r>
          </w:p>
        </w:tc>
      </w:tr>
      <w:tr w14:paraId="53ED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9" w:type="pct"/>
            <w:vAlign w:val="center"/>
          </w:tcPr>
          <w:p w14:paraId="20FD74C6">
            <w:pPr>
              <w:jc w:val="center"/>
              <w:rPr>
                <w:rFonts w:hint="default" w:ascii="Times New Roman" w:hAnsi="Times New Roman" w:cs="Times New Roman"/>
                <w:sz w:val="18"/>
                <w:szCs w:val="18"/>
              </w:rPr>
            </w:pPr>
            <w:r>
              <w:rPr>
                <w:rFonts w:hint="default" w:ascii="Times New Roman" w:hAnsi="Times New Roman" w:cs="Times New Roman"/>
                <w:sz w:val="18"/>
                <w:szCs w:val="18"/>
              </w:rPr>
              <w:t>25.4</w:t>
            </w:r>
          </w:p>
        </w:tc>
        <w:tc>
          <w:tcPr>
            <w:tcW w:w="2501" w:type="pct"/>
          </w:tcPr>
          <w:p w14:paraId="4A2CA542">
            <w:pPr>
              <w:jc w:val="center"/>
              <w:rPr>
                <w:rFonts w:hint="default" w:ascii="Times New Roman" w:hAnsi="Times New Roman" w:cs="Times New Roman"/>
                <w:sz w:val="18"/>
                <w:szCs w:val="18"/>
              </w:rPr>
            </w:pPr>
            <w:r>
              <w:rPr>
                <w:rFonts w:hint="default" w:ascii="Times New Roman" w:hAnsi="Times New Roman" w:cs="Times New Roman"/>
                <w:sz w:val="18"/>
                <w:szCs w:val="18"/>
              </w:rPr>
              <w:t>±0.05</w:t>
            </w:r>
          </w:p>
        </w:tc>
      </w:tr>
    </w:tbl>
    <w:p w14:paraId="3BD03E20">
      <w:pPr>
        <w:pStyle w:val="21"/>
        <w:tabs>
          <w:tab w:val="left" w:pos="360"/>
        </w:tabs>
        <w:spacing w:before="156" w:after="156"/>
        <w:jc w:val="right"/>
        <w:rPr>
          <w:rFonts w:ascii="Times New Roman"/>
          <w:szCs w:val="21"/>
        </w:rPr>
      </w:pPr>
      <w:r>
        <w:rPr>
          <w:rFonts w:hint="eastAsia" w:ascii="Times New Roman"/>
          <w:szCs w:val="21"/>
          <w:lang w:val="en-US" w:eastAsia="zh-CN"/>
        </w:rPr>
        <w:t>公称</w:t>
      </w:r>
      <w:r>
        <w:rPr>
          <w:rFonts w:ascii="Times New Roman"/>
          <w:szCs w:val="21"/>
        </w:rPr>
        <w:t>壁厚</w:t>
      </w:r>
      <w:r>
        <w:rPr>
          <w:rFonts w:hint="eastAsia" w:ascii="Times New Roman"/>
          <w:szCs w:val="21"/>
          <w:lang w:val="en-US" w:eastAsia="zh-CN"/>
        </w:rPr>
        <w:t>的</w:t>
      </w:r>
      <w:r>
        <w:rPr>
          <w:rFonts w:ascii="Times New Roman"/>
          <w:szCs w:val="21"/>
        </w:rPr>
        <w:t>允许偏差</w:t>
      </w:r>
      <w:r>
        <w:rPr>
          <w:rFonts w:hint="eastAsia" w:ascii="Times New Roman"/>
          <w:szCs w:val="21"/>
          <w:lang w:val="en-US" w:eastAsia="zh-CN"/>
        </w:rPr>
        <w:t xml:space="preserve">                 </w:t>
      </w:r>
      <w:r>
        <w:rPr>
          <w:rFonts w:hint="eastAsia" w:ascii="宋体" w:hAnsi="宋体" w:eastAsia="宋体" w:cs="宋体"/>
          <w:szCs w:val="21"/>
          <w:lang w:val="en-US" w:eastAsia="zh-CN"/>
        </w:rPr>
        <w:t>单位为毫米</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2"/>
        <w:gridCol w:w="4264"/>
      </w:tblGrid>
      <w:tr w14:paraId="6C81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2499" w:type="pct"/>
            <w:vAlign w:val="center"/>
          </w:tcPr>
          <w:p w14:paraId="26A00F70">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公称</w:t>
            </w:r>
            <w:r>
              <w:rPr>
                <w:rFonts w:hint="default" w:ascii="Times New Roman" w:hAnsi="Times New Roman" w:cs="Times New Roman"/>
                <w:sz w:val="18"/>
                <w:szCs w:val="18"/>
              </w:rPr>
              <w:t>壁厚</w:t>
            </w:r>
          </w:p>
          <w:p w14:paraId="23AD9379">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w:t>
            </w:r>
            <w:r>
              <w:rPr>
                <w:rFonts w:hint="default" w:ascii="Times New Roman" w:hAnsi="Times New Roman" w:cs="Times New Roman"/>
                <w:i/>
                <w:iCs/>
                <w:sz w:val="18"/>
                <w:szCs w:val="18"/>
                <w:lang w:val="en-US" w:eastAsia="zh-CN"/>
              </w:rPr>
              <w:t>S</w:t>
            </w:r>
            <w:r>
              <w:rPr>
                <w:rFonts w:hint="default" w:ascii="Times New Roman" w:hAnsi="Times New Roman" w:cs="Times New Roman"/>
                <w:sz w:val="18"/>
                <w:szCs w:val="18"/>
                <w:lang w:val="en-US" w:eastAsia="zh-CN"/>
              </w:rPr>
              <w:t>）</w:t>
            </w:r>
          </w:p>
        </w:tc>
        <w:tc>
          <w:tcPr>
            <w:tcW w:w="2500" w:type="pct"/>
            <w:vAlign w:val="center"/>
          </w:tcPr>
          <w:p w14:paraId="64205F1D">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允许偏差</w:t>
            </w:r>
          </w:p>
        </w:tc>
      </w:tr>
      <w:tr w14:paraId="0310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2499" w:type="pct"/>
            <w:vAlign w:val="center"/>
          </w:tcPr>
          <w:p w14:paraId="513F3FE4">
            <w:pPr>
              <w:jc w:val="center"/>
              <w:rPr>
                <w:rFonts w:hint="default" w:ascii="Times New Roman" w:hAnsi="Times New Roman" w:cs="Times New Roman"/>
                <w:sz w:val="18"/>
                <w:szCs w:val="18"/>
              </w:rPr>
            </w:pPr>
            <w:r>
              <w:rPr>
                <w:rFonts w:hint="default" w:ascii="Times New Roman" w:hAnsi="Times New Roman" w:cs="Times New Roman"/>
                <w:sz w:val="18"/>
                <w:szCs w:val="18"/>
              </w:rPr>
              <w:t>0.89</w:t>
            </w:r>
          </w:p>
        </w:tc>
        <w:tc>
          <w:tcPr>
            <w:tcW w:w="2500" w:type="pct"/>
          </w:tcPr>
          <w:p w14:paraId="29CE2DC6">
            <w:pPr>
              <w:jc w:val="center"/>
              <w:rPr>
                <w:rFonts w:hint="default" w:ascii="Times New Roman" w:hAnsi="Times New Roman" w:cs="Times New Roman"/>
                <w:sz w:val="18"/>
                <w:szCs w:val="18"/>
              </w:rPr>
            </w:pPr>
            <w:r>
              <w:rPr>
                <w:rFonts w:hint="default" w:ascii="Times New Roman" w:hAnsi="Times New Roman" w:cs="Times New Roman"/>
                <w:sz w:val="18"/>
                <w:szCs w:val="18"/>
              </w:rPr>
              <w:t>±0.05</w:t>
            </w:r>
          </w:p>
        </w:tc>
      </w:tr>
      <w:tr w14:paraId="4EF4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9" w:type="pct"/>
            <w:vAlign w:val="center"/>
          </w:tcPr>
          <w:p w14:paraId="4BC1A91A">
            <w:pPr>
              <w:jc w:val="center"/>
              <w:rPr>
                <w:rFonts w:hint="default" w:ascii="Times New Roman" w:hAnsi="Times New Roman" w:cs="Times New Roman"/>
                <w:sz w:val="18"/>
                <w:szCs w:val="18"/>
              </w:rPr>
            </w:pPr>
            <w:r>
              <w:rPr>
                <w:rFonts w:hint="default" w:ascii="Times New Roman" w:hAnsi="Times New Roman" w:cs="Times New Roman"/>
                <w:sz w:val="18"/>
                <w:szCs w:val="18"/>
              </w:rPr>
              <w:t>1.24</w:t>
            </w:r>
          </w:p>
        </w:tc>
        <w:tc>
          <w:tcPr>
            <w:tcW w:w="2500" w:type="pct"/>
          </w:tcPr>
          <w:p w14:paraId="56614A34">
            <w:pPr>
              <w:jc w:val="center"/>
              <w:rPr>
                <w:rFonts w:hint="default" w:ascii="Times New Roman" w:hAnsi="Times New Roman" w:cs="Times New Roman"/>
                <w:sz w:val="18"/>
                <w:szCs w:val="18"/>
              </w:rPr>
            </w:pPr>
            <w:r>
              <w:rPr>
                <w:rFonts w:hint="default" w:ascii="Times New Roman" w:hAnsi="Times New Roman" w:cs="Times New Roman"/>
                <w:sz w:val="18"/>
                <w:szCs w:val="18"/>
              </w:rPr>
              <w:t>±0.05</w:t>
            </w:r>
          </w:p>
        </w:tc>
      </w:tr>
      <w:tr w14:paraId="3EAC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9" w:type="pct"/>
            <w:vAlign w:val="center"/>
          </w:tcPr>
          <w:p w14:paraId="77F767B3">
            <w:pPr>
              <w:jc w:val="center"/>
              <w:rPr>
                <w:rFonts w:hint="default" w:ascii="Times New Roman" w:hAnsi="Times New Roman" w:cs="Times New Roman"/>
                <w:sz w:val="18"/>
                <w:szCs w:val="18"/>
              </w:rPr>
            </w:pPr>
            <w:r>
              <w:rPr>
                <w:rFonts w:hint="default" w:ascii="Times New Roman" w:hAnsi="Times New Roman" w:cs="Times New Roman"/>
                <w:sz w:val="18"/>
                <w:szCs w:val="18"/>
              </w:rPr>
              <w:t>1.65</w:t>
            </w:r>
          </w:p>
        </w:tc>
        <w:tc>
          <w:tcPr>
            <w:tcW w:w="2500" w:type="pct"/>
          </w:tcPr>
          <w:p w14:paraId="68FC2276">
            <w:pPr>
              <w:jc w:val="center"/>
              <w:rPr>
                <w:rFonts w:hint="default" w:ascii="Times New Roman" w:hAnsi="Times New Roman" w:cs="Times New Roman"/>
                <w:sz w:val="18"/>
                <w:szCs w:val="18"/>
              </w:rPr>
            </w:pPr>
            <w:r>
              <w:rPr>
                <w:rFonts w:hint="default" w:ascii="Times New Roman" w:hAnsi="Times New Roman" w:cs="Times New Roman"/>
                <w:sz w:val="18"/>
                <w:szCs w:val="18"/>
              </w:rPr>
              <w:t>±0.05</w:t>
            </w:r>
          </w:p>
        </w:tc>
      </w:tr>
      <w:tr w14:paraId="1175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9" w:type="pct"/>
            <w:vAlign w:val="center"/>
          </w:tcPr>
          <w:p w14:paraId="08F84742">
            <w:pPr>
              <w:jc w:val="center"/>
              <w:rPr>
                <w:rFonts w:hint="default" w:ascii="Times New Roman" w:hAnsi="Times New Roman" w:cs="Times New Roman"/>
                <w:sz w:val="18"/>
                <w:szCs w:val="18"/>
              </w:rPr>
            </w:pPr>
            <w:r>
              <w:rPr>
                <w:rFonts w:hint="default" w:ascii="Times New Roman" w:hAnsi="Times New Roman" w:cs="Times New Roman"/>
                <w:sz w:val="18"/>
                <w:szCs w:val="18"/>
              </w:rPr>
              <w:t>2.0</w:t>
            </w:r>
          </w:p>
        </w:tc>
        <w:tc>
          <w:tcPr>
            <w:tcW w:w="2500" w:type="pct"/>
          </w:tcPr>
          <w:p w14:paraId="169A3870">
            <w:pPr>
              <w:jc w:val="center"/>
              <w:rPr>
                <w:rFonts w:hint="default" w:ascii="Times New Roman" w:hAnsi="Times New Roman" w:cs="Times New Roman"/>
                <w:sz w:val="18"/>
                <w:szCs w:val="18"/>
              </w:rPr>
            </w:pPr>
            <w:r>
              <w:rPr>
                <w:rFonts w:hint="default" w:ascii="Times New Roman" w:hAnsi="Times New Roman" w:cs="Times New Roman"/>
                <w:sz w:val="18"/>
                <w:szCs w:val="18"/>
              </w:rPr>
              <w:t>±0.05</w:t>
            </w:r>
          </w:p>
        </w:tc>
      </w:tr>
    </w:tbl>
    <w:p w14:paraId="195AFC6B">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（2）长度</w:t>
      </w:r>
    </w:p>
    <w:p w14:paraId="45F1B28D">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钢管的通常长度范围为3000 mm~8000 mm</w:t>
      </w:r>
      <w:r>
        <w:rPr>
          <w:rFonts w:hint="eastAsia" w:ascii="Times New Roman" w:hAnsi="Times New Roman" w:eastAsia="仿宋_GB2312" w:cs="Times New Roman"/>
          <w:color w:val="auto"/>
          <w:sz w:val="28"/>
          <w:szCs w:val="28"/>
          <w:lang w:val="en-US" w:eastAsia="zh-CN"/>
        </w:rPr>
        <w:t>。经供需双方协商，并在合同中注明，可交付长度短于3000 mm但不短于500 mm的钢管。</w:t>
      </w:r>
    </w:p>
    <w:p w14:paraId="4F4F3D97">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（3）定尺、倍尺长度</w:t>
      </w:r>
    </w:p>
    <w:p w14:paraId="2D9B9BA8">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根据需方要求，经供需双方协商，并在合同中注明，钢管可按定尺或倍尺长度交货。定尺长度和倍尺总长度在通常长度范围内，定尺全长（L）允许偏差应为</w:t>
      </w:r>
      <m:oMath>
        <m:sSubSup>
          <m:sSubSupPr>
            <m:ctrlPr>
              <w:rPr>
                <w:rFonts w:hint="default" w:ascii="Cambria Math" w:hAnsi="Cambria Math" w:eastAsia="仿宋_GB2312" w:cs="Times New Roman"/>
                <w:color w:val="auto"/>
                <w:sz w:val="28"/>
                <w:szCs w:val="28"/>
                <w:lang w:val="en-US" w:eastAsia="zh-CN"/>
              </w:rPr>
            </m:ctrlPr>
          </m:sSubSupPr>
          <m:e>
            <m:r>
              <m:rPr>
                <m:sty m:val="p"/>
              </m:rPr>
              <w:rPr>
                <w:rFonts w:hint="default" w:ascii="Times New Roman" w:hAnsi="Times New Roman" w:eastAsia="仿宋_GB2312" w:cs="Times New Roman"/>
                <w:color w:val="auto"/>
                <w:sz w:val="28"/>
                <w:szCs w:val="28"/>
                <w:lang w:val="en-US" w:eastAsia="zh-CN"/>
              </w:rPr>
              <m:t>L</m:t>
            </m:r>
            <m:ctrlPr>
              <w:rPr>
                <w:rFonts w:hint="default" w:ascii="Cambria Math" w:hAnsi="Cambria Math" w:eastAsia="仿宋_GB2312" w:cs="Times New Roman"/>
                <w:color w:val="auto"/>
                <w:sz w:val="28"/>
                <w:szCs w:val="28"/>
                <w:lang w:val="en-US" w:eastAsia="zh-CN"/>
              </w:rPr>
            </m:ctrlPr>
          </m:e>
          <m:sub>
            <m:r>
              <m:rPr>
                <m:sty m:val="p"/>
              </m:rPr>
              <w:rPr>
                <w:rFonts w:hint="default" w:ascii="Times New Roman" w:hAnsi="Times New Roman" w:eastAsia="仿宋_GB2312" w:cs="Times New Roman"/>
                <w:color w:val="auto"/>
                <w:sz w:val="28"/>
                <w:szCs w:val="28"/>
                <w:lang w:val="en-US" w:eastAsia="zh-CN"/>
              </w:rPr>
              <m:t>0</m:t>
            </m:r>
            <m:ctrlPr>
              <w:rPr>
                <w:rFonts w:hint="default" w:ascii="Cambria Math" w:hAnsi="Cambria Math" w:eastAsia="仿宋_GB2312" w:cs="Times New Roman"/>
                <w:color w:val="auto"/>
                <w:sz w:val="28"/>
                <w:szCs w:val="28"/>
                <w:lang w:val="en-US" w:eastAsia="zh-CN"/>
              </w:rPr>
            </m:ctrlPr>
          </m:sub>
          <m:sup>
            <m:r>
              <m:rPr>
                <m:sty m:val="p"/>
              </m:rPr>
              <w:rPr>
                <w:rFonts w:hint="default" w:ascii="Times New Roman" w:hAnsi="Times New Roman" w:eastAsia="仿宋_GB2312" w:cs="Times New Roman"/>
                <w:color w:val="auto"/>
                <w:sz w:val="28"/>
                <w:szCs w:val="28"/>
                <w:lang w:val="en-US" w:eastAsia="zh-CN"/>
              </w:rPr>
              <m:t>+10</m:t>
            </m:r>
            <m:ctrlPr>
              <w:rPr>
                <w:rFonts w:hint="default" w:ascii="Cambria Math" w:hAnsi="Cambria Math" w:eastAsia="仿宋_GB2312" w:cs="Times New Roman"/>
                <w:color w:val="auto"/>
                <w:sz w:val="28"/>
                <w:szCs w:val="28"/>
                <w:lang w:val="en-US" w:eastAsia="zh-CN"/>
              </w:rPr>
            </m:ctrlPr>
          </m:sup>
        </m:sSubSup>
      </m:oMath>
      <w:r>
        <w:rPr>
          <w:rFonts w:hint="default" w:ascii="Times New Roman" w:hAnsi="Times New Roman" w:eastAsia="仿宋_GB2312" w:cs="Times New Roman"/>
          <w:color w:val="auto"/>
          <w:sz w:val="28"/>
          <w:szCs w:val="28"/>
          <w:lang w:val="en-US" w:eastAsia="zh-CN"/>
        </w:rPr>
        <w:t xml:space="preserve"> mm；每个倍尺长度留出切口余量5 mm~10 mm</w:t>
      </w:r>
      <w:r>
        <w:rPr>
          <w:rFonts w:hint="eastAsia" w:ascii="Times New Roman" w:hAnsi="Times New Roman" w:eastAsia="仿宋_GB2312" w:cs="Times New Roman"/>
          <w:color w:val="auto"/>
          <w:sz w:val="28"/>
          <w:szCs w:val="28"/>
          <w:lang w:val="en-US" w:eastAsia="zh-CN"/>
        </w:rPr>
        <w:t>。</w:t>
      </w:r>
    </w:p>
    <w:p w14:paraId="5EBC5B49">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（4）弯曲度</w:t>
      </w:r>
    </w:p>
    <w:p w14:paraId="3F0B7516">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钢管局部弯曲度应不大于1.5 mm/m，全长弯曲度应不大于总长的0.12%。其它特殊弯曲度要求应在合同中注明。根据需方要求，经供需双方协商，并在合同中注明，钢管的每米弯曲度和全长弯曲度可采用其它规定</w:t>
      </w:r>
      <w:r>
        <w:rPr>
          <w:rFonts w:hint="eastAsia" w:ascii="Times New Roman" w:hAnsi="Times New Roman" w:eastAsia="仿宋_GB2312" w:cs="Times New Roman"/>
          <w:color w:val="auto"/>
          <w:sz w:val="28"/>
          <w:szCs w:val="28"/>
          <w:lang w:val="en-US" w:eastAsia="zh-CN"/>
        </w:rPr>
        <w:t>。</w:t>
      </w:r>
    </w:p>
    <w:p w14:paraId="5D79EF88">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（5）端头外形</w:t>
      </w:r>
    </w:p>
    <w:p w14:paraId="7E9E544F">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钢管两端应垂直平切，并应清除切口毛刺</w:t>
      </w:r>
      <w:r>
        <w:rPr>
          <w:rFonts w:hint="eastAsia" w:ascii="Times New Roman" w:hAnsi="Times New Roman" w:eastAsia="仿宋_GB2312" w:cs="Times New Roman"/>
          <w:color w:val="auto"/>
          <w:sz w:val="28"/>
          <w:szCs w:val="28"/>
          <w:lang w:val="en-US" w:eastAsia="zh-CN"/>
        </w:rPr>
        <w:t>。根据需方要求，经供需双方协商，钢管两端可加工坡口，坡口型式由供需双方协商确定。</w:t>
      </w:r>
    </w:p>
    <w:p w14:paraId="190660AF">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（6）不圆度和壁厚不均</w:t>
      </w:r>
    </w:p>
    <w:p w14:paraId="6AB71EC7">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根据需方要求，经供需双方协商，钢管的不圆度和壁厚不均应分别不超过外径公差和壁厚公差的80%</w:t>
      </w:r>
      <w:r>
        <w:rPr>
          <w:rFonts w:hint="eastAsia" w:ascii="Times New Roman" w:hAnsi="Times New Roman" w:eastAsia="仿宋_GB2312" w:cs="Times New Roman"/>
          <w:color w:val="auto"/>
          <w:sz w:val="28"/>
          <w:szCs w:val="28"/>
          <w:lang w:val="en-US" w:eastAsia="zh-CN"/>
        </w:rPr>
        <w:t>。</w:t>
      </w:r>
    </w:p>
    <w:p w14:paraId="24A5B2AD">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（7）重量</w:t>
      </w:r>
    </w:p>
    <w:p w14:paraId="2BD84769">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与国标计算方法保持一致。</w:t>
      </w:r>
    </w:p>
    <w:p w14:paraId="3B4A775D">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6.试验方法</w:t>
      </w:r>
    </w:p>
    <w:p w14:paraId="1B7DAE98">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钢的化学成分一般按GB/T 223（所有部分）、GB/T 11170、GB/T 11261、GB/T 20123、GB/T 20124、YB/T 4395、YB/T 4396或通用的化学分析方法进行，仲裁时由供需双方协商确定</w:t>
      </w:r>
      <w:r>
        <w:rPr>
          <w:rFonts w:hint="eastAsia" w:ascii="Times New Roman" w:hAnsi="Times New Roman" w:eastAsia="仿宋_GB2312" w:cs="Times New Roman"/>
          <w:color w:val="auto"/>
          <w:sz w:val="28"/>
          <w:szCs w:val="28"/>
          <w:lang w:val="en-US" w:eastAsia="zh-CN"/>
        </w:rPr>
        <w:t>。钢管的检验项目、取样方法及试验方法应符合表8的规定。</w:t>
      </w:r>
    </w:p>
    <w:p w14:paraId="5D224EE6">
      <w:pPr>
        <w:pStyle w:val="21"/>
        <w:tabs>
          <w:tab w:val="left" w:pos="360"/>
        </w:tabs>
        <w:spacing w:before="156" w:after="156"/>
        <w:rPr>
          <w:rFonts w:ascii="Times New Roman"/>
          <w:szCs w:val="21"/>
        </w:rPr>
      </w:pPr>
      <w:r>
        <w:rPr>
          <w:rFonts w:ascii="Times New Roman"/>
          <w:szCs w:val="21"/>
        </w:rPr>
        <w:t>检验项目、取样数量、取样方法及试验方法</w:t>
      </w:r>
    </w:p>
    <w:tbl>
      <w:tblPr>
        <w:tblStyle w:val="1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178"/>
        <w:gridCol w:w="2964"/>
        <w:gridCol w:w="2200"/>
        <w:gridCol w:w="1546"/>
      </w:tblGrid>
      <w:tr w14:paraId="1BA7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70" w:type="pct"/>
            <w:vAlign w:val="center"/>
          </w:tcPr>
          <w:p w14:paraId="6C31A5C7">
            <w:pPr>
              <w:jc w:val="center"/>
              <w:rPr>
                <w:rFonts w:hint="default" w:ascii="Times New Roman" w:hAnsi="Times New Roman" w:cs="Times New Roman"/>
                <w:sz w:val="18"/>
                <w:szCs w:val="18"/>
              </w:rPr>
            </w:pPr>
            <w:r>
              <w:rPr>
                <w:rFonts w:hint="default" w:ascii="Times New Roman" w:hAnsi="Times New Roman" w:cs="Times New Roman"/>
                <w:sz w:val="18"/>
                <w:szCs w:val="18"/>
              </w:rPr>
              <w:t>序号</w:t>
            </w:r>
          </w:p>
        </w:tc>
        <w:tc>
          <w:tcPr>
            <w:tcW w:w="691" w:type="pct"/>
            <w:vAlign w:val="center"/>
          </w:tcPr>
          <w:p w14:paraId="2357C683">
            <w:pPr>
              <w:jc w:val="center"/>
              <w:rPr>
                <w:rFonts w:hint="default" w:ascii="Times New Roman" w:hAnsi="Times New Roman" w:cs="Times New Roman"/>
                <w:sz w:val="18"/>
                <w:szCs w:val="18"/>
              </w:rPr>
            </w:pPr>
            <w:r>
              <w:rPr>
                <w:rFonts w:hint="default" w:ascii="Times New Roman" w:hAnsi="Times New Roman" w:cs="Times New Roman"/>
                <w:sz w:val="18"/>
                <w:szCs w:val="18"/>
              </w:rPr>
              <w:t>检验项目</w:t>
            </w:r>
          </w:p>
        </w:tc>
        <w:tc>
          <w:tcPr>
            <w:tcW w:w="1739" w:type="pct"/>
            <w:vAlign w:val="center"/>
          </w:tcPr>
          <w:p w14:paraId="1CFFA512">
            <w:pPr>
              <w:jc w:val="center"/>
              <w:rPr>
                <w:rFonts w:hint="default" w:ascii="Times New Roman" w:hAnsi="Times New Roman" w:cs="Times New Roman"/>
                <w:sz w:val="18"/>
                <w:szCs w:val="18"/>
              </w:rPr>
            </w:pPr>
            <w:r>
              <w:rPr>
                <w:rFonts w:hint="default" w:ascii="Times New Roman" w:hAnsi="Times New Roman" w:cs="Times New Roman"/>
                <w:sz w:val="18"/>
                <w:szCs w:val="18"/>
              </w:rPr>
              <w:t>取样数量</w:t>
            </w:r>
          </w:p>
        </w:tc>
        <w:tc>
          <w:tcPr>
            <w:tcW w:w="1291" w:type="pct"/>
            <w:vAlign w:val="center"/>
          </w:tcPr>
          <w:p w14:paraId="022BFF2D">
            <w:pPr>
              <w:jc w:val="center"/>
              <w:rPr>
                <w:rFonts w:hint="default" w:ascii="Times New Roman" w:hAnsi="Times New Roman" w:cs="Times New Roman"/>
                <w:sz w:val="18"/>
                <w:szCs w:val="18"/>
              </w:rPr>
            </w:pPr>
            <w:r>
              <w:rPr>
                <w:rFonts w:hint="default" w:ascii="Times New Roman" w:hAnsi="Times New Roman" w:cs="Times New Roman"/>
                <w:sz w:val="18"/>
                <w:szCs w:val="18"/>
              </w:rPr>
              <w:t>取样部位及方法</w:t>
            </w:r>
          </w:p>
        </w:tc>
        <w:tc>
          <w:tcPr>
            <w:tcW w:w="907" w:type="pct"/>
            <w:vAlign w:val="center"/>
          </w:tcPr>
          <w:p w14:paraId="52A80819">
            <w:pPr>
              <w:jc w:val="center"/>
              <w:rPr>
                <w:rFonts w:hint="default" w:ascii="Times New Roman" w:hAnsi="Times New Roman" w:cs="Times New Roman"/>
                <w:sz w:val="18"/>
                <w:szCs w:val="18"/>
              </w:rPr>
            </w:pPr>
            <w:r>
              <w:rPr>
                <w:rFonts w:hint="default" w:ascii="Times New Roman" w:hAnsi="Times New Roman" w:cs="Times New Roman"/>
                <w:sz w:val="18"/>
                <w:szCs w:val="18"/>
              </w:rPr>
              <w:t>试验方法</w:t>
            </w:r>
          </w:p>
        </w:tc>
      </w:tr>
      <w:tr w14:paraId="2031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70" w:type="pct"/>
            <w:vAlign w:val="center"/>
          </w:tcPr>
          <w:p w14:paraId="09AA0B4D">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p>
        </w:tc>
        <w:tc>
          <w:tcPr>
            <w:tcW w:w="691" w:type="pct"/>
            <w:vAlign w:val="center"/>
          </w:tcPr>
          <w:p w14:paraId="31224981">
            <w:pPr>
              <w:jc w:val="center"/>
              <w:rPr>
                <w:rFonts w:hint="default" w:ascii="Times New Roman" w:hAnsi="Times New Roman" w:cs="Times New Roman"/>
                <w:sz w:val="18"/>
                <w:szCs w:val="18"/>
              </w:rPr>
            </w:pPr>
            <w:r>
              <w:rPr>
                <w:rFonts w:hint="default" w:ascii="Times New Roman" w:hAnsi="Times New Roman" w:cs="Times New Roman"/>
                <w:sz w:val="18"/>
                <w:szCs w:val="18"/>
              </w:rPr>
              <w:t>化学成分</w:t>
            </w:r>
          </w:p>
        </w:tc>
        <w:tc>
          <w:tcPr>
            <w:tcW w:w="1739" w:type="pct"/>
            <w:vAlign w:val="center"/>
          </w:tcPr>
          <w:p w14:paraId="7D8DC507">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每炉取1个试样</w:t>
            </w:r>
          </w:p>
        </w:tc>
        <w:tc>
          <w:tcPr>
            <w:tcW w:w="1291" w:type="pct"/>
            <w:vAlign w:val="center"/>
          </w:tcPr>
          <w:p w14:paraId="0C428C48">
            <w:pPr>
              <w:jc w:val="center"/>
              <w:rPr>
                <w:rFonts w:hint="default" w:ascii="Times New Roman" w:hAnsi="Times New Roman" w:cs="Times New Roman"/>
                <w:sz w:val="18"/>
                <w:szCs w:val="18"/>
                <w:lang w:val="fr-FR"/>
              </w:rPr>
            </w:pPr>
            <w:r>
              <w:rPr>
                <w:rFonts w:hint="default" w:ascii="Times New Roman" w:hAnsi="Times New Roman" w:cs="Times New Roman"/>
                <w:sz w:val="18"/>
                <w:szCs w:val="18"/>
              </w:rPr>
              <w:t>GB/T 20066</w:t>
            </w:r>
          </w:p>
        </w:tc>
        <w:tc>
          <w:tcPr>
            <w:tcW w:w="907" w:type="pct"/>
            <w:vAlign w:val="center"/>
          </w:tcPr>
          <w:p w14:paraId="26EBD08B">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8.1</w:t>
            </w:r>
          </w:p>
        </w:tc>
      </w:tr>
      <w:tr w14:paraId="5B8E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70" w:type="pct"/>
            <w:vAlign w:val="center"/>
          </w:tcPr>
          <w:p w14:paraId="29D91FAB">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w:t>
            </w:r>
          </w:p>
        </w:tc>
        <w:tc>
          <w:tcPr>
            <w:tcW w:w="691" w:type="pct"/>
            <w:vAlign w:val="center"/>
          </w:tcPr>
          <w:p w14:paraId="69A4A9C2">
            <w:pPr>
              <w:jc w:val="center"/>
              <w:rPr>
                <w:rFonts w:hint="default" w:ascii="Times New Roman" w:hAnsi="Times New Roman" w:cs="Times New Roman"/>
                <w:sz w:val="18"/>
                <w:szCs w:val="18"/>
              </w:rPr>
            </w:pPr>
            <w:r>
              <w:rPr>
                <w:rFonts w:hint="default" w:ascii="Times New Roman" w:hAnsi="Times New Roman" w:cs="Times New Roman"/>
                <w:sz w:val="18"/>
                <w:szCs w:val="18"/>
              </w:rPr>
              <w:t>拉伸</w:t>
            </w:r>
          </w:p>
        </w:tc>
        <w:tc>
          <w:tcPr>
            <w:tcW w:w="1739" w:type="pct"/>
            <w:vAlign w:val="center"/>
          </w:tcPr>
          <w:p w14:paraId="6DDD4BDA">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zh-TW" w:eastAsia="zh-TW"/>
              </w:rPr>
              <w:t>每批在两根钢管上各取1个试样</w:t>
            </w:r>
          </w:p>
        </w:tc>
        <w:tc>
          <w:tcPr>
            <w:tcW w:w="1291" w:type="pct"/>
            <w:vAlign w:val="center"/>
          </w:tcPr>
          <w:p w14:paraId="707E7098">
            <w:pPr>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en-US"/>
              </w:rPr>
              <w:t>GB/T 2975</w:t>
            </w:r>
          </w:p>
        </w:tc>
        <w:tc>
          <w:tcPr>
            <w:tcW w:w="907" w:type="pct"/>
            <w:vAlign w:val="center"/>
          </w:tcPr>
          <w:p w14:paraId="5D99ECFB">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eastAsia="en-US"/>
              </w:rPr>
              <w:t>GB/T 228.1</w:t>
            </w:r>
          </w:p>
        </w:tc>
      </w:tr>
      <w:tr w14:paraId="786B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70" w:type="pct"/>
            <w:vAlign w:val="center"/>
          </w:tcPr>
          <w:p w14:paraId="3150533E">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w:t>
            </w:r>
          </w:p>
        </w:tc>
        <w:tc>
          <w:tcPr>
            <w:tcW w:w="691" w:type="pct"/>
            <w:vAlign w:val="center"/>
          </w:tcPr>
          <w:p w14:paraId="3300F0B0">
            <w:pPr>
              <w:jc w:val="center"/>
              <w:rPr>
                <w:rFonts w:hint="default" w:ascii="Times New Roman" w:hAnsi="Times New Roman" w:cs="Times New Roman"/>
                <w:sz w:val="18"/>
                <w:szCs w:val="18"/>
              </w:rPr>
            </w:pPr>
            <w:r>
              <w:rPr>
                <w:rFonts w:hint="default" w:ascii="Times New Roman" w:hAnsi="Times New Roman" w:cs="Times New Roman"/>
                <w:sz w:val="18"/>
                <w:szCs w:val="18"/>
              </w:rPr>
              <w:t>液压</w:t>
            </w:r>
          </w:p>
        </w:tc>
        <w:tc>
          <w:tcPr>
            <w:tcW w:w="1739" w:type="pct"/>
            <w:vAlign w:val="center"/>
          </w:tcPr>
          <w:p w14:paraId="2D7436FA">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逐</w:t>
            </w:r>
            <w:r>
              <w:rPr>
                <w:rFonts w:hint="default" w:ascii="Times New Roman" w:hAnsi="Times New Roman" w:cs="Times New Roman"/>
                <w:sz w:val="18"/>
                <w:szCs w:val="18"/>
                <w:lang w:val="en-US" w:eastAsia="zh-CN"/>
              </w:rPr>
              <w:t>根</w:t>
            </w:r>
          </w:p>
        </w:tc>
        <w:tc>
          <w:tcPr>
            <w:tcW w:w="1291" w:type="pct"/>
            <w:vAlign w:val="center"/>
          </w:tcPr>
          <w:p w14:paraId="7570DC34">
            <w:pPr>
              <w:jc w:val="center"/>
              <w:rPr>
                <w:rFonts w:hint="default" w:ascii="Times New Roman" w:hAnsi="Times New Roman" w:cs="Times New Roman"/>
                <w:sz w:val="18"/>
                <w:szCs w:val="18"/>
                <w:lang w:eastAsia="en-US"/>
              </w:rPr>
            </w:pPr>
            <w:r>
              <w:rPr>
                <w:rFonts w:hint="default" w:ascii="Times New Roman" w:hAnsi="Times New Roman" w:cs="Times New Roman"/>
                <w:sz w:val="18"/>
                <w:szCs w:val="18"/>
                <w:lang w:val="zh-TW" w:eastAsia="zh-TW"/>
              </w:rPr>
              <w:t>—</w:t>
            </w:r>
          </w:p>
        </w:tc>
        <w:tc>
          <w:tcPr>
            <w:tcW w:w="907" w:type="pct"/>
            <w:vAlign w:val="center"/>
          </w:tcPr>
          <w:p w14:paraId="7944684B">
            <w:pPr>
              <w:jc w:val="center"/>
              <w:rPr>
                <w:rFonts w:hint="default" w:ascii="Times New Roman" w:hAnsi="Times New Roman" w:cs="Times New Roman"/>
                <w:sz w:val="18"/>
                <w:szCs w:val="18"/>
                <w:lang w:eastAsia="en-US"/>
              </w:rPr>
            </w:pPr>
            <w:r>
              <w:rPr>
                <w:rFonts w:hint="default" w:ascii="Times New Roman" w:hAnsi="Times New Roman" w:cs="Times New Roman"/>
                <w:sz w:val="18"/>
                <w:szCs w:val="18"/>
                <w:lang w:eastAsia="en-US"/>
              </w:rPr>
              <w:t xml:space="preserve">GB/T </w:t>
            </w:r>
            <w:r>
              <w:rPr>
                <w:rFonts w:hint="default" w:ascii="Times New Roman" w:hAnsi="Times New Roman" w:cs="Times New Roman"/>
                <w:sz w:val="18"/>
                <w:szCs w:val="18"/>
                <w:lang w:val="zh-TW" w:eastAsia="zh-TW"/>
              </w:rPr>
              <w:t>241</w:t>
            </w:r>
          </w:p>
        </w:tc>
      </w:tr>
      <w:tr w14:paraId="5CAF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70" w:type="pct"/>
            <w:vAlign w:val="center"/>
          </w:tcPr>
          <w:p w14:paraId="360A87D8">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w:t>
            </w:r>
          </w:p>
        </w:tc>
        <w:tc>
          <w:tcPr>
            <w:tcW w:w="691" w:type="pct"/>
            <w:vAlign w:val="center"/>
          </w:tcPr>
          <w:p w14:paraId="21F29C22">
            <w:pPr>
              <w:jc w:val="center"/>
              <w:rPr>
                <w:rFonts w:hint="default" w:ascii="Times New Roman" w:hAnsi="Times New Roman" w:cs="Times New Roman"/>
                <w:sz w:val="18"/>
                <w:szCs w:val="18"/>
              </w:rPr>
            </w:pPr>
            <w:r>
              <w:rPr>
                <w:rFonts w:hint="default" w:ascii="Times New Roman" w:hAnsi="Times New Roman" w:cs="Times New Roman"/>
                <w:sz w:val="18"/>
                <w:szCs w:val="18"/>
              </w:rPr>
              <w:t>超声</w:t>
            </w:r>
          </w:p>
        </w:tc>
        <w:tc>
          <w:tcPr>
            <w:tcW w:w="1739" w:type="pct"/>
            <w:vAlign w:val="center"/>
          </w:tcPr>
          <w:p w14:paraId="58245FE2">
            <w:pPr>
              <w:jc w:val="center"/>
              <w:rPr>
                <w:rFonts w:hint="default" w:ascii="Times New Roman" w:hAnsi="Times New Roman" w:cs="Times New Roman"/>
                <w:sz w:val="18"/>
                <w:szCs w:val="18"/>
              </w:rPr>
            </w:pPr>
            <w:r>
              <w:rPr>
                <w:rFonts w:hint="default" w:ascii="Times New Roman" w:hAnsi="Times New Roman" w:cs="Times New Roman"/>
                <w:sz w:val="18"/>
                <w:szCs w:val="18"/>
              </w:rPr>
              <w:t>逐</w:t>
            </w:r>
            <w:r>
              <w:rPr>
                <w:rFonts w:hint="default" w:ascii="Times New Roman" w:hAnsi="Times New Roman" w:cs="Times New Roman"/>
                <w:sz w:val="18"/>
                <w:szCs w:val="18"/>
                <w:lang w:val="en-US" w:eastAsia="zh-CN"/>
              </w:rPr>
              <w:t>根</w:t>
            </w:r>
          </w:p>
        </w:tc>
        <w:tc>
          <w:tcPr>
            <w:tcW w:w="1291" w:type="pct"/>
            <w:vAlign w:val="center"/>
          </w:tcPr>
          <w:p w14:paraId="1D61A3ED">
            <w:pPr>
              <w:jc w:val="center"/>
              <w:rPr>
                <w:rFonts w:hint="default" w:ascii="Times New Roman" w:hAnsi="Times New Roman" w:cs="Times New Roman"/>
                <w:sz w:val="18"/>
                <w:szCs w:val="18"/>
                <w:lang w:val="zh-TW" w:eastAsia="zh-TW"/>
              </w:rPr>
            </w:pPr>
            <w:r>
              <w:rPr>
                <w:rFonts w:hint="default" w:ascii="Times New Roman" w:hAnsi="Times New Roman" w:cs="Times New Roman"/>
                <w:sz w:val="18"/>
                <w:szCs w:val="18"/>
                <w:lang w:val="zh-TW" w:eastAsia="zh-TW"/>
              </w:rPr>
              <w:t>—</w:t>
            </w:r>
          </w:p>
        </w:tc>
        <w:tc>
          <w:tcPr>
            <w:tcW w:w="907" w:type="pct"/>
            <w:vAlign w:val="center"/>
          </w:tcPr>
          <w:p w14:paraId="4FBF7FB9">
            <w:pPr>
              <w:jc w:val="center"/>
              <w:rPr>
                <w:rFonts w:hint="default" w:ascii="Times New Roman" w:hAnsi="Times New Roman" w:cs="Times New Roman"/>
                <w:sz w:val="18"/>
                <w:szCs w:val="18"/>
                <w:lang w:eastAsia="en-US"/>
              </w:rPr>
            </w:pPr>
            <w:r>
              <w:rPr>
                <w:rFonts w:hint="default" w:ascii="Times New Roman" w:hAnsi="Times New Roman" w:cs="Times New Roman"/>
                <w:sz w:val="18"/>
                <w:szCs w:val="18"/>
                <w:lang w:eastAsia="en-US"/>
              </w:rPr>
              <w:t>GB/T 5777</w:t>
            </w:r>
          </w:p>
        </w:tc>
      </w:tr>
      <w:tr w14:paraId="6DFC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70" w:type="pct"/>
            <w:vAlign w:val="center"/>
          </w:tcPr>
          <w:p w14:paraId="5810F113">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w:t>
            </w:r>
          </w:p>
        </w:tc>
        <w:tc>
          <w:tcPr>
            <w:tcW w:w="691" w:type="pct"/>
            <w:vAlign w:val="center"/>
          </w:tcPr>
          <w:p w14:paraId="02CDFEE5">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涡流</w:t>
            </w:r>
          </w:p>
        </w:tc>
        <w:tc>
          <w:tcPr>
            <w:tcW w:w="1739" w:type="pct"/>
            <w:vAlign w:val="center"/>
          </w:tcPr>
          <w:p w14:paraId="3F6ACA84">
            <w:pPr>
              <w:jc w:val="center"/>
              <w:rPr>
                <w:rFonts w:hint="default" w:ascii="Times New Roman" w:hAnsi="Times New Roman" w:cs="Times New Roman"/>
                <w:sz w:val="18"/>
                <w:szCs w:val="18"/>
              </w:rPr>
            </w:pPr>
            <w:r>
              <w:rPr>
                <w:rFonts w:hint="default" w:ascii="Times New Roman" w:hAnsi="Times New Roman" w:cs="Times New Roman"/>
                <w:sz w:val="18"/>
                <w:szCs w:val="18"/>
              </w:rPr>
              <w:t>逐</w:t>
            </w:r>
            <w:r>
              <w:rPr>
                <w:rFonts w:hint="default" w:ascii="Times New Roman" w:hAnsi="Times New Roman" w:cs="Times New Roman"/>
                <w:sz w:val="18"/>
                <w:szCs w:val="18"/>
                <w:lang w:val="en-US" w:eastAsia="zh-CN"/>
              </w:rPr>
              <w:t>根</w:t>
            </w:r>
          </w:p>
        </w:tc>
        <w:tc>
          <w:tcPr>
            <w:tcW w:w="1291" w:type="pct"/>
            <w:vAlign w:val="center"/>
          </w:tcPr>
          <w:p w14:paraId="60237467">
            <w:pPr>
              <w:jc w:val="center"/>
              <w:rPr>
                <w:rFonts w:hint="default" w:ascii="Times New Roman" w:hAnsi="Times New Roman" w:cs="Times New Roman"/>
                <w:sz w:val="18"/>
                <w:szCs w:val="18"/>
                <w:lang w:val="zh-TW" w:eastAsia="zh-TW"/>
              </w:rPr>
            </w:pPr>
            <w:r>
              <w:rPr>
                <w:rFonts w:hint="default" w:ascii="Times New Roman" w:hAnsi="Times New Roman" w:cs="Times New Roman"/>
                <w:sz w:val="18"/>
                <w:szCs w:val="18"/>
                <w:lang w:val="zh-TW" w:eastAsia="zh-TW"/>
              </w:rPr>
              <w:t>—</w:t>
            </w:r>
          </w:p>
        </w:tc>
        <w:tc>
          <w:tcPr>
            <w:tcW w:w="907" w:type="pct"/>
            <w:vAlign w:val="center"/>
          </w:tcPr>
          <w:p w14:paraId="6753C7D3">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GB/T 7735</w:t>
            </w:r>
          </w:p>
        </w:tc>
      </w:tr>
      <w:tr w14:paraId="6937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70" w:type="pct"/>
            <w:vAlign w:val="center"/>
          </w:tcPr>
          <w:p w14:paraId="57B7178E">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6</w:t>
            </w:r>
          </w:p>
        </w:tc>
        <w:tc>
          <w:tcPr>
            <w:tcW w:w="691" w:type="pct"/>
            <w:vAlign w:val="center"/>
          </w:tcPr>
          <w:p w14:paraId="02044AC1">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压扁</w:t>
            </w:r>
          </w:p>
        </w:tc>
        <w:tc>
          <w:tcPr>
            <w:tcW w:w="1739" w:type="pct"/>
            <w:vAlign w:val="center"/>
          </w:tcPr>
          <w:p w14:paraId="63ABE62D">
            <w:pPr>
              <w:jc w:val="center"/>
              <w:rPr>
                <w:rFonts w:hint="default" w:ascii="Times New Roman" w:hAnsi="Times New Roman" w:cs="Times New Roman"/>
                <w:sz w:val="18"/>
                <w:szCs w:val="18"/>
              </w:rPr>
            </w:pPr>
            <w:r>
              <w:rPr>
                <w:rFonts w:hint="default" w:ascii="Times New Roman" w:hAnsi="Times New Roman" w:cs="Times New Roman"/>
                <w:sz w:val="18"/>
                <w:szCs w:val="18"/>
                <w:lang w:val="zh-TW" w:eastAsia="zh-TW"/>
              </w:rPr>
              <w:t>每批在两根钢管上各取1个试样</w:t>
            </w:r>
          </w:p>
        </w:tc>
        <w:tc>
          <w:tcPr>
            <w:tcW w:w="1291" w:type="pct"/>
            <w:vAlign w:val="center"/>
          </w:tcPr>
          <w:p w14:paraId="581FC1D0">
            <w:pPr>
              <w:jc w:val="center"/>
              <w:rPr>
                <w:rFonts w:hint="default" w:ascii="Times New Roman" w:hAnsi="Times New Roman" w:cs="Times New Roman"/>
                <w:sz w:val="18"/>
                <w:szCs w:val="18"/>
                <w:lang w:val="zh-TW" w:eastAsia="zh-TW"/>
              </w:rPr>
            </w:pPr>
            <w:r>
              <w:rPr>
                <w:rFonts w:hint="default" w:ascii="Times New Roman" w:hAnsi="Times New Roman" w:cs="Times New Roman"/>
                <w:sz w:val="18"/>
                <w:szCs w:val="18"/>
                <w:lang w:eastAsia="en-US"/>
              </w:rPr>
              <w:t xml:space="preserve">GB/T </w:t>
            </w:r>
            <w:r>
              <w:rPr>
                <w:rFonts w:hint="default" w:ascii="Times New Roman" w:hAnsi="Times New Roman" w:cs="Times New Roman"/>
                <w:sz w:val="18"/>
                <w:szCs w:val="18"/>
                <w:lang w:val="zh-TW" w:eastAsia="zh-TW"/>
              </w:rPr>
              <w:t>246</w:t>
            </w:r>
          </w:p>
        </w:tc>
        <w:tc>
          <w:tcPr>
            <w:tcW w:w="907" w:type="pct"/>
            <w:vAlign w:val="center"/>
          </w:tcPr>
          <w:p w14:paraId="0965DDB3">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eastAsia="en-US"/>
              </w:rPr>
              <w:t xml:space="preserve">GB/T </w:t>
            </w:r>
            <w:r>
              <w:rPr>
                <w:rFonts w:hint="default" w:ascii="Times New Roman" w:hAnsi="Times New Roman" w:cs="Times New Roman"/>
                <w:sz w:val="18"/>
                <w:szCs w:val="18"/>
                <w:lang w:val="zh-TW" w:eastAsia="zh-TW"/>
              </w:rPr>
              <w:t>246</w:t>
            </w:r>
          </w:p>
        </w:tc>
      </w:tr>
      <w:tr w14:paraId="7BC1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70" w:type="pct"/>
            <w:vAlign w:val="center"/>
          </w:tcPr>
          <w:p w14:paraId="3A88DA27">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w:t>
            </w:r>
          </w:p>
        </w:tc>
        <w:tc>
          <w:tcPr>
            <w:tcW w:w="691" w:type="pct"/>
            <w:vAlign w:val="center"/>
          </w:tcPr>
          <w:p w14:paraId="38E985D1">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扩口</w:t>
            </w:r>
          </w:p>
        </w:tc>
        <w:tc>
          <w:tcPr>
            <w:tcW w:w="1739" w:type="pct"/>
            <w:vAlign w:val="center"/>
          </w:tcPr>
          <w:p w14:paraId="679F1FDF">
            <w:pPr>
              <w:jc w:val="center"/>
              <w:rPr>
                <w:rFonts w:hint="default" w:ascii="Times New Roman" w:hAnsi="Times New Roman" w:cs="Times New Roman"/>
                <w:sz w:val="18"/>
                <w:szCs w:val="18"/>
              </w:rPr>
            </w:pPr>
            <w:r>
              <w:rPr>
                <w:rFonts w:hint="default" w:ascii="Times New Roman" w:hAnsi="Times New Roman" w:cs="Times New Roman"/>
                <w:sz w:val="18"/>
                <w:szCs w:val="18"/>
                <w:lang w:val="zh-TW" w:eastAsia="zh-TW"/>
              </w:rPr>
              <w:t>每批在两根钢管上各取1个试样</w:t>
            </w:r>
          </w:p>
        </w:tc>
        <w:tc>
          <w:tcPr>
            <w:tcW w:w="1291" w:type="pct"/>
            <w:shd w:val="clear" w:color="auto" w:fill="auto"/>
            <w:vAlign w:val="center"/>
          </w:tcPr>
          <w:p w14:paraId="28258684">
            <w:pPr>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cs="Times New Roman"/>
                <w:sz w:val="18"/>
                <w:szCs w:val="18"/>
                <w:lang w:eastAsia="en-US"/>
              </w:rPr>
              <w:t xml:space="preserve">GB/T </w:t>
            </w:r>
            <w:r>
              <w:rPr>
                <w:rFonts w:hint="default" w:ascii="Times New Roman" w:hAnsi="Times New Roman" w:cs="Times New Roman"/>
                <w:sz w:val="18"/>
                <w:szCs w:val="18"/>
                <w:lang w:val="zh-TW" w:eastAsia="zh-TW"/>
              </w:rPr>
              <w:t>242</w:t>
            </w:r>
          </w:p>
        </w:tc>
        <w:tc>
          <w:tcPr>
            <w:tcW w:w="907" w:type="pct"/>
            <w:shd w:val="clear" w:color="auto" w:fill="auto"/>
            <w:vAlign w:val="center"/>
          </w:tcPr>
          <w:p w14:paraId="50ADB9C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eastAsia="en-US"/>
              </w:rPr>
              <w:t xml:space="preserve">GB/T </w:t>
            </w:r>
            <w:r>
              <w:rPr>
                <w:rFonts w:hint="default" w:ascii="Times New Roman" w:hAnsi="Times New Roman" w:cs="Times New Roman"/>
                <w:sz w:val="18"/>
                <w:szCs w:val="18"/>
                <w:lang w:val="zh-TW" w:eastAsia="zh-TW"/>
              </w:rPr>
              <w:t>242</w:t>
            </w:r>
          </w:p>
        </w:tc>
      </w:tr>
      <w:tr w14:paraId="4396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70" w:type="pct"/>
            <w:vAlign w:val="center"/>
          </w:tcPr>
          <w:p w14:paraId="42021B3B">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8</w:t>
            </w:r>
          </w:p>
        </w:tc>
        <w:tc>
          <w:tcPr>
            <w:tcW w:w="691" w:type="pct"/>
            <w:vAlign w:val="center"/>
          </w:tcPr>
          <w:p w14:paraId="3496847C">
            <w:pPr>
              <w:jc w:val="center"/>
              <w:rPr>
                <w:rFonts w:hint="default" w:ascii="Times New Roman" w:hAnsi="Times New Roman" w:cs="Times New Roman"/>
                <w:sz w:val="18"/>
                <w:szCs w:val="18"/>
              </w:rPr>
            </w:pPr>
            <w:r>
              <w:rPr>
                <w:rFonts w:hint="default" w:ascii="Times New Roman" w:hAnsi="Times New Roman" w:cs="Times New Roman"/>
                <w:sz w:val="18"/>
                <w:szCs w:val="18"/>
              </w:rPr>
              <w:t>气密性</w:t>
            </w:r>
          </w:p>
        </w:tc>
        <w:tc>
          <w:tcPr>
            <w:tcW w:w="1739" w:type="pct"/>
            <w:shd w:val="clear" w:color="auto" w:fill="auto"/>
            <w:vAlign w:val="center"/>
          </w:tcPr>
          <w:p w14:paraId="324EC5DB">
            <w:pPr>
              <w:jc w:val="center"/>
              <w:rPr>
                <w:rFonts w:hint="default" w:ascii="Times New Roman" w:hAnsi="Times New Roman" w:cs="Times New Roman"/>
                <w:sz w:val="18"/>
                <w:szCs w:val="18"/>
                <w:lang w:val="zh-TW" w:eastAsia="zh-TW"/>
              </w:rPr>
            </w:pPr>
            <w:r>
              <w:rPr>
                <w:rFonts w:hint="default" w:ascii="Times New Roman" w:hAnsi="Times New Roman" w:cs="Times New Roman"/>
                <w:sz w:val="18"/>
                <w:szCs w:val="18"/>
              </w:rPr>
              <w:t>逐</w:t>
            </w:r>
            <w:r>
              <w:rPr>
                <w:rFonts w:hint="default" w:ascii="Times New Roman" w:hAnsi="Times New Roman" w:cs="Times New Roman"/>
                <w:sz w:val="18"/>
                <w:szCs w:val="18"/>
                <w:lang w:val="en-US" w:eastAsia="zh-CN"/>
              </w:rPr>
              <w:t>根</w:t>
            </w:r>
          </w:p>
        </w:tc>
        <w:tc>
          <w:tcPr>
            <w:tcW w:w="1291" w:type="pct"/>
            <w:shd w:val="clear" w:color="auto" w:fill="auto"/>
            <w:vAlign w:val="center"/>
          </w:tcPr>
          <w:p w14:paraId="79315CD0">
            <w:pPr>
              <w:jc w:val="center"/>
              <w:rPr>
                <w:rFonts w:hint="default" w:ascii="Times New Roman" w:hAnsi="Times New Roman" w:eastAsia="宋体" w:cs="Times New Roman"/>
                <w:kern w:val="2"/>
                <w:sz w:val="18"/>
                <w:szCs w:val="18"/>
                <w:lang w:val="en-US" w:eastAsia="en-US" w:bidi="ar-SA"/>
              </w:rPr>
            </w:pPr>
            <w:r>
              <w:rPr>
                <w:rFonts w:hint="default" w:ascii="Times New Roman" w:hAnsi="Times New Roman" w:cs="Times New Roman"/>
                <w:sz w:val="18"/>
                <w:szCs w:val="18"/>
                <w:lang w:val="zh-TW" w:eastAsia="zh-TW"/>
              </w:rPr>
              <w:t>—</w:t>
            </w:r>
          </w:p>
        </w:tc>
        <w:tc>
          <w:tcPr>
            <w:tcW w:w="907" w:type="pct"/>
            <w:shd w:val="clear" w:color="auto" w:fill="auto"/>
            <w:vAlign w:val="center"/>
          </w:tcPr>
          <w:p w14:paraId="0CCDB68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7.</w:t>
            </w:r>
            <w:r>
              <w:rPr>
                <w:rFonts w:hint="default" w:ascii="Times New Roman" w:hAnsi="Times New Roman" w:cs="Times New Roman"/>
                <w:sz w:val="18"/>
                <w:szCs w:val="18"/>
                <w:lang w:val="en-US" w:eastAsia="zh-CN"/>
              </w:rPr>
              <w:t>5</w:t>
            </w:r>
          </w:p>
        </w:tc>
      </w:tr>
      <w:tr w14:paraId="0E24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70" w:type="pct"/>
            <w:vAlign w:val="center"/>
          </w:tcPr>
          <w:p w14:paraId="2B1AE566">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9</w:t>
            </w:r>
          </w:p>
        </w:tc>
        <w:tc>
          <w:tcPr>
            <w:tcW w:w="691" w:type="pct"/>
            <w:vAlign w:val="center"/>
          </w:tcPr>
          <w:p w14:paraId="0D43F0F3">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晶间腐蚀</w:t>
            </w:r>
          </w:p>
        </w:tc>
        <w:tc>
          <w:tcPr>
            <w:tcW w:w="1739" w:type="pct"/>
            <w:shd w:val="clear" w:color="auto" w:fill="auto"/>
            <w:vAlign w:val="center"/>
          </w:tcPr>
          <w:p w14:paraId="65975BA6">
            <w:pPr>
              <w:jc w:val="center"/>
              <w:rPr>
                <w:rFonts w:hint="default" w:ascii="Times New Roman" w:hAnsi="Times New Roman" w:cs="Times New Roman"/>
                <w:sz w:val="18"/>
                <w:szCs w:val="18"/>
              </w:rPr>
            </w:pPr>
            <w:r>
              <w:rPr>
                <w:rFonts w:hint="default" w:ascii="Times New Roman" w:hAnsi="Times New Roman" w:cs="Times New Roman"/>
                <w:sz w:val="18"/>
                <w:szCs w:val="18"/>
                <w:lang w:val="zh-TW" w:eastAsia="zh-TW"/>
              </w:rPr>
              <w:t>每批在两根钢管上各取1个试样</w:t>
            </w:r>
          </w:p>
        </w:tc>
        <w:tc>
          <w:tcPr>
            <w:tcW w:w="1291" w:type="pct"/>
            <w:shd w:val="clear" w:color="auto" w:fill="auto"/>
            <w:vAlign w:val="center"/>
          </w:tcPr>
          <w:p w14:paraId="47829EC2">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GB/T 4334-2020中方法E</w:t>
            </w:r>
          </w:p>
        </w:tc>
        <w:tc>
          <w:tcPr>
            <w:tcW w:w="907" w:type="pct"/>
            <w:shd w:val="clear" w:color="auto" w:fill="auto"/>
            <w:vAlign w:val="center"/>
          </w:tcPr>
          <w:p w14:paraId="79C6AA13">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GB/T 4334-2020中方法E</w:t>
            </w:r>
          </w:p>
        </w:tc>
      </w:tr>
      <w:tr w14:paraId="771E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70" w:type="pct"/>
            <w:vAlign w:val="center"/>
          </w:tcPr>
          <w:p w14:paraId="4DD7F733">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10</w:t>
            </w:r>
          </w:p>
        </w:tc>
        <w:tc>
          <w:tcPr>
            <w:tcW w:w="691" w:type="pct"/>
            <w:shd w:val="clear" w:color="auto" w:fill="auto"/>
            <w:vAlign w:val="center"/>
          </w:tcPr>
          <w:p w14:paraId="027EA09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低倍组织</w:t>
            </w:r>
          </w:p>
        </w:tc>
        <w:tc>
          <w:tcPr>
            <w:tcW w:w="1739" w:type="pct"/>
            <w:shd w:val="clear" w:color="auto" w:fill="auto"/>
            <w:vAlign w:val="center"/>
          </w:tcPr>
          <w:p w14:paraId="62A8758A">
            <w:pPr>
              <w:jc w:val="center"/>
              <w:rPr>
                <w:rFonts w:hint="default" w:ascii="Times New Roman" w:hAnsi="Times New Roman" w:eastAsia="宋体" w:cs="Times New Roman"/>
                <w:kern w:val="2"/>
                <w:sz w:val="18"/>
                <w:szCs w:val="18"/>
                <w:lang w:val="zh-TW" w:eastAsia="zh-TW" w:bidi="ar-SA"/>
              </w:rPr>
            </w:pPr>
            <w:r>
              <w:rPr>
                <w:rFonts w:hint="default" w:ascii="Times New Roman" w:hAnsi="Times New Roman" w:cs="Times New Roman"/>
                <w:sz w:val="18"/>
                <w:szCs w:val="18"/>
                <w:lang w:val="en-US" w:eastAsia="zh-CN"/>
              </w:rPr>
              <w:t>每炉取2个试样</w:t>
            </w:r>
          </w:p>
        </w:tc>
        <w:tc>
          <w:tcPr>
            <w:tcW w:w="1291" w:type="pct"/>
            <w:shd w:val="clear" w:color="auto" w:fill="auto"/>
            <w:vAlign w:val="center"/>
          </w:tcPr>
          <w:p w14:paraId="0B7885C1">
            <w:pPr>
              <w:jc w:val="center"/>
              <w:rPr>
                <w:rFonts w:hint="default" w:ascii="Times New Roman" w:hAnsi="Times New Roman" w:eastAsia="宋体" w:cs="Times New Roman"/>
                <w:kern w:val="2"/>
                <w:sz w:val="18"/>
                <w:szCs w:val="18"/>
                <w:lang w:val="en-US" w:eastAsia="en-US" w:bidi="ar-SA"/>
              </w:rPr>
            </w:pPr>
            <w:r>
              <w:rPr>
                <w:rFonts w:hint="default" w:ascii="Times New Roman" w:hAnsi="Times New Roman" w:cs="Times New Roman"/>
                <w:sz w:val="18"/>
                <w:szCs w:val="18"/>
              </w:rPr>
              <w:t>在相当于合金锭端部的棒材上截取片样</w:t>
            </w:r>
          </w:p>
        </w:tc>
        <w:tc>
          <w:tcPr>
            <w:tcW w:w="907" w:type="pct"/>
            <w:shd w:val="clear" w:color="auto" w:fill="auto"/>
            <w:vAlign w:val="center"/>
          </w:tcPr>
          <w:p w14:paraId="26C5D472">
            <w:pPr>
              <w:jc w:val="center"/>
              <w:rPr>
                <w:rFonts w:hint="default" w:ascii="Times New Roman" w:hAnsi="Times New Roman" w:eastAsia="宋体" w:cs="Times New Roman"/>
                <w:kern w:val="2"/>
                <w:sz w:val="18"/>
                <w:szCs w:val="18"/>
                <w:lang w:val="en-US" w:eastAsia="en-US" w:bidi="ar-SA"/>
              </w:rPr>
            </w:pPr>
            <w:r>
              <w:rPr>
                <w:rFonts w:hint="default" w:ascii="Times New Roman" w:hAnsi="Times New Roman" w:cs="Times New Roman"/>
                <w:sz w:val="18"/>
                <w:szCs w:val="18"/>
              </w:rPr>
              <w:t>GB/T 226、GB/T 1979</w:t>
            </w:r>
          </w:p>
        </w:tc>
      </w:tr>
      <w:tr w14:paraId="5B05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70" w:type="pct"/>
            <w:vAlign w:val="center"/>
          </w:tcPr>
          <w:p w14:paraId="433E5F74">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11</w:t>
            </w:r>
          </w:p>
        </w:tc>
        <w:tc>
          <w:tcPr>
            <w:tcW w:w="691" w:type="pct"/>
            <w:vAlign w:val="center"/>
          </w:tcPr>
          <w:p w14:paraId="3A647E86">
            <w:pPr>
              <w:jc w:val="center"/>
              <w:rPr>
                <w:rFonts w:hint="default" w:ascii="Times New Roman" w:hAnsi="Times New Roman" w:cs="Times New Roman"/>
                <w:sz w:val="18"/>
                <w:szCs w:val="18"/>
              </w:rPr>
            </w:pPr>
            <w:r>
              <w:rPr>
                <w:rFonts w:hint="default" w:ascii="Times New Roman" w:hAnsi="Times New Roman" w:cs="Times New Roman"/>
                <w:sz w:val="18"/>
                <w:szCs w:val="18"/>
              </w:rPr>
              <w:t>晶粒度</w:t>
            </w:r>
          </w:p>
        </w:tc>
        <w:tc>
          <w:tcPr>
            <w:tcW w:w="1739" w:type="pct"/>
            <w:shd w:val="clear" w:color="auto" w:fill="auto"/>
            <w:vAlign w:val="center"/>
          </w:tcPr>
          <w:p w14:paraId="0DCA1AED">
            <w:pPr>
              <w:jc w:val="center"/>
              <w:rPr>
                <w:rFonts w:hint="default" w:ascii="Times New Roman" w:hAnsi="Times New Roman" w:eastAsia="宋体" w:cs="Times New Roman"/>
                <w:snapToGrid w:val="0"/>
                <w:kern w:val="0"/>
                <w:sz w:val="18"/>
                <w:szCs w:val="18"/>
                <w:lang w:val="zh-TW" w:eastAsia="zh-TW" w:bidi="ar-SA"/>
              </w:rPr>
            </w:pPr>
            <w:r>
              <w:rPr>
                <w:rFonts w:hint="default" w:ascii="Times New Roman" w:hAnsi="Times New Roman" w:cs="Times New Roman"/>
                <w:sz w:val="18"/>
                <w:szCs w:val="18"/>
                <w:lang w:val="zh-TW" w:eastAsia="zh-TW"/>
              </w:rPr>
              <w:t>每批在两根钢管上各取1个试样</w:t>
            </w:r>
          </w:p>
        </w:tc>
        <w:tc>
          <w:tcPr>
            <w:tcW w:w="1291" w:type="pct"/>
            <w:shd w:val="clear" w:color="auto" w:fill="auto"/>
            <w:vAlign w:val="center"/>
          </w:tcPr>
          <w:p w14:paraId="465CC70C">
            <w:pPr>
              <w:jc w:val="center"/>
              <w:rPr>
                <w:rFonts w:hint="default" w:ascii="Times New Roman" w:hAnsi="Times New Roman" w:eastAsia="宋体" w:cs="Times New Roman"/>
                <w:kern w:val="2"/>
                <w:sz w:val="18"/>
                <w:szCs w:val="18"/>
                <w:lang w:val="en-US" w:eastAsia="en-US" w:bidi="ar-SA"/>
              </w:rPr>
            </w:pPr>
            <w:r>
              <w:rPr>
                <w:rFonts w:hint="default" w:ascii="Times New Roman" w:hAnsi="Times New Roman" w:cs="Times New Roman"/>
                <w:sz w:val="18"/>
                <w:szCs w:val="18"/>
                <w:lang w:eastAsia="en-US"/>
              </w:rPr>
              <w:t xml:space="preserve">GB/T </w:t>
            </w:r>
            <w:r>
              <w:rPr>
                <w:rFonts w:hint="default" w:ascii="Times New Roman" w:hAnsi="Times New Roman" w:cs="Times New Roman"/>
                <w:sz w:val="18"/>
                <w:szCs w:val="18"/>
                <w:lang w:val="zh-TW" w:eastAsia="zh-TW"/>
              </w:rPr>
              <w:t>6394</w:t>
            </w:r>
          </w:p>
        </w:tc>
        <w:tc>
          <w:tcPr>
            <w:tcW w:w="907" w:type="pct"/>
            <w:shd w:val="clear" w:color="auto" w:fill="auto"/>
            <w:vAlign w:val="center"/>
          </w:tcPr>
          <w:p w14:paraId="7A299EFC">
            <w:pPr>
              <w:jc w:val="center"/>
              <w:rPr>
                <w:rFonts w:hint="default" w:ascii="Times New Roman" w:hAnsi="Times New Roman" w:eastAsia="宋体" w:cs="Times New Roman"/>
                <w:kern w:val="2"/>
                <w:sz w:val="18"/>
                <w:szCs w:val="18"/>
                <w:lang w:val="en-US" w:eastAsia="en-US" w:bidi="ar-SA"/>
              </w:rPr>
            </w:pPr>
            <w:r>
              <w:rPr>
                <w:rFonts w:hint="default" w:ascii="Times New Roman" w:hAnsi="Times New Roman" w:cs="Times New Roman"/>
                <w:sz w:val="18"/>
                <w:szCs w:val="18"/>
                <w:lang w:eastAsia="en-US"/>
              </w:rPr>
              <w:t xml:space="preserve">GB/T </w:t>
            </w:r>
            <w:r>
              <w:rPr>
                <w:rFonts w:hint="default" w:ascii="Times New Roman" w:hAnsi="Times New Roman" w:cs="Times New Roman"/>
                <w:sz w:val="18"/>
                <w:szCs w:val="18"/>
                <w:lang w:val="zh-TW" w:eastAsia="zh-TW"/>
              </w:rPr>
              <w:t>6394</w:t>
            </w:r>
          </w:p>
        </w:tc>
      </w:tr>
      <w:tr w14:paraId="361A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70" w:type="pct"/>
            <w:vAlign w:val="center"/>
          </w:tcPr>
          <w:p w14:paraId="4555DD78">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12</w:t>
            </w:r>
          </w:p>
        </w:tc>
        <w:tc>
          <w:tcPr>
            <w:tcW w:w="691" w:type="pct"/>
            <w:vAlign w:val="center"/>
          </w:tcPr>
          <w:p w14:paraId="5F022E73">
            <w:pPr>
              <w:jc w:val="center"/>
              <w:rPr>
                <w:rFonts w:hint="default" w:ascii="Times New Roman" w:hAnsi="Times New Roman" w:cs="Times New Roman"/>
                <w:sz w:val="18"/>
                <w:szCs w:val="18"/>
              </w:rPr>
            </w:pPr>
            <w:r>
              <w:rPr>
                <w:rFonts w:hint="default" w:ascii="Times New Roman" w:hAnsi="Times New Roman" w:cs="Times New Roman"/>
                <w:sz w:val="18"/>
                <w:szCs w:val="18"/>
              </w:rPr>
              <w:t>非金属夹杂物</w:t>
            </w:r>
          </w:p>
        </w:tc>
        <w:tc>
          <w:tcPr>
            <w:tcW w:w="1739" w:type="pct"/>
            <w:vAlign w:val="center"/>
          </w:tcPr>
          <w:p w14:paraId="36977C46">
            <w:pPr>
              <w:jc w:val="center"/>
              <w:rPr>
                <w:rFonts w:hint="default" w:ascii="Times New Roman" w:hAnsi="Times New Roman" w:cs="Times New Roman"/>
                <w:sz w:val="18"/>
                <w:szCs w:val="18"/>
              </w:rPr>
            </w:pPr>
            <w:r>
              <w:rPr>
                <w:rFonts w:hint="default" w:ascii="Times New Roman" w:hAnsi="Times New Roman" w:cs="Times New Roman"/>
                <w:sz w:val="18"/>
                <w:szCs w:val="18"/>
                <w:lang w:val="zh-TW" w:eastAsia="zh-TW"/>
              </w:rPr>
              <w:t>每批在两根钢管上各取1个试样</w:t>
            </w:r>
          </w:p>
        </w:tc>
        <w:tc>
          <w:tcPr>
            <w:tcW w:w="1291" w:type="pct"/>
            <w:vAlign w:val="center"/>
          </w:tcPr>
          <w:p w14:paraId="66757483">
            <w:pPr>
              <w:jc w:val="center"/>
              <w:rPr>
                <w:rFonts w:hint="default" w:ascii="Times New Roman" w:hAnsi="Times New Roman" w:cs="Times New Roman"/>
                <w:sz w:val="18"/>
                <w:szCs w:val="18"/>
              </w:rPr>
            </w:pPr>
            <w:r>
              <w:rPr>
                <w:rFonts w:hint="default" w:ascii="Times New Roman" w:hAnsi="Times New Roman" w:cs="Times New Roman"/>
                <w:sz w:val="18"/>
                <w:szCs w:val="18"/>
                <w:lang w:eastAsia="en-US"/>
              </w:rPr>
              <w:t>GB/T 10561</w:t>
            </w:r>
            <w:r>
              <w:rPr>
                <w:rFonts w:hint="default" w:ascii="Times New Roman" w:hAnsi="Times New Roman" w:cs="Times New Roman"/>
                <w:sz w:val="18"/>
                <w:szCs w:val="18"/>
              </w:rPr>
              <w:t>-</w:t>
            </w:r>
            <w:r>
              <w:rPr>
                <w:rFonts w:hint="default" w:ascii="Times New Roman" w:hAnsi="Times New Roman" w:cs="Times New Roman"/>
                <w:sz w:val="18"/>
                <w:szCs w:val="18"/>
                <w:lang w:eastAsia="en-US"/>
              </w:rPr>
              <w:t>2023</w:t>
            </w:r>
          </w:p>
        </w:tc>
        <w:tc>
          <w:tcPr>
            <w:tcW w:w="907" w:type="pct"/>
            <w:vAlign w:val="center"/>
          </w:tcPr>
          <w:p w14:paraId="16727D01">
            <w:pPr>
              <w:jc w:val="center"/>
              <w:rPr>
                <w:rFonts w:hint="default" w:ascii="Times New Roman" w:hAnsi="Times New Roman" w:cs="Times New Roman"/>
                <w:sz w:val="18"/>
                <w:szCs w:val="18"/>
              </w:rPr>
            </w:pPr>
            <w:r>
              <w:rPr>
                <w:rFonts w:hint="default" w:ascii="Times New Roman" w:hAnsi="Times New Roman" w:cs="Times New Roman"/>
                <w:sz w:val="18"/>
                <w:szCs w:val="18"/>
                <w:lang w:eastAsia="en-US"/>
              </w:rPr>
              <w:t>GB/T 10561</w:t>
            </w:r>
            <w:r>
              <w:rPr>
                <w:rFonts w:hint="default" w:ascii="Times New Roman" w:hAnsi="Times New Roman" w:cs="Times New Roman"/>
                <w:sz w:val="18"/>
                <w:szCs w:val="18"/>
              </w:rPr>
              <w:t>-</w:t>
            </w:r>
            <w:r>
              <w:rPr>
                <w:rFonts w:hint="default" w:ascii="Times New Roman" w:hAnsi="Times New Roman" w:cs="Times New Roman"/>
                <w:sz w:val="18"/>
                <w:szCs w:val="18"/>
                <w:lang w:eastAsia="en-US"/>
              </w:rPr>
              <w:t>2023</w:t>
            </w:r>
          </w:p>
        </w:tc>
      </w:tr>
      <w:tr w14:paraId="6367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0" w:type="pct"/>
            <w:vAlign w:val="center"/>
          </w:tcPr>
          <w:p w14:paraId="043162C8">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13</w:t>
            </w:r>
          </w:p>
        </w:tc>
        <w:tc>
          <w:tcPr>
            <w:tcW w:w="691" w:type="pct"/>
            <w:vAlign w:val="center"/>
          </w:tcPr>
          <w:p w14:paraId="66FB3D28">
            <w:pPr>
              <w:jc w:val="center"/>
              <w:rPr>
                <w:rFonts w:hint="default" w:ascii="Times New Roman" w:hAnsi="Times New Roman" w:cs="Times New Roman"/>
                <w:sz w:val="18"/>
                <w:szCs w:val="18"/>
              </w:rPr>
            </w:pPr>
            <w:r>
              <w:rPr>
                <w:rFonts w:hint="default" w:ascii="Times New Roman" w:hAnsi="Times New Roman" w:cs="Times New Roman"/>
                <w:sz w:val="18"/>
                <w:szCs w:val="18"/>
              </w:rPr>
              <w:t>表面质量</w:t>
            </w:r>
          </w:p>
        </w:tc>
        <w:tc>
          <w:tcPr>
            <w:tcW w:w="1739" w:type="pct"/>
            <w:vAlign w:val="center"/>
          </w:tcPr>
          <w:p w14:paraId="1EC81EA1">
            <w:pPr>
              <w:jc w:val="center"/>
              <w:rPr>
                <w:rFonts w:hint="default" w:ascii="Times New Roman" w:hAnsi="Times New Roman" w:cs="Times New Roman"/>
                <w:sz w:val="18"/>
                <w:szCs w:val="18"/>
                <w:lang w:val="zh-TW" w:eastAsia="zh-TW"/>
              </w:rPr>
            </w:pPr>
            <w:r>
              <w:rPr>
                <w:rFonts w:hint="default" w:ascii="Times New Roman" w:hAnsi="Times New Roman" w:cs="Times New Roman"/>
                <w:sz w:val="18"/>
                <w:szCs w:val="18"/>
              </w:rPr>
              <w:t>逐</w:t>
            </w:r>
            <w:r>
              <w:rPr>
                <w:rFonts w:hint="default" w:ascii="Times New Roman" w:hAnsi="Times New Roman" w:cs="Times New Roman"/>
                <w:sz w:val="18"/>
                <w:szCs w:val="18"/>
                <w:lang w:val="en-US" w:eastAsia="zh-CN"/>
              </w:rPr>
              <w:t>根</w:t>
            </w:r>
          </w:p>
        </w:tc>
        <w:tc>
          <w:tcPr>
            <w:tcW w:w="1291" w:type="pct"/>
            <w:vAlign w:val="center"/>
          </w:tcPr>
          <w:p w14:paraId="42907AC1">
            <w:pPr>
              <w:jc w:val="center"/>
              <w:rPr>
                <w:rFonts w:hint="default" w:ascii="Times New Roman" w:hAnsi="Times New Roman" w:cs="Times New Roman"/>
                <w:sz w:val="18"/>
                <w:szCs w:val="18"/>
                <w:lang w:eastAsia="en-US"/>
              </w:rPr>
            </w:pPr>
            <w:r>
              <w:rPr>
                <w:rFonts w:hint="default" w:ascii="Times New Roman" w:hAnsi="Times New Roman" w:cs="Times New Roman"/>
                <w:sz w:val="18"/>
                <w:szCs w:val="18"/>
                <w:lang w:val="zh-TW" w:eastAsia="zh-TW"/>
              </w:rPr>
              <w:t>—</w:t>
            </w:r>
          </w:p>
        </w:tc>
        <w:tc>
          <w:tcPr>
            <w:tcW w:w="907" w:type="pct"/>
            <w:vAlign w:val="center"/>
          </w:tcPr>
          <w:p w14:paraId="3AFB6FF3">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目视</w:t>
            </w:r>
          </w:p>
        </w:tc>
      </w:tr>
      <w:tr w14:paraId="304F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70" w:type="pct"/>
            <w:vAlign w:val="center"/>
          </w:tcPr>
          <w:p w14:paraId="22ACCFEC">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4</w:t>
            </w:r>
          </w:p>
        </w:tc>
        <w:tc>
          <w:tcPr>
            <w:tcW w:w="691" w:type="pct"/>
            <w:vAlign w:val="center"/>
          </w:tcPr>
          <w:p w14:paraId="6C8F1CC7">
            <w:pPr>
              <w:jc w:val="center"/>
              <w:rPr>
                <w:rFonts w:hint="default" w:ascii="Times New Roman" w:hAnsi="Times New Roman" w:cs="Times New Roman"/>
                <w:sz w:val="18"/>
                <w:szCs w:val="18"/>
              </w:rPr>
            </w:pPr>
            <w:r>
              <w:rPr>
                <w:rFonts w:hint="default" w:ascii="Times New Roman" w:hAnsi="Times New Roman" w:cs="Times New Roman"/>
                <w:sz w:val="18"/>
                <w:szCs w:val="18"/>
              </w:rPr>
              <w:t>尺寸、外形</w:t>
            </w:r>
          </w:p>
        </w:tc>
        <w:tc>
          <w:tcPr>
            <w:tcW w:w="1739" w:type="pct"/>
            <w:vAlign w:val="center"/>
          </w:tcPr>
          <w:p w14:paraId="27E7C638">
            <w:pPr>
              <w:jc w:val="center"/>
              <w:rPr>
                <w:rFonts w:hint="default" w:ascii="Times New Roman" w:hAnsi="Times New Roman" w:cs="Times New Roman"/>
                <w:sz w:val="18"/>
                <w:szCs w:val="18"/>
              </w:rPr>
            </w:pPr>
            <w:r>
              <w:rPr>
                <w:rFonts w:hint="default" w:ascii="Times New Roman" w:hAnsi="Times New Roman" w:cs="Times New Roman"/>
                <w:sz w:val="18"/>
                <w:szCs w:val="18"/>
              </w:rPr>
              <w:t>逐支</w:t>
            </w:r>
          </w:p>
        </w:tc>
        <w:tc>
          <w:tcPr>
            <w:tcW w:w="1291" w:type="pct"/>
            <w:vAlign w:val="center"/>
          </w:tcPr>
          <w:p w14:paraId="0217482E">
            <w:pPr>
              <w:jc w:val="center"/>
              <w:rPr>
                <w:rFonts w:hint="default" w:ascii="Times New Roman" w:hAnsi="Times New Roman" w:cs="Times New Roman"/>
                <w:sz w:val="18"/>
                <w:szCs w:val="18"/>
              </w:rPr>
            </w:pPr>
            <w:r>
              <w:rPr>
                <w:rFonts w:hint="default" w:ascii="Times New Roman" w:hAnsi="Times New Roman" w:cs="Times New Roman"/>
                <w:sz w:val="18"/>
                <w:szCs w:val="18"/>
                <w:lang w:val="zh-TW" w:eastAsia="zh-TW"/>
              </w:rPr>
              <w:t>—</w:t>
            </w:r>
          </w:p>
        </w:tc>
        <w:tc>
          <w:tcPr>
            <w:tcW w:w="907" w:type="pct"/>
            <w:vAlign w:val="center"/>
          </w:tcPr>
          <w:p w14:paraId="018C6D74">
            <w:pPr>
              <w:jc w:val="center"/>
              <w:rPr>
                <w:rFonts w:hint="default" w:ascii="Times New Roman" w:hAnsi="Times New Roman" w:cs="Times New Roman"/>
                <w:sz w:val="18"/>
                <w:szCs w:val="18"/>
              </w:rPr>
            </w:pPr>
            <w:r>
              <w:rPr>
                <w:rFonts w:hint="default" w:ascii="Times New Roman" w:hAnsi="Times New Roman" w:cs="Times New Roman"/>
                <w:sz w:val="18"/>
                <w:szCs w:val="18"/>
              </w:rPr>
              <w:t>目视</w:t>
            </w:r>
          </w:p>
        </w:tc>
      </w:tr>
    </w:tbl>
    <w:p w14:paraId="5721BDFD">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7.检验规则</w:t>
      </w:r>
    </w:p>
    <w:p w14:paraId="539FF627">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（1）检查和验收</w:t>
      </w:r>
    </w:p>
    <w:p w14:paraId="11408501">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钢管的检查和验收由供方质量检验部门进行</w:t>
      </w:r>
      <w:r>
        <w:rPr>
          <w:rFonts w:hint="eastAsia" w:ascii="Times New Roman" w:hAnsi="Times New Roman" w:eastAsia="仿宋_GB2312" w:cs="Times New Roman"/>
          <w:color w:val="auto"/>
          <w:sz w:val="28"/>
          <w:szCs w:val="28"/>
          <w:lang w:val="en-US" w:eastAsia="zh-CN"/>
        </w:rPr>
        <w:t>。</w:t>
      </w:r>
    </w:p>
    <w:p w14:paraId="37FC0CD3">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（2）组批规则</w:t>
      </w:r>
    </w:p>
    <w:p w14:paraId="135EAC4E">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应按批进行检查和验收。每批应由同一牌号、同一炉号、同一规格和同一热处理制度（炉次）的钢管组成，采用电渣重熔冶炼的钢管，在工艺稳定且能保证本标准各项要求的条件下，允许以自耗电极的熔炼母炉号组批交货。每批钢管支数不得超过200支，其总长度不超过2000米</w:t>
      </w:r>
      <w:r>
        <w:rPr>
          <w:rFonts w:hint="eastAsia" w:ascii="Times New Roman" w:hAnsi="Times New Roman" w:eastAsia="仿宋_GB2312" w:cs="Times New Roman"/>
          <w:color w:val="auto"/>
          <w:sz w:val="28"/>
          <w:szCs w:val="28"/>
          <w:lang w:val="en-US" w:eastAsia="zh-CN"/>
        </w:rPr>
        <w:t>。</w:t>
      </w:r>
    </w:p>
    <w:p w14:paraId="21918C0D">
      <w:pPr>
        <w:numPr>
          <w:ilvl w:val="0"/>
          <w:numId w:val="5"/>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取样数量</w:t>
      </w:r>
    </w:p>
    <w:p w14:paraId="4E7F2E4C">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管坯的取样数量应符合表8的规定</w:t>
      </w:r>
      <w:r>
        <w:rPr>
          <w:rFonts w:hint="eastAsia" w:ascii="Times New Roman" w:hAnsi="Times New Roman" w:eastAsia="仿宋_GB2312" w:cs="Times New Roman"/>
          <w:color w:val="auto"/>
          <w:sz w:val="28"/>
          <w:szCs w:val="28"/>
          <w:lang w:val="en-US" w:eastAsia="zh-CN"/>
        </w:rPr>
        <w:t>。</w:t>
      </w:r>
    </w:p>
    <w:p w14:paraId="62D00929">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（4）复验和判定规则</w:t>
      </w:r>
    </w:p>
    <w:p w14:paraId="21ECD521">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钢管的复验与判定规则应符合GB/T 2102的规定</w:t>
      </w:r>
      <w:r>
        <w:rPr>
          <w:rFonts w:hint="eastAsia" w:ascii="Times New Roman" w:hAnsi="Times New Roman" w:eastAsia="仿宋_GB2312" w:cs="Times New Roman"/>
          <w:color w:val="auto"/>
          <w:sz w:val="28"/>
          <w:szCs w:val="28"/>
          <w:lang w:val="en-US" w:eastAsia="zh-CN"/>
        </w:rPr>
        <w:t>。</w:t>
      </w:r>
    </w:p>
    <w:p w14:paraId="04E22B9E">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（5）重新热处理</w:t>
      </w:r>
    </w:p>
    <w:p w14:paraId="6478045B">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如果一批钢管由于一项或几项力学性能、工艺性能不合格时，则该批钢管可进行重新热处理。重新热处理后应重新进行除化学成分和非金属夹杂物检验外的所有检验和试验。重新热处理应在质量证明文件中注明。重新热处理只允许进行一次。</w:t>
      </w:r>
    </w:p>
    <w:p w14:paraId="77B616E6">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（6）数值修约</w:t>
      </w:r>
    </w:p>
    <w:p w14:paraId="7BD925DB">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数值判定采用修约值比较法，数值修约按GB/T 8170规定执行</w:t>
      </w:r>
      <w:r>
        <w:rPr>
          <w:rFonts w:hint="eastAsia" w:ascii="Times New Roman" w:hAnsi="Times New Roman" w:eastAsia="仿宋_GB2312" w:cs="Times New Roman"/>
          <w:color w:val="auto"/>
          <w:sz w:val="28"/>
          <w:szCs w:val="28"/>
          <w:lang w:val="en-US" w:eastAsia="zh-CN"/>
        </w:rPr>
        <w:t>。</w:t>
      </w:r>
    </w:p>
    <w:p w14:paraId="22F64867">
      <w:pPr>
        <w:numPr>
          <w:ilvl w:val="0"/>
          <w:numId w:val="0"/>
        </w:numPr>
        <w:spacing w:line="360" w:lineRule="auto"/>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8.包装、标志和质量说明书</w:t>
      </w:r>
    </w:p>
    <w:p w14:paraId="09361D9C">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钢管的包装、标志和质量证明书应符合GB/T 2102的规定</w:t>
      </w:r>
      <w:r>
        <w:rPr>
          <w:rFonts w:hint="eastAsia" w:ascii="Times New Roman" w:hAnsi="Times New Roman" w:eastAsia="仿宋_GB2312" w:cs="Times New Roman"/>
          <w:color w:val="auto"/>
          <w:sz w:val="28"/>
          <w:szCs w:val="28"/>
          <w:lang w:val="en-US" w:eastAsia="zh-CN"/>
        </w:rPr>
        <w:t>。</w:t>
      </w:r>
    </w:p>
    <w:p w14:paraId="16E4EDA7">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六、与国内其它法律、法规的关系</w:t>
      </w:r>
    </w:p>
    <w:p w14:paraId="677DD3BE">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制定本标准时依据并引用了国内有关现行有效的标准，也不违背国内其它行业标准、法律、法规及强制性标准的有关规定。</w:t>
      </w:r>
    </w:p>
    <w:p w14:paraId="61310314">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七、标准属性</w:t>
      </w:r>
    </w:p>
    <w:p w14:paraId="304FF50D">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本标准属于</w:t>
      </w:r>
      <w:r>
        <w:rPr>
          <w:rFonts w:hint="eastAsia" w:ascii="Times New Roman" w:hAnsi="Times New Roman" w:eastAsia="仿宋_GB2312" w:cs="Times New Roman"/>
          <w:color w:val="auto"/>
          <w:sz w:val="28"/>
          <w:szCs w:val="28"/>
        </w:rPr>
        <w:t>中关村不锈及特种合金新材料产业技术创新联盟</w:t>
      </w:r>
      <w:r>
        <w:rPr>
          <w:rFonts w:ascii="Times New Roman" w:hAnsi="Times New Roman" w:eastAsia="仿宋_GB2312" w:cs="Times New Roman"/>
          <w:color w:val="auto"/>
          <w:sz w:val="28"/>
          <w:szCs w:val="28"/>
        </w:rPr>
        <w:t>团体标准。</w:t>
      </w:r>
    </w:p>
    <w:p w14:paraId="0678C4F3">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八、 标准水平及预期效果</w:t>
      </w:r>
    </w:p>
    <w:p w14:paraId="62284DDB">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该标准的制定能有效规范</w:t>
      </w:r>
      <w:r>
        <w:rPr>
          <w:rFonts w:hint="eastAsia" w:ascii="Times New Roman" w:hAnsi="Times New Roman" w:eastAsia="仿宋_GB2312" w:cs="Times New Roman"/>
          <w:color w:val="auto"/>
          <w:sz w:val="28"/>
          <w:szCs w:val="28"/>
        </w:rPr>
        <w:t>半导体制备装置用超高纯净不锈钢管</w:t>
      </w:r>
      <w:r>
        <w:rPr>
          <w:rFonts w:ascii="Times New Roman" w:hAnsi="Times New Roman" w:eastAsia="仿宋_GB2312" w:cs="Times New Roman"/>
          <w:color w:val="auto"/>
          <w:sz w:val="28"/>
          <w:szCs w:val="28"/>
        </w:rPr>
        <w:t>的生产、销售和使用，对</w:t>
      </w:r>
      <w:r>
        <w:rPr>
          <w:rFonts w:hint="eastAsia" w:ascii="Times New Roman" w:hAnsi="Times New Roman" w:eastAsia="仿宋_GB2312" w:cs="Times New Roman"/>
          <w:color w:val="auto"/>
          <w:sz w:val="28"/>
          <w:szCs w:val="28"/>
        </w:rPr>
        <w:t>半导体制备装置用超高纯净不锈钢管</w:t>
      </w:r>
      <w:r>
        <w:rPr>
          <w:rFonts w:ascii="Times New Roman" w:hAnsi="Times New Roman" w:eastAsia="仿宋_GB2312" w:cs="Times New Roman"/>
          <w:color w:val="auto"/>
          <w:sz w:val="28"/>
          <w:szCs w:val="28"/>
        </w:rPr>
        <w:t>的有序发展具有重要意义。同时该标准对该产品的技术创新具有较高的指导意义，有利于促进产品质量提升与推广应用，体现团体标准的引领作用。</w:t>
      </w:r>
    </w:p>
    <w:p w14:paraId="3F3FB183">
      <w:pPr>
        <w:spacing w:line="360" w:lineRule="auto"/>
        <w:ind w:firstLine="560" w:firstLineChars="200"/>
        <w:rPr>
          <w:rFonts w:ascii="Times New Roman" w:hAnsi="Times New Roman" w:eastAsia="仿宋_GB2312" w:cs="Times New Roman"/>
          <w:b/>
          <w:color w:val="auto"/>
          <w:kern w:val="44"/>
          <w:sz w:val="28"/>
          <w:szCs w:val="28"/>
        </w:rPr>
      </w:pPr>
      <w:r>
        <w:rPr>
          <w:rFonts w:ascii="Times New Roman" w:hAnsi="Times New Roman" w:eastAsia="仿宋_GB2312" w:cs="Times New Roman"/>
          <w:b/>
          <w:color w:val="auto"/>
          <w:kern w:val="44"/>
          <w:sz w:val="28"/>
          <w:szCs w:val="28"/>
        </w:rPr>
        <w:t>九、 贯彻要求及建议</w:t>
      </w:r>
    </w:p>
    <w:p w14:paraId="3F67CD73">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本标准归口单位为</w:t>
      </w:r>
      <w:r>
        <w:rPr>
          <w:rFonts w:hint="eastAsia" w:ascii="Times New Roman" w:hAnsi="Times New Roman" w:eastAsia="仿宋_GB2312" w:cs="Times New Roman"/>
          <w:color w:val="auto"/>
          <w:sz w:val="28"/>
          <w:szCs w:val="28"/>
        </w:rPr>
        <w:t>中关村不锈及特种合金新材料产业技术创新联盟</w:t>
      </w:r>
      <w:r>
        <w:rPr>
          <w:rFonts w:ascii="Times New Roman" w:hAnsi="Times New Roman" w:eastAsia="仿宋_GB2312" w:cs="Times New Roman"/>
          <w:color w:val="auto"/>
          <w:sz w:val="28"/>
          <w:szCs w:val="28"/>
        </w:rPr>
        <w:t>，经过审定报批后，由</w:t>
      </w:r>
      <w:r>
        <w:rPr>
          <w:rFonts w:hint="eastAsia" w:ascii="Times New Roman" w:hAnsi="Times New Roman" w:eastAsia="仿宋_GB2312" w:cs="Times New Roman"/>
          <w:color w:val="auto"/>
          <w:sz w:val="28"/>
          <w:szCs w:val="28"/>
        </w:rPr>
        <w:t>中关村不锈及特种合金新材料产业技术创新联盟</w:t>
      </w:r>
      <w:r>
        <w:rPr>
          <w:rFonts w:ascii="Times New Roman" w:hAnsi="Times New Roman" w:eastAsia="仿宋_GB2312" w:cs="Times New Roman"/>
          <w:color w:val="auto"/>
          <w:sz w:val="28"/>
          <w:szCs w:val="28"/>
        </w:rPr>
        <w:t>发布。建议在</w:t>
      </w:r>
      <w:r>
        <w:rPr>
          <w:rFonts w:hint="eastAsia" w:ascii="Times New Roman" w:hAnsi="Times New Roman" w:eastAsia="仿宋_GB2312" w:cs="Times New Roman"/>
          <w:color w:val="auto"/>
          <w:sz w:val="28"/>
          <w:szCs w:val="28"/>
        </w:rPr>
        <w:t>半导体制备装置用超高纯净不锈钢管</w:t>
      </w:r>
      <w:r>
        <w:rPr>
          <w:rFonts w:ascii="Times New Roman" w:hAnsi="Times New Roman" w:eastAsia="仿宋_GB2312" w:cs="Times New Roman"/>
          <w:color w:val="auto"/>
          <w:sz w:val="28"/>
          <w:szCs w:val="28"/>
        </w:rPr>
        <w:t>的生产、贸易和使用等相关单位进行宣贯执行。</w:t>
      </w:r>
    </w:p>
    <w:sectPr>
      <w:footerReference r:id="rId3" w:type="default"/>
      <w:footerReference r:id="rId4" w:type="even"/>
      <w:pgSz w:w="11907" w:h="16840"/>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2089">
    <w:pPr>
      <w:pStyle w:val="7"/>
      <w:jc w:val="center"/>
    </w:pPr>
    <w:r>
      <w:fldChar w:fldCharType="begin"/>
    </w:r>
    <w:r>
      <w:instrText xml:space="preserve">PAGE   \* MERGEFORMAT</w:instrText>
    </w:r>
    <w:r>
      <w:fldChar w:fldCharType="separate"/>
    </w:r>
    <w:r>
      <w:rPr>
        <w:lang w:val="zh-CN"/>
      </w:rPr>
      <w:t>9</w:t>
    </w:r>
    <w:r>
      <w:fldChar w:fldCharType="end"/>
    </w:r>
  </w:p>
  <w:p w14:paraId="0FF6134B">
    <w:pPr>
      <w:pStyle w:val="7"/>
      <w:tabs>
        <w:tab w:val="right" w:pos="7920"/>
        <w:tab w:val="clear" w:pos="8306"/>
      </w:tabs>
      <w:ind w:right="302" w:rightChars="144" w:firstLine="156" w:firstLineChars="74"/>
      <w:jc w:val="right"/>
      <w:rPr>
        <w:rFonts w:ascii="宋体" w:hAnsi="宋体"/>
        <w:b/>
        <w:sz w:val="21"/>
        <w:szCs w:val="21"/>
      </w:rPr>
    </w:pPr>
  </w:p>
  <w:p w14:paraId="6E4EF0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8A8E">
    <w:pPr>
      <w:pStyle w:val="7"/>
      <w:jc w:val="center"/>
    </w:pPr>
    <w:r>
      <w:fldChar w:fldCharType="begin"/>
    </w:r>
    <w:r>
      <w:instrText xml:space="preserve">PAGE   \* MERGEFORMAT</w:instrText>
    </w:r>
    <w:r>
      <w:fldChar w:fldCharType="separate"/>
    </w:r>
    <w:r>
      <w:rPr>
        <w:lang w:val="zh-CN"/>
      </w:rPr>
      <w:t>6</w:t>
    </w:r>
    <w:r>
      <w:fldChar w:fldCharType="end"/>
    </w:r>
  </w:p>
  <w:p w14:paraId="756D3722">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4F3830F"/>
    <w:multiLevelType w:val="singleLevel"/>
    <w:tmpl w:val="14F3830F"/>
    <w:lvl w:ilvl="0" w:tentative="0">
      <w:start w:val="3"/>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bCs/>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6"/>
      <w:suff w:val="nothing"/>
      <w:lvlText w:val="%1.%2.%3　"/>
      <w:lvlJc w:val="left"/>
      <w:pPr>
        <w:ind w:left="0" w:firstLine="0"/>
      </w:pPr>
      <w:rPr>
        <w:rFonts w:hint="eastAsia" w:ascii="黑体" w:hAnsi="Times New Roman" w:eastAsia="黑体"/>
        <w:b w:val="0"/>
        <w:bCs w:val="0"/>
        <w:i w:val="0"/>
        <w:sz w:val="21"/>
      </w:rPr>
    </w:lvl>
    <w:lvl w:ilvl="3" w:tentative="0">
      <w:start w:val="1"/>
      <w:numFmt w:val="decimal"/>
      <w:suff w:val="nothing"/>
      <w:lvlText w:val="%1.%2.%3.%4　"/>
      <w:lvlJc w:val="left"/>
      <w:pPr>
        <w:ind w:left="0" w:firstLine="0"/>
      </w:pPr>
      <w:rPr>
        <w:rFonts w:hint="eastAsia" w:ascii="黑体" w:hAnsi="Times New Roman" w:eastAsia="黑体"/>
        <w:b w:val="0"/>
        <w:bCs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9EE88F3"/>
    <w:multiLevelType w:val="singleLevel"/>
    <w:tmpl w:val="59EE88F3"/>
    <w:lvl w:ilvl="0" w:tentative="0">
      <w:start w:val="1"/>
      <w:numFmt w:val="lowerLetter"/>
      <w:suff w:val="nothing"/>
      <w:lvlText w:val="%1）"/>
      <w:lvlJc w:val="left"/>
    </w:lvl>
  </w:abstractNum>
  <w:abstractNum w:abstractNumId="4">
    <w:nsid w:val="646260FA"/>
    <w:multiLevelType w:val="multilevel"/>
    <w:tmpl w:val="646260FA"/>
    <w:lvl w:ilvl="0" w:tentative="0">
      <w:start w:val="1"/>
      <w:numFmt w:val="decimal"/>
      <w:pStyle w:val="21"/>
      <w:suff w:val="nothing"/>
      <w:lvlText w:val="表%1　"/>
      <w:lvlJc w:val="left"/>
      <w:pPr>
        <w:ind w:left="2100"/>
      </w:pPr>
      <w:rPr>
        <w:rFonts w:hint="eastAsia" w:ascii="黑体" w:hAnsi="Times New Roman" w:eastAsia="黑体" w:cs="Times New Roman"/>
        <w:b w:val="0"/>
        <w:bCs w:val="0"/>
        <w:i w:val="0"/>
        <w:iCs w:val="0"/>
        <w:sz w:val="21"/>
        <w:szCs w:val="21"/>
      </w:rPr>
    </w:lvl>
    <w:lvl w:ilvl="1" w:tentative="0">
      <w:start w:val="1"/>
      <w:numFmt w:val="decimal"/>
      <w:lvlText w:val="%1.%2"/>
      <w:lvlJc w:val="left"/>
      <w:pPr>
        <w:tabs>
          <w:tab w:val="left" w:pos="-2269"/>
        </w:tabs>
        <w:ind w:left="-5556" w:hanging="567"/>
      </w:pPr>
      <w:rPr>
        <w:rFonts w:hint="eastAsia" w:cs="Times New Roman"/>
      </w:rPr>
    </w:lvl>
    <w:lvl w:ilvl="2" w:tentative="0">
      <w:start w:val="1"/>
      <w:numFmt w:val="decimal"/>
      <w:lvlText w:val="%1.%2.%3"/>
      <w:lvlJc w:val="left"/>
      <w:pPr>
        <w:tabs>
          <w:tab w:val="left" w:pos="-1843"/>
        </w:tabs>
        <w:ind w:left="-5130" w:hanging="567"/>
      </w:pPr>
      <w:rPr>
        <w:rFonts w:hint="eastAsia" w:cs="Times New Roman"/>
      </w:rPr>
    </w:lvl>
    <w:lvl w:ilvl="3" w:tentative="0">
      <w:start w:val="1"/>
      <w:numFmt w:val="decimal"/>
      <w:lvlText w:val="%1.%2.%3.%4"/>
      <w:lvlJc w:val="left"/>
      <w:pPr>
        <w:tabs>
          <w:tab w:val="left" w:pos="-1277"/>
        </w:tabs>
        <w:ind w:left="-4564" w:hanging="708"/>
      </w:pPr>
      <w:rPr>
        <w:rFonts w:hint="eastAsia" w:cs="Times New Roman"/>
      </w:rPr>
    </w:lvl>
    <w:lvl w:ilvl="4" w:tentative="0">
      <w:start w:val="1"/>
      <w:numFmt w:val="decimal"/>
      <w:lvlText w:val="%1.%2.%3.%4.%5"/>
      <w:lvlJc w:val="left"/>
      <w:pPr>
        <w:tabs>
          <w:tab w:val="left" w:pos="-710"/>
        </w:tabs>
        <w:ind w:left="-3997" w:hanging="850"/>
      </w:pPr>
      <w:rPr>
        <w:rFonts w:hint="eastAsia" w:cs="Times New Roman"/>
      </w:rPr>
    </w:lvl>
    <w:lvl w:ilvl="5" w:tentative="0">
      <w:start w:val="1"/>
      <w:numFmt w:val="decimal"/>
      <w:lvlText w:val="%1.%2.%3.%4.%5.%6"/>
      <w:lvlJc w:val="left"/>
      <w:pPr>
        <w:tabs>
          <w:tab w:val="left" w:pos="-1"/>
        </w:tabs>
        <w:ind w:left="-3288" w:hanging="1134"/>
      </w:pPr>
      <w:rPr>
        <w:rFonts w:hint="eastAsia" w:cs="Times New Roman"/>
      </w:rPr>
    </w:lvl>
    <w:lvl w:ilvl="6" w:tentative="0">
      <w:start w:val="1"/>
      <w:numFmt w:val="decimal"/>
      <w:lvlText w:val="%1.%2.%3.%4.%5.%6.%7"/>
      <w:lvlJc w:val="left"/>
      <w:pPr>
        <w:tabs>
          <w:tab w:val="left" w:pos="566"/>
        </w:tabs>
        <w:ind w:left="-2721" w:hanging="1276"/>
      </w:pPr>
      <w:rPr>
        <w:rFonts w:hint="eastAsia" w:cs="Times New Roman"/>
      </w:rPr>
    </w:lvl>
    <w:lvl w:ilvl="7" w:tentative="0">
      <w:start w:val="1"/>
      <w:numFmt w:val="decimal"/>
      <w:lvlText w:val="%1.%2.%3.%4.%5.%6.%7.%8"/>
      <w:lvlJc w:val="left"/>
      <w:pPr>
        <w:tabs>
          <w:tab w:val="left" w:pos="1133"/>
        </w:tabs>
        <w:ind w:left="-2154" w:hanging="1418"/>
      </w:pPr>
      <w:rPr>
        <w:rFonts w:hint="eastAsia" w:cs="Times New Roman"/>
      </w:rPr>
    </w:lvl>
    <w:lvl w:ilvl="8" w:tentative="0">
      <w:start w:val="1"/>
      <w:numFmt w:val="decimal"/>
      <w:lvlText w:val="%1.%2.%3.%4.%5.%6.%7.%8.%9"/>
      <w:lvlJc w:val="left"/>
      <w:pPr>
        <w:tabs>
          <w:tab w:val="left" w:pos="1841"/>
        </w:tabs>
        <w:ind w:left="-1446" w:hanging="1700"/>
      </w:pPr>
      <w:rPr>
        <w:rFonts w:hint="eastAsia"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69"/>
    <w:rsid w:val="000040F1"/>
    <w:rsid w:val="00004833"/>
    <w:rsid w:val="00012F01"/>
    <w:rsid w:val="00015BDD"/>
    <w:rsid w:val="0002127B"/>
    <w:rsid w:val="00027A9C"/>
    <w:rsid w:val="00031DBD"/>
    <w:rsid w:val="00032FE7"/>
    <w:rsid w:val="00033909"/>
    <w:rsid w:val="000355B2"/>
    <w:rsid w:val="00037363"/>
    <w:rsid w:val="000401F0"/>
    <w:rsid w:val="000415CF"/>
    <w:rsid w:val="000442B8"/>
    <w:rsid w:val="000454C2"/>
    <w:rsid w:val="00047514"/>
    <w:rsid w:val="00050447"/>
    <w:rsid w:val="000541E0"/>
    <w:rsid w:val="00054F7B"/>
    <w:rsid w:val="00056414"/>
    <w:rsid w:val="00080305"/>
    <w:rsid w:val="00081755"/>
    <w:rsid w:val="00084CA1"/>
    <w:rsid w:val="00086FC6"/>
    <w:rsid w:val="000878B0"/>
    <w:rsid w:val="000878C0"/>
    <w:rsid w:val="00093B3E"/>
    <w:rsid w:val="00094A1B"/>
    <w:rsid w:val="000A239E"/>
    <w:rsid w:val="000A29C0"/>
    <w:rsid w:val="000A4F69"/>
    <w:rsid w:val="000A5354"/>
    <w:rsid w:val="000A563E"/>
    <w:rsid w:val="000A7F28"/>
    <w:rsid w:val="000B2457"/>
    <w:rsid w:val="000B376B"/>
    <w:rsid w:val="000D34A8"/>
    <w:rsid w:val="000D38A0"/>
    <w:rsid w:val="000E764E"/>
    <w:rsid w:val="000F083F"/>
    <w:rsid w:val="000F19DC"/>
    <w:rsid w:val="000F3926"/>
    <w:rsid w:val="000F3A7F"/>
    <w:rsid w:val="000F4EDD"/>
    <w:rsid w:val="000F67DC"/>
    <w:rsid w:val="0010039C"/>
    <w:rsid w:val="00107511"/>
    <w:rsid w:val="0011293C"/>
    <w:rsid w:val="001149B5"/>
    <w:rsid w:val="00116EA3"/>
    <w:rsid w:val="00117F9D"/>
    <w:rsid w:val="001263DE"/>
    <w:rsid w:val="0013393F"/>
    <w:rsid w:val="001351BC"/>
    <w:rsid w:val="00137F95"/>
    <w:rsid w:val="001414E1"/>
    <w:rsid w:val="0014471A"/>
    <w:rsid w:val="0014735C"/>
    <w:rsid w:val="00150E81"/>
    <w:rsid w:val="00155A43"/>
    <w:rsid w:val="00163E34"/>
    <w:rsid w:val="001662ED"/>
    <w:rsid w:val="00172D0A"/>
    <w:rsid w:val="00176AEA"/>
    <w:rsid w:val="00182931"/>
    <w:rsid w:val="001841D8"/>
    <w:rsid w:val="00184793"/>
    <w:rsid w:val="00185F5D"/>
    <w:rsid w:val="00187018"/>
    <w:rsid w:val="00187271"/>
    <w:rsid w:val="00191490"/>
    <w:rsid w:val="00192E1F"/>
    <w:rsid w:val="00194F37"/>
    <w:rsid w:val="0019503B"/>
    <w:rsid w:val="0019650E"/>
    <w:rsid w:val="0019755B"/>
    <w:rsid w:val="001A1B43"/>
    <w:rsid w:val="001A2A80"/>
    <w:rsid w:val="001A3676"/>
    <w:rsid w:val="001A4246"/>
    <w:rsid w:val="001A7DA7"/>
    <w:rsid w:val="001B2747"/>
    <w:rsid w:val="001B3F15"/>
    <w:rsid w:val="001B5AF3"/>
    <w:rsid w:val="001B6B26"/>
    <w:rsid w:val="001C04A2"/>
    <w:rsid w:val="001C3C21"/>
    <w:rsid w:val="001D02F9"/>
    <w:rsid w:val="001D1047"/>
    <w:rsid w:val="001D18A9"/>
    <w:rsid w:val="001D1C23"/>
    <w:rsid w:val="001E4FEA"/>
    <w:rsid w:val="001E74CC"/>
    <w:rsid w:val="001F235E"/>
    <w:rsid w:val="00200450"/>
    <w:rsid w:val="00201A8E"/>
    <w:rsid w:val="002032D0"/>
    <w:rsid w:val="00203917"/>
    <w:rsid w:val="002042BF"/>
    <w:rsid w:val="00213C4C"/>
    <w:rsid w:val="00213FB2"/>
    <w:rsid w:val="00215DCD"/>
    <w:rsid w:val="00227024"/>
    <w:rsid w:val="00230D0B"/>
    <w:rsid w:val="00230D70"/>
    <w:rsid w:val="002359F9"/>
    <w:rsid w:val="00237497"/>
    <w:rsid w:val="00237B7B"/>
    <w:rsid w:val="002441F3"/>
    <w:rsid w:val="00252B04"/>
    <w:rsid w:val="00257CE8"/>
    <w:rsid w:val="00262788"/>
    <w:rsid w:val="00262E8D"/>
    <w:rsid w:val="00263815"/>
    <w:rsid w:val="0027019D"/>
    <w:rsid w:val="0027200B"/>
    <w:rsid w:val="002731A6"/>
    <w:rsid w:val="00273A14"/>
    <w:rsid w:val="0028342A"/>
    <w:rsid w:val="002835ED"/>
    <w:rsid w:val="002871AE"/>
    <w:rsid w:val="0029042B"/>
    <w:rsid w:val="0029654A"/>
    <w:rsid w:val="002A0B2B"/>
    <w:rsid w:val="002A4B7C"/>
    <w:rsid w:val="002B256C"/>
    <w:rsid w:val="002B4073"/>
    <w:rsid w:val="002B5927"/>
    <w:rsid w:val="002B6010"/>
    <w:rsid w:val="002B707D"/>
    <w:rsid w:val="002B7445"/>
    <w:rsid w:val="002C249F"/>
    <w:rsid w:val="002C2644"/>
    <w:rsid w:val="002C565F"/>
    <w:rsid w:val="002C5742"/>
    <w:rsid w:val="002C5C37"/>
    <w:rsid w:val="002D147D"/>
    <w:rsid w:val="002D2931"/>
    <w:rsid w:val="002D5D70"/>
    <w:rsid w:val="002E25FC"/>
    <w:rsid w:val="002F328A"/>
    <w:rsid w:val="002F7F1C"/>
    <w:rsid w:val="00303517"/>
    <w:rsid w:val="00303E4F"/>
    <w:rsid w:val="00307891"/>
    <w:rsid w:val="00312E15"/>
    <w:rsid w:val="0032091E"/>
    <w:rsid w:val="0032228A"/>
    <w:rsid w:val="003237B4"/>
    <w:rsid w:val="00324A70"/>
    <w:rsid w:val="00327318"/>
    <w:rsid w:val="00330C8C"/>
    <w:rsid w:val="00331ACD"/>
    <w:rsid w:val="00332A10"/>
    <w:rsid w:val="00333C1D"/>
    <w:rsid w:val="00334DCF"/>
    <w:rsid w:val="00340D65"/>
    <w:rsid w:val="003449A0"/>
    <w:rsid w:val="00355C82"/>
    <w:rsid w:val="00360F25"/>
    <w:rsid w:val="00362AEA"/>
    <w:rsid w:val="00363BAA"/>
    <w:rsid w:val="00365D0A"/>
    <w:rsid w:val="003663E5"/>
    <w:rsid w:val="0036697A"/>
    <w:rsid w:val="003715F1"/>
    <w:rsid w:val="003744FA"/>
    <w:rsid w:val="00377225"/>
    <w:rsid w:val="00380A19"/>
    <w:rsid w:val="00381178"/>
    <w:rsid w:val="00381AC6"/>
    <w:rsid w:val="00381CC3"/>
    <w:rsid w:val="00381E03"/>
    <w:rsid w:val="00385BB5"/>
    <w:rsid w:val="00390749"/>
    <w:rsid w:val="00392F32"/>
    <w:rsid w:val="00395193"/>
    <w:rsid w:val="003951A1"/>
    <w:rsid w:val="003A1D33"/>
    <w:rsid w:val="003A389A"/>
    <w:rsid w:val="003B0CEF"/>
    <w:rsid w:val="003B352D"/>
    <w:rsid w:val="003B6B80"/>
    <w:rsid w:val="003C2393"/>
    <w:rsid w:val="003C7E56"/>
    <w:rsid w:val="003D70A5"/>
    <w:rsid w:val="003D7CCA"/>
    <w:rsid w:val="003E0E85"/>
    <w:rsid w:val="003E1308"/>
    <w:rsid w:val="003E1D8B"/>
    <w:rsid w:val="003E3B6A"/>
    <w:rsid w:val="003E4BEE"/>
    <w:rsid w:val="003E6DAD"/>
    <w:rsid w:val="003E7A13"/>
    <w:rsid w:val="003F1FE4"/>
    <w:rsid w:val="003F57E6"/>
    <w:rsid w:val="00400E32"/>
    <w:rsid w:val="00405654"/>
    <w:rsid w:val="00421872"/>
    <w:rsid w:val="004221BC"/>
    <w:rsid w:val="004229BA"/>
    <w:rsid w:val="00425E2F"/>
    <w:rsid w:val="00432E80"/>
    <w:rsid w:val="00435EB2"/>
    <w:rsid w:val="004407BB"/>
    <w:rsid w:val="0044149A"/>
    <w:rsid w:val="00450CE9"/>
    <w:rsid w:val="004529F8"/>
    <w:rsid w:val="0046074A"/>
    <w:rsid w:val="00463F66"/>
    <w:rsid w:val="00465C28"/>
    <w:rsid w:val="0046652A"/>
    <w:rsid w:val="004820CA"/>
    <w:rsid w:val="00482943"/>
    <w:rsid w:val="0048347D"/>
    <w:rsid w:val="0048425A"/>
    <w:rsid w:val="0048740B"/>
    <w:rsid w:val="0049303E"/>
    <w:rsid w:val="00493F1E"/>
    <w:rsid w:val="004A069D"/>
    <w:rsid w:val="004A1539"/>
    <w:rsid w:val="004A1ED2"/>
    <w:rsid w:val="004A2108"/>
    <w:rsid w:val="004A2E49"/>
    <w:rsid w:val="004B44D0"/>
    <w:rsid w:val="004B605A"/>
    <w:rsid w:val="004B7DC1"/>
    <w:rsid w:val="004C0884"/>
    <w:rsid w:val="004C16F6"/>
    <w:rsid w:val="004C4969"/>
    <w:rsid w:val="004C5EC7"/>
    <w:rsid w:val="004C703F"/>
    <w:rsid w:val="004E1E4E"/>
    <w:rsid w:val="004E3FA5"/>
    <w:rsid w:val="004F0631"/>
    <w:rsid w:val="004F341F"/>
    <w:rsid w:val="004F75C1"/>
    <w:rsid w:val="00504B04"/>
    <w:rsid w:val="0050569C"/>
    <w:rsid w:val="00510D95"/>
    <w:rsid w:val="00513DBC"/>
    <w:rsid w:val="00521702"/>
    <w:rsid w:val="00523DF2"/>
    <w:rsid w:val="00525AEF"/>
    <w:rsid w:val="005268CD"/>
    <w:rsid w:val="005302FD"/>
    <w:rsid w:val="0053262C"/>
    <w:rsid w:val="0053605D"/>
    <w:rsid w:val="00536EBC"/>
    <w:rsid w:val="00547C3F"/>
    <w:rsid w:val="0055323C"/>
    <w:rsid w:val="0055530C"/>
    <w:rsid w:val="00555EEF"/>
    <w:rsid w:val="00557B0B"/>
    <w:rsid w:val="00560ABA"/>
    <w:rsid w:val="005616F1"/>
    <w:rsid w:val="00566351"/>
    <w:rsid w:val="005754F7"/>
    <w:rsid w:val="00576F87"/>
    <w:rsid w:val="00580962"/>
    <w:rsid w:val="005822B7"/>
    <w:rsid w:val="005872E9"/>
    <w:rsid w:val="00592096"/>
    <w:rsid w:val="005932D2"/>
    <w:rsid w:val="005939C1"/>
    <w:rsid w:val="00593FE3"/>
    <w:rsid w:val="005967B5"/>
    <w:rsid w:val="005A1A10"/>
    <w:rsid w:val="005A6F0A"/>
    <w:rsid w:val="005B1BC1"/>
    <w:rsid w:val="005B3EC5"/>
    <w:rsid w:val="005B53C3"/>
    <w:rsid w:val="005C2A1B"/>
    <w:rsid w:val="005C3EF8"/>
    <w:rsid w:val="005C40FA"/>
    <w:rsid w:val="005D1CB6"/>
    <w:rsid w:val="005D4A96"/>
    <w:rsid w:val="005D6C11"/>
    <w:rsid w:val="005D737B"/>
    <w:rsid w:val="005E0EE1"/>
    <w:rsid w:val="005E791D"/>
    <w:rsid w:val="005F0971"/>
    <w:rsid w:val="005F188C"/>
    <w:rsid w:val="005F20B3"/>
    <w:rsid w:val="005F5102"/>
    <w:rsid w:val="00601C34"/>
    <w:rsid w:val="00601EB8"/>
    <w:rsid w:val="0060210E"/>
    <w:rsid w:val="006031B1"/>
    <w:rsid w:val="00606094"/>
    <w:rsid w:val="00610406"/>
    <w:rsid w:val="00615DEF"/>
    <w:rsid w:val="00617908"/>
    <w:rsid w:val="0062057F"/>
    <w:rsid w:val="00624FCE"/>
    <w:rsid w:val="00625FD6"/>
    <w:rsid w:val="00630914"/>
    <w:rsid w:val="00630F6A"/>
    <w:rsid w:val="0063233B"/>
    <w:rsid w:val="00643105"/>
    <w:rsid w:val="0064582B"/>
    <w:rsid w:val="00646B1D"/>
    <w:rsid w:val="006476DA"/>
    <w:rsid w:val="00653703"/>
    <w:rsid w:val="006551AD"/>
    <w:rsid w:val="00656980"/>
    <w:rsid w:val="0066361E"/>
    <w:rsid w:val="00664650"/>
    <w:rsid w:val="0066771F"/>
    <w:rsid w:val="006771CA"/>
    <w:rsid w:val="00683FC0"/>
    <w:rsid w:val="00685CCF"/>
    <w:rsid w:val="00687A15"/>
    <w:rsid w:val="0069101B"/>
    <w:rsid w:val="006930DE"/>
    <w:rsid w:val="006971B9"/>
    <w:rsid w:val="006A7DD7"/>
    <w:rsid w:val="006B63C6"/>
    <w:rsid w:val="006C0100"/>
    <w:rsid w:val="006C29AA"/>
    <w:rsid w:val="006C3E62"/>
    <w:rsid w:val="006C3EF8"/>
    <w:rsid w:val="006C4A0D"/>
    <w:rsid w:val="006C69EF"/>
    <w:rsid w:val="006D27CF"/>
    <w:rsid w:val="006D3060"/>
    <w:rsid w:val="006E083B"/>
    <w:rsid w:val="006E5B3C"/>
    <w:rsid w:val="006E642F"/>
    <w:rsid w:val="006F064E"/>
    <w:rsid w:val="006F2EC1"/>
    <w:rsid w:val="006F75B1"/>
    <w:rsid w:val="00703493"/>
    <w:rsid w:val="007041A7"/>
    <w:rsid w:val="00704F6E"/>
    <w:rsid w:val="00705B3C"/>
    <w:rsid w:val="007144A2"/>
    <w:rsid w:val="0071792A"/>
    <w:rsid w:val="00717A82"/>
    <w:rsid w:val="007217CE"/>
    <w:rsid w:val="0072201A"/>
    <w:rsid w:val="007253F8"/>
    <w:rsid w:val="007262BC"/>
    <w:rsid w:val="00730D8C"/>
    <w:rsid w:val="00732098"/>
    <w:rsid w:val="00733FB2"/>
    <w:rsid w:val="007342CB"/>
    <w:rsid w:val="00735034"/>
    <w:rsid w:val="00737826"/>
    <w:rsid w:val="00746135"/>
    <w:rsid w:val="0075173E"/>
    <w:rsid w:val="007546B5"/>
    <w:rsid w:val="00755089"/>
    <w:rsid w:val="0075561F"/>
    <w:rsid w:val="007565D9"/>
    <w:rsid w:val="00757398"/>
    <w:rsid w:val="007577DB"/>
    <w:rsid w:val="00757D06"/>
    <w:rsid w:val="0076079D"/>
    <w:rsid w:val="00761457"/>
    <w:rsid w:val="0076167B"/>
    <w:rsid w:val="0076681B"/>
    <w:rsid w:val="00770A8C"/>
    <w:rsid w:val="007718AD"/>
    <w:rsid w:val="00771DC1"/>
    <w:rsid w:val="00772A53"/>
    <w:rsid w:val="00773776"/>
    <w:rsid w:val="00775056"/>
    <w:rsid w:val="007753CB"/>
    <w:rsid w:val="00775A47"/>
    <w:rsid w:val="00781CB6"/>
    <w:rsid w:val="00783E38"/>
    <w:rsid w:val="00791D7A"/>
    <w:rsid w:val="00793E76"/>
    <w:rsid w:val="00796003"/>
    <w:rsid w:val="007A1179"/>
    <w:rsid w:val="007A1601"/>
    <w:rsid w:val="007B1579"/>
    <w:rsid w:val="007B1B3F"/>
    <w:rsid w:val="007B2D01"/>
    <w:rsid w:val="007B377E"/>
    <w:rsid w:val="007B5436"/>
    <w:rsid w:val="007D31AA"/>
    <w:rsid w:val="007D4501"/>
    <w:rsid w:val="007E32F1"/>
    <w:rsid w:val="007E35B3"/>
    <w:rsid w:val="007F4889"/>
    <w:rsid w:val="007F7083"/>
    <w:rsid w:val="007F7ADD"/>
    <w:rsid w:val="00802637"/>
    <w:rsid w:val="00806C82"/>
    <w:rsid w:val="00807DEB"/>
    <w:rsid w:val="00810015"/>
    <w:rsid w:val="00810CC8"/>
    <w:rsid w:val="00815195"/>
    <w:rsid w:val="00821B34"/>
    <w:rsid w:val="00826789"/>
    <w:rsid w:val="0083049F"/>
    <w:rsid w:val="008309FE"/>
    <w:rsid w:val="008312A7"/>
    <w:rsid w:val="00834CBE"/>
    <w:rsid w:val="00840DDC"/>
    <w:rsid w:val="008446C6"/>
    <w:rsid w:val="00844B23"/>
    <w:rsid w:val="00844BCB"/>
    <w:rsid w:val="00850135"/>
    <w:rsid w:val="00850561"/>
    <w:rsid w:val="008563E4"/>
    <w:rsid w:val="00863427"/>
    <w:rsid w:val="008646BE"/>
    <w:rsid w:val="00867432"/>
    <w:rsid w:val="0087707D"/>
    <w:rsid w:val="00882594"/>
    <w:rsid w:val="008846D4"/>
    <w:rsid w:val="00884CD1"/>
    <w:rsid w:val="0089189F"/>
    <w:rsid w:val="00891B9A"/>
    <w:rsid w:val="00892D4F"/>
    <w:rsid w:val="00894699"/>
    <w:rsid w:val="00896863"/>
    <w:rsid w:val="008A4713"/>
    <w:rsid w:val="008A666E"/>
    <w:rsid w:val="008B3D11"/>
    <w:rsid w:val="008B5D9D"/>
    <w:rsid w:val="008C3087"/>
    <w:rsid w:val="008C382C"/>
    <w:rsid w:val="008C6D72"/>
    <w:rsid w:val="008D1BA4"/>
    <w:rsid w:val="008D3BC6"/>
    <w:rsid w:val="008D4037"/>
    <w:rsid w:val="008D4D73"/>
    <w:rsid w:val="008E266F"/>
    <w:rsid w:val="008E2C48"/>
    <w:rsid w:val="008E6036"/>
    <w:rsid w:val="00901CAE"/>
    <w:rsid w:val="00902A23"/>
    <w:rsid w:val="0090713F"/>
    <w:rsid w:val="00913B4A"/>
    <w:rsid w:val="0091577C"/>
    <w:rsid w:val="0091769D"/>
    <w:rsid w:val="00925468"/>
    <w:rsid w:val="00925F1E"/>
    <w:rsid w:val="00926006"/>
    <w:rsid w:val="00926E29"/>
    <w:rsid w:val="00933A3E"/>
    <w:rsid w:val="00935980"/>
    <w:rsid w:val="009406AC"/>
    <w:rsid w:val="00940942"/>
    <w:rsid w:val="00940E50"/>
    <w:rsid w:val="00941710"/>
    <w:rsid w:val="009453A1"/>
    <w:rsid w:val="0094698D"/>
    <w:rsid w:val="0096623F"/>
    <w:rsid w:val="00973B9A"/>
    <w:rsid w:val="00981ACE"/>
    <w:rsid w:val="00985452"/>
    <w:rsid w:val="009912DE"/>
    <w:rsid w:val="00991D36"/>
    <w:rsid w:val="0099334E"/>
    <w:rsid w:val="009A349F"/>
    <w:rsid w:val="009B27EA"/>
    <w:rsid w:val="009B2872"/>
    <w:rsid w:val="009B3F24"/>
    <w:rsid w:val="009B3F93"/>
    <w:rsid w:val="009B5038"/>
    <w:rsid w:val="009B638E"/>
    <w:rsid w:val="009B7D4F"/>
    <w:rsid w:val="009C1649"/>
    <w:rsid w:val="009C26ED"/>
    <w:rsid w:val="009C3B47"/>
    <w:rsid w:val="009C723A"/>
    <w:rsid w:val="009C7329"/>
    <w:rsid w:val="009D049E"/>
    <w:rsid w:val="009D617A"/>
    <w:rsid w:val="009D62D7"/>
    <w:rsid w:val="009D652B"/>
    <w:rsid w:val="009E06D7"/>
    <w:rsid w:val="009E0705"/>
    <w:rsid w:val="009E15B1"/>
    <w:rsid w:val="009E3FCA"/>
    <w:rsid w:val="009E400B"/>
    <w:rsid w:val="009E4F4B"/>
    <w:rsid w:val="009F53C0"/>
    <w:rsid w:val="00A02668"/>
    <w:rsid w:val="00A03D5C"/>
    <w:rsid w:val="00A06205"/>
    <w:rsid w:val="00A0726A"/>
    <w:rsid w:val="00A1067D"/>
    <w:rsid w:val="00A24435"/>
    <w:rsid w:val="00A245CE"/>
    <w:rsid w:val="00A30BEE"/>
    <w:rsid w:val="00A339E3"/>
    <w:rsid w:val="00A4214F"/>
    <w:rsid w:val="00A43BCA"/>
    <w:rsid w:val="00A45465"/>
    <w:rsid w:val="00A50871"/>
    <w:rsid w:val="00A5277E"/>
    <w:rsid w:val="00A52CB0"/>
    <w:rsid w:val="00A531FF"/>
    <w:rsid w:val="00A53E54"/>
    <w:rsid w:val="00A54AB7"/>
    <w:rsid w:val="00A55277"/>
    <w:rsid w:val="00A62FBC"/>
    <w:rsid w:val="00A64DB6"/>
    <w:rsid w:val="00A663E5"/>
    <w:rsid w:val="00A7120A"/>
    <w:rsid w:val="00A72A7B"/>
    <w:rsid w:val="00A739D4"/>
    <w:rsid w:val="00A7514E"/>
    <w:rsid w:val="00A767B6"/>
    <w:rsid w:val="00A82A81"/>
    <w:rsid w:val="00A91E4D"/>
    <w:rsid w:val="00A92B02"/>
    <w:rsid w:val="00A9617E"/>
    <w:rsid w:val="00AA35C2"/>
    <w:rsid w:val="00AA603E"/>
    <w:rsid w:val="00AA69DD"/>
    <w:rsid w:val="00AA76F9"/>
    <w:rsid w:val="00AB494E"/>
    <w:rsid w:val="00AC1905"/>
    <w:rsid w:val="00AC2F36"/>
    <w:rsid w:val="00AC3F19"/>
    <w:rsid w:val="00AC56C4"/>
    <w:rsid w:val="00AC592D"/>
    <w:rsid w:val="00AC69DF"/>
    <w:rsid w:val="00AD4C12"/>
    <w:rsid w:val="00AD5381"/>
    <w:rsid w:val="00AE5235"/>
    <w:rsid w:val="00AE611F"/>
    <w:rsid w:val="00AF30B3"/>
    <w:rsid w:val="00AF37F7"/>
    <w:rsid w:val="00AF4769"/>
    <w:rsid w:val="00AF6CC5"/>
    <w:rsid w:val="00AF743B"/>
    <w:rsid w:val="00B006B1"/>
    <w:rsid w:val="00B00731"/>
    <w:rsid w:val="00B03C70"/>
    <w:rsid w:val="00B04335"/>
    <w:rsid w:val="00B04701"/>
    <w:rsid w:val="00B0586C"/>
    <w:rsid w:val="00B105F8"/>
    <w:rsid w:val="00B11276"/>
    <w:rsid w:val="00B11D19"/>
    <w:rsid w:val="00B13638"/>
    <w:rsid w:val="00B13967"/>
    <w:rsid w:val="00B2116F"/>
    <w:rsid w:val="00B226EB"/>
    <w:rsid w:val="00B237E1"/>
    <w:rsid w:val="00B24AE1"/>
    <w:rsid w:val="00B266AD"/>
    <w:rsid w:val="00B2798A"/>
    <w:rsid w:val="00B27A3B"/>
    <w:rsid w:val="00B330E2"/>
    <w:rsid w:val="00B33F34"/>
    <w:rsid w:val="00B344DA"/>
    <w:rsid w:val="00B345EA"/>
    <w:rsid w:val="00B43DE3"/>
    <w:rsid w:val="00B55E6F"/>
    <w:rsid w:val="00B612C7"/>
    <w:rsid w:val="00B648BB"/>
    <w:rsid w:val="00B648BC"/>
    <w:rsid w:val="00B70E46"/>
    <w:rsid w:val="00B72DAF"/>
    <w:rsid w:val="00B8721C"/>
    <w:rsid w:val="00B9123D"/>
    <w:rsid w:val="00B9762F"/>
    <w:rsid w:val="00B97659"/>
    <w:rsid w:val="00BA2944"/>
    <w:rsid w:val="00BA3F69"/>
    <w:rsid w:val="00BA59EF"/>
    <w:rsid w:val="00BA6495"/>
    <w:rsid w:val="00BC5152"/>
    <w:rsid w:val="00BC665E"/>
    <w:rsid w:val="00BC7B6F"/>
    <w:rsid w:val="00BC7C74"/>
    <w:rsid w:val="00BD082B"/>
    <w:rsid w:val="00BD2B9D"/>
    <w:rsid w:val="00BD3F6E"/>
    <w:rsid w:val="00BD581D"/>
    <w:rsid w:val="00BE188E"/>
    <w:rsid w:val="00BE6E5D"/>
    <w:rsid w:val="00BE77D5"/>
    <w:rsid w:val="00BF1CA7"/>
    <w:rsid w:val="00BF5CC6"/>
    <w:rsid w:val="00C01449"/>
    <w:rsid w:val="00C0437A"/>
    <w:rsid w:val="00C17196"/>
    <w:rsid w:val="00C20241"/>
    <w:rsid w:val="00C23A0D"/>
    <w:rsid w:val="00C242FF"/>
    <w:rsid w:val="00C274EF"/>
    <w:rsid w:val="00C3294F"/>
    <w:rsid w:val="00C35F59"/>
    <w:rsid w:val="00C44E57"/>
    <w:rsid w:val="00C47C33"/>
    <w:rsid w:val="00C50154"/>
    <w:rsid w:val="00C529A9"/>
    <w:rsid w:val="00C62787"/>
    <w:rsid w:val="00C65367"/>
    <w:rsid w:val="00C65E59"/>
    <w:rsid w:val="00C662BB"/>
    <w:rsid w:val="00C67707"/>
    <w:rsid w:val="00C710F5"/>
    <w:rsid w:val="00C7475B"/>
    <w:rsid w:val="00C773F5"/>
    <w:rsid w:val="00C774E3"/>
    <w:rsid w:val="00C77D8B"/>
    <w:rsid w:val="00C77E8D"/>
    <w:rsid w:val="00C82861"/>
    <w:rsid w:val="00C84628"/>
    <w:rsid w:val="00C87BCD"/>
    <w:rsid w:val="00C87C5E"/>
    <w:rsid w:val="00C91987"/>
    <w:rsid w:val="00C919ED"/>
    <w:rsid w:val="00C92479"/>
    <w:rsid w:val="00C9508A"/>
    <w:rsid w:val="00C950C9"/>
    <w:rsid w:val="00CA0ADB"/>
    <w:rsid w:val="00CA3493"/>
    <w:rsid w:val="00CA484E"/>
    <w:rsid w:val="00CB000F"/>
    <w:rsid w:val="00CB0404"/>
    <w:rsid w:val="00CB2944"/>
    <w:rsid w:val="00CB5552"/>
    <w:rsid w:val="00CB5719"/>
    <w:rsid w:val="00CC4484"/>
    <w:rsid w:val="00CC79E1"/>
    <w:rsid w:val="00CD0180"/>
    <w:rsid w:val="00CD0987"/>
    <w:rsid w:val="00CE0042"/>
    <w:rsid w:val="00CE3D93"/>
    <w:rsid w:val="00CE4AFE"/>
    <w:rsid w:val="00CF15E1"/>
    <w:rsid w:val="00CF32A2"/>
    <w:rsid w:val="00CF6504"/>
    <w:rsid w:val="00CF7B5F"/>
    <w:rsid w:val="00D01C88"/>
    <w:rsid w:val="00D01E04"/>
    <w:rsid w:val="00D023A0"/>
    <w:rsid w:val="00D02729"/>
    <w:rsid w:val="00D03102"/>
    <w:rsid w:val="00D040F7"/>
    <w:rsid w:val="00D050DE"/>
    <w:rsid w:val="00D06188"/>
    <w:rsid w:val="00D07D75"/>
    <w:rsid w:val="00D10ABD"/>
    <w:rsid w:val="00D11E81"/>
    <w:rsid w:val="00D16E4F"/>
    <w:rsid w:val="00D203E2"/>
    <w:rsid w:val="00D252EC"/>
    <w:rsid w:val="00D35BD8"/>
    <w:rsid w:val="00D4135B"/>
    <w:rsid w:val="00D42AE3"/>
    <w:rsid w:val="00D44724"/>
    <w:rsid w:val="00D44BBC"/>
    <w:rsid w:val="00D4675B"/>
    <w:rsid w:val="00D47C1D"/>
    <w:rsid w:val="00D51DF3"/>
    <w:rsid w:val="00D53921"/>
    <w:rsid w:val="00D57AB3"/>
    <w:rsid w:val="00D61CB4"/>
    <w:rsid w:val="00D6385D"/>
    <w:rsid w:val="00D677F6"/>
    <w:rsid w:val="00D71C8C"/>
    <w:rsid w:val="00D75BED"/>
    <w:rsid w:val="00D77D71"/>
    <w:rsid w:val="00D8029F"/>
    <w:rsid w:val="00D81A36"/>
    <w:rsid w:val="00D82B31"/>
    <w:rsid w:val="00D83446"/>
    <w:rsid w:val="00D8355E"/>
    <w:rsid w:val="00D877C7"/>
    <w:rsid w:val="00D912FA"/>
    <w:rsid w:val="00D972C4"/>
    <w:rsid w:val="00DA13AB"/>
    <w:rsid w:val="00DB0518"/>
    <w:rsid w:val="00DB652B"/>
    <w:rsid w:val="00DB76B0"/>
    <w:rsid w:val="00DC447C"/>
    <w:rsid w:val="00DC5FC2"/>
    <w:rsid w:val="00DC638D"/>
    <w:rsid w:val="00DC7D54"/>
    <w:rsid w:val="00DD13F0"/>
    <w:rsid w:val="00DD2F2F"/>
    <w:rsid w:val="00DD5451"/>
    <w:rsid w:val="00DE4649"/>
    <w:rsid w:val="00DE6F46"/>
    <w:rsid w:val="00DF02C2"/>
    <w:rsid w:val="00DF0C4E"/>
    <w:rsid w:val="00DF0C98"/>
    <w:rsid w:val="00DF2501"/>
    <w:rsid w:val="00DF327B"/>
    <w:rsid w:val="00DF65A8"/>
    <w:rsid w:val="00DF677B"/>
    <w:rsid w:val="00DF7553"/>
    <w:rsid w:val="00E0003B"/>
    <w:rsid w:val="00E05EB8"/>
    <w:rsid w:val="00E06AB6"/>
    <w:rsid w:val="00E1270A"/>
    <w:rsid w:val="00E12DF0"/>
    <w:rsid w:val="00E14F03"/>
    <w:rsid w:val="00E170B6"/>
    <w:rsid w:val="00E202AF"/>
    <w:rsid w:val="00E215F6"/>
    <w:rsid w:val="00E25130"/>
    <w:rsid w:val="00E26251"/>
    <w:rsid w:val="00E31A78"/>
    <w:rsid w:val="00E3679F"/>
    <w:rsid w:val="00E42E99"/>
    <w:rsid w:val="00E509C7"/>
    <w:rsid w:val="00E560E4"/>
    <w:rsid w:val="00E6357A"/>
    <w:rsid w:val="00E71BC2"/>
    <w:rsid w:val="00E728F8"/>
    <w:rsid w:val="00E76388"/>
    <w:rsid w:val="00E806AC"/>
    <w:rsid w:val="00E82A08"/>
    <w:rsid w:val="00E83F23"/>
    <w:rsid w:val="00E9207B"/>
    <w:rsid w:val="00E92829"/>
    <w:rsid w:val="00E929FC"/>
    <w:rsid w:val="00E94923"/>
    <w:rsid w:val="00E95DB5"/>
    <w:rsid w:val="00EA061C"/>
    <w:rsid w:val="00EA69E4"/>
    <w:rsid w:val="00EB1085"/>
    <w:rsid w:val="00EB217B"/>
    <w:rsid w:val="00EB6BE2"/>
    <w:rsid w:val="00EC1471"/>
    <w:rsid w:val="00EC363A"/>
    <w:rsid w:val="00EC3E5F"/>
    <w:rsid w:val="00EC558B"/>
    <w:rsid w:val="00EC746F"/>
    <w:rsid w:val="00ED27C0"/>
    <w:rsid w:val="00ED6207"/>
    <w:rsid w:val="00EE0705"/>
    <w:rsid w:val="00EE64D6"/>
    <w:rsid w:val="00EE6C54"/>
    <w:rsid w:val="00EF0B48"/>
    <w:rsid w:val="00EF5AC2"/>
    <w:rsid w:val="00F00ED0"/>
    <w:rsid w:val="00F013CC"/>
    <w:rsid w:val="00F12418"/>
    <w:rsid w:val="00F125E6"/>
    <w:rsid w:val="00F12E41"/>
    <w:rsid w:val="00F214E1"/>
    <w:rsid w:val="00F21BEE"/>
    <w:rsid w:val="00F22789"/>
    <w:rsid w:val="00F2592B"/>
    <w:rsid w:val="00F41E6A"/>
    <w:rsid w:val="00F53748"/>
    <w:rsid w:val="00F57193"/>
    <w:rsid w:val="00F62025"/>
    <w:rsid w:val="00F629D2"/>
    <w:rsid w:val="00F64A58"/>
    <w:rsid w:val="00F71DF4"/>
    <w:rsid w:val="00F74027"/>
    <w:rsid w:val="00F74E93"/>
    <w:rsid w:val="00F76FF8"/>
    <w:rsid w:val="00F77F7D"/>
    <w:rsid w:val="00F87619"/>
    <w:rsid w:val="00F97DA5"/>
    <w:rsid w:val="00FA067C"/>
    <w:rsid w:val="00FA2863"/>
    <w:rsid w:val="00FA2B2A"/>
    <w:rsid w:val="00FA35B9"/>
    <w:rsid w:val="00FB0224"/>
    <w:rsid w:val="00FB0ADF"/>
    <w:rsid w:val="00FB602E"/>
    <w:rsid w:val="00FC08D3"/>
    <w:rsid w:val="00FC2AAE"/>
    <w:rsid w:val="00FC479D"/>
    <w:rsid w:val="00FC7BD6"/>
    <w:rsid w:val="00FD2C2C"/>
    <w:rsid w:val="00FD663F"/>
    <w:rsid w:val="00FD7628"/>
    <w:rsid w:val="00FD7A43"/>
    <w:rsid w:val="00FE103F"/>
    <w:rsid w:val="00FE1547"/>
    <w:rsid w:val="00FE6DE8"/>
    <w:rsid w:val="00FF02D4"/>
    <w:rsid w:val="00FF02EB"/>
    <w:rsid w:val="00FF1B12"/>
    <w:rsid w:val="00FF1EDD"/>
    <w:rsid w:val="00FF4DB0"/>
    <w:rsid w:val="00FF673A"/>
    <w:rsid w:val="10881C05"/>
    <w:rsid w:val="24BC1732"/>
    <w:rsid w:val="32A35EEF"/>
    <w:rsid w:val="465C36D3"/>
    <w:rsid w:val="5F6D5BFC"/>
    <w:rsid w:val="646226E5"/>
    <w:rsid w:val="67775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numPr>
        <w:ilvl w:val="1"/>
        <w:numId w:val="1"/>
      </w:numPr>
      <w:tabs>
        <w:tab w:val="right" w:leader="dot" w:pos="9241"/>
      </w:tabs>
      <w:ind w:firstLine="500" w:firstLineChars="500"/>
      <w:jc w:val="left"/>
    </w:pPr>
    <w:rPr>
      <w:rFonts w:ascii="宋体" w:hAnsi="Times New Roman" w:eastAsia="宋体" w:cs="Times New Roman"/>
      <w:szCs w:val="21"/>
    </w:rPr>
  </w:style>
  <w:style w:type="paragraph" w:styleId="5">
    <w:name w:val="index 8"/>
    <w:basedOn w:val="1"/>
    <w:next w:val="1"/>
    <w:qFormat/>
    <w:uiPriority w:val="0"/>
    <w:pPr>
      <w:numPr>
        <w:ilvl w:val="2"/>
        <w:numId w:val="1"/>
      </w:numPr>
      <w:ind w:left="1680" w:hanging="210"/>
      <w:jc w:val="left"/>
    </w:pPr>
    <w:rPr>
      <w:rFonts w:ascii="Calibri" w:hAnsi="Calibri" w:eastAsia="宋体" w:cs="Times New Roman"/>
      <w:sz w:val="20"/>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table" w:customStyle="1" w:styleId="16">
    <w:name w:val="网格型1"/>
    <w:basedOn w:val="10"/>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网格型2"/>
    <w:basedOn w:val="10"/>
    <w:qFormat/>
    <w:locked/>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网格型3"/>
    <w:basedOn w:val="10"/>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批注框文本 Char"/>
    <w:basedOn w:val="12"/>
    <w:link w:val="6"/>
    <w:semiHidden/>
    <w:qFormat/>
    <w:uiPriority w:val="99"/>
    <w:rPr>
      <w:sz w:val="18"/>
      <w:szCs w:val="18"/>
    </w:rPr>
  </w:style>
  <w:style w:type="paragraph" w:styleId="20">
    <w:name w:val="List Paragraph"/>
    <w:basedOn w:val="1"/>
    <w:qFormat/>
    <w:uiPriority w:val="34"/>
    <w:pPr>
      <w:ind w:firstLine="420" w:firstLineChars="200"/>
    </w:pPr>
    <w:rPr>
      <w:rFonts w:ascii="Calibri" w:hAnsi="Calibri" w:eastAsia="宋体" w:cs="Times New Roman"/>
    </w:rPr>
  </w:style>
  <w:style w:type="paragraph" w:customStyle="1" w:styleId="21">
    <w:name w:val="正文表标题"/>
    <w:next w:val="22"/>
    <w:qFormat/>
    <w:uiPriority w:val="0"/>
    <w:pPr>
      <w:numPr>
        <w:ilvl w:val="0"/>
        <w:numId w:val="2"/>
      </w:numPr>
      <w:spacing w:beforeLines="50" w:afterLines="50"/>
      <w:jc w:val="center"/>
    </w:pPr>
    <w:rPr>
      <w:rFonts w:ascii="黑体" w:hAnsi="Times New Roman" w:eastAsia="黑体" w:cs="Times New Roman"/>
      <w:kern w:val="0"/>
      <w:sz w:val="21"/>
      <w:szCs w:val="20"/>
      <w:lang w:val="en-US" w:eastAsia="zh-CN" w:bidi="ar-SA"/>
    </w:rPr>
  </w:style>
  <w:style w:type="paragraph" w:customStyle="1" w:styleId="2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23">
    <w:name w:val="网格型4"/>
    <w:basedOn w:val="10"/>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
    <w:name w:val="网格型5"/>
    <w:basedOn w:val="10"/>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5">
    <w:name w:val="网格型6"/>
    <w:basedOn w:val="10"/>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6">
    <w:name w:val="二级条标题"/>
    <w:basedOn w:val="27"/>
    <w:next w:val="22"/>
    <w:qFormat/>
    <w:uiPriority w:val="0"/>
    <w:pPr>
      <w:numPr>
        <w:ilvl w:val="2"/>
        <w:numId w:val="3"/>
      </w:numPr>
      <w:spacing w:before="50" w:beforeLines="0" w:after="50" w:afterLines="0"/>
      <w:outlineLvl w:val="3"/>
    </w:pPr>
    <w:rPr>
      <w:rFonts w:ascii="Times New Roman"/>
      <w:b/>
      <w:bCs/>
    </w:rPr>
  </w:style>
  <w:style w:type="paragraph" w:customStyle="1" w:styleId="27">
    <w:name w:val="一级条标题"/>
    <w:next w:val="22"/>
    <w:qFormat/>
    <w:uiPriority w:val="0"/>
    <w:pPr>
      <w:spacing w:beforeLines="50" w:afterLines="50"/>
      <w:outlineLvl w:val="2"/>
    </w:pPr>
    <w:rPr>
      <w:rFonts w:ascii="黑体" w:hAnsi="Times New Roman" w:eastAsia="黑体" w:cs="Times New Roman"/>
      <w:sz w:val="21"/>
      <w:szCs w:val="21"/>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4783</Words>
  <Characters>5805</Characters>
  <Lines>34</Lines>
  <Paragraphs>9</Paragraphs>
  <TotalTime>34</TotalTime>
  <ScaleCrop>false</ScaleCrop>
  <LinksUpToDate>false</LinksUpToDate>
  <CharactersWithSpaces>5888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2021-04-25T02:15:00Z</dcterms:created>
  <dc:creator>wangzequn</dc:creator>
  <cp:lastModifiedBy>FL·yang</cp:lastModifiedBy>
  <dcterms:modified xsi:type="dcterms:W3CDTF">2025-09-30T05:55:43Z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eyJoZGlkIjoiNzg3NmQ5NzJkYWUzODUxZmI0ZGYwNDg2ZjY5ZjdjNDciLCJ1c2VySWQiOiIzNTU1NDMzMTUifQ==</vt:lpwstr>
  </property>
  <property fmtid="{D5CDD505-2E9C-101B-9397-08002B2CF9AE}" pid="3" name="KSOProductBuildVer">
    <vt:lpwstr>2052-12.1.0.22529</vt:lpwstr>
  </property>
  <property fmtid="{D5CDD505-2E9C-101B-9397-08002B2CF9AE}" pid="4" name="ICV">
    <vt:lpwstr>382C1C442F8E4945B50110CE8E7B070B_13</vt:lpwstr>
  </property>
</Properties>
</file>