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07F321">
      <w:pPr>
        <w:adjustRightInd w:val="0"/>
        <w:snapToGrid w:val="0"/>
        <w:spacing w:line="360" w:lineRule="auto"/>
        <w:jc w:val="center"/>
        <w:rPr>
          <w:rFonts w:hint="default" w:ascii="Times New Roman" w:hAnsi="Times New Roman" w:eastAsia="黑体" w:cs="Times New Roman"/>
          <w:b/>
          <w:sz w:val="48"/>
          <w:szCs w:val="48"/>
          <w:highlight w:val="none"/>
        </w:rPr>
      </w:pPr>
    </w:p>
    <w:p w14:paraId="79EBEC41">
      <w:pPr>
        <w:adjustRightInd w:val="0"/>
        <w:snapToGrid w:val="0"/>
        <w:spacing w:line="360" w:lineRule="auto"/>
        <w:jc w:val="center"/>
        <w:rPr>
          <w:rFonts w:hint="default" w:ascii="Times New Roman" w:hAnsi="Times New Roman" w:eastAsia="黑体" w:cs="Times New Roman"/>
          <w:b/>
          <w:sz w:val="48"/>
          <w:szCs w:val="48"/>
          <w:highlight w:val="none"/>
        </w:rPr>
      </w:pPr>
      <w:r>
        <w:rPr>
          <w:rFonts w:hint="default" w:ascii="Times New Roman" w:hAnsi="Times New Roman" w:eastAsia="黑体" w:cs="Times New Roman"/>
          <w:b/>
          <w:sz w:val="48"/>
          <w:szCs w:val="48"/>
          <w:highlight w:val="none"/>
        </w:rPr>
        <w:t>团</w:t>
      </w:r>
      <w:r>
        <w:rPr>
          <w:rFonts w:hint="default" w:ascii="Times New Roman" w:hAnsi="Times New Roman" w:eastAsia="黑体" w:cs="Times New Roman"/>
          <w:b/>
          <w:sz w:val="48"/>
          <w:szCs w:val="48"/>
          <w:highlight w:val="none"/>
          <w:lang w:val="en-US" w:eastAsia="zh-CN"/>
        </w:rPr>
        <w:t xml:space="preserve"> </w:t>
      </w:r>
      <w:r>
        <w:rPr>
          <w:rFonts w:hint="default" w:ascii="Times New Roman" w:hAnsi="Times New Roman" w:eastAsia="黑体" w:cs="Times New Roman"/>
          <w:b/>
          <w:sz w:val="48"/>
          <w:szCs w:val="48"/>
          <w:highlight w:val="none"/>
        </w:rPr>
        <w:t>体</w:t>
      </w:r>
      <w:r>
        <w:rPr>
          <w:rFonts w:hint="default" w:ascii="Times New Roman" w:hAnsi="Times New Roman" w:eastAsia="黑体" w:cs="Times New Roman"/>
          <w:b/>
          <w:sz w:val="48"/>
          <w:szCs w:val="48"/>
          <w:highlight w:val="none"/>
          <w:lang w:val="en-US" w:eastAsia="zh-CN"/>
        </w:rPr>
        <w:t xml:space="preserve"> </w:t>
      </w:r>
      <w:r>
        <w:rPr>
          <w:rFonts w:hint="default" w:ascii="Times New Roman" w:hAnsi="Times New Roman" w:eastAsia="黑体" w:cs="Times New Roman"/>
          <w:b/>
          <w:sz w:val="48"/>
          <w:szCs w:val="48"/>
          <w:highlight w:val="none"/>
        </w:rPr>
        <w:t>标</w:t>
      </w:r>
      <w:r>
        <w:rPr>
          <w:rFonts w:hint="default" w:ascii="Times New Roman" w:hAnsi="Times New Roman" w:eastAsia="黑体" w:cs="Times New Roman"/>
          <w:b/>
          <w:sz w:val="48"/>
          <w:szCs w:val="48"/>
          <w:highlight w:val="none"/>
          <w:lang w:val="en-US" w:eastAsia="zh-CN"/>
        </w:rPr>
        <w:t xml:space="preserve"> </w:t>
      </w:r>
      <w:r>
        <w:rPr>
          <w:rFonts w:hint="default" w:ascii="Times New Roman" w:hAnsi="Times New Roman" w:eastAsia="黑体" w:cs="Times New Roman"/>
          <w:b/>
          <w:sz w:val="48"/>
          <w:szCs w:val="48"/>
          <w:highlight w:val="none"/>
        </w:rPr>
        <w:t>准</w:t>
      </w:r>
    </w:p>
    <w:p w14:paraId="42C0B5D8">
      <w:pPr>
        <w:adjustRightInd w:val="0"/>
        <w:snapToGrid w:val="0"/>
        <w:spacing w:line="360" w:lineRule="auto"/>
        <w:jc w:val="center"/>
        <w:rPr>
          <w:rFonts w:hint="default" w:ascii="Times New Roman" w:hAnsi="Times New Roman" w:eastAsia="黑体" w:cs="Times New Roman"/>
          <w:b/>
          <w:sz w:val="48"/>
          <w:szCs w:val="48"/>
          <w:highlight w:val="none"/>
        </w:rPr>
      </w:pPr>
    </w:p>
    <w:p w14:paraId="7C769135">
      <w:pPr>
        <w:adjustRightInd w:val="0"/>
        <w:snapToGrid w:val="0"/>
        <w:spacing w:line="360" w:lineRule="auto"/>
        <w:jc w:val="center"/>
        <w:rPr>
          <w:rFonts w:hint="default" w:ascii="Times New Roman" w:hAnsi="Times New Roman" w:eastAsia="黑体" w:cs="Times New Roman"/>
          <w:b/>
          <w:sz w:val="52"/>
          <w:szCs w:val="52"/>
          <w:highlight w:val="none"/>
          <w:lang w:val="en-US" w:eastAsia="zh-CN"/>
        </w:rPr>
      </w:pPr>
      <w:bookmarkStart w:id="57" w:name="_GoBack"/>
      <w:r>
        <w:rPr>
          <w:rFonts w:hint="default" w:ascii="Times New Roman" w:hAnsi="Times New Roman" w:eastAsia="黑体" w:cs="Times New Roman"/>
          <w:b/>
          <w:sz w:val="52"/>
          <w:szCs w:val="52"/>
          <w:highlight w:val="none"/>
          <w:lang w:val="en-US" w:eastAsia="zh-CN"/>
        </w:rPr>
        <w:t>污泥干化焚烧系统集成装备技术要求</w:t>
      </w:r>
    </w:p>
    <w:bookmarkEnd w:id="57"/>
    <w:p w14:paraId="4F2C0C86">
      <w:pPr>
        <w:adjustRightInd w:val="0"/>
        <w:snapToGrid w:val="0"/>
        <w:spacing w:line="360" w:lineRule="auto"/>
        <w:jc w:val="center"/>
        <w:rPr>
          <w:rFonts w:hint="default" w:ascii="Times New Roman" w:hAnsi="Times New Roman" w:eastAsia="黑体" w:cs="Times New Roman"/>
          <w:b/>
          <w:sz w:val="52"/>
          <w:szCs w:val="52"/>
          <w:highlight w:val="none"/>
          <w:lang w:val="en-US" w:eastAsia="zh-CN"/>
        </w:rPr>
      </w:pPr>
    </w:p>
    <w:p w14:paraId="0E3DDCE8">
      <w:pPr>
        <w:spacing w:line="480" w:lineRule="auto"/>
        <w:jc w:val="center"/>
        <w:rPr>
          <w:rFonts w:hint="default" w:ascii="Times New Roman" w:hAnsi="Times New Roman" w:eastAsia="黑体" w:cs="Times New Roman"/>
          <w:b/>
          <w:sz w:val="52"/>
          <w:szCs w:val="52"/>
          <w:highlight w:val="none"/>
        </w:rPr>
      </w:pPr>
      <w:r>
        <w:rPr>
          <w:rFonts w:hint="default" w:ascii="Times New Roman" w:hAnsi="Times New Roman" w:eastAsia="黑体" w:cs="Times New Roman"/>
          <w:b/>
          <w:sz w:val="52"/>
          <w:szCs w:val="52"/>
          <w:highlight w:val="none"/>
        </w:rPr>
        <w:t>编 制 说 明</w:t>
      </w:r>
    </w:p>
    <w:p w14:paraId="4D8E4317">
      <w:pPr>
        <w:adjustRightInd w:val="0"/>
        <w:snapToGrid w:val="0"/>
        <w:spacing w:line="360" w:lineRule="auto"/>
        <w:rPr>
          <w:rFonts w:hint="default" w:ascii="Times New Roman" w:hAnsi="Times New Roman" w:eastAsia="仿宋" w:cs="Times New Roman"/>
          <w:b/>
          <w:sz w:val="24"/>
          <w:szCs w:val="24"/>
          <w:highlight w:val="none"/>
        </w:rPr>
      </w:pPr>
    </w:p>
    <w:p w14:paraId="7BA44CF7">
      <w:pPr>
        <w:adjustRightInd w:val="0"/>
        <w:snapToGrid w:val="0"/>
        <w:spacing w:line="360" w:lineRule="auto"/>
        <w:rPr>
          <w:rFonts w:hint="default" w:ascii="Times New Roman" w:hAnsi="Times New Roman" w:eastAsia="仿宋" w:cs="Times New Roman"/>
          <w:b/>
          <w:sz w:val="24"/>
          <w:szCs w:val="24"/>
          <w:highlight w:val="none"/>
        </w:rPr>
      </w:pPr>
    </w:p>
    <w:p w14:paraId="2C79E419">
      <w:pPr>
        <w:adjustRightInd w:val="0"/>
        <w:snapToGrid w:val="0"/>
        <w:spacing w:line="360" w:lineRule="auto"/>
        <w:rPr>
          <w:rFonts w:hint="default" w:ascii="Times New Roman" w:hAnsi="Times New Roman" w:eastAsia="仿宋" w:cs="Times New Roman"/>
          <w:b/>
          <w:sz w:val="24"/>
          <w:szCs w:val="24"/>
          <w:highlight w:val="none"/>
        </w:rPr>
      </w:pPr>
    </w:p>
    <w:p w14:paraId="303C045A">
      <w:pPr>
        <w:adjustRightInd w:val="0"/>
        <w:snapToGrid w:val="0"/>
        <w:spacing w:line="360" w:lineRule="auto"/>
        <w:rPr>
          <w:rFonts w:hint="default" w:ascii="Times New Roman" w:hAnsi="Times New Roman" w:eastAsia="仿宋" w:cs="Times New Roman"/>
          <w:b/>
          <w:sz w:val="24"/>
          <w:szCs w:val="24"/>
          <w:highlight w:val="none"/>
        </w:rPr>
      </w:pPr>
    </w:p>
    <w:p w14:paraId="55EC9037">
      <w:pPr>
        <w:adjustRightInd w:val="0"/>
        <w:snapToGrid w:val="0"/>
        <w:spacing w:line="360" w:lineRule="auto"/>
        <w:rPr>
          <w:rFonts w:hint="default" w:ascii="Times New Roman" w:hAnsi="Times New Roman" w:eastAsia="仿宋" w:cs="Times New Roman"/>
          <w:b/>
          <w:sz w:val="24"/>
          <w:szCs w:val="24"/>
          <w:highlight w:val="none"/>
        </w:rPr>
      </w:pPr>
    </w:p>
    <w:p w14:paraId="14AA5CF9">
      <w:pPr>
        <w:adjustRightInd w:val="0"/>
        <w:snapToGrid w:val="0"/>
        <w:spacing w:line="360" w:lineRule="auto"/>
        <w:rPr>
          <w:rFonts w:hint="default" w:ascii="Times New Roman" w:hAnsi="Times New Roman" w:eastAsia="仿宋" w:cs="Times New Roman"/>
          <w:b/>
          <w:sz w:val="24"/>
          <w:szCs w:val="24"/>
          <w:highlight w:val="none"/>
        </w:rPr>
      </w:pPr>
    </w:p>
    <w:p w14:paraId="50B2BD86">
      <w:pPr>
        <w:adjustRightInd w:val="0"/>
        <w:snapToGrid w:val="0"/>
        <w:spacing w:line="360" w:lineRule="auto"/>
        <w:rPr>
          <w:rFonts w:hint="default" w:ascii="Times New Roman" w:hAnsi="Times New Roman" w:eastAsia="仿宋" w:cs="Times New Roman"/>
          <w:b/>
          <w:sz w:val="24"/>
          <w:szCs w:val="24"/>
          <w:highlight w:val="none"/>
        </w:rPr>
      </w:pPr>
    </w:p>
    <w:p w14:paraId="6CA6CF32">
      <w:pPr>
        <w:adjustRightInd w:val="0"/>
        <w:snapToGrid w:val="0"/>
        <w:spacing w:line="360" w:lineRule="auto"/>
        <w:rPr>
          <w:rFonts w:hint="default" w:ascii="Times New Roman" w:hAnsi="Times New Roman" w:eastAsia="仿宋" w:cs="Times New Roman"/>
          <w:b/>
          <w:sz w:val="24"/>
          <w:szCs w:val="24"/>
          <w:highlight w:val="none"/>
        </w:rPr>
      </w:pPr>
    </w:p>
    <w:p w14:paraId="06FE5E09">
      <w:pPr>
        <w:adjustRightInd w:val="0"/>
        <w:snapToGrid w:val="0"/>
        <w:spacing w:line="360" w:lineRule="auto"/>
        <w:rPr>
          <w:rFonts w:hint="default" w:ascii="Times New Roman" w:hAnsi="Times New Roman" w:eastAsia="仿宋" w:cs="Times New Roman"/>
          <w:b/>
          <w:sz w:val="24"/>
          <w:szCs w:val="24"/>
          <w:highlight w:val="none"/>
        </w:rPr>
      </w:pPr>
    </w:p>
    <w:p w14:paraId="4F36805F">
      <w:pPr>
        <w:adjustRightInd w:val="0"/>
        <w:snapToGrid w:val="0"/>
        <w:spacing w:line="360" w:lineRule="auto"/>
        <w:rPr>
          <w:rFonts w:hint="default" w:ascii="Times New Roman" w:hAnsi="Times New Roman" w:eastAsia="仿宋" w:cs="Times New Roman"/>
          <w:b/>
          <w:sz w:val="24"/>
          <w:szCs w:val="24"/>
          <w:highlight w:val="none"/>
        </w:rPr>
      </w:pPr>
    </w:p>
    <w:p w14:paraId="7076EB3E">
      <w:pPr>
        <w:adjustRightInd w:val="0"/>
        <w:snapToGrid w:val="0"/>
        <w:spacing w:line="360" w:lineRule="auto"/>
        <w:rPr>
          <w:rFonts w:hint="default" w:ascii="Times New Roman" w:hAnsi="Times New Roman" w:eastAsia="仿宋" w:cs="Times New Roman"/>
          <w:b/>
          <w:sz w:val="24"/>
          <w:szCs w:val="24"/>
          <w:highlight w:val="none"/>
        </w:rPr>
      </w:pPr>
    </w:p>
    <w:p w14:paraId="2141B276">
      <w:pPr>
        <w:adjustRightInd w:val="0"/>
        <w:snapToGrid w:val="0"/>
        <w:spacing w:line="360" w:lineRule="auto"/>
        <w:rPr>
          <w:rFonts w:hint="default" w:ascii="Times New Roman" w:hAnsi="Times New Roman" w:eastAsia="仿宋" w:cs="Times New Roman"/>
          <w:b/>
          <w:sz w:val="24"/>
          <w:szCs w:val="24"/>
          <w:highlight w:val="none"/>
        </w:rPr>
      </w:pPr>
    </w:p>
    <w:p w14:paraId="0E864088">
      <w:pPr>
        <w:spacing w:line="480" w:lineRule="auto"/>
        <w:jc w:val="center"/>
        <w:rPr>
          <w:rFonts w:hint="default" w:ascii="Times New Roman" w:hAnsi="Times New Roman" w:eastAsia="楷体_GB2312" w:cs="Times New Roman"/>
          <w:b/>
          <w:sz w:val="36"/>
          <w:szCs w:val="36"/>
          <w:highlight w:val="none"/>
        </w:rPr>
      </w:pPr>
      <w:r>
        <w:rPr>
          <w:rFonts w:hint="default" w:ascii="Times New Roman" w:hAnsi="Times New Roman" w:eastAsia="楷体_GB2312" w:cs="Times New Roman"/>
          <w:b/>
          <w:sz w:val="36"/>
          <w:szCs w:val="36"/>
          <w:highlight w:val="none"/>
        </w:rPr>
        <w:t>《</w:t>
      </w:r>
      <w:r>
        <w:rPr>
          <w:rFonts w:hint="default" w:ascii="Times New Roman" w:hAnsi="Times New Roman" w:eastAsia="楷体_GB2312" w:cs="Times New Roman"/>
          <w:b/>
          <w:sz w:val="36"/>
          <w:szCs w:val="36"/>
          <w:highlight w:val="none"/>
          <w:lang w:val="en-US" w:eastAsia="zh-CN"/>
        </w:rPr>
        <w:t>污泥干化焚烧系统集成装备技术要求</w:t>
      </w:r>
      <w:r>
        <w:rPr>
          <w:rFonts w:hint="default" w:ascii="Times New Roman" w:hAnsi="Times New Roman" w:eastAsia="楷体_GB2312" w:cs="Times New Roman"/>
          <w:b/>
          <w:sz w:val="36"/>
          <w:szCs w:val="36"/>
          <w:highlight w:val="none"/>
        </w:rPr>
        <w:t>》</w:t>
      </w:r>
      <w:r>
        <w:rPr>
          <w:rFonts w:hint="default" w:ascii="Times New Roman" w:hAnsi="Times New Roman" w:eastAsia="楷体_GB2312" w:cs="Times New Roman"/>
          <w:b/>
          <w:sz w:val="36"/>
          <w:szCs w:val="36"/>
          <w:highlight w:val="none"/>
        </w:rPr>
        <w:t>小组</w:t>
      </w:r>
    </w:p>
    <w:p w14:paraId="4C09E430">
      <w:pPr>
        <w:spacing w:line="360" w:lineRule="auto"/>
        <w:jc w:val="center"/>
        <w:rPr>
          <w:rFonts w:hint="default" w:ascii="Times New Roman" w:hAnsi="Times New Roman" w:eastAsia="楷体_GB2312" w:cs="Times New Roman"/>
          <w:b/>
          <w:sz w:val="36"/>
          <w:szCs w:val="36"/>
          <w:highlight w:val="none"/>
        </w:rPr>
      </w:pPr>
      <w:r>
        <w:rPr>
          <w:rFonts w:hint="default" w:ascii="Times New Roman" w:hAnsi="Times New Roman" w:eastAsia="楷体_GB2312" w:cs="Times New Roman"/>
          <w:b/>
          <w:sz w:val="36"/>
          <w:szCs w:val="36"/>
          <w:highlight w:val="none"/>
        </w:rPr>
        <w:t>二</w:t>
      </w:r>
      <w:r>
        <w:rPr>
          <w:rFonts w:hint="default" w:ascii="Times New Roman" w:hAnsi="Times New Roman" w:eastAsia="楷体_GB2312" w:cs="Times New Roman"/>
          <w:b/>
          <w:sz w:val="36"/>
          <w:szCs w:val="36"/>
          <w:highlight w:val="none"/>
          <w:lang w:val="en-US" w:eastAsia="zh-CN"/>
        </w:rPr>
        <w:t>〇</w:t>
      </w:r>
      <w:r>
        <w:rPr>
          <w:rFonts w:hint="default" w:ascii="Times New Roman" w:hAnsi="Times New Roman" w:eastAsia="楷体_GB2312" w:cs="Times New Roman"/>
          <w:b/>
          <w:sz w:val="36"/>
          <w:szCs w:val="36"/>
          <w:highlight w:val="none"/>
        </w:rPr>
        <w:t>二</w:t>
      </w:r>
      <w:r>
        <w:rPr>
          <w:rFonts w:hint="default" w:ascii="Times New Roman" w:hAnsi="Times New Roman" w:eastAsia="楷体_GB2312" w:cs="Times New Roman"/>
          <w:b/>
          <w:sz w:val="36"/>
          <w:szCs w:val="36"/>
          <w:highlight w:val="none"/>
          <w:lang w:val="en-US" w:eastAsia="zh-CN"/>
        </w:rPr>
        <w:t>五</w:t>
      </w:r>
      <w:r>
        <w:rPr>
          <w:rFonts w:hint="default" w:ascii="Times New Roman" w:hAnsi="Times New Roman" w:eastAsia="楷体_GB2312" w:cs="Times New Roman"/>
          <w:b/>
          <w:sz w:val="36"/>
          <w:szCs w:val="36"/>
          <w:highlight w:val="none"/>
        </w:rPr>
        <w:t>年</w:t>
      </w:r>
      <w:r>
        <w:rPr>
          <w:rFonts w:hint="default" w:ascii="Times New Roman" w:hAnsi="Times New Roman" w:eastAsia="楷体_GB2312" w:cs="Times New Roman"/>
          <w:b/>
          <w:sz w:val="36"/>
          <w:szCs w:val="36"/>
          <w:highlight w:val="none"/>
          <w:lang w:val="en-US" w:eastAsia="zh-CN"/>
        </w:rPr>
        <w:t>七</w:t>
      </w:r>
      <w:r>
        <w:rPr>
          <w:rFonts w:hint="default" w:ascii="Times New Roman" w:hAnsi="Times New Roman" w:eastAsia="楷体_GB2312" w:cs="Times New Roman"/>
          <w:b/>
          <w:sz w:val="36"/>
          <w:szCs w:val="36"/>
          <w:highlight w:val="none"/>
        </w:rPr>
        <w:t>月</w:t>
      </w:r>
    </w:p>
    <w:p w14:paraId="6AF7A759">
      <w:pPr>
        <w:spacing w:line="360" w:lineRule="auto"/>
        <w:jc w:val="center"/>
        <w:rPr>
          <w:rFonts w:hint="default" w:ascii="Times New Roman" w:hAnsi="Times New Roman" w:eastAsia="楷体_GB2312" w:cs="Times New Roman"/>
          <w:b/>
          <w:sz w:val="36"/>
          <w:szCs w:val="36"/>
          <w:highlight w:val="none"/>
        </w:rPr>
      </w:pPr>
    </w:p>
    <w:p w14:paraId="21C44583">
      <w:pPr>
        <w:spacing w:line="360" w:lineRule="auto"/>
        <w:jc w:val="center"/>
        <w:rPr>
          <w:rFonts w:hint="default" w:ascii="Times New Roman" w:hAnsi="Times New Roman" w:eastAsia="黑体" w:cs="Times New Roman"/>
          <w:sz w:val="36"/>
          <w:szCs w:val="36"/>
          <w:highlight w:val="none"/>
        </w:rPr>
        <w:sectPr>
          <w:pgSz w:w="11906" w:h="16838"/>
          <w:pgMar w:top="1418" w:right="1418" w:bottom="1985" w:left="1797" w:header="851" w:footer="992" w:gutter="0"/>
          <w:cols w:space="425" w:num="1"/>
          <w:docGrid w:linePitch="312" w:charSpace="0"/>
        </w:sectPr>
      </w:pPr>
    </w:p>
    <w:sdt>
      <w:sdtPr>
        <w:rPr>
          <w:rFonts w:hint="default" w:ascii="Times New Roman" w:hAnsi="Times New Roman" w:eastAsia="黑体" w:cs="Times New Roman"/>
          <w:kern w:val="2"/>
          <w:sz w:val="44"/>
          <w:szCs w:val="48"/>
          <w:highlight w:val="none"/>
          <w:lang w:val="en-US" w:eastAsia="zh-CN" w:bidi="ar-SA"/>
        </w:rPr>
        <w:id w:val="147469836"/>
        <w15:color w:val="DBDBDB"/>
        <w:docPartObj>
          <w:docPartGallery w:val="Table of Contents"/>
          <w:docPartUnique/>
        </w:docPartObj>
      </w:sdtPr>
      <w:sdtEndPr>
        <w:rPr>
          <w:rFonts w:hint="default" w:ascii="Times New Roman" w:hAnsi="Times New Roman" w:eastAsia="黑体" w:cs="Times New Roman"/>
          <w:kern w:val="2"/>
          <w:sz w:val="21"/>
          <w:szCs w:val="36"/>
          <w:highlight w:val="none"/>
          <w:lang w:val="en-US" w:eastAsia="zh-CN" w:bidi="ar-SA"/>
        </w:rPr>
      </w:sdtEndPr>
      <w:sdtContent>
        <w:p w14:paraId="4E658B3B">
          <w:pPr>
            <w:keepNext w:val="0"/>
            <w:keepLines w:val="0"/>
            <w:pageBreakBefore w:val="0"/>
            <w:widowControl w:val="0"/>
            <w:kinsoku/>
            <w:wordWrap/>
            <w:overflowPunct/>
            <w:topLinePunct w:val="0"/>
            <w:autoSpaceDE/>
            <w:autoSpaceDN/>
            <w:bidi w:val="0"/>
            <w:adjustRightInd/>
            <w:snapToGrid/>
            <w:spacing w:before="625" w:beforeLines="200" w:after="625" w:afterLines="200" w:line="240" w:lineRule="auto"/>
            <w:ind w:left="0" w:leftChars="0" w:right="0" w:rightChars="0" w:firstLine="0" w:firstLineChars="0"/>
            <w:jc w:val="center"/>
            <w:textAlignment w:val="auto"/>
            <w:rPr>
              <w:rFonts w:hint="default" w:ascii="Times New Roman" w:hAnsi="Times New Roman" w:eastAsia="黑体" w:cs="Times New Roman"/>
              <w:sz w:val="44"/>
              <w:szCs w:val="48"/>
              <w:highlight w:val="none"/>
            </w:rPr>
          </w:pPr>
          <w:r>
            <w:rPr>
              <w:rFonts w:hint="default" w:ascii="Times New Roman" w:hAnsi="Times New Roman" w:eastAsia="黑体" w:cs="Times New Roman"/>
              <w:sz w:val="44"/>
              <w:szCs w:val="48"/>
              <w:highlight w:val="none"/>
            </w:rPr>
            <w:t>目</w:t>
          </w:r>
          <w:r>
            <w:rPr>
              <w:rFonts w:hint="default" w:ascii="Times New Roman" w:hAnsi="Times New Roman" w:eastAsia="黑体" w:cs="Times New Roman"/>
              <w:sz w:val="44"/>
              <w:szCs w:val="48"/>
              <w:highlight w:val="none"/>
              <w:lang w:val="en-US" w:eastAsia="zh-CN"/>
            </w:rPr>
            <w:t xml:space="preserve">  </w:t>
          </w:r>
          <w:r>
            <w:rPr>
              <w:rFonts w:hint="default" w:ascii="Times New Roman" w:hAnsi="Times New Roman" w:eastAsia="黑体" w:cs="Times New Roman"/>
              <w:sz w:val="44"/>
              <w:szCs w:val="48"/>
              <w:highlight w:val="none"/>
            </w:rPr>
            <w:t>录</w:t>
          </w:r>
        </w:p>
        <w:p w14:paraId="23785532">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32"/>
              <w:szCs w:val="32"/>
              <w:highlight w:val="none"/>
            </w:rPr>
            <w:fldChar w:fldCharType="begin"/>
          </w:r>
          <w:r>
            <w:rPr>
              <w:rFonts w:hint="default" w:ascii="Times New Roman" w:hAnsi="Times New Roman" w:eastAsia="黑体" w:cs="Times New Roman"/>
              <w:sz w:val="32"/>
              <w:szCs w:val="32"/>
              <w:highlight w:val="none"/>
            </w:rPr>
            <w:instrText xml:space="preserve">TOC \o "1-1" \h \u </w:instrText>
          </w:r>
          <w:r>
            <w:rPr>
              <w:rFonts w:hint="default" w:ascii="Times New Roman" w:hAnsi="Times New Roman" w:eastAsia="黑体" w:cs="Times New Roman"/>
              <w:sz w:val="32"/>
              <w:szCs w:val="32"/>
              <w:highlight w:val="none"/>
            </w:rPr>
            <w:fldChar w:fldCharType="separate"/>
          </w: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_Toc19956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sz w:val="28"/>
              <w:szCs w:val="40"/>
              <w:highlight w:val="none"/>
              <w:lang w:val="en-US" w:eastAsia="zh-CN"/>
            </w:rPr>
            <w:t>一</w:t>
          </w:r>
          <w:r>
            <w:rPr>
              <w:rFonts w:hint="default" w:ascii="Times New Roman" w:hAnsi="Times New Roman" w:eastAsia="黑体" w:cs="Times New Roman"/>
              <w:sz w:val="28"/>
              <w:szCs w:val="40"/>
              <w:highlight w:val="none"/>
            </w:rPr>
            <w:t>、工作简况</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_Toc19956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6A433D9B">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_Toc16067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sz w:val="28"/>
              <w:szCs w:val="40"/>
              <w:highlight w:val="none"/>
              <w:lang w:val="en-US" w:eastAsia="zh-CN"/>
            </w:rPr>
            <w:t>二</w:t>
          </w:r>
          <w:r>
            <w:rPr>
              <w:rFonts w:hint="default" w:ascii="Times New Roman" w:hAnsi="Times New Roman" w:eastAsia="黑体" w:cs="Times New Roman"/>
              <w:sz w:val="28"/>
              <w:szCs w:val="40"/>
              <w:highlight w:val="none"/>
            </w:rPr>
            <w:t>、标准编制原则</w:t>
          </w:r>
          <w:r>
            <w:rPr>
              <w:rFonts w:hint="default" w:ascii="Times New Roman" w:hAnsi="Times New Roman" w:eastAsia="黑体" w:cs="Times New Roman"/>
              <w:sz w:val="28"/>
              <w:szCs w:val="40"/>
              <w:highlight w:val="none"/>
              <w:lang w:val="en-US" w:eastAsia="zh-CN"/>
            </w:rPr>
            <w:t>和</w:t>
          </w:r>
          <w:r>
            <w:rPr>
              <w:rFonts w:hint="default" w:ascii="Times New Roman" w:hAnsi="Times New Roman" w:eastAsia="黑体" w:cs="Times New Roman"/>
              <w:sz w:val="28"/>
              <w:szCs w:val="40"/>
              <w:highlight w:val="none"/>
            </w:rPr>
            <w:t>主要内容</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_Toc16067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3</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8900774">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_Toc12675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三</w:t>
          </w:r>
          <w:r>
            <w:rPr>
              <w:rFonts w:hint="default" w:ascii="Times New Roman" w:hAnsi="Times New Roman" w:eastAsia="黑体" w:cs="Times New Roman"/>
              <w:kern w:val="0"/>
              <w:sz w:val="28"/>
              <w:szCs w:val="40"/>
              <w:highlight w:val="none"/>
            </w:rPr>
            <w:t>、主要试验</w:t>
          </w:r>
          <w:r>
            <w:rPr>
              <w:rFonts w:hint="default" w:ascii="Times New Roman" w:hAnsi="Times New Roman" w:eastAsia="黑体" w:cs="Times New Roman"/>
              <w:kern w:val="0"/>
              <w:sz w:val="28"/>
              <w:szCs w:val="40"/>
              <w:highlight w:val="none"/>
              <w:lang w:val="en-US" w:eastAsia="zh-CN"/>
            </w:rPr>
            <w:t>和情况分析</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_Toc12675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16</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6B131241">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_Toc20840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四</w:t>
          </w:r>
          <w:r>
            <w:rPr>
              <w:rFonts w:hint="default" w:ascii="Times New Roman" w:hAnsi="Times New Roman" w:eastAsia="黑体" w:cs="Times New Roman"/>
              <w:kern w:val="0"/>
              <w:sz w:val="28"/>
              <w:szCs w:val="40"/>
              <w:highlight w:val="none"/>
            </w:rPr>
            <w:t>、</w:t>
          </w:r>
          <w:r>
            <w:rPr>
              <w:rFonts w:hint="default" w:ascii="Times New Roman" w:hAnsi="Times New Roman" w:eastAsia="黑体" w:cs="Times New Roman"/>
              <w:kern w:val="0"/>
              <w:sz w:val="28"/>
              <w:szCs w:val="40"/>
              <w:highlight w:val="none"/>
              <w:lang w:val="en-US" w:eastAsia="zh-CN"/>
            </w:rPr>
            <w:t>标准中涉及专利的情况</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_Toc20840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18</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F79DEA1">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_Toc29243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五</w:t>
          </w:r>
          <w:r>
            <w:rPr>
              <w:rFonts w:hint="default" w:ascii="Times New Roman" w:hAnsi="Times New Roman" w:eastAsia="黑体" w:cs="Times New Roman"/>
              <w:kern w:val="0"/>
              <w:sz w:val="28"/>
              <w:szCs w:val="40"/>
              <w:highlight w:val="none"/>
            </w:rPr>
            <w:t>、</w:t>
          </w:r>
          <w:r>
            <w:rPr>
              <w:rFonts w:hint="default" w:ascii="Times New Roman" w:hAnsi="Times New Roman" w:eastAsia="黑体" w:cs="Times New Roman"/>
              <w:kern w:val="0"/>
              <w:sz w:val="28"/>
              <w:szCs w:val="40"/>
              <w:highlight w:val="none"/>
              <w:lang w:val="en-US" w:eastAsia="zh-CN"/>
            </w:rPr>
            <w:t>预期达到的效益（经济、效益、生态等），对产业发展的作用的情况</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_Toc29243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18</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4D15F062">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_Toc4979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六</w:t>
          </w:r>
          <w:r>
            <w:rPr>
              <w:rFonts w:hint="default" w:ascii="Times New Roman" w:hAnsi="Times New Roman" w:eastAsia="黑体" w:cs="Times New Roman"/>
              <w:kern w:val="0"/>
              <w:sz w:val="28"/>
              <w:szCs w:val="40"/>
              <w:highlight w:val="none"/>
            </w:rPr>
            <w:t>、与有关的现行法律、法规和强制性国家标准的关系</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_Toc4979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18</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CDAD3F3">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_Toc21799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七</w:t>
          </w:r>
          <w:r>
            <w:rPr>
              <w:rFonts w:hint="default" w:ascii="Times New Roman" w:hAnsi="Times New Roman" w:eastAsia="黑体" w:cs="Times New Roman"/>
              <w:kern w:val="0"/>
              <w:sz w:val="28"/>
              <w:szCs w:val="40"/>
              <w:highlight w:val="none"/>
            </w:rPr>
            <w:t>、重大意见分歧的处理依据和结果</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_Toc21799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18</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1BDAFF3D">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_Toc20135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八</w:t>
          </w:r>
          <w:r>
            <w:rPr>
              <w:rFonts w:hint="default" w:ascii="Times New Roman" w:hAnsi="Times New Roman" w:eastAsia="黑体" w:cs="Times New Roman"/>
              <w:kern w:val="0"/>
              <w:sz w:val="28"/>
              <w:szCs w:val="40"/>
              <w:highlight w:val="none"/>
            </w:rPr>
            <w:t>、标准性质的建议说明</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_Toc20135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18</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1BF4DDAC">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_Toc23106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九</w:t>
          </w:r>
          <w:r>
            <w:rPr>
              <w:rFonts w:hint="default" w:ascii="Times New Roman" w:hAnsi="Times New Roman" w:eastAsia="黑体" w:cs="Times New Roman"/>
              <w:kern w:val="0"/>
              <w:sz w:val="28"/>
              <w:szCs w:val="40"/>
              <w:highlight w:val="none"/>
            </w:rPr>
            <w:t>、贯彻标准的要求和措施建议</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_Toc23106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18</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03A366CD">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_Toc29517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十</w:t>
          </w:r>
          <w:r>
            <w:rPr>
              <w:rFonts w:hint="default" w:ascii="Times New Roman" w:hAnsi="Times New Roman" w:eastAsia="黑体" w:cs="Times New Roman"/>
              <w:kern w:val="0"/>
              <w:sz w:val="28"/>
              <w:szCs w:val="40"/>
              <w:highlight w:val="none"/>
            </w:rPr>
            <w:t>、废止现行相关标准的建议</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_Toc29517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18</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AD6DE72">
          <w:pPr>
            <w:pStyle w:val="10"/>
            <w:tabs>
              <w:tab w:val="right" w:leader="dot" w:pos="8691"/>
            </w:tabs>
            <w:spacing w:line="480" w:lineRule="auto"/>
            <w:rPr>
              <w:rFonts w:hint="default" w:ascii="Times New Roman" w:hAnsi="Times New Roman" w:eastAsia="黑体" w:cs="Times New Roman"/>
              <w:sz w:val="36"/>
              <w:szCs w:val="36"/>
              <w:highlight w:val="none"/>
            </w:rPr>
            <w:sectPr>
              <w:footerReference r:id="rId3" w:type="default"/>
              <w:pgSz w:w="11906" w:h="16838"/>
              <w:pgMar w:top="1418" w:right="1418" w:bottom="1985" w:left="1797" w:header="851" w:footer="992" w:gutter="0"/>
              <w:pgNumType w:start="1"/>
              <w:cols w:space="425" w:num="1"/>
              <w:docGrid w:linePitch="312" w:charSpace="0"/>
            </w:sect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_Toc18435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十一</w:t>
          </w:r>
          <w:r>
            <w:rPr>
              <w:rFonts w:hint="default" w:ascii="Times New Roman" w:hAnsi="Times New Roman" w:eastAsia="黑体" w:cs="Times New Roman"/>
              <w:kern w:val="0"/>
              <w:sz w:val="28"/>
              <w:szCs w:val="40"/>
              <w:highlight w:val="none"/>
            </w:rPr>
            <w:t>、其他应予说明的事项</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_Toc18435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18</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r>
            <w:rPr>
              <w:rFonts w:hint="default" w:ascii="Times New Roman" w:hAnsi="Times New Roman" w:eastAsia="黑体" w:cs="Times New Roman"/>
              <w:szCs w:val="32"/>
              <w:highlight w:val="none"/>
            </w:rPr>
            <w:fldChar w:fldCharType="end"/>
          </w:r>
        </w:p>
      </w:sdtContent>
    </w:sdt>
    <w:p w14:paraId="7FFE914C">
      <w:pPr>
        <w:spacing w:line="360" w:lineRule="auto"/>
        <w:jc w:val="center"/>
        <w:outlineLvl w:val="1"/>
        <w:rPr>
          <w:rFonts w:hint="default" w:ascii="Times New Roman" w:hAnsi="Times New Roman" w:eastAsia="黑体" w:cs="Times New Roman"/>
          <w:b/>
          <w:sz w:val="36"/>
          <w:szCs w:val="36"/>
          <w:highlight w:val="none"/>
        </w:rPr>
      </w:pPr>
      <w:r>
        <w:rPr>
          <w:rFonts w:hint="default" w:ascii="Times New Roman" w:hAnsi="Times New Roman" w:eastAsia="黑体" w:cs="Times New Roman"/>
          <w:b/>
          <w:sz w:val="36"/>
          <w:szCs w:val="36"/>
          <w:highlight w:val="none"/>
        </w:rPr>
        <w:t>《</w:t>
      </w:r>
      <w:r>
        <w:rPr>
          <w:rFonts w:hint="default" w:ascii="Times New Roman" w:hAnsi="Times New Roman" w:eastAsia="黑体" w:cs="Times New Roman"/>
          <w:b/>
          <w:sz w:val="36"/>
          <w:szCs w:val="36"/>
          <w:highlight w:val="none"/>
          <w:lang w:val="en-US" w:eastAsia="zh-CN"/>
        </w:rPr>
        <w:t>污泥干化焚烧系统集成装备技术要求</w:t>
      </w:r>
      <w:r>
        <w:rPr>
          <w:rFonts w:hint="default" w:ascii="Times New Roman" w:hAnsi="Times New Roman" w:eastAsia="黑体" w:cs="Times New Roman"/>
          <w:b/>
          <w:sz w:val="36"/>
          <w:szCs w:val="36"/>
          <w:highlight w:val="none"/>
        </w:rPr>
        <w:t>》团体标准</w:t>
      </w:r>
    </w:p>
    <w:p w14:paraId="238FC466">
      <w:pPr>
        <w:spacing w:line="360" w:lineRule="auto"/>
        <w:jc w:val="center"/>
        <w:outlineLvl w:val="1"/>
        <w:rPr>
          <w:rFonts w:hint="default" w:ascii="Times New Roman" w:hAnsi="Times New Roman" w:eastAsia="黑体" w:cs="Times New Roman"/>
          <w:b/>
          <w:sz w:val="36"/>
          <w:szCs w:val="36"/>
          <w:highlight w:val="none"/>
        </w:rPr>
      </w:pPr>
      <w:r>
        <w:rPr>
          <w:rFonts w:hint="default" w:ascii="Times New Roman" w:hAnsi="Times New Roman" w:eastAsia="黑体" w:cs="Times New Roman"/>
          <w:b/>
          <w:sz w:val="36"/>
          <w:szCs w:val="36"/>
          <w:highlight w:val="none"/>
        </w:rPr>
        <w:t>编制说明</w:t>
      </w:r>
    </w:p>
    <w:p w14:paraId="32BB7899">
      <w:pPr>
        <w:spacing w:line="360" w:lineRule="auto"/>
        <w:outlineLvl w:val="0"/>
        <w:rPr>
          <w:rFonts w:hint="default" w:ascii="Times New Roman" w:hAnsi="Times New Roman" w:eastAsia="黑体" w:cs="Times New Roman"/>
          <w:b/>
          <w:color w:val="000000" w:themeColor="text1"/>
          <w:sz w:val="30"/>
          <w:szCs w:val="30"/>
          <w:highlight w:val="none"/>
        </w:rPr>
      </w:pPr>
      <w:bookmarkStart w:id="0" w:name="_Toc19956"/>
      <w:r>
        <w:rPr>
          <w:rFonts w:hint="default" w:ascii="Times New Roman" w:hAnsi="Times New Roman" w:eastAsia="黑体" w:cs="Times New Roman"/>
          <w:b/>
          <w:sz w:val="30"/>
          <w:szCs w:val="30"/>
          <w:highlight w:val="none"/>
          <w:lang w:val="en-US" w:eastAsia="zh-CN"/>
        </w:rPr>
        <w:t>一</w:t>
      </w:r>
      <w:r>
        <w:rPr>
          <w:rFonts w:hint="default" w:ascii="Times New Roman" w:hAnsi="Times New Roman" w:eastAsia="黑体" w:cs="Times New Roman"/>
          <w:b/>
          <w:sz w:val="30"/>
          <w:szCs w:val="30"/>
          <w:highlight w:val="none"/>
        </w:rPr>
        <w:t>、工作简况</w:t>
      </w:r>
      <w:bookmarkEnd w:id="0"/>
    </w:p>
    <w:p w14:paraId="4153ABEE">
      <w:pPr>
        <w:spacing w:line="360" w:lineRule="auto"/>
        <w:outlineLvl w:val="2"/>
        <w:rPr>
          <w:rFonts w:hint="default" w:ascii="Times New Roman" w:hAnsi="Times New Roman" w:cs="Times New Roman"/>
          <w:b/>
          <w:color w:val="000000" w:themeColor="text1"/>
          <w:sz w:val="28"/>
          <w:szCs w:val="28"/>
          <w:highlight w:val="none"/>
        </w:rPr>
      </w:pP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lang w:val="en-US" w:eastAsia="zh-CN"/>
        </w:rPr>
        <w:t>一</w:t>
      </w: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rPr>
        <w:t>任务来源</w:t>
      </w:r>
    </w:p>
    <w:p w14:paraId="584DD24C">
      <w:pPr>
        <w:snapToGrid w:val="0"/>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随着城市化进程加速与工业快速发展，污水处理量大幅增加，污泥作为污水处理的副产物，产量也急剧攀升。污泥含有大量水分、病原体、重金属及有机污染物等，若处理不当，极易引发二次污染，对生态环境和人体健康构成严重威胁。传统的污泥处理方式，如填埋、堆肥等，存在占地面积大、处理周期长、易产生渗滤液及恶臭等弊端。在此背景下，污泥干化焚烧技术凭借其减量化、无害化和资源化的显著优势，成为污泥处理领域的研究热点。然而，污泥干化焚烧系统集成装备技术在应用过程中面临诸多挑战。在技术层面，污泥的成分复杂多变，不同来源的污泥含水率、热值等差异较大，导致干化焚烧过程的稳定性难以保证，易出现干化不彻底、焚烧不充分等问题，影响处理效果和能源利用效率。同时，干化焚烧过程中产生的废气、废渣等污染物处理难度大，若处理不当，会造成二次污染。在装备方面，现有集成装备的自动化程度较低，运行维护成本高，且部分关键设备依赖进口，存在技术壁垒和成本压力。此外，系统整体的协同性和优化程度不足，各环节之间的衔接不够顺畅，导致整体运行效率不高，限制了该技术的大规模推广应用。</w:t>
      </w:r>
    </w:p>
    <w:p w14:paraId="44349C4E">
      <w:pPr>
        <w:snapToGrid w:val="0"/>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因此，开展开发污泥干化焚烧系统集成装备标准的研制。污泥干化焚烧系统集成装备技术的研究与应用具有重大意义。从环境效益来看，该技术能够高效地实现污泥的减量化和无害化处理，有效减少污泥对土壤、水体和空气的污染，改善生态环境质量。通过先进的污染物控制技术，可大幅降低废气、废渣的排放，符合国家严格的环保标准。在经济层面，污泥干化焚烧过程中产生的热能可进行回收利用，用于发电或供热，实现能源的循环利用，降低企业的能源成本。同时，该技术的推广应用有助于推动相关环保产业的发展，创造新的经济增长点。从社会效益角度而言，解决污泥处理难题有助于提升城市的环境卫生水平，保障居民的身体健康，促进社会的和谐稳定发展，为建设资源节约型、环境友好型社会提供有力支撑。</w:t>
      </w:r>
    </w:p>
    <w:p w14:paraId="35E0E561">
      <w:pPr>
        <w:spacing w:line="360" w:lineRule="auto"/>
        <w:outlineLvl w:val="2"/>
        <w:rPr>
          <w:rFonts w:hint="default" w:ascii="Times New Roman" w:hAnsi="Times New Roman" w:cs="Times New Roman"/>
          <w:b/>
          <w:color w:val="000000" w:themeColor="text1"/>
          <w:sz w:val="28"/>
          <w:szCs w:val="28"/>
          <w:highlight w:val="none"/>
          <w:lang w:val="en-US" w:eastAsia="zh-CN"/>
        </w:rPr>
      </w:pP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lang w:val="en-US" w:eastAsia="zh-CN"/>
        </w:rPr>
        <w:t>二</w:t>
      </w: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lang w:val="en-US" w:eastAsia="zh-CN"/>
        </w:rPr>
        <w:t>编制过程</w:t>
      </w:r>
    </w:p>
    <w:p w14:paraId="52851B2D">
      <w:pPr>
        <w:snapToGrid w:val="0"/>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为使本标准在</w:t>
      </w:r>
      <w:r>
        <w:rPr>
          <w:rFonts w:hint="default" w:ascii="Times New Roman" w:hAnsi="Times New Roman" w:cs="Times New Roman"/>
          <w:kern w:val="0"/>
          <w:sz w:val="28"/>
          <w:szCs w:val="28"/>
          <w:highlight w:val="none"/>
          <w:lang w:eastAsia="zh-CN"/>
        </w:rPr>
        <w:t>污泥干化</w:t>
      </w:r>
      <w:r>
        <w:rPr>
          <w:rFonts w:hint="default" w:ascii="Times New Roman" w:hAnsi="Times New Roman" w:cs="Times New Roman"/>
          <w:kern w:val="0"/>
          <w:sz w:val="28"/>
          <w:szCs w:val="28"/>
          <w:highlight w:val="none"/>
        </w:rPr>
        <w:t>市</w:t>
      </w:r>
      <w:r>
        <w:rPr>
          <w:rFonts w:hint="default" w:ascii="Times New Roman" w:hAnsi="Times New Roman" w:cs="Times New Roman"/>
          <w:kern w:val="0"/>
          <w:sz w:val="28"/>
          <w:szCs w:val="28"/>
          <w:highlight w:val="none"/>
        </w:rPr>
        <w:t>场管理工作中起到规范信息化管理作用，标准起草工作组力求科学性、可操作性，以科学、谨慎的态度，在对我国现有</w:t>
      </w:r>
      <w:r>
        <w:rPr>
          <w:rFonts w:hint="default" w:ascii="Times New Roman" w:hAnsi="Times New Roman" w:cs="Times New Roman"/>
          <w:kern w:val="0"/>
          <w:sz w:val="28"/>
          <w:szCs w:val="28"/>
          <w:highlight w:val="none"/>
          <w:lang w:eastAsia="zh-CN"/>
        </w:rPr>
        <w:t>污泥干化</w:t>
      </w:r>
      <w:r>
        <w:rPr>
          <w:rFonts w:hint="default" w:ascii="Times New Roman" w:hAnsi="Times New Roman" w:cs="Times New Roman"/>
          <w:kern w:val="0"/>
          <w:sz w:val="28"/>
          <w:szCs w:val="28"/>
          <w:highlight w:val="none"/>
        </w:rPr>
        <w:t>市</w:t>
      </w:r>
      <w:r>
        <w:rPr>
          <w:rFonts w:hint="default" w:ascii="Times New Roman" w:hAnsi="Times New Roman" w:cs="Times New Roman"/>
          <w:kern w:val="0"/>
          <w:sz w:val="28"/>
          <w:szCs w:val="28"/>
          <w:highlight w:val="none"/>
        </w:rPr>
        <w:t>场相关管理服务体系文件、模式基础上，经过综合分析、充分验证资料、反复讨论研究和修改，最终确定了本标准的主要内容。</w:t>
      </w:r>
    </w:p>
    <w:p w14:paraId="66ADFB06">
      <w:pPr>
        <w:snapToGrid w:val="0"/>
        <w:spacing w:line="360" w:lineRule="auto"/>
        <w:ind w:firstLine="560" w:firstLineChars="200"/>
        <w:rPr>
          <w:rFonts w:hint="default" w:ascii="Times New Roman" w:hAnsi="Times New Roman" w:cs="Times New Roman" w:eastAsiaTheme="minorEastAsia"/>
          <w:kern w:val="0"/>
          <w:sz w:val="28"/>
          <w:szCs w:val="28"/>
          <w:highlight w:val="none"/>
          <w:lang w:eastAsia="zh-CN"/>
        </w:rPr>
      </w:pPr>
      <w:r>
        <w:rPr>
          <w:rFonts w:hint="default" w:ascii="Times New Roman" w:hAnsi="Times New Roman" w:cs="Times New Roman"/>
          <w:kern w:val="0"/>
          <w:sz w:val="28"/>
          <w:szCs w:val="28"/>
          <w:highlight w:val="none"/>
        </w:rPr>
        <w:t>标准起草工作组在标准起草期间主要开展工作情况如下</w:t>
      </w:r>
      <w:r>
        <w:rPr>
          <w:rFonts w:hint="default" w:ascii="Times New Roman" w:hAnsi="Times New Roman" w:cs="Times New Roman"/>
          <w:kern w:val="0"/>
          <w:sz w:val="28"/>
          <w:szCs w:val="28"/>
          <w:highlight w:val="none"/>
          <w:lang w:eastAsia="zh-CN"/>
        </w:rPr>
        <w:t>：</w:t>
      </w:r>
    </w:p>
    <w:p w14:paraId="48C5CE5B">
      <w:pPr>
        <w:snapToGrid w:val="0"/>
        <w:spacing w:line="360" w:lineRule="auto"/>
        <w:rPr>
          <w:rFonts w:hint="default" w:ascii="Times New Roman" w:hAnsi="Times New Roman" w:cs="Times New Roman"/>
          <w:b/>
          <w:bCs/>
          <w:kern w:val="0"/>
          <w:sz w:val="28"/>
          <w:szCs w:val="28"/>
          <w:highlight w:val="none"/>
          <w:lang w:val="en-US" w:eastAsia="zh-CN"/>
        </w:rPr>
      </w:pPr>
      <w:r>
        <w:rPr>
          <w:rFonts w:hint="default" w:ascii="Times New Roman" w:hAnsi="Times New Roman" w:cs="Times New Roman"/>
          <w:b/>
          <w:bCs/>
          <w:kern w:val="0"/>
          <w:sz w:val="28"/>
          <w:szCs w:val="28"/>
          <w:highlight w:val="none"/>
          <w:lang w:val="en-US" w:eastAsia="zh-CN"/>
        </w:rPr>
        <w:t>1、项目立项及理论研究阶段</w:t>
      </w:r>
    </w:p>
    <w:p w14:paraId="7812F042">
      <w:pPr>
        <w:snapToGrid w:val="0"/>
        <w:spacing w:line="360" w:lineRule="auto"/>
        <w:ind w:firstLine="560" w:firstLineChars="200"/>
        <w:rPr>
          <w:rFonts w:hint="default" w:ascii="Times New Roman" w:hAnsi="Times New Roman" w:cs="Times New Roman"/>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标准起草组成立伊始就对国内外</w:t>
      </w:r>
      <w:r>
        <w:rPr>
          <w:rFonts w:hint="default" w:ascii="Times New Roman" w:hAnsi="Times New Roman" w:cs="Times New Roman"/>
          <w:kern w:val="0"/>
          <w:sz w:val="28"/>
          <w:szCs w:val="28"/>
          <w:highlight w:val="none"/>
          <w:lang w:val="en-US" w:eastAsia="zh-CN"/>
        </w:rPr>
        <w:t>污泥干化</w:t>
      </w:r>
      <w:r>
        <w:rPr>
          <w:rFonts w:hint="default" w:ascii="Times New Roman" w:hAnsi="Times New Roman" w:cs="Times New Roman"/>
          <w:kern w:val="0"/>
          <w:sz w:val="28"/>
          <w:szCs w:val="28"/>
          <w:highlight w:val="none"/>
          <w:lang w:val="en-US" w:eastAsia="zh-CN"/>
        </w:rPr>
        <w:t>相</w:t>
      </w:r>
      <w:r>
        <w:rPr>
          <w:rFonts w:hint="default" w:ascii="Times New Roman" w:hAnsi="Times New Roman" w:cs="Times New Roman"/>
          <w:kern w:val="0"/>
          <w:sz w:val="28"/>
          <w:szCs w:val="28"/>
          <w:highlight w:val="none"/>
          <w:lang w:val="en-US" w:eastAsia="zh-CN"/>
        </w:rPr>
        <w:t>关情况进行了深入的调查研究，同时广泛搜集相关标准和国外技术资料，进行了大量的研究分析、资料查证工作，确定了</w:t>
      </w:r>
      <w:r>
        <w:rPr>
          <w:rFonts w:hint="default" w:ascii="Times New Roman" w:hAnsi="Times New Roman" w:cs="Times New Roman"/>
          <w:kern w:val="0"/>
          <w:sz w:val="28"/>
          <w:szCs w:val="28"/>
          <w:highlight w:val="none"/>
          <w:lang w:val="en-US" w:eastAsia="zh-CN"/>
        </w:rPr>
        <w:t>污泥干化</w:t>
      </w:r>
      <w:r>
        <w:rPr>
          <w:rFonts w:hint="default" w:ascii="Times New Roman" w:hAnsi="Times New Roman" w:cs="Times New Roman"/>
          <w:kern w:val="0"/>
          <w:sz w:val="28"/>
          <w:szCs w:val="28"/>
          <w:highlight w:val="none"/>
          <w:lang w:val="en-US" w:eastAsia="zh-CN"/>
        </w:rPr>
        <w:t>市</w:t>
      </w:r>
      <w:r>
        <w:rPr>
          <w:rFonts w:hint="default" w:ascii="Times New Roman" w:hAnsi="Times New Roman" w:cs="Times New Roman"/>
          <w:kern w:val="0"/>
          <w:sz w:val="28"/>
          <w:szCs w:val="28"/>
          <w:highlight w:val="none"/>
          <w:lang w:val="en-US" w:eastAsia="zh-CN"/>
        </w:rPr>
        <w:t>场标准化管理中现存问题，结合现有产品实际应用经验，为标准起草奠定了基础。</w:t>
      </w:r>
    </w:p>
    <w:p w14:paraId="0B62E727">
      <w:pPr>
        <w:snapToGrid w:val="0"/>
        <w:spacing w:line="360" w:lineRule="auto"/>
        <w:ind w:firstLine="560" w:firstLineChars="200"/>
        <w:rPr>
          <w:rFonts w:hint="default" w:ascii="Times New Roman" w:hAnsi="Times New Roman" w:cs="Times New Roman"/>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标准起草组进一步研究了</w:t>
      </w:r>
      <w:r>
        <w:rPr>
          <w:rFonts w:hint="default" w:ascii="Times New Roman" w:hAnsi="Times New Roman" w:cs="Times New Roman"/>
          <w:kern w:val="0"/>
          <w:sz w:val="28"/>
          <w:szCs w:val="28"/>
          <w:highlight w:val="none"/>
          <w:lang w:val="en-US" w:eastAsia="zh-CN"/>
        </w:rPr>
        <w:t>污泥干化</w:t>
      </w:r>
      <w:r>
        <w:rPr>
          <w:rFonts w:hint="default" w:ascii="Times New Roman" w:hAnsi="Times New Roman" w:cs="Times New Roman"/>
          <w:kern w:val="0"/>
          <w:sz w:val="28"/>
          <w:szCs w:val="28"/>
          <w:highlight w:val="none"/>
          <w:lang w:val="en-US" w:eastAsia="zh-CN"/>
        </w:rPr>
        <w:t>需</w:t>
      </w:r>
      <w:r>
        <w:rPr>
          <w:rFonts w:hint="default" w:ascii="Times New Roman" w:hAnsi="Times New Roman" w:cs="Times New Roman"/>
          <w:kern w:val="0"/>
          <w:sz w:val="28"/>
          <w:szCs w:val="28"/>
          <w:highlight w:val="none"/>
          <w:lang w:val="en-US" w:eastAsia="zh-CN"/>
        </w:rPr>
        <w:t>要具备的特殊条件，明确了技术要求和指标，为标准的具体起草指明了方向。</w:t>
      </w:r>
    </w:p>
    <w:p w14:paraId="1A0BE9FB">
      <w:pPr>
        <w:snapToGrid w:val="0"/>
        <w:spacing w:line="360" w:lineRule="auto"/>
        <w:rPr>
          <w:rFonts w:hint="default" w:ascii="Times New Roman" w:hAnsi="Times New Roman" w:cs="Times New Roman"/>
          <w:b/>
          <w:bCs/>
          <w:kern w:val="0"/>
          <w:sz w:val="28"/>
          <w:szCs w:val="28"/>
          <w:highlight w:val="none"/>
          <w:lang w:val="en-US" w:eastAsia="zh-CN"/>
        </w:rPr>
      </w:pPr>
      <w:r>
        <w:rPr>
          <w:rFonts w:hint="default" w:ascii="Times New Roman" w:hAnsi="Times New Roman" w:cs="Times New Roman"/>
          <w:b/>
          <w:bCs/>
          <w:kern w:val="0"/>
          <w:sz w:val="28"/>
          <w:szCs w:val="28"/>
          <w:highlight w:val="none"/>
          <w:lang w:val="en-US" w:eastAsia="zh-CN"/>
        </w:rPr>
        <w:t>2、标准起草阶段</w:t>
      </w:r>
    </w:p>
    <w:p w14:paraId="0D9D36EF">
      <w:pPr>
        <w:snapToGrid w:val="0"/>
        <w:spacing w:line="360" w:lineRule="auto"/>
        <w:ind w:firstLine="560" w:firstLineChars="200"/>
        <w:rPr>
          <w:rFonts w:hint="default" w:ascii="Times New Roman" w:hAnsi="Times New Roman" w:cs="Times New Roman"/>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在理论研究基础上，起草组在标准编制过程中充分借鉴已有的理论研究和实践成果，基于我国市场行情，经过数次修订，形成了</w:t>
      </w:r>
      <w:r>
        <w:rPr>
          <w:rFonts w:hint="default" w:ascii="Times New Roman" w:hAnsi="Times New Roman" w:cs="Times New Roman"/>
          <w:kern w:val="0"/>
          <w:sz w:val="28"/>
          <w:szCs w:val="28"/>
          <w:highlight w:val="none"/>
          <w:lang w:val="en-US" w:eastAsia="zh-CN"/>
        </w:rPr>
        <w:t>《</w:t>
      </w:r>
      <w:r>
        <w:rPr>
          <w:rFonts w:hint="default" w:ascii="Times New Roman" w:hAnsi="Times New Roman" w:cs="Times New Roman"/>
          <w:kern w:val="0"/>
          <w:sz w:val="28"/>
          <w:szCs w:val="28"/>
          <w:highlight w:val="none"/>
          <w:lang w:val="en-US" w:eastAsia="zh-CN"/>
        </w:rPr>
        <w:t>污泥干化焚烧系统集成装备技术要求</w:t>
      </w:r>
      <w:r>
        <w:rPr>
          <w:rFonts w:hint="default" w:ascii="Times New Roman" w:hAnsi="Times New Roman" w:cs="Times New Roman"/>
          <w:kern w:val="0"/>
          <w:sz w:val="28"/>
          <w:szCs w:val="28"/>
          <w:highlight w:val="none"/>
          <w:lang w:val="en-US" w:eastAsia="zh-CN"/>
        </w:rPr>
        <w:t>》</w:t>
      </w:r>
      <w:r>
        <w:rPr>
          <w:rFonts w:hint="default" w:ascii="Times New Roman" w:hAnsi="Times New Roman" w:cs="Times New Roman"/>
          <w:kern w:val="0"/>
          <w:sz w:val="28"/>
          <w:szCs w:val="28"/>
          <w:highlight w:val="none"/>
          <w:lang w:val="en-US" w:eastAsia="zh-CN"/>
        </w:rPr>
        <w:t>标准草案。</w:t>
      </w:r>
    </w:p>
    <w:p w14:paraId="33361A6C">
      <w:pPr>
        <w:snapToGrid w:val="0"/>
        <w:spacing w:line="360" w:lineRule="auto"/>
        <w:rPr>
          <w:rFonts w:hint="default" w:ascii="Times New Roman" w:hAnsi="Times New Roman" w:cs="Times New Roman"/>
          <w:b/>
          <w:bCs/>
          <w:kern w:val="0"/>
          <w:sz w:val="28"/>
          <w:szCs w:val="28"/>
          <w:highlight w:val="none"/>
          <w:lang w:val="en-US" w:eastAsia="zh-CN"/>
        </w:rPr>
      </w:pPr>
      <w:r>
        <w:rPr>
          <w:rFonts w:hint="default" w:ascii="Times New Roman" w:hAnsi="Times New Roman" w:cs="Times New Roman"/>
          <w:b/>
          <w:bCs/>
          <w:kern w:val="0"/>
          <w:sz w:val="28"/>
          <w:szCs w:val="28"/>
          <w:highlight w:val="none"/>
          <w:lang w:val="en-US" w:eastAsia="zh-CN"/>
        </w:rPr>
        <w:t>3、标准征求意见阶段</w:t>
      </w:r>
    </w:p>
    <w:p w14:paraId="52A25DE5">
      <w:pPr>
        <w:snapToGrid w:val="0"/>
        <w:spacing w:line="360" w:lineRule="auto"/>
        <w:ind w:firstLine="560" w:firstLineChars="200"/>
        <w:rPr>
          <w:rFonts w:hint="default" w:ascii="Times New Roman" w:hAnsi="Times New Roman" w:cs="Times New Roman" w:eastAsiaTheme="minorEastAsia"/>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形成标准草案之后，起草组召开了多次专家研讨会，从标准框架、标准起草等角度广泛征求多方意见，从理论完善和实践应用多方面提升标准的适用性和实用性。经过理论研究和方法验证，起草组形成了《</w:t>
      </w:r>
      <w:r>
        <w:rPr>
          <w:rFonts w:hint="default" w:ascii="Times New Roman" w:hAnsi="Times New Roman" w:cs="Times New Roman"/>
          <w:kern w:val="0"/>
          <w:sz w:val="28"/>
          <w:szCs w:val="28"/>
          <w:highlight w:val="none"/>
          <w:lang w:val="en-US" w:eastAsia="zh-CN"/>
        </w:rPr>
        <w:t>污泥干化焚烧系统集成装备技术要求</w:t>
      </w:r>
      <w:r>
        <w:rPr>
          <w:rFonts w:hint="default" w:ascii="Times New Roman" w:hAnsi="Times New Roman" w:cs="Times New Roman"/>
          <w:kern w:val="0"/>
          <w:sz w:val="28"/>
          <w:szCs w:val="28"/>
          <w:highlight w:val="none"/>
          <w:lang w:val="en-US" w:eastAsia="zh-CN"/>
        </w:rPr>
        <w:t>》（征求意见稿）。</w:t>
      </w:r>
    </w:p>
    <w:p w14:paraId="441EAAF5">
      <w:pPr>
        <w:spacing w:line="360" w:lineRule="auto"/>
        <w:outlineLvl w:val="2"/>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lang w:val="en-US" w:eastAsia="zh-CN"/>
        </w:rPr>
        <w:t>三</w:t>
      </w: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rPr>
        <w:t>主要起草单位及起草人所做的工作</w:t>
      </w:r>
    </w:p>
    <w:p w14:paraId="11CF23C7">
      <w:pPr>
        <w:spacing w:line="360" w:lineRule="auto"/>
        <w:rPr>
          <w:rFonts w:hint="default" w:ascii="Times New Roman" w:hAnsi="Times New Roman" w:cs="Times New Roman"/>
          <w:b/>
          <w:bCs/>
          <w:kern w:val="0"/>
          <w:sz w:val="28"/>
          <w:szCs w:val="28"/>
          <w:highlight w:val="none"/>
        </w:rPr>
      </w:pPr>
      <w:r>
        <w:rPr>
          <w:rFonts w:hint="default" w:ascii="Times New Roman" w:hAnsi="Times New Roman" w:cs="Times New Roman"/>
          <w:b/>
          <w:bCs/>
          <w:kern w:val="0"/>
          <w:sz w:val="28"/>
          <w:szCs w:val="28"/>
          <w:highlight w:val="none"/>
        </w:rPr>
        <w:t>1、主要起草单位</w:t>
      </w:r>
    </w:p>
    <w:p w14:paraId="52CE0480">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中国中小企业协会、</w:t>
      </w:r>
      <w:r>
        <w:rPr>
          <w:rFonts w:hint="default" w:ascii="Times New Roman" w:hAnsi="Times New Roman" w:cs="Times New Roman"/>
          <w:kern w:val="0"/>
          <w:sz w:val="28"/>
          <w:szCs w:val="28"/>
          <w:highlight w:val="none"/>
          <w:lang w:val="en-US" w:eastAsia="zh-CN"/>
        </w:rPr>
        <w:t>绿水股份有限公司</w:t>
      </w:r>
      <w:r>
        <w:rPr>
          <w:rFonts w:hint="default" w:ascii="Times New Roman" w:hAnsi="Times New Roman" w:cs="Times New Roman"/>
          <w:kern w:val="0"/>
          <w:sz w:val="28"/>
          <w:szCs w:val="28"/>
          <w:highlight w:val="none"/>
        </w:rPr>
        <w:t>等多家单位的专家成立了规范起草小组，开展标准的编制工作。</w:t>
      </w:r>
      <w:r>
        <w:rPr>
          <w:rFonts w:hint="default" w:ascii="Times New Roman" w:hAnsi="Times New Roman" w:cs="Times New Roman"/>
          <w:kern w:val="0"/>
          <w:sz w:val="28"/>
          <w:szCs w:val="28"/>
          <w:highlight w:val="none"/>
          <w:lang w:val="en-US" w:eastAsia="zh-CN"/>
        </w:rPr>
        <w:t>绿水股份有限公司是环保生态领域深耕多年、实力出众的综合性企业，秉持“绿色领航、责任致远”理念，拥有专业团队与先进设备，依托科学管理体系，在水处理、大气治理等多领域成果丰硕。公司注重创新，严格遵循标准把控品质，以高效执行力和强烈责任感，为客户提供全流程优质服务，获业界广泛认可，正为全球生态改善持续发力。</w:t>
      </w:r>
      <w:r>
        <w:rPr>
          <w:rFonts w:hint="default" w:ascii="Times New Roman" w:hAnsi="Times New Roman" w:cs="Times New Roman"/>
          <w:kern w:val="0"/>
          <w:sz w:val="28"/>
          <w:szCs w:val="28"/>
          <w:highlight w:val="none"/>
        </w:rPr>
        <w:t>作为牵头单位，公司为标准制定提供了丰富的实践经验和专业支持。</w:t>
      </w:r>
    </w:p>
    <w:p w14:paraId="4B45B32C">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经工作组的不懈努力，在20</w:t>
      </w:r>
      <w:r>
        <w:rPr>
          <w:rFonts w:hint="default" w:ascii="Times New Roman" w:hAnsi="Times New Roman" w:cs="Times New Roman"/>
          <w:kern w:val="0"/>
          <w:sz w:val="28"/>
          <w:szCs w:val="28"/>
          <w:highlight w:val="none"/>
        </w:rPr>
        <w:t>2</w:t>
      </w:r>
      <w:r>
        <w:rPr>
          <w:rFonts w:hint="default" w:ascii="Times New Roman" w:hAnsi="Times New Roman" w:cs="Times New Roman"/>
          <w:kern w:val="0"/>
          <w:sz w:val="28"/>
          <w:szCs w:val="28"/>
          <w:highlight w:val="none"/>
          <w:lang w:val="en-US" w:eastAsia="zh-CN"/>
        </w:rPr>
        <w:t>5</w:t>
      </w:r>
      <w:r>
        <w:rPr>
          <w:rFonts w:hint="default" w:ascii="Times New Roman" w:hAnsi="Times New Roman" w:cs="Times New Roman"/>
          <w:kern w:val="0"/>
          <w:sz w:val="28"/>
          <w:szCs w:val="28"/>
          <w:highlight w:val="none"/>
        </w:rPr>
        <w:t>年</w:t>
      </w:r>
      <w:r>
        <w:rPr>
          <w:rFonts w:hint="default" w:ascii="Times New Roman" w:hAnsi="Times New Roman" w:cs="Times New Roman"/>
          <w:kern w:val="0"/>
          <w:sz w:val="28"/>
          <w:szCs w:val="28"/>
          <w:highlight w:val="none"/>
          <w:lang w:val="en-US" w:eastAsia="zh-CN"/>
        </w:rPr>
        <w:t>7</w:t>
      </w:r>
      <w:r>
        <w:rPr>
          <w:rFonts w:hint="default" w:ascii="Times New Roman" w:hAnsi="Times New Roman" w:cs="Times New Roman"/>
          <w:kern w:val="0"/>
          <w:sz w:val="28"/>
          <w:szCs w:val="28"/>
          <w:highlight w:val="none"/>
        </w:rPr>
        <w:t>月，完成了标准征求意见稿的编写工作。</w:t>
      </w:r>
    </w:p>
    <w:p w14:paraId="095E3E1A">
      <w:pPr>
        <w:spacing w:line="360" w:lineRule="auto"/>
        <w:rPr>
          <w:rFonts w:hint="default" w:ascii="Times New Roman" w:hAnsi="Times New Roman" w:cs="Times New Roman"/>
          <w:b/>
          <w:bCs/>
          <w:kern w:val="0"/>
          <w:sz w:val="28"/>
          <w:szCs w:val="28"/>
          <w:highlight w:val="none"/>
        </w:rPr>
      </w:pPr>
      <w:r>
        <w:rPr>
          <w:rFonts w:hint="default" w:ascii="Times New Roman" w:hAnsi="Times New Roman" w:cs="Times New Roman"/>
          <w:b/>
          <w:bCs/>
          <w:kern w:val="0"/>
          <w:sz w:val="28"/>
          <w:szCs w:val="28"/>
          <w:highlight w:val="none"/>
        </w:rPr>
        <w:t>2、起草人所做工作</w:t>
      </w:r>
    </w:p>
    <w:p w14:paraId="6A307C54">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广泛收集相关资料。在广泛调研、查阅和研究国际标准、国家标准、行业标准的基础之上，形成本标准草案稿。</w:t>
      </w:r>
    </w:p>
    <w:p w14:paraId="222E5BC3">
      <w:pPr>
        <w:spacing w:line="360" w:lineRule="auto"/>
        <w:outlineLvl w:val="0"/>
        <w:rPr>
          <w:rFonts w:hint="default" w:ascii="Times New Roman" w:hAnsi="Times New Roman" w:eastAsia="黑体" w:cs="Times New Roman"/>
          <w:b/>
          <w:sz w:val="30"/>
          <w:szCs w:val="30"/>
          <w:highlight w:val="none"/>
        </w:rPr>
      </w:pPr>
      <w:bookmarkStart w:id="1" w:name="_Toc16067"/>
      <w:r>
        <w:rPr>
          <w:rFonts w:hint="default" w:ascii="Times New Roman" w:hAnsi="Times New Roman" w:eastAsia="黑体" w:cs="Times New Roman"/>
          <w:b/>
          <w:sz w:val="30"/>
          <w:szCs w:val="30"/>
          <w:highlight w:val="none"/>
          <w:lang w:val="en-US" w:eastAsia="zh-CN"/>
        </w:rPr>
        <w:t>二</w:t>
      </w:r>
      <w:r>
        <w:rPr>
          <w:rFonts w:hint="default" w:ascii="Times New Roman" w:hAnsi="Times New Roman" w:eastAsia="黑体" w:cs="Times New Roman"/>
          <w:b/>
          <w:sz w:val="30"/>
          <w:szCs w:val="30"/>
          <w:highlight w:val="none"/>
        </w:rPr>
        <w:t>、标准编制原则</w:t>
      </w:r>
      <w:r>
        <w:rPr>
          <w:rFonts w:hint="default" w:ascii="Times New Roman" w:hAnsi="Times New Roman" w:eastAsia="黑体" w:cs="Times New Roman"/>
          <w:b/>
          <w:sz w:val="30"/>
          <w:szCs w:val="30"/>
          <w:highlight w:val="none"/>
          <w:lang w:val="en-US" w:eastAsia="zh-CN"/>
        </w:rPr>
        <w:t>和</w:t>
      </w:r>
      <w:r>
        <w:rPr>
          <w:rFonts w:hint="default" w:ascii="Times New Roman" w:hAnsi="Times New Roman" w:eastAsia="黑体" w:cs="Times New Roman"/>
          <w:b/>
          <w:sz w:val="30"/>
          <w:szCs w:val="30"/>
          <w:highlight w:val="none"/>
        </w:rPr>
        <w:t>主要内容</w:t>
      </w:r>
      <w:bookmarkEnd w:id="1"/>
    </w:p>
    <w:p w14:paraId="78E72378">
      <w:pPr>
        <w:spacing w:line="360" w:lineRule="auto"/>
        <w:outlineLvl w:val="2"/>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lang w:val="en-US" w:eastAsia="zh-CN"/>
        </w:rPr>
        <w:t>一</w:t>
      </w: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rPr>
        <w:t>标准编制原则</w:t>
      </w:r>
    </w:p>
    <w:p w14:paraId="56D121DA">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本标准依据相关行业标准，标准编制遵循“前瞻性、实用性、统一性、规范性”的原则，注重标准的可操作性，本标准严格按照《标准化工作指南》和GB/T 1.1《标准化工作导则 第一部分：标准的结构和编写》的要求进行编制。标准文本的编排采用中国标准编写模板TCS 2009版进行排版，确保标准文本的规范性。</w:t>
      </w:r>
    </w:p>
    <w:p w14:paraId="7FDD6A61">
      <w:pPr>
        <w:spacing w:line="360" w:lineRule="auto"/>
        <w:outlineLvl w:val="2"/>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lang w:val="en-US" w:eastAsia="zh-CN"/>
        </w:rPr>
        <w:t>二</w:t>
      </w: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rPr>
        <w:t>标准主要技术内容</w:t>
      </w:r>
    </w:p>
    <w:p w14:paraId="0DB2C603">
      <w:pPr>
        <w:bidi w:val="0"/>
        <w:spacing w:line="360" w:lineRule="auto"/>
        <w:ind w:firstLine="560" w:firstLineChars="2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本标准报批稿包括</w:t>
      </w:r>
      <w:r>
        <w:rPr>
          <w:rFonts w:hint="default" w:ascii="Times New Roman" w:hAnsi="Times New Roman" w:cs="Times New Roman"/>
          <w:sz w:val="28"/>
          <w:szCs w:val="28"/>
          <w:highlight w:val="none"/>
          <w:lang w:val="en-US" w:eastAsia="zh-CN"/>
        </w:rPr>
        <w:t>9</w:t>
      </w:r>
      <w:r>
        <w:rPr>
          <w:rFonts w:hint="default" w:ascii="Times New Roman" w:hAnsi="Times New Roman" w:cs="Times New Roman"/>
          <w:sz w:val="28"/>
          <w:szCs w:val="28"/>
          <w:highlight w:val="none"/>
        </w:rPr>
        <w:t>个</w:t>
      </w:r>
      <w:r>
        <w:rPr>
          <w:rFonts w:hint="default" w:ascii="Times New Roman" w:hAnsi="Times New Roman" w:cs="Times New Roman"/>
          <w:sz w:val="28"/>
          <w:szCs w:val="28"/>
          <w:highlight w:val="none"/>
        </w:rPr>
        <w:t>部分，主要内容如下：</w:t>
      </w:r>
    </w:p>
    <w:p w14:paraId="371F55F2">
      <w:pPr>
        <w:pStyle w:val="39"/>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2" w:name="_Toc26648465"/>
      <w:bookmarkStart w:id="3" w:name="_Toc17233333"/>
      <w:bookmarkStart w:id="4" w:name="_Toc26986530"/>
      <w:bookmarkStart w:id="5" w:name="_Toc97192964"/>
      <w:bookmarkStart w:id="6" w:name="_Toc205892330"/>
      <w:bookmarkStart w:id="7" w:name="_Toc24884211"/>
      <w:bookmarkStart w:id="8" w:name="_Toc17233325"/>
      <w:bookmarkStart w:id="9" w:name="_Toc24884218"/>
      <w:bookmarkStart w:id="10" w:name="_Toc26718930"/>
      <w:bookmarkStart w:id="11" w:name="_Toc26986771"/>
      <w:bookmarkStart w:id="12" w:name="_Toc205913156"/>
      <w:r>
        <w:rPr>
          <w:rFonts w:hint="default" w:ascii="Times New Roman" w:hAnsi="Times New Roman" w:cs="Times New Roman"/>
          <w:sz w:val="28"/>
          <w:szCs w:val="28"/>
          <w:highlight w:val="none"/>
          <w:lang w:eastAsia="zh-CN"/>
        </w:rPr>
        <w:t>范围</w:t>
      </w:r>
      <w:bookmarkEnd w:id="2"/>
      <w:bookmarkEnd w:id="3"/>
      <w:bookmarkEnd w:id="4"/>
      <w:bookmarkEnd w:id="5"/>
      <w:bookmarkEnd w:id="6"/>
      <w:bookmarkEnd w:id="7"/>
      <w:bookmarkEnd w:id="8"/>
      <w:bookmarkEnd w:id="9"/>
      <w:bookmarkEnd w:id="10"/>
      <w:bookmarkEnd w:id="11"/>
      <w:bookmarkEnd w:id="12"/>
    </w:p>
    <w:p w14:paraId="07E45CA4">
      <w:pPr>
        <w:pStyle w:val="37"/>
        <w:widowControl/>
        <w:spacing w:line="360" w:lineRule="auto"/>
        <w:ind w:left="0" w:firstLine="420"/>
        <w:rPr>
          <w:rFonts w:hint="default" w:ascii="Times New Roman" w:hAnsi="Times New Roman" w:cs="Times New Roman"/>
          <w:sz w:val="28"/>
          <w:szCs w:val="28"/>
          <w:highlight w:val="none"/>
          <w:lang w:val="en-US"/>
        </w:rPr>
      </w:pPr>
      <w:bookmarkStart w:id="13" w:name="_Toc17233326"/>
      <w:bookmarkStart w:id="14" w:name="_Toc26648466"/>
      <w:bookmarkStart w:id="15" w:name="_Toc17233334"/>
      <w:bookmarkStart w:id="16" w:name="_Toc24884212"/>
      <w:bookmarkStart w:id="17" w:name="_Toc24884219"/>
      <w:r>
        <w:rPr>
          <w:rFonts w:hint="default" w:ascii="Times New Roman" w:hAnsi="Times New Roman" w:cs="Times New Roman"/>
          <w:sz w:val="28"/>
          <w:szCs w:val="28"/>
          <w:highlight w:val="none"/>
          <w:lang w:eastAsia="zh-CN"/>
        </w:rPr>
        <w:t>本文件规定了污泥干化焚烧系统集成装备的术语和定义、总体要求、集成要求、核心单元设备、性能要求、安全要求、包装、运输与标识内容。</w:t>
      </w:r>
    </w:p>
    <w:p w14:paraId="39A6F8C1">
      <w:pPr>
        <w:pStyle w:val="37"/>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本文件适用于污泥干化焚烧系统集成装备。</w:t>
      </w:r>
    </w:p>
    <w:p w14:paraId="0DAB728E">
      <w:pPr>
        <w:pStyle w:val="39"/>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18" w:name="_Toc205892331"/>
      <w:bookmarkStart w:id="19" w:name="_Toc26986772"/>
      <w:bookmarkStart w:id="20" w:name="_Toc97192965"/>
      <w:bookmarkStart w:id="21" w:name="_Toc26718931"/>
      <w:bookmarkStart w:id="22" w:name="_Toc26986531"/>
      <w:bookmarkStart w:id="23" w:name="_Toc205913157"/>
      <w:r>
        <w:rPr>
          <w:rFonts w:hint="default" w:ascii="Times New Roman" w:hAnsi="Times New Roman" w:cs="Times New Roman"/>
          <w:sz w:val="28"/>
          <w:szCs w:val="28"/>
          <w:highlight w:val="none"/>
          <w:lang w:eastAsia="zh-CN"/>
        </w:rPr>
        <w:t>规范性引用文件</w:t>
      </w:r>
      <w:bookmarkEnd w:id="13"/>
      <w:bookmarkEnd w:id="14"/>
      <w:bookmarkEnd w:id="15"/>
      <w:bookmarkEnd w:id="16"/>
      <w:bookmarkEnd w:id="17"/>
      <w:bookmarkEnd w:id="18"/>
      <w:bookmarkEnd w:id="19"/>
      <w:bookmarkEnd w:id="20"/>
      <w:bookmarkEnd w:id="21"/>
      <w:bookmarkEnd w:id="22"/>
      <w:bookmarkEnd w:id="23"/>
    </w:p>
    <w:p w14:paraId="53C5B16F">
      <w:pPr>
        <w:pStyle w:val="37"/>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F7FC57B">
      <w:pPr>
        <w:pStyle w:val="37"/>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 190 </w:t>
      </w:r>
      <w:r>
        <w:rPr>
          <w:rFonts w:hint="default" w:ascii="Times New Roman" w:hAnsi="Times New Roman" w:cs="Times New Roman"/>
          <w:sz w:val="28"/>
          <w:szCs w:val="28"/>
          <w:highlight w:val="none"/>
          <w:lang w:eastAsia="zh-CN"/>
        </w:rPr>
        <w:t>危险货物包装标志</w:t>
      </w:r>
    </w:p>
    <w:p w14:paraId="77E36A9E">
      <w:pPr>
        <w:pStyle w:val="37"/>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 12348 </w:t>
      </w:r>
      <w:r>
        <w:rPr>
          <w:rFonts w:hint="default" w:ascii="Times New Roman" w:hAnsi="Times New Roman" w:cs="Times New Roman"/>
          <w:sz w:val="28"/>
          <w:szCs w:val="28"/>
          <w:highlight w:val="none"/>
          <w:lang w:eastAsia="zh-CN"/>
        </w:rPr>
        <w:t>工业企业厂界环境噪声排放标准</w:t>
      </w:r>
    </w:p>
    <w:p w14:paraId="4F62168F">
      <w:pPr>
        <w:pStyle w:val="37"/>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 18485 </w:t>
      </w:r>
      <w:r>
        <w:rPr>
          <w:rFonts w:hint="default" w:ascii="Times New Roman" w:hAnsi="Times New Roman" w:cs="Times New Roman"/>
          <w:sz w:val="28"/>
          <w:szCs w:val="28"/>
          <w:highlight w:val="none"/>
          <w:lang w:eastAsia="zh-CN"/>
        </w:rPr>
        <w:t>生活垃圾焚烧污染控制标准</w:t>
      </w:r>
    </w:p>
    <w:p w14:paraId="43E4AA11">
      <w:pPr>
        <w:pStyle w:val="37"/>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HJ 57 </w:t>
      </w:r>
      <w:r>
        <w:rPr>
          <w:rFonts w:hint="default" w:ascii="Times New Roman" w:hAnsi="Times New Roman" w:cs="Times New Roman"/>
          <w:sz w:val="28"/>
          <w:szCs w:val="28"/>
          <w:highlight w:val="none"/>
          <w:lang w:eastAsia="zh-CN"/>
        </w:rPr>
        <w:t>固定污染源废气</w:t>
      </w:r>
      <w:r>
        <w:rPr>
          <w:rFonts w:hint="default" w:ascii="Times New Roman" w:hAnsi="Times New Roman" w:cs="Times New Roman"/>
          <w:sz w:val="28"/>
          <w:szCs w:val="28"/>
          <w:highlight w:val="none"/>
          <w:lang w:eastAsia="zh-CN"/>
        </w:rPr>
        <w:t xml:space="preserve"> </w:t>
      </w:r>
      <w:r>
        <w:rPr>
          <w:rFonts w:hint="default" w:ascii="Times New Roman" w:hAnsi="Times New Roman" w:cs="Times New Roman"/>
          <w:sz w:val="28"/>
          <w:szCs w:val="28"/>
          <w:highlight w:val="none"/>
          <w:lang w:eastAsia="zh-CN"/>
        </w:rPr>
        <w:t>二氧化硫的测定</w:t>
      </w:r>
      <w:r>
        <w:rPr>
          <w:rFonts w:hint="default" w:ascii="Times New Roman" w:hAnsi="Times New Roman" w:cs="Times New Roman"/>
          <w:sz w:val="28"/>
          <w:szCs w:val="28"/>
          <w:highlight w:val="none"/>
          <w:lang w:eastAsia="zh-CN"/>
        </w:rPr>
        <w:t xml:space="preserve"> </w:t>
      </w:r>
      <w:r>
        <w:rPr>
          <w:rFonts w:hint="default" w:ascii="Times New Roman" w:hAnsi="Times New Roman" w:cs="Times New Roman"/>
          <w:sz w:val="28"/>
          <w:szCs w:val="28"/>
          <w:highlight w:val="none"/>
          <w:lang w:eastAsia="zh-CN"/>
        </w:rPr>
        <w:t>定电位电解法</w:t>
      </w:r>
    </w:p>
    <w:p w14:paraId="39FEE867">
      <w:pPr>
        <w:pStyle w:val="37"/>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HJ 76 </w:t>
      </w:r>
      <w:r>
        <w:rPr>
          <w:rFonts w:hint="default" w:ascii="Times New Roman" w:hAnsi="Times New Roman" w:cs="Times New Roman"/>
          <w:sz w:val="28"/>
          <w:szCs w:val="28"/>
          <w:highlight w:val="none"/>
          <w:lang w:eastAsia="zh-CN"/>
        </w:rPr>
        <w:t>固定污染源烟气（</w:t>
      </w:r>
      <w:r>
        <w:rPr>
          <w:rFonts w:hint="default" w:ascii="Times New Roman" w:hAnsi="Times New Roman" w:cs="Times New Roman"/>
          <w:sz w:val="28"/>
          <w:szCs w:val="28"/>
          <w:highlight w:val="none"/>
          <w:lang w:val="en-US"/>
        </w:rPr>
        <w:t>SO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NO</w:t>
      </w:r>
      <w:r>
        <w:rPr>
          <w:rFonts w:hint="default" w:ascii="Times New Roman" w:hAnsi="Times New Roman" w:cs="Times New Roman"/>
          <w:sz w:val="28"/>
          <w:szCs w:val="28"/>
          <w:highlight w:val="none"/>
          <w:vertAlign w:val="subscript"/>
          <w:lang w:val="en-US"/>
        </w:rPr>
        <w:t>X</w:t>
      </w:r>
      <w:r>
        <w:rPr>
          <w:rFonts w:hint="default" w:ascii="Times New Roman" w:hAnsi="Times New Roman" w:cs="Times New Roman"/>
          <w:sz w:val="28"/>
          <w:szCs w:val="28"/>
          <w:highlight w:val="none"/>
          <w:lang w:eastAsia="zh-CN"/>
        </w:rPr>
        <w:t>、颗粒物）排放连续监测系统技术要求及检测方法</w:t>
      </w:r>
      <w:r>
        <w:rPr>
          <w:rFonts w:hint="default" w:ascii="Times New Roman" w:hAnsi="Times New Roman" w:cs="Times New Roman"/>
          <w:sz w:val="28"/>
          <w:szCs w:val="28"/>
          <w:highlight w:val="none"/>
          <w:lang w:eastAsia="zh-CN"/>
        </w:rPr>
        <w:t xml:space="preserve"> </w:t>
      </w:r>
    </w:p>
    <w:p w14:paraId="2FEE1FEC">
      <w:pPr>
        <w:pStyle w:val="37"/>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HJ 77.2 </w:t>
      </w:r>
      <w:r>
        <w:rPr>
          <w:rFonts w:hint="default" w:ascii="Times New Roman" w:hAnsi="Times New Roman" w:cs="Times New Roman"/>
          <w:sz w:val="28"/>
          <w:szCs w:val="28"/>
          <w:highlight w:val="none"/>
          <w:lang w:eastAsia="zh-CN"/>
        </w:rPr>
        <w:t>环境空气和废气</w:t>
      </w:r>
      <w:r>
        <w:rPr>
          <w:rFonts w:hint="default" w:ascii="Times New Roman" w:hAnsi="Times New Roman" w:cs="Times New Roman"/>
          <w:sz w:val="28"/>
          <w:szCs w:val="28"/>
          <w:highlight w:val="none"/>
          <w:lang w:eastAsia="zh-CN"/>
        </w:rPr>
        <w:t xml:space="preserve"> </w:t>
      </w:r>
      <w:r>
        <w:rPr>
          <w:rFonts w:hint="default" w:ascii="Times New Roman" w:hAnsi="Times New Roman" w:cs="Times New Roman"/>
          <w:sz w:val="28"/>
          <w:szCs w:val="28"/>
          <w:highlight w:val="none"/>
          <w:lang w:eastAsia="zh-CN"/>
        </w:rPr>
        <w:t>二噁英类的测定</w:t>
      </w:r>
      <w:r>
        <w:rPr>
          <w:rFonts w:hint="default" w:ascii="Times New Roman" w:hAnsi="Times New Roman" w:cs="Times New Roman"/>
          <w:sz w:val="28"/>
          <w:szCs w:val="28"/>
          <w:highlight w:val="none"/>
          <w:lang w:eastAsia="zh-CN"/>
        </w:rPr>
        <w:t xml:space="preserve"> </w:t>
      </w:r>
      <w:r>
        <w:rPr>
          <w:rFonts w:hint="default" w:ascii="Times New Roman" w:hAnsi="Times New Roman" w:cs="Times New Roman"/>
          <w:sz w:val="28"/>
          <w:szCs w:val="28"/>
          <w:highlight w:val="none"/>
          <w:lang w:eastAsia="zh-CN"/>
        </w:rPr>
        <w:t>同位素稀释高分辨气相色谱</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高分辨质谱法</w:t>
      </w:r>
    </w:p>
    <w:p w14:paraId="277CBE30">
      <w:pPr>
        <w:pStyle w:val="37"/>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HJ 543 </w:t>
      </w:r>
      <w:r>
        <w:rPr>
          <w:rFonts w:hint="default" w:ascii="Times New Roman" w:hAnsi="Times New Roman" w:cs="Times New Roman"/>
          <w:sz w:val="28"/>
          <w:szCs w:val="28"/>
          <w:highlight w:val="none"/>
          <w:lang w:eastAsia="zh-CN"/>
        </w:rPr>
        <w:t>固定污染源废气</w:t>
      </w:r>
      <w:r>
        <w:rPr>
          <w:rFonts w:hint="default" w:ascii="Times New Roman" w:hAnsi="Times New Roman" w:cs="Times New Roman"/>
          <w:sz w:val="28"/>
          <w:szCs w:val="28"/>
          <w:highlight w:val="none"/>
          <w:lang w:eastAsia="zh-CN"/>
        </w:rPr>
        <w:t xml:space="preserve"> </w:t>
      </w:r>
      <w:r>
        <w:rPr>
          <w:rFonts w:hint="default" w:ascii="Times New Roman" w:hAnsi="Times New Roman" w:cs="Times New Roman"/>
          <w:sz w:val="28"/>
          <w:szCs w:val="28"/>
          <w:highlight w:val="none"/>
          <w:lang w:eastAsia="zh-CN"/>
        </w:rPr>
        <w:t>汞的测定</w:t>
      </w:r>
      <w:r>
        <w:rPr>
          <w:rFonts w:hint="default" w:ascii="Times New Roman" w:hAnsi="Times New Roman" w:cs="Times New Roman"/>
          <w:sz w:val="28"/>
          <w:szCs w:val="28"/>
          <w:highlight w:val="none"/>
          <w:lang w:eastAsia="zh-CN"/>
        </w:rPr>
        <w:t xml:space="preserve"> </w:t>
      </w:r>
      <w:r>
        <w:rPr>
          <w:rFonts w:hint="default" w:ascii="Times New Roman" w:hAnsi="Times New Roman" w:cs="Times New Roman"/>
          <w:sz w:val="28"/>
          <w:szCs w:val="28"/>
          <w:highlight w:val="none"/>
          <w:lang w:eastAsia="zh-CN"/>
        </w:rPr>
        <w:t>冷原子吸收分光光度法</w:t>
      </w:r>
    </w:p>
    <w:p w14:paraId="572ACDA9">
      <w:pPr>
        <w:pStyle w:val="37"/>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HJ 548 </w:t>
      </w:r>
      <w:r>
        <w:rPr>
          <w:rFonts w:hint="default" w:ascii="Times New Roman" w:hAnsi="Times New Roman" w:cs="Times New Roman"/>
          <w:sz w:val="28"/>
          <w:szCs w:val="28"/>
          <w:highlight w:val="none"/>
          <w:lang w:eastAsia="zh-CN"/>
        </w:rPr>
        <w:t>固定污染源废气</w:t>
      </w:r>
      <w:r>
        <w:rPr>
          <w:rFonts w:hint="default" w:ascii="Times New Roman" w:hAnsi="Times New Roman" w:cs="Times New Roman"/>
          <w:sz w:val="28"/>
          <w:szCs w:val="28"/>
          <w:highlight w:val="none"/>
          <w:lang w:eastAsia="zh-CN"/>
        </w:rPr>
        <w:t xml:space="preserve"> </w:t>
      </w:r>
      <w:r>
        <w:rPr>
          <w:rFonts w:hint="default" w:ascii="Times New Roman" w:hAnsi="Times New Roman" w:cs="Times New Roman"/>
          <w:sz w:val="28"/>
          <w:szCs w:val="28"/>
          <w:highlight w:val="none"/>
          <w:lang w:eastAsia="zh-CN"/>
        </w:rPr>
        <w:t>氯化氢的测定</w:t>
      </w:r>
      <w:r>
        <w:rPr>
          <w:rFonts w:hint="default" w:ascii="Times New Roman" w:hAnsi="Times New Roman" w:cs="Times New Roman"/>
          <w:sz w:val="28"/>
          <w:szCs w:val="28"/>
          <w:highlight w:val="none"/>
          <w:lang w:eastAsia="zh-CN"/>
        </w:rPr>
        <w:t xml:space="preserve"> </w:t>
      </w:r>
      <w:r>
        <w:rPr>
          <w:rFonts w:hint="default" w:ascii="Times New Roman" w:hAnsi="Times New Roman" w:cs="Times New Roman"/>
          <w:sz w:val="28"/>
          <w:szCs w:val="28"/>
          <w:highlight w:val="none"/>
          <w:lang w:eastAsia="zh-CN"/>
        </w:rPr>
        <w:t>硝酸银容量法</w:t>
      </w:r>
    </w:p>
    <w:p w14:paraId="4C3B1C6B">
      <w:pPr>
        <w:pStyle w:val="37"/>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HJ 692 </w:t>
      </w:r>
      <w:r>
        <w:rPr>
          <w:rFonts w:hint="default" w:ascii="Times New Roman" w:hAnsi="Times New Roman" w:cs="Times New Roman"/>
          <w:sz w:val="28"/>
          <w:szCs w:val="28"/>
          <w:highlight w:val="none"/>
          <w:lang w:eastAsia="zh-CN"/>
        </w:rPr>
        <w:t>固定污染源废气</w:t>
      </w:r>
      <w:r>
        <w:rPr>
          <w:rFonts w:hint="default" w:ascii="Times New Roman" w:hAnsi="Times New Roman" w:cs="Times New Roman"/>
          <w:sz w:val="28"/>
          <w:szCs w:val="28"/>
          <w:highlight w:val="none"/>
          <w:lang w:eastAsia="zh-CN"/>
        </w:rPr>
        <w:t xml:space="preserve"> </w:t>
      </w:r>
      <w:r>
        <w:rPr>
          <w:rFonts w:hint="default" w:ascii="Times New Roman" w:hAnsi="Times New Roman" w:cs="Times New Roman"/>
          <w:sz w:val="28"/>
          <w:szCs w:val="28"/>
          <w:highlight w:val="none"/>
          <w:lang w:eastAsia="zh-CN"/>
        </w:rPr>
        <w:t>氮氧化物的测定</w:t>
      </w:r>
      <w:r>
        <w:rPr>
          <w:rFonts w:hint="default" w:ascii="Times New Roman" w:hAnsi="Times New Roman" w:cs="Times New Roman"/>
          <w:sz w:val="28"/>
          <w:szCs w:val="28"/>
          <w:highlight w:val="none"/>
          <w:lang w:eastAsia="zh-CN"/>
        </w:rPr>
        <w:t xml:space="preserve"> </w:t>
      </w:r>
      <w:r>
        <w:rPr>
          <w:rFonts w:hint="default" w:ascii="Times New Roman" w:hAnsi="Times New Roman" w:cs="Times New Roman"/>
          <w:sz w:val="28"/>
          <w:szCs w:val="28"/>
          <w:highlight w:val="none"/>
          <w:lang w:eastAsia="zh-CN"/>
        </w:rPr>
        <w:t>非分散红外吸收法</w:t>
      </w:r>
    </w:p>
    <w:p w14:paraId="5D755A90">
      <w:pPr>
        <w:pStyle w:val="39"/>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24" w:name="_Toc97192966"/>
      <w:bookmarkStart w:id="25" w:name="_Toc205892332"/>
      <w:bookmarkStart w:id="26" w:name="_Toc205913158"/>
      <w:r>
        <w:rPr>
          <w:rFonts w:hint="default" w:ascii="Times New Roman" w:hAnsi="Times New Roman" w:cs="Times New Roman"/>
          <w:sz w:val="28"/>
          <w:szCs w:val="28"/>
          <w:highlight w:val="none"/>
          <w:lang w:eastAsia="zh-CN"/>
        </w:rPr>
        <w:t>术语和定义</w:t>
      </w:r>
      <w:bookmarkEnd w:id="24"/>
      <w:bookmarkEnd w:id="25"/>
      <w:bookmarkEnd w:id="26"/>
    </w:p>
    <w:p w14:paraId="2BD536A2">
      <w:pPr>
        <w:pStyle w:val="37"/>
        <w:widowControl/>
        <w:spacing w:line="360" w:lineRule="auto"/>
        <w:ind w:left="0" w:firstLine="420"/>
        <w:rPr>
          <w:rFonts w:hint="default" w:ascii="Times New Roman" w:hAnsi="Times New Roman" w:cs="Times New Roman"/>
          <w:sz w:val="28"/>
          <w:szCs w:val="28"/>
          <w:highlight w:val="none"/>
          <w:lang w:val="en-US"/>
        </w:rPr>
      </w:pPr>
      <w:bookmarkStart w:id="27" w:name="_Toc26986532"/>
      <w:bookmarkEnd w:id="27"/>
      <w:r>
        <w:rPr>
          <w:rFonts w:hint="default" w:ascii="Times New Roman" w:hAnsi="Times New Roman" w:cs="Times New Roman"/>
          <w:sz w:val="28"/>
          <w:szCs w:val="28"/>
          <w:highlight w:val="none"/>
          <w:lang w:eastAsia="zh-CN"/>
        </w:rPr>
        <w:t>下列术语和定义适用于本文件。</w:t>
      </w:r>
    </w:p>
    <w:p w14:paraId="7A8973D6">
      <w:pPr>
        <w:pStyle w:val="40"/>
        <w:widowControl/>
        <w:numPr>
          <w:ilvl w:val="2"/>
          <w:numId w:val="3"/>
        </w:numPr>
        <w:tabs>
          <w:tab w:val="left" w:pos="420"/>
          <w:tab w:val="clear" w:pos="1417"/>
        </w:tabs>
        <w:spacing w:line="360" w:lineRule="auto"/>
        <w:ind w:left="420" w:hanging="560" w:hangingChars="20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val="en-US"/>
        </w:rPr>
        <w:br w:type="textWrapping"/>
      </w:r>
      <w:r>
        <w:rPr>
          <w:rFonts w:hint="default" w:ascii="Times New Roman" w:hAnsi="Times New Roman" w:eastAsia="黑体" w:cs="Times New Roman"/>
          <w:sz w:val="28"/>
          <w:szCs w:val="28"/>
          <w:highlight w:val="none"/>
          <w:lang w:eastAsia="zh-CN"/>
        </w:rPr>
        <w:t>干化</w:t>
      </w:r>
      <w:r>
        <w:rPr>
          <w:rFonts w:hint="default" w:ascii="Times New Roman" w:hAnsi="Times New Roman" w:eastAsia="黑体" w:cs="Times New Roman"/>
          <w:sz w:val="28"/>
          <w:szCs w:val="28"/>
          <w:highlight w:val="none"/>
          <w:lang w:val="en-US"/>
        </w:rPr>
        <w:t xml:space="preserve"> drying</w:t>
      </w:r>
    </w:p>
    <w:p w14:paraId="6FFD01B5">
      <w:pPr>
        <w:pStyle w:val="37"/>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通过物理或化学方法降低污泥含水率的过程。</w:t>
      </w:r>
    </w:p>
    <w:p w14:paraId="5F738785">
      <w:pPr>
        <w:pStyle w:val="40"/>
        <w:widowControl/>
        <w:numPr>
          <w:ilvl w:val="2"/>
          <w:numId w:val="3"/>
        </w:numPr>
        <w:tabs>
          <w:tab w:val="left" w:pos="420"/>
          <w:tab w:val="clear" w:pos="1417"/>
        </w:tabs>
        <w:spacing w:line="360" w:lineRule="auto"/>
        <w:ind w:left="420" w:hanging="560" w:hangingChars="20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val="en-US"/>
        </w:rPr>
        <w:br w:type="textWrapping"/>
      </w:r>
      <w:r>
        <w:rPr>
          <w:rFonts w:hint="default" w:ascii="Times New Roman" w:hAnsi="Times New Roman" w:eastAsia="黑体" w:cs="Times New Roman"/>
          <w:sz w:val="28"/>
          <w:szCs w:val="28"/>
          <w:highlight w:val="none"/>
          <w:lang w:eastAsia="zh-CN"/>
        </w:rPr>
        <w:t>焚烧</w:t>
      </w:r>
      <w:r>
        <w:rPr>
          <w:rFonts w:hint="default" w:ascii="Times New Roman" w:hAnsi="Times New Roman" w:eastAsia="黑体" w:cs="Times New Roman"/>
          <w:sz w:val="28"/>
          <w:szCs w:val="28"/>
          <w:highlight w:val="none"/>
          <w:lang w:val="en-US"/>
        </w:rPr>
        <w:t xml:space="preserve"> burning</w:t>
      </w:r>
    </w:p>
    <w:p w14:paraId="3DD4C50E">
      <w:pPr>
        <w:pStyle w:val="37"/>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在高温条件下，将污泥中的可燃成分氧化分解，转化为灰渣和烟气的过程。</w:t>
      </w:r>
    </w:p>
    <w:p w14:paraId="13ACA582">
      <w:pPr>
        <w:pStyle w:val="40"/>
        <w:widowControl/>
        <w:numPr>
          <w:ilvl w:val="2"/>
          <w:numId w:val="3"/>
        </w:numPr>
        <w:tabs>
          <w:tab w:val="left" w:pos="420"/>
          <w:tab w:val="clear" w:pos="1417"/>
        </w:tabs>
        <w:spacing w:line="360" w:lineRule="auto"/>
        <w:ind w:left="420" w:hanging="560" w:hangingChars="20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val="en-US"/>
        </w:rPr>
        <w:br w:type="textWrapping"/>
      </w:r>
      <w:r>
        <w:rPr>
          <w:rFonts w:hint="default" w:ascii="Times New Roman" w:hAnsi="Times New Roman" w:eastAsia="黑体" w:cs="Times New Roman"/>
          <w:sz w:val="28"/>
          <w:szCs w:val="28"/>
          <w:highlight w:val="none"/>
          <w:lang w:eastAsia="zh-CN"/>
        </w:rPr>
        <w:t>关键装备</w:t>
      </w:r>
      <w:r>
        <w:rPr>
          <w:rFonts w:hint="default" w:ascii="Times New Roman" w:hAnsi="Times New Roman" w:eastAsia="黑体" w:cs="Times New Roman"/>
          <w:sz w:val="28"/>
          <w:szCs w:val="28"/>
          <w:highlight w:val="none"/>
          <w:lang w:val="en-US"/>
        </w:rPr>
        <w:t xml:space="preserve"> key equipment</w:t>
      </w:r>
    </w:p>
    <w:p w14:paraId="5B8DAD33">
      <w:pPr>
        <w:pStyle w:val="37"/>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污泥干化、焚烧及辅助系统组成的主要装备。</w:t>
      </w:r>
    </w:p>
    <w:p w14:paraId="7A741A80">
      <w:pPr>
        <w:pStyle w:val="39"/>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28" w:name="_Toc205892333"/>
      <w:bookmarkStart w:id="29" w:name="_Toc205913159"/>
      <w:r>
        <w:rPr>
          <w:rFonts w:hint="default" w:ascii="Times New Roman" w:hAnsi="Times New Roman" w:cs="Times New Roman"/>
          <w:sz w:val="28"/>
          <w:szCs w:val="28"/>
          <w:highlight w:val="none"/>
          <w:lang w:eastAsia="zh-CN"/>
        </w:rPr>
        <w:t>总体要求</w:t>
      </w:r>
      <w:bookmarkEnd w:id="28"/>
      <w:bookmarkEnd w:id="29"/>
    </w:p>
    <w:p w14:paraId="34F90D37">
      <w:pPr>
        <w:pStyle w:val="38"/>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集成要求</w:t>
      </w:r>
    </w:p>
    <w:p w14:paraId="66142009">
      <w:pPr>
        <w:pStyle w:val="35"/>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系统集成装备应采用模块化设计，</w:t>
      </w:r>
      <w:bookmarkStart w:id="30" w:name="OLE_LINK1"/>
      <w:r>
        <w:rPr>
          <w:rFonts w:hint="default" w:ascii="Times New Roman" w:hAnsi="Times New Roman" w:cs="Times New Roman"/>
          <w:sz w:val="28"/>
          <w:szCs w:val="28"/>
          <w:highlight w:val="none"/>
          <w:lang w:eastAsia="zh-CN"/>
        </w:rPr>
        <w:t>各功能单元</w:t>
      </w:r>
      <w:bookmarkEnd w:id="30"/>
      <w:r>
        <w:rPr>
          <w:rFonts w:hint="default" w:ascii="Times New Roman" w:hAnsi="Times New Roman" w:cs="Times New Roman"/>
          <w:sz w:val="28"/>
          <w:szCs w:val="28"/>
          <w:highlight w:val="none"/>
          <w:lang w:eastAsia="zh-CN"/>
        </w:rPr>
        <w:t>的布局应紧凑合理，物理连接可减少现场组装接口，各功能单元包括但不限于：</w:t>
      </w:r>
    </w:p>
    <w:p w14:paraId="19D63F21">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接收</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储存；</w:t>
      </w:r>
    </w:p>
    <w:p w14:paraId="229F48DC">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干化；</w:t>
      </w:r>
    </w:p>
    <w:p w14:paraId="37356675">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焚烧；</w:t>
      </w:r>
    </w:p>
    <w:p w14:paraId="15025733">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烟气净化；</w:t>
      </w:r>
    </w:p>
    <w:p w14:paraId="3CB6C908">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灰渣处理。</w:t>
      </w:r>
    </w:p>
    <w:p w14:paraId="45E8D530">
      <w:pPr>
        <w:pStyle w:val="35"/>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设备间机械、管道、电气及仪表的接口应标准化，单元间应无缝衔接。控制系统应实现全流程一体化监控。</w:t>
      </w:r>
    </w:p>
    <w:p w14:paraId="6748D2C9">
      <w:pPr>
        <w:pStyle w:val="35"/>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能源集成宜优化设计：</w:t>
      </w:r>
    </w:p>
    <w:p w14:paraId="1B1107AD">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焚烧余热优先回用于干化单元；</w:t>
      </w:r>
    </w:p>
    <w:p w14:paraId="2EC96B19">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外部热源消耗通过热能回收装置（如余热锅炉）降至最低。</w:t>
      </w:r>
    </w:p>
    <w:p w14:paraId="5585D768">
      <w:pPr>
        <w:pStyle w:val="38"/>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性能要求</w:t>
      </w:r>
    </w:p>
    <w:p w14:paraId="3BCEBAAE">
      <w:pPr>
        <w:pStyle w:val="35"/>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系统应在额定设计工况下考虑以下因素：</w:t>
      </w:r>
    </w:p>
    <w:p w14:paraId="6CA3D844">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湿污泥处理能力；</w:t>
      </w:r>
    </w:p>
    <w:p w14:paraId="299AFDB5">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干化后污泥含水率；</w:t>
      </w:r>
    </w:p>
    <w:p w14:paraId="75D2C9FC">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焚烧炉膛温度、烟气停留时间；</w:t>
      </w:r>
    </w:p>
    <w:p w14:paraId="2152AEE7">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年可用率。</w:t>
      </w:r>
    </w:p>
    <w:p w14:paraId="148D3F85">
      <w:pPr>
        <w:pStyle w:val="35"/>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干化机、焚烧炉、主风机、余热锅炉等关键设备应设置冗余配置或快速切换措施。</w:t>
      </w:r>
    </w:p>
    <w:p w14:paraId="0A0956E0">
      <w:pPr>
        <w:pStyle w:val="38"/>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安全与环保</w:t>
      </w:r>
    </w:p>
    <w:p w14:paraId="17B12F17">
      <w:pPr>
        <w:pStyle w:val="36"/>
        <w:widowControl/>
        <w:numPr>
          <w:ilvl w:val="3"/>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安全设计</w:t>
      </w:r>
    </w:p>
    <w:p w14:paraId="1EC4F9B8">
      <w:pPr>
        <w:pStyle w:val="37"/>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安全设计应满足以下要求：</w:t>
      </w:r>
    </w:p>
    <w:p w14:paraId="0D994801">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粉尘爆炸风险区域（干化单元、干污泥仓），配置氧含量监控、惰化系统及泄爆装置；</w:t>
      </w:r>
    </w:p>
    <w:p w14:paraId="34D3ED7C">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高温设备表面温度</w:t>
      </w:r>
      <w:r>
        <w:rPr>
          <w:rFonts w:hint="default" w:ascii="Times New Roman" w:hAnsi="Times New Roman" w:cs="Times New Roman"/>
          <w:sz w:val="28"/>
          <w:szCs w:val="28"/>
          <w:highlight w:val="none"/>
          <w:lang w:val="en-US"/>
        </w:rPr>
        <w:t>&gt;60°C</w:t>
      </w:r>
      <w:r>
        <w:rPr>
          <w:rFonts w:hint="default" w:ascii="Times New Roman" w:hAnsi="Times New Roman" w:cs="Times New Roman"/>
          <w:sz w:val="28"/>
          <w:szCs w:val="28"/>
          <w:highlight w:val="none"/>
          <w:lang w:eastAsia="zh-CN"/>
        </w:rPr>
        <w:t>时，设置隔热层及警示标识；</w:t>
      </w:r>
    </w:p>
    <w:p w14:paraId="21E06C99">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有毒气体（如</w:t>
      </w:r>
      <w:r>
        <w:rPr>
          <w:rFonts w:hint="default" w:ascii="Times New Roman" w:hAnsi="Times New Roman" w:cs="Times New Roman"/>
          <w:sz w:val="28"/>
          <w:szCs w:val="28"/>
          <w:highlight w:val="none"/>
          <w:lang w:val="en-US"/>
        </w:rPr>
        <w:t>H₂S</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CO</w:t>
      </w:r>
      <w:r>
        <w:rPr>
          <w:rFonts w:hint="default" w:ascii="Times New Roman" w:hAnsi="Times New Roman" w:cs="Times New Roman"/>
          <w:sz w:val="28"/>
          <w:szCs w:val="28"/>
          <w:highlight w:val="none"/>
          <w:lang w:eastAsia="zh-CN"/>
        </w:rPr>
        <w:t>）泄漏点安装在线检测仪及联锁报警。</w:t>
      </w:r>
    </w:p>
    <w:p w14:paraId="1A3C00D8">
      <w:pPr>
        <w:pStyle w:val="36"/>
        <w:widowControl/>
        <w:numPr>
          <w:ilvl w:val="3"/>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环保合规</w:t>
      </w:r>
    </w:p>
    <w:p w14:paraId="734AE2D3">
      <w:pPr>
        <w:pStyle w:val="37"/>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环保合规应满足以下要求：</w:t>
      </w:r>
    </w:p>
    <w:p w14:paraId="7BD4806F">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烟气排放满足</w:t>
      </w:r>
      <w:bookmarkStart w:id="31" w:name="_Hlk205899928"/>
      <w:r>
        <w:rPr>
          <w:rFonts w:hint="default" w:ascii="Times New Roman" w:hAnsi="Times New Roman" w:cs="Times New Roman"/>
          <w:sz w:val="28"/>
          <w:szCs w:val="28"/>
          <w:highlight w:val="none"/>
          <w:lang w:val="en-US"/>
        </w:rPr>
        <w:t>GB 18485</w:t>
      </w:r>
      <w:r>
        <w:rPr>
          <w:rFonts w:hint="default" w:ascii="Times New Roman" w:hAnsi="Times New Roman" w:cs="Times New Roman"/>
          <w:sz w:val="28"/>
          <w:szCs w:val="28"/>
          <w:highlight w:val="none"/>
          <w:lang w:eastAsia="zh-CN"/>
        </w:rPr>
        <w:t>的规定；</w:t>
      </w:r>
    </w:p>
    <w:p w14:paraId="327DE150">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厂界噪声满足</w:t>
      </w:r>
      <w:r>
        <w:rPr>
          <w:rFonts w:hint="default" w:ascii="Times New Roman" w:hAnsi="Times New Roman" w:cs="Times New Roman"/>
          <w:sz w:val="28"/>
          <w:szCs w:val="28"/>
          <w:highlight w:val="none"/>
          <w:lang w:val="en-US"/>
        </w:rPr>
        <w:t>GB 12348</w:t>
      </w:r>
      <w:bookmarkEnd w:id="31"/>
      <w:bookmarkStart w:id="32" w:name="OLE_LINK2"/>
      <w:r>
        <w:rPr>
          <w:rFonts w:hint="default" w:ascii="Times New Roman" w:hAnsi="Times New Roman" w:cs="Times New Roman"/>
          <w:sz w:val="28"/>
          <w:szCs w:val="28"/>
          <w:highlight w:val="none"/>
          <w:lang w:eastAsia="zh-CN"/>
        </w:rPr>
        <w:t>的规定</w:t>
      </w:r>
      <w:bookmarkEnd w:id="32"/>
      <w:r>
        <w:rPr>
          <w:rFonts w:hint="default" w:ascii="Times New Roman" w:hAnsi="Times New Roman" w:cs="Times New Roman"/>
          <w:sz w:val="28"/>
          <w:szCs w:val="28"/>
          <w:highlight w:val="none"/>
          <w:lang w:eastAsia="zh-CN"/>
        </w:rPr>
        <w:t>；</w:t>
      </w:r>
    </w:p>
    <w:p w14:paraId="40A5DEDB">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废水、臭气排放通过集成净化单元达标。</w:t>
      </w:r>
    </w:p>
    <w:p w14:paraId="3C8F450E">
      <w:pPr>
        <w:pStyle w:val="38"/>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自动控制</w:t>
      </w:r>
    </w:p>
    <w:p w14:paraId="6E75004C">
      <w:pPr>
        <w:pStyle w:val="35"/>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集成控制系统应实现：</w:t>
      </w:r>
    </w:p>
    <w:p w14:paraId="0D7CD491">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全流程自动启停、负荷调节及安全联锁；</w:t>
      </w:r>
    </w:p>
    <w:p w14:paraId="5CB63165">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烟气</w:t>
      </w:r>
      <w:r>
        <w:rPr>
          <w:rFonts w:hint="default" w:ascii="Times New Roman" w:hAnsi="Times New Roman" w:cs="Times New Roman"/>
          <w:sz w:val="28"/>
          <w:szCs w:val="28"/>
          <w:highlight w:val="none"/>
          <w:lang w:val="en-US"/>
        </w:rPr>
        <w:t>O₂</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NOx</w:t>
      </w:r>
      <w:r>
        <w:rPr>
          <w:rFonts w:hint="default" w:ascii="Times New Roman" w:hAnsi="Times New Roman" w:cs="Times New Roman"/>
          <w:sz w:val="28"/>
          <w:szCs w:val="28"/>
          <w:highlight w:val="none"/>
          <w:lang w:eastAsia="zh-CN"/>
        </w:rPr>
        <w:t>、粉尘浓度等关键参数实时显示、存储及超标报警；</w:t>
      </w:r>
    </w:p>
    <w:p w14:paraId="4F284C5B">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支持远程诊断接口。</w:t>
      </w:r>
    </w:p>
    <w:p w14:paraId="0B2648DC">
      <w:pPr>
        <w:pStyle w:val="35"/>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人机界面宜提供多级操作权限及故障处理指导模块。</w:t>
      </w:r>
    </w:p>
    <w:p w14:paraId="0136894E">
      <w:pPr>
        <w:pStyle w:val="38"/>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材料结构</w:t>
      </w:r>
    </w:p>
    <w:p w14:paraId="548DBA5B">
      <w:pPr>
        <w:pStyle w:val="35"/>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接触腐蚀性介质（污泥、酸性烟气）的设备及管道应采用耐蚀材料，并注明厚度裕量。</w:t>
      </w:r>
    </w:p>
    <w:p w14:paraId="2A5ABD55">
      <w:pPr>
        <w:pStyle w:val="35"/>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高磨损部位（污泥输送机、灰渣阀）宜采用碳化钨涂层或陶瓷内衬。</w:t>
      </w:r>
    </w:p>
    <w:p w14:paraId="0EE25F87">
      <w:pPr>
        <w:pStyle w:val="38"/>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维护要求</w:t>
      </w:r>
    </w:p>
    <w:p w14:paraId="23DEDFAC">
      <w:pPr>
        <w:pStyle w:val="37"/>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关键设备应预留检修空间，易损件（滤袋、密封件）更换可在</w:t>
      </w:r>
      <w:r>
        <w:rPr>
          <w:rFonts w:hint="default" w:ascii="Times New Roman" w:hAnsi="Times New Roman" w:cs="Times New Roman"/>
          <w:sz w:val="28"/>
          <w:szCs w:val="28"/>
          <w:highlight w:val="none"/>
          <w:lang w:val="en-US"/>
        </w:rPr>
        <w:t>4 h</w:t>
      </w:r>
      <w:r>
        <w:rPr>
          <w:rFonts w:hint="default" w:ascii="Times New Roman" w:hAnsi="Times New Roman" w:cs="Times New Roman"/>
          <w:sz w:val="28"/>
          <w:szCs w:val="28"/>
          <w:highlight w:val="none"/>
          <w:lang w:eastAsia="zh-CN"/>
        </w:rPr>
        <w:t>内完成。</w:t>
      </w:r>
    </w:p>
    <w:p w14:paraId="4EC76994">
      <w:pPr>
        <w:pStyle w:val="38"/>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文件要求</w:t>
      </w:r>
    </w:p>
    <w:p w14:paraId="4D2DD569">
      <w:pPr>
        <w:pStyle w:val="35"/>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供应商应提供集成装备的下列文件：</w:t>
      </w:r>
    </w:p>
    <w:p w14:paraId="37CDF857">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整体图、三维布置图及基础载荷图；</w:t>
      </w:r>
    </w:p>
    <w:p w14:paraId="3A524191">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安全风险评估报告；</w:t>
      </w:r>
    </w:p>
    <w:p w14:paraId="611D051A">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工厂集成测试方案及记录。</w:t>
      </w:r>
    </w:p>
    <w:p w14:paraId="06C81968">
      <w:pPr>
        <w:pStyle w:val="35"/>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性能考核应在</w:t>
      </w:r>
      <w:r>
        <w:rPr>
          <w:rFonts w:hint="default" w:ascii="Times New Roman" w:hAnsi="Times New Roman" w:cs="Times New Roman"/>
          <w:sz w:val="28"/>
          <w:szCs w:val="28"/>
          <w:highlight w:val="none"/>
          <w:lang w:val="en-US"/>
        </w:rPr>
        <w:t>72 h</w:t>
      </w:r>
      <w:r>
        <w:rPr>
          <w:rFonts w:hint="default" w:ascii="Times New Roman" w:hAnsi="Times New Roman" w:cs="Times New Roman"/>
          <w:sz w:val="28"/>
          <w:szCs w:val="28"/>
          <w:highlight w:val="none"/>
          <w:lang w:eastAsia="zh-CN"/>
        </w:rPr>
        <w:t>连续运行后验收。</w:t>
      </w:r>
    </w:p>
    <w:p w14:paraId="30068C6F">
      <w:pPr>
        <w:pStyle w:val="39"/>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33" w:name="_Toc205892334"/>
      <w:bookmarkStart w:id="34" w:name="_Toc205913160"/>
      <w:r>
        <w:rPr>
          <w:rFonts w:hint="default" w:ascii="Times New Roman" w:hAnsi="Times New Roman" w:cs="Times New Roman"/>
          <w:sz w:val="28"/>
          <w:szCs w:val="28"/>
          <w:highlight w:val="none"/>
          <w:lang w:eastAsia="zh-CN"/>
        </w:rPr>
        <w:t>集成要求</w:t>
      </w:r>
      <w:bookmarkEnd w:id="33"/>
      <w:bookmarkEnd w:id="34"/>
    </w:p>
    <w:p w14:paraId="55A43336">
      <w:pPr>
        <w:pStyle w:val="38"/>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物理集成</w:t>
      </w:r>
    </w:p>
    <w:p w14:paraId="70FD5091">
      <w:pPr>
        <w:pStyle w:val="35"/>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各功能单元（污泥接收</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储存、干化、焚烧、烟气净化、灰渣处理）应按工艺流程紧凑布局，设备间距宜</w:t>
      </w:r>
      <w:r>
        <w:rPr>
          <w:rFonts w:hint="default" w:ascii="Times New Roman" w:hAnsi="Times New Roman" w:cs="Times New Roman"/>
          <w:sz w:val="28"/>
          <w:szCs w:val="28"/>
          <w:highlight w:val="none"/>
          <w:lang w:val="en-US"/>
        </w:rPr>
        <w:t>≥0.8 m</w:t>
      </w:r>
      <w:r>
        <w:rPr>
          <w:rFonts w:hint="default" w:ascii="Times New Roman" w:hAnsi="Times New Roman" w:cs="Times New Roman"/>
          <w:sz w:val="28"/>
          <w:szCs w:val="28"/>
          <w:highlight w:val="none"/>
          <w:lang w:eastAsia="zh-CN"/>
        </w:rPr>
        <w:t>，满足检修通道要求，且不应存在干涉风险。</w:t>
      </w:r>
    </w:p>
    <w:p w14:paraId="4D99893A">
      <w:pPr>
        <w:pStyle w:val="35"/>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单元间连接管道应采用工厂预制的标准化法兰接口，现场安装错位量</w:t>
      </w:r>
      <w:r>
        <w:rPr>
          <w:rFonts w:hint="default" w:ascii="Times New Roman" w:hAnsi="Times New Roman" w:cs="Times New Roman"/>
          <w:sz w:val="28"/>
          <w:szCs w:val="28"/>
          <w:highlight w:val="none"/>
          <w:lang w:val="en-US"/>
        </w:rPr>
        <w:t>≤2 mm</w:t>
      </w:r>
      <w:r>
        <w:rPr>
          <w:rFonts w:hint="default" w:ascii="Times New Roman" w:hAnsi="Times New Roman" w:cs="Times New Roman"/>
          <w:sz w:val="28"/>
          <w:szCs w:val="28"/>
          <w:highlight w:val="none"/>
          <w:lang w:eastAsia="zh-CN"/>
        </w:rPr>
        <w:t>。</w:t>
      </w:r>
    </w:p>
    <w:p w14:paraId="3C380E10">
      <w:pPr>
        <w:pStyle w:val="35"/>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大型设备（焚烧炉、余热锅炉）基础应集成设计，荷载偏差宜控制在</w:t>
      </w:r>
      <w:r>
        <w:rPr>
          <w:rFonts w:hint="default" w:ascii="Times New Roman" w:hAnsi="Times New Roman" w:cs="Times New Roman"/>
          <w:sz w:val="28"/>
          <w:szCs w:val="28"/>
          <w:highlight w:val="none"/>
          <w:lang w:val="en-US"/>
        </w:rPr>
        <w:t>±5%</w:t>
      </w:r>
      <w:r>
        <w:rPr>
          <w:rFonts w:hint="default" w:ascii="Times New Roman" w:hAnsi="Times New Roman" w:cs="Times New Roman"/>
          <w:sz w:val="28"/>
          <w:szCs w:val="28"/>
          <w:highlight w:val="none"/>
          <w:lang w:eastAsia="zh-CN"/>
        </w:rPr>
        <w:t>以内。</w:t>
      </w:r>
    </w:p>
    <w:p w14:paraId="45D52536">
      <w:pPr>
        <w:pStyle w:val="38"/>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控制集成</w:t>
      </w:r>
    </w:p>
    <w:p w14:paraId="0FAC3E04">
      <w:pPr>
        <w:pStyle w:val="35"/>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全系统应由单一</w:t>
      </w:r>
      <w:r>
        <w:rPr>
          <w:rFonts w:hint="default" w:ascii="Times New Roman" w:hAnsi="Times New Roman" w:cs="Times New Roman"/>
          <w:sz w:val="28"/>
          <w:szCs w:val="28"/>
          <w:highlight w:val="none"/>
          <w:lang w:val="en-US"/>
        </w:rPr>
        <w:t>PLC</w:t>
      </w:r>
      <w:r>
        <w:rPr>
          <w:rFonts w:hint="default" w:ascii="Times New Roman" w:hAnsi="Times New Roman" w:cs="Times New Roman"/>
          <w:sz w:val="28"/>
          <w:szCs w:val="28"/>
          <w:highlight w:val="none"/>
          <w:lang w:eastAsia="zh-CN"/>
        </w:rPr>
        <w:t>控制，可实现：</w:t>
      </w:r>
    </w:p>
    <w:p w14:paraId="6FEC36CF">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干化单元出口含水率</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焚烧单元进料量</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烟气净化单元药剂投加的自动联锁调节；</w:t>
      </w:r>
    </w:p>
    <w:p w14:paraId="11F9EDFE">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关键参数（如焚烧炉温度、烟气</w:t>
      </w:r>
      <w:r>
        <w:rPr>
          <w:rFonts w:hint="default" w:ascii="Times New Roman" w:hAnsi="Times New Roman" w:cs="Times New Roman"/>
          <w:sz w:val="28"/>
          <w:szCs w:val="28"/>
          <w:highlight w:val="none"/>
          <w:lang w:val="en-US"/>
        </w:rPr>
        <w:t>O₂</w:t>
      </w:r>
      <w:r>
        <w:rPr>
          <w:rFonts w:hint="default" w:ascii="Times New Roman" w:hAnsi="Times New Roman" w:cs="Times New Roman"/>
          <w:sz w:val="28"/>
          <w:szCs w:val="28"/>
          <w:highlight w:val="none"/>
          <w:lang w:eastAsia="zh-CN"/>
        </w:rPr>
        <w:t>含量）超限时触发分级报警及停机保护。</w:t>
      </w:r>
    </w:p>
    <w:p w14:paraId="1D063758">
      <w:pPr>
        <w:pStyle w:val="35"/>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控制柜应集中布置于防爆控制室，各单元信号宜通过冗余总线传输。</w:t>
      </w:r>
    </w:p>
    <w:p w14:paraId="7672F81B">
      <w:pPr>
        <w:pStyle w:val="35"/>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操作界面应集成所有单元实时数据，并支持</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一键启停</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全流程。</w:t>
      </w:r>
    </w:p>
    <w:p w14:paraId="708FD490">
      <w:pPr>
        <w:pStyle w:val="38"/>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能源集成</w:t>
      </w:r>
    </w:p>
    <w:p w14:paraId="425C59F9">
      <w:pPr>
        <w:pStyle w:val="35"/>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能源回收应满足以下要求：</w:t>
      </w:r>
    </w:p>
    <w:p w14:paraId="553E18A5">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焚烧烟气余热优先用于干化单元，剩余热量通过余热锅炉产蒸汽；</w:t>
      </w:r>
    </w:p>
    <w:p w14:paraId="66AEE891">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蒸汽产量＞需求产量时，富余蒸汽回用于厂区供热或发电。</w:t>
      </w:r>
    </w:p>
    <w:p w14:paraId="49DC50AE">
      <w:pPr>
        <w:pStyle w:val="35"/>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系统排烟温度宜</w:t>
      </w:r>
      <w:r>
        <w:rPr>
          <w:rFonts w:hint="default" w:ascii="Times New Roman" w:hAnsi="Times New Roman" w:cs="Times New Roman"/>
          <w:sz w:val="28"/>
          <w:szCs w:val="28"/>
          <w:highlight w:val="none"/>
          <w:lang w:val="en-US"/>
        </w:rPr>
        <w:t>≤130°C</w:t>
      </w:r>
      <w:r>
        <w:rPr>
          <w:rFonts w:hint="default" w:ascii="Times New Roman" w:hAnsi="Times New Roman" w:cs="Times New Roman"/>
          <w:sz w:val="28"/>
          <w:szCs w:val="28"/>
          <w:highlight w:val="none"/>
          <w:lang w:eastAsia="zh-CN"/>
        </w:rPr>
        <w:t>，且不应因余热利用导致烟气净化效率下降。</w:t>
      </w:r>
    </w:p>
    <w:p w14:paraId="3A360333">
      <w:pPr>
        <w:pStyle w:val="38"/>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接口要求</w:t>
      </w:r>
    </w:p>
    <w:p w14:paraId="49DBF7B9">
      <w:pPr>
        <w:pStyle w:val="35"/>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供应商应提供完整的接口清单，包括机械、电气、仪表点位表，并对集成装备内部所有接口的匹配性负责。</w:t>
      </w:r>
    </w:p>
    <w:p w14:paraId="3A03EEFC">
      <w:pPr>
        <w:pStyle w:val="35"/>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外部接口（如市政水电、污泥接收槽车位）可由用户提供，但供应商应明确接口参数。</w:t>
      </w:r>
    </w:p>
    <w:p w14:paraId="00CC1EC1">
      <w:pPr>
        <w:pStyle w:val="38"/>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验证要求</w:t>
      </w:r>
    </w:p>
    <w:p w14:paraId="7C5E7FFA">
      <w:pPr>
        <w:pStyle w:val="35"/>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物理集成度应通过三维模型碰撞检测验证，并提交模型文件。</w:t>
      </w:r>
    </w:p>
    <w:p w14:paraId="6CC11301">
      <w:pPr>
        <w:pStyle w:val="35"/>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控制集成逻辑应在工厂测试中模拟运行</w:t>
      </w:r>
      <w:r>
        <w:rPr>
          <w:rFonts w:hint="default" w:ascii="Times New Roman" w:hAnsi="Times New Roman" w:cs="Times New Roman"/>
          <w:sz w:val="28"/>
          <w:szCs w:val="28"/>
          <w:highlight w:val="none"/>
          <w:lang w:val="en-US"/>
        </w:rPr>
        <w:t>≥200</w:t>
      </w:r>
      <w:r>
        <w:rPr>
          <w:rFonts w:hint="default" w:ascii="Times New Roman" w:hAnsi="Times New Roman" w:cs="Times New Roman"/>
          <w:sz w:val="28"/>
          <w:szCs w:val="28"/>
          <w:highlight w:val="none"/>
          <w:lang w:eastAsia="zh-CN"/>
        </w:rPr>
        <w:t>个联锁场景。</w:t>
      </w:r>
    </w:p>
    <w:p w14:paraId="45BF9DFB">
      <w:pPr>
        <w:pStyle w:val="35"/>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能源集成方案应附热平衡计算书，标明各节点温度、流量及热效率。</w:t>
      </w:r>
    </w:p>
    <w:p w14:paraId="6FCD334F">
      <w:pPr>
        <w:pStyle w:val="39"/>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35" w:name="_Toc205892335"/>
      <w:bookmarkStart w:id="36" w:name="_Toc205913161"/>
      <w:r>
        <w:rPr>
          <w:rFonts w:hint="default" w:ascii="Times New Roman" w:hAnsi="Times New Roman" w:cs="Times New Roman"/>
          <w:sz w:val="28"/>
          <w:szCs w:val="28"/>
          <w:highlight w:val="none"/>
          <w:lang w:eastAsia="zh-CN"/>
        </w:rPr>
        <w:t>核心单元设备</w:t>
      </w:r>
      <w:bookmarkEnd w:id="35"/>
      <w:bookmarkEnd w:id="36"/>
    </w:p>
    <w:p w14:paraId="100D6ED8">
      <w:pPr>
        <w:pStyle w:val="38"/>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干化单元</w:t>
      </w:r>
    </w:p>
    <w:p w14:paraId="6FF17BC4">
      <w:pPr>
        <w:pStyle w:val="35"/>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干化机类型应明确（桨叶式</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流化床</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带式等）。</w:t>
      </w:r>
    </w:p>
    <w:p w14:paraId="487D448F">
      <w:pPr>
        <w:pStyle w:val="35"/>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热介质（蒸汽</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导热油）温度应可控，控制精度</w:t>
      </w:r>
      <w:r>
        <w:rPr>
          <w:rFonts w:hint="default" w:ascii="Times New Roman" w:hAnsi="Times New Roman" w:cs="Times New Roman"/>
          <w:sz w:val="28"/>
          <w:szCs w:val="28"/>
          <w:highlight w:val="none"/>
          <w:lang w:val="en-US"/>
        </w:rPr>
        <w:t>±5°C</w:t>
      </w:r>
      <w:r>
        <w:rPr>
          <w:rFonts w:hint="default" w:ascii="Times New Roman" w:hAnsi="Times New Roman" w:cs="Times New Roman"/>
          <w:sz w:val="28"/>
          <w:szCs w:val="28"/>
          <w:highlight w:val="none"/>
          <w:lang w:eastAsia="zh-CN"/>
        </w:rPr>
        <w:t>。</w:t>
      </w:r>
    </w:p>
    <w:p w14:paraId="22F793B9">
      <w:pPr>
        <w:pStyle w:val="35"/>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接触湿污泥的部件（桨叶</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内壁）应采用耐腐蚀材料，宜选择</w:t>
      </w:r>
      <w:r>
        <w:rPr>
          <w:rFonts w:hint="default" w:ascii="Times New Roman" w:hAnsi="Times New Roman" w:cs="Times New Roman"/>
          <w:sz w:val="28"/>
          <w:szCs w:val="28"/>
          <w:highlight w:val="none"/>
          <w:lang w:val="en-US"/>
        </w:rPr>
        <w:t>316 L</w:t>
      </w:r>
      <w:r>
        <w:rPr>
          <w:rFonts w:hint="default" w:ascii="Times New Roman" w:hAnsi="Times New Roman" w:cs="Times New Roman"/>
          <w:sz w:val="28"/>
          <w:szCs w:val="28"/>
          <w:highlight w:val="none"/>
          <w:lang w:eastAsia="zh-CN"/>
        </w:rPr>
        <w:t>不锈钢，厚度</w:t>
      </w:r>
      <w:r>
        <w:rPr>
          <w:rFonts w:hint="default" w:ascii="Times New Roman" w:hAnsi="Times New Roman" w:cs="Times New Roman"/>
          <w:sz w:val="28"/>
          <w:szCs w:val="28"/>
          <w:highlight w:val="none"/>
          <w:lang w:val="en-US"/>
        </w:rPr>
        <w:t>≥8 mm</w:t>
      </w:r>
      <w:r>
        <w:rPr>
          <w:rFonts w:hint="default" w:ascii="Times New Roman" w:hAnsi="Times New Roman" w:cs="Times New Roman"/>
          <w:sz w:val="28"/>
          <w:szCs w:val="28"/>
          <w:highlight w:val="none"/>
          <w:lang w:eastAsia="zh-CN"/>
        </w:rPr>
        <w:t>，高磨损区加焊碳化钨硬质层。</w:t>
      </w:r>
    </w:p>
    <w:p w14:paraId="2CE0EFF1">
      <w:pPr>
        <w:pStyle w:val="35"/>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干化腔氧含量应</w:t>
      </w:r>
      <w:r>
        <w:rPr>
          <w:rFonts w:hint="default" w:ascii="Times New Roman" w:hAnsi="Times New Roman" w:cs="Times New Roman"/>
          <w:sz w:val="28"/>
          <w:szCs w:val="28"/>
          <w:highlight w:val="none"/>
          <w:lang w:val="en-US"/>
        </w:rPr>
        <w:t>≤8%</w:t>
      </w:r>
      <w:r>
        <w:rPr>
          <w:rFonts w:hint="default" w:ascii="Times New Roman" w:hAnsi="Times New Roman" w:cs="Times New Roman"/>
          <w:sz w:val="28"/>
          <w:szCs w:val="28"/>
          <w:highlight w:val="none"/>
          <w:lang w:eastAsia="zh-CN"/>
        </w:rPr>
        <w:t>，超限时应自动触发氮气惰化及停机保护。</w:t>
      </w:r>
    </w:p>
    <w:p w14:paraId="0DE4142F">
      <w:pPr>
        <w:pStyle w:val="38"/>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焚烧单元</w:t>
      </w:r>
    </w:p>
    <w:p w14:paraId="00E30C4D">
      <w:pPr>
        <w:pStyle w:val="35"/>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焚烧炉应选用流化床或回转窑炉型，炉膛温度应稳定于</w:t>
      </w:r>
      <w:r>
        <w:rPr>
          <w:rFonts w:hint="default" w:ascii="Times New Roman" w:hAnsi="Times New Roman" w:cs="Times New Roman"/>
          <w:sz w:val="28"/>
          <w:szCs w:val="28"/>
          <w:highlight w:val="none"/>
          <w:lang w:val="en-US"/>
        </w:rPr>
        <w:t>850°C ~950°C</w:t>
      </w:r>
      <w:r>
        <w:rPr>
          <w:rFonts w:hint="default" w:ascii="Times New Roman" w:hAnsi="Times New Roman" w:cs="Times New Roman"/>
          <w:sz w:val="28"/>
          <w:szCs w:val="28"/>
          <w:highlight w:val="none"/>
          <w:lang w:eastAsia="zh-CN"/>
        </w:rPr>
        <w:t>，高温区停留时间应</w:t>
      </w:r>
      <w:r>
        <w:rPr>
          <w:rFonts w:hint="default" w:ascii="Times New Roman" w:hAnsi="Times New Roman" w:cs="Times New Roman"/>
          <w:sz w:val="28"/>
          <w:szCs w:val="28"/>
          <w:highlight w:val="none"/>
          <w:lang w:val="en-US"/>
        </w:rPr>
        <w:t>≥2.0 s</w:t>
      </w:r>
      <w:r>
        <w:rPr>
          <w:rFonts w:hint="default" w:ascii="Times New Roman" w:hAnsi="Times New Roman" w:cs="Times New Roman"/>
          <w:sz w:val="28"/>
          <w:szCs w:val="28"/>
          <w:highlight w:val="none"/>
          <w:lang w:eastAsia="zh-CN"/>
        </w:rPr>
        <w:t>。</w:t>
      </w:r>
    </w:p>
    <w:p w14:paraId="680B7D63">
      <w:pPr>
        <w:pStyle w:val="35"/>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燃烧效率应</w:t>
      </w:r>
      <w:r>
        <w:rPr>
          <w:rFonts w:hint="default" w:ascii="Times New Roman" w:hAnsi="Times New Roman" w:cs="Times New Roman"/>
          <w:sz w:val="28"/>
          <w:szCs w:val="28"/>
          <w:highlight w:val="none"/>
          <w:lang w:val="en-US"/>
        </w:rPr>
        <w:t>≥99.9%</w:t>
      </w:r>
      <w:r>
        <w:rPr>
          <w:rFonts w:hint="default" w:ascii="Times New Roman" w:hAnsi="Times New Roman" w:cs="Times New Roman"/>
          <w:sz w:val="28"/>
          <w:szCs w:val="28"/>
          <w:highlight w:val="none"/>
          <w:lang w:eastAsia="zh-CN"/>
        </w:rPr>
        <w:t>，炉渣热灼减率</w:t>
      </w:r>
      <w:r>
        <w:rPr>
          <w:rFonts w:hint="default" w:ascii="Times New Roman" w:hAnsi="Times New Roman" w:cs="Times New Roman"/>
          <w:sz w:val="28"/>
          <w:szCs w:val="28"/>
          <w:highlight w:val="none"/>
          <w:lang w:val="en-US"/>
        </w:rPr>
        <w:t>≤3%</w:t>
      </w:r>
      <w:r>
        <w:rPr>
          <w:rFonts w:hint="default" w:ascii="Times New Roman" w:hAnsi="Times New Roman" w:cs="Times New Roman"/>
          <w:sz w:val="28"/>
          <w:szCs w:val="28"/>
          <w:highlight w:val="none"/>
          <w:lang w:eastAsia="zh-CN"/>
        </w:rPr>
        <w:t>。耐火材料宜选用刚玉莫来石质，厚度</w:t>
      </w:r>
      <w:r>
        <w:rPr>
          <w:rFonts w:hint="default" w:ascii="Times New Roman" w:hAnsi="Times New Roman" w:cs="Times New Roman"/>
          <w:sz w:val="28"/>
          <w:szCs w:val="28"/>
          <w:highlight w:val="none"/>
          <w:lang w:val="en-US"/>
        </w:rPr>
        <w:t>≥250 mm</w:t>
      </w:r>
      <w:r>
        <w:rPr>
          <w:rFonts w:hint="default" w:ascii="Times New Roman" w:hAnsi="Times New Roman" w:cs="Times New Roman"/>
          <w:sz w:val="28"/>
          <w:szCs w:val="28"/>
          <w:highlight w:val="none"/>
          <w:lang w:eastAsia="zh-CN"/>
        </w:rPr>
        <w:t>。</w:t>
      </w:r>
    </w:p>
    <w:p w14:paraId="359AEF20">
      <w:pPr>
        <w:pStyle w:val="35"/>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配风系统应实现一次风</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二次风比例自动调节，范围在</w:t>
      </w:r>
      <w:r>
        <w:rPr>
          <w:rFonts w:hint="default" w:ascii="Times New Roman" w:hAnsi="Times New Roman" w:cs="Times New Roman"/>
          <w:sz w:val="28"/>
          <w:szCs w:val="28"/>
          <w:highlight w:val="none"/>
          <w:lang w:val="en-US"/>
        </w:rPr>
        <w:t>30</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70~50</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50</w:t>
      </w:r>
      <w:r>
        <w:rPr>
          <w:rFonts w:hint="default" w:ascii="Times New Roman" w:hAnsi="Times New Roman" w:cs="Times New Roman"/>
          <w:sz w:val="28"/>
          <w:szCs w:val="28"/>
          <w:highlight w:val="none"/>
          <w:lang w:eastAsia="zh-CN"/>
        </w:rPr>
        <w:t>，风量测量误差宜</w:t>
      </w:r>
      <w:r>
        <w:rPr>
          <w:rFonts w:hint="default" w:ascii="Times New Roman" w:hAnsi="Times New Roman" w:cs="Times New Roman"/>
          <w:sz w:val="28"/>
          <w:szCs w:val="28"/>
          <w:highlight w:val="none"/>
          <w:lang w:val="en-US"/>
        </w:rPr>
        <w:t>≤±2%</w:t>
      </w:r>
      <w:r>
        <w:rPr>
          <w:rFonts w:hint="default" w:ascii="Times New Roman" w:hAnsi="Times New Roman" w:cs="Times New Roman"/>
          <w:sz w:val="28"/>
          <w:szCs w:val="28"/>
          <w:highlight w:val="none"/>
          <w:lang w:eastAsia="zh-CN"/>
        </w:rPr>
        <w:t>。</w:t>
      </w:r>
    </w:p>
    <w:p w14:paraId="21AE953A">
      <w:pPr>
        <w:pStyle w:val="38"/>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余热利用单元</w:t>
      </w:r>
    </w:p>
    <w:p w14:paraId="0A054E5A">
      <w:pPr>
        <w:pStyle w:val="35"/>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余热锅炉应产饱和蒸汽，压力</w:t>
      </w:r>
      <w:r>
        <w:rPr>
          <w:rFonts w:hint="default" w:ascii="Times New Roman" w:hAnsi="Times New Roman" w:cs="Times New Roman"/>
          <w:sz w:val="28"/>
          <w:szCs w:val="28"/>
          <w:highlight w:val="none"/>
          <w:lang w:val="en-US"/>
        </w:rPr>
        <w:t>≥1.0 MPa</w:t>
      </w:r>
      <w:r>
        <w:rPr>
          <w:rFonts w:hint="default" w:ascii="Times New Roman" w:hAnsi="Times New Roman" w:cs="Times New Roman"/>
          <w:sz w:val="28"/>
          <w:szCs w:val="28"/>
          <w:highlight w:val="none"/>
          <w:lang w:eastAsia="zh-CN"/>
        </w:rPr>
        <w:t>，热效率宜</w:t>
      </w:r>
      <w:r>
        <w:rPr>
          <w:rFonts w:hint="default" w:ascii="Times New Roman" w:hAnsi="Times New Roman" w:cs="Times New Roman"/>
          <w:sz w:val="28"/>
          <w:szCs w:val="28"/>
          <w:highlight w:val="none"/>
          <w:lang w:val="en-US"/>
        </w:rPr>
        <w:t>≥75%</w:t>
      </w:r>
      <w:r>
        <w:rPr>
          <w:rFonts w:hint="default" w:ascii="Times New Roman" w:hAnsi="Times New Roman" w:cs="Times New Roman"/>
          <w:sz w:val="28"/>
          <w:szCs w:val="28"/>
          <w:highlight w:val="none"/>
          <w:lang w:eastAsia="zh-CN"/>
        </w:rPr>
        <w:t>。</w:t>
      </w:r>
    </w:p>
    <w:p w14:paraId="0408408E">
      <w:pPr>
        <w:pStyle w:val="35"/>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高温烟气入口（</w:t>
      </w:r>
      <w:r>
        <w:rPr>
          <w:rFonts w:hint="default" w:ascii="Times New Roman" w:hAnsi="Times New Roman" w:cs="Times New Roman"/>
          <w:sz w:val="28"/>
          <w:szCs w:val="28"/>
          <w:highlight w:val="none"/>
          <w:lang w:val="en-US"/>
        </w:rPr>
        <w:t>≥550°C</w:t>
      </w:r>
      <w:r>
        <w:rPr>
          <w:rFonts w:hint="default" w:ascii="Times New Roman" w:hAnsi="Times New Roman" w:cs="Times New Roman"/>
          <w:sz w:val="28"/>
          <w:szCs w:val="28"/>
          <w:highlight w:val="none"/>
          <w:lang w:eastAsia="zh-CN"/>
        </w:rPr>
        <w:t>）受热面应采用不锈钢，并配置声波吹灰器。</w:t>
      </w:r>
    </w:p>
    <w:p w14:paraId="16465614">
      <w:pPr>
        <w:pStyle w:val="38"/>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烟气净化单元</w:t>
      </w:r>
    </w:p>
    <w:p w14:paraId="68D840D6">
      <w:pPr>
        <w:pStyle w:val="35"/>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净化工艺应包含以下内容：</w:t>
      </w:r>
    </w:p>
    <w:p w14:paraId="5E74BDF8">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脱硝：系统氨逃逸</w:t>
      </w:r>
      <w:r>
        <w:rPr>
          <w:rFonts w:hint="default" w:ascii="Times New Roman" w:hAnsi="Times New Roman" w:cs="Times New Roman"/>
          <w:sz w:val="28"/>
          <w:szCs w:val="28"/>
          <w:highlight w:val="none"/>
          <w:lang w:val="en-US"/>
        </w:rPr>
        <w:t>≤8 ppm</w:t>
      </w:r>
      <w:r>
        <w:rPr>
          <w:rFonts w:hint="default" w:ascii="Times New Roman" w:hAnsi="Times New Roman" w:cs="Times New Roman"/>
          <w:sz w:val="28"/>
          <w:szCs w:val="28"/>
          <w:highlight w:val="none"/>
          <w:lang w:eastAsia="zh-CN"/>
        </w:rPr>
        <w:t>，或系统脱硝效率</w:t>
      </w:r>
      <w:r>
        <w:rPr>
          <w:rFonts w:hint="default" w:ascii="Times New Roman" w:hAnsi="Times New Roman" w:cs="Times New Roman"/>
          <w:sz w:val="28"/>
          <w:szCs w:val="28"/>
          <w:highlight w:val="none"/>
          <w:lang w:val="en-US"/>
        </w:rPr>
        <w:t>≥85%</w:t>
      </w:r>
      <w:r>
        <w:rPr>
          <w:rFonts w:hint="default" w:ascii="Times New Roman" w:hAnsi="Times New Roman" w:cs="Times New Roman"/>
          <w:sz w:val="28"/>
          <w:szCs w:val="28"/>
          <w:highlight w:val="none"/>
          <w:lang w:eastAsia="zh-CN"/>
        </w:rPr>
        <w:t>；</w:t>
      </w:r>
    </w:p>
    <w:p w14:paraId="1943E3DC">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脱酸：半干法反应塔出口温度控制于</w:t>
      </w:r>
      <w:r>
        <w:rPr>
          <w:rFonts w:hint="default" w:ascii="Times New Roman" w:hAnsi="Times New Roman" w:cs="Times New Roman"/>
          <w:sz w:val="28"/>
          <w:szCs w:val="28"/>
          <w:highlight w:val="none"/>
          <w:lang w:val="en-US"/>
        </w:rPr>
        <w:t>140°C ~160</w:t>
      </w:r>
      <w:bookmarkStart w:id="37" w:name="OLE_LINK4"/>
      <w:r>
        <w:rPr>
          <w:rFonts w:hint="default" w:ascii="Times New Roman" w:hAnsi="Times New Roman" w:cs="Times New Roman"/>
          <w:sz w:val="28"/>
          <w:szCs w:val="28"/>
          <w:highlight w:val="none"/>
          <w:lang w:val="en-US"/>
        </w:rPr>
        <w:t>°C</w:t>
      </w:r>
      <w:bookmarkEnd w:id="37"/>
      <w:r>
        <w:rPr>
          <w:rFonts w:hint="default" w:ascii="Times New Roman" w:hAnsi="Times New Roman" w:cs="Times New Roman"/>
          <w:sz w:val="28"/>
          <w:szCs w:val="28"/>
          <w:highlight w:val="none"/>
          <w:lang w:eastAsia="zh-CN"/>
        </w:rPr>
        <w:t>，脱酸效率</w:t>
      </w:r>
      <w:r>
        <w:rPr>
          <w:rFonts w:hint="default" w:ascii="Times New Roman" w:hAnsi="Times New Roman" w:cs="Times New Roman"/>
          <w:sz w:val="28"/>
          <w:szCs w:val="28"/>
          <w:highlight w:val="none"/>
          <w:lang w:val="en-US"/>
        </w:rPr>
        <w:t>≥90%</w:t>
      </w:r>
      <w:r>
        <w:rPr>
          <w:rFonts w:hint="default" w:ascii="Times New Roman" w:hAnsi="Times New Roman" w:cs="Times New Roman"/>
          <w:sz w:val="28"/>
          <w:szCs w:val="28"/>
          <w:highlight w:val="none"/>
          <w:lang w:eastAsia="zh-CN"/>
        </w:rPr>
        <w:t>；</w:t>
      </w:r>
    </w:p>
    <w:p w14:paraId="61556DB1">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除尘：布袋材质选用覆膜滤料，过滤风速</w:t>
      </w:r>
      <w:r>
        <w:rPr>
          <w:rFonts w:hint="default" w:ascii="Times New Roman" w:hAnsi="Times New Roman" w:cs="Times New Roman"/>
          <w:sz w:val="28"/>
          <w:szCs w:val="28"/>
          <w:highlight w:val="none"/>
          <w:lang w:val="en-US"/>
        </w:rPr>
        <w:t>≤0.8 m/min</w:t>
      </w:r>
      <w:r>
        <w:rPr>
          <w:rFonts w:hint="default" w:ascii="Times New Roman" w:hAnsi="Times New Roman" w:cs="Times New Roman"/>
          <w:sz w:val="28"/>
          <w:szCs w:val="28"/>
          <w:highlight w:val="none"/>
          <w:lang w:eastAsia="zh-CN"/>
        </w:rPr>
        <w:t>，出口粉尘</w:t>
      </w:r>
      <w:r>
        <w:rPr>
          <w:rFonts w:hint="default" w:ascii="Times New Roman" w:hAnsi="Times New Roman" w:cs="Times New Roman"/>
          <w:sz w:val="28"/>
          <w:szCs w:val="28"/>
          <w:highlight w:val="none"/>
          <w:lang w:val="en-US"/>
        </w:rPr>
        <w:t>≤10 mg/Nm³</w:t>
      </w:r>
      <w:r>
        <w:rPr>
          <w:rFonts w:hint="default" w:ascii="Times New Roman" w:hAnsi="Times New Roman" w:cs="Times New Roman"/>
          <w:sz w:val="28"/>
          <w:szCs w:val="28"/>
          <w:highlight w:val="none"/>
          <w:lang w:eastAsia="zh-CN"/>
        </w:rPr>
        <w:t>。</w:t>
      </w:r>
    </w:p>
    <w:p w14:paraId="4223BF35">
      <w:pPr>
        <w:pStyle w:val="35"/>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活性炭喷射量应按二噁英浓度动态调节，保证排放应</w:t>
      </w:r>
      <w:r>
        <w:rPr>
          <w:rFonts w:hint="default" w:ascii="Times New Roman" w:hAnsi="Times New Roman" w:cs="Times New Roman"/>
          <w:sz w:val="28"/>
          <w:szCs w:val="28"/>
          <w:highlight w:val="none"/>
          <w:lang w:val="en-US"/>
        </w:rPr>
        <w:t>≤0.1 ngTEQ/Nm³</w:t>
      </w:r>
      <w:r>
        <w:rPr>
          <w:rFonts w:hint="default" w:ascii="Times New Roman" w:hAnsi="Times New Roman" w:cs="Times New Roman"/>
          <w:sz w:val="28"/>
          <w:szCs w:val="28"/>
          <w:highlight w:val="none"/>
          <w:lang w:eastAsia="zh-CN"/>
        </w:rPr>
        <w:t>。</w:t>
      </w:r>
    </w:p>
    <w:p w14:paraId="285D8ABF">
      <w:pPr>
        <w:pStyle w:val="38"/>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灰渣处理单元</w:t>
      </w:r>
    </w:p>
    <w:p w14:paraId="1D6E2B71">
      <w:pPr>
        <w:pStyle w:val="35"/>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飞灰输送系统应密闭设计，气力输送风速</w:t>
      </w:r>
      <w:r>
        <w:rPr>
          <w:rFonts w:hint="default" w:ascii="Times New Roman" w:hAnsi="Times New Roman" w:cs="Times New Roman"/>
          <w:sz w:val="28"/>
          <w:szCs w:val="28"/>
          <w:highlight w:val="none"/>
          <w:lang w:val="en-US"/>
        </w:rPr>
        <w:t>≥18 m/s</w:t>
      </w:r>
      <w:r>
        <w:rPr>
          <w:rFonts w:hint="default" w:ascii="Times New Roman" w:hAnsi="Times New Roman" w:cs="Times New Roman"/>
          <w:sz w:val="28"/>
          <w:szCs w:val="28"/>
          <w:highlight w:val="none"/>
          <w:lang w:eastAsia="zh-CN"/>
        </w:rPr>
        <w:t>，管道弯头内衬陶瓷，厚度</w:t>
      </w:r>
      <w:r>
        <w:rPr>
          <w:rFonts w:hint="default" w:ascii="Times New Roman" w:hAnsi="Times New Roman" w:cs="Times New Roman"/>
          <w:sz w:val="28"/>
          <w:szCs w:val="28"/>
          <w:highlight w:val="none"/>
          <w:lang w:val="en-US"/>
        </w:rPr>
        <w:t>≥6 mm</w:t>
      </w:r>
      <w:r>
        <w:rPr>
          <w:rFonts w:hint="default" w:ascii="Times New Roman" w:hAnsi="Times New Roman" w:cs="Times New Roman"/>
          <w:sz w:val="28"/>
          <w:szCs w:val="28"/>
          <w:highlight w:val="none"/>
          <w:lang w:eastAsia="zh-CN"/>
        </w:rPr>
        <w:t>。</w:t>
      </w:r>
    </w:p>
    <w:p w14:paraId="62C732A7">
      <w:pPr>
        <w:pStyle w:val="35"/>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飞灰仓应配置流化装置及料位计，仓顶排气接入烟气净化系统。</w:t>
      </w:r>
    </w:p>
    <w:p w14:paraId="667487FA">
      <w:pPr>
        <w:pStyle w:val="38"/>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控制系统</w:t>
      </w:r>
    </w:p>
    <w:p w14:paraId="2955AC4C">
      <w:pPr>
        <w:pStyle w:val="35"/>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应采用冗余架构，如控制器、电源、网络，冗余宜</w:t>
      </w:r>
      <w:r>
        <w:rPr>
          <w:rFonts w:hint="default" w:ascii="Times New Roman" w:hAnsi="Times New Roman" w:cs="Times New Roman"/>
          <w:sz w:val="28"/>
          <w:szCs w:val="28"/>
          <w:highlight w:val="none"/>
          <w:lang w:val="en-US"/>
        </w:rPr>
        <w:t>≥15%</w:t>
      </w:r>
      <w:r>
        <w:rPr>
          <w:rFonts w:hint="default" w:ascii="Times New Roman" w:hAnsi="Times New Roman" w:cs="Times New Roman"/>
          <w:sz w:val="28"/>
          <w:szCs w:val="28"/>
          <w:highlight w:val="none"/>
          <w:lang w:eastAsia="zh-CN"/>
        </w:rPr>
        <w:t>。</w:t>
      </w:r>
    </w:p>
    <w:p w14:paraId="71CBB834">
      <w:pPr>
        <w:pStyle w:val="35"/>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关键仪表应满足以下要求：</w:t>
      </w:r>
    </w:p>
    <w:p w14:paraId="2E871697">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烟气在线分析仪（</w:t>
      </w:r>
      <w:r>
        <w:rPr>
          <w:rFonts w:hint="default" w:ascii="Times New Roman" w:hAnsi="Times New Roman" w:cs="Times New Roman"/>
          <w:sz w:val="28"/>
          <w:szCs w:val="28"/>
          <w:highlight w:val="none"/>
          <w:lang w:val="en-US"/>
        </w:rPr>
        <w:t>O₂/CO/NOx/SO₂/</w:t>
      </w:r>
      <w:r>
        <w:rPr>
          <w:rFonts w:hint="default" w:ascii="Times New Roman" w:hAnsi="Times New Roman" w:cs="Times New Roman"/>
          <w:sz w:val="28"/>
          <w:szCs w:val="28"/>
          <w:highlight w:val="none"/>
          <w:lang w:eastAsia="zh-CN"/>
        </w:rPr>
        <w:t>粉尘）符合</w:t>
      </w:r>
      <w:r>
        <w:rPr>
          <w:rFonts w:hint="default" w:ascii="Times New Roman" w:hAnsi="Times New Roman" w:cs="Times New Roman"/>
          <w:sz w:val="28"/>
          <w:szCs w:val="28"/>
          <w:highlight w:val="none"/>
          <w:lang w:val="en-US"/>
        </w:rPr>
        <w:t>HJ 76</w:t>
      </w:r>
      <w:r>
        <w:rPr>
          <w:rFonts w:hint="default" w:ascii="Times New Roman" w:hAnsi="Times New Roman" w:cs="Times New Roman"/>
          <w:sz w:val="28"/>
          <w:szCs w:val="28"/>
          <w:highlight w:val="none"/>
          <w:lang w:eastAsia="zh-CN"/>
        </w:rPr>
        <w:t>的要求；</w:t>
      </w:r>
    </w:p>
    <w:p w14:paraId="708D1A96">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焚烧炉热电偶三重冗余，误差</w:t>
      </w:r>
      <w:r>
        <w:rPr>
          <w:rFonts w:hint="default" w:ascii="Times New Roman" w:hAnsi="Times New Roman" w:cs="Times New Roman"/>
          <w:sz w:val="28"/>
          <w:szCs w:val="28"/>
          <w:highlight w:val="none"/>
          <w:lang w:val="en-US"/>
        </w:rPr>
        <w:t>≤±1.5°C</w:t>
      </w:r>
      <w:r>
        <w:rPr>
          <w:rFonts w:hint="default" w:ascii="Times New Roman" w:hAnsi="Times New Roman" w:cs="Times New Roman"/>
          <w:sz w:val="28"/>
          <w:szCs w:val="28"/>
          <w:highlight w:val="none"/>
          <w:lang w:eastAsia="zh-CN"/>
        </w:rPr>
        <w:t>。</w:t>
      </w:r>
    </w:p>
    <w:p w14:paraId="5E44FB17">
      <w:pPr>
        <w:pStyle w:val="39"/>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38" w:name="_Toc205892336"/>
      <w:bookmarkStart w:id="39" w:name="_Toc205913162"/>
      <w:r>
        <w:rPr>
          <w:rFonts w:hint="default" w:ascii="Times New Roman" w:hAnsi="Times New Roman" w:cs="Times New Roman"/>
          <w:sz w:val="28"/>
          <w:szCs w:val="28"/>
          <w:highlight w:val="none"/>
          <w:lang w:eastAsia="zh-CN"/>
        </w:rPr>
        <w:t>性能要求</w:t>
      </w:r>
      <w:bookmarkEnd w:id="38"/>
      <w:bookmarkEnd w:id="39"/>
    </w:p>
    <w:p w14:paraId="32390D9D">
      <w:pPr>
        <w:pStyle w:val="38"/>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项目要求</w:t>
      </w:r>
    </w:p>
    <w:p w14:paraId="016322A0">
      <w:pPr>
        <w:pStyle w:val="35"/>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供应商应对表</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所列性能参数提供保证值，且在考核测试中达标：</w:t>
      </w:r>
    </w:p>
    <w:p w14:paraId="3BA723F2">
      <w:pPr>
        <w:pStyle w:val="42"/>
        <w:widowControl/>
        <w:numPr>
          <w:ilvl w:val="0"/>
          <w:numId w:val="4"/>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强制项目</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Layout w:type="autofit"/>
        <w:tblCellMar>
          <w:top w:w="0" w:type="dxa"/>
          <w:left w:w="0" w:type="dxa"/>
          <w:bottom w:w="0" w:type="dxa"/>
          <w:right w:w="0" w:type="dxa"/>
        </w:tblCellMar>
      </w:tblPr>
      <w:tblGrid>
        <w:gridCol w:w="1178"/>
        <w:gridCol w:w="3869"/>
        <w:gridCol w:w="3664"/>
      </w:tblGrid>
      <w:tr w14:paraId="3C54DE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266" w:type="dxa"/>
            <w:tcBorders>
              <w:top w:val="single" w:color="auto" w:sz="8" w:space="0"/>
              <w:left w:val="single" w:color="auto" w:sz="8" w:space="0"/>
              <w:bottom w:val="single" w:color="auto" w:sz="8" w:space="0"/>
              <w:right w:val="single" w:color="auto" w:sz="4" w:space="0"/>
            </w:tcBorders>
            <w:shd w:val="clear"/>
            <w:vAlign w:val="top"/>
          </w:tcPr>
          <w:p w14:paraId="20992CA2">
            <w:pPr>
              <w:pStyle w:val="41"/>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序号</w:t>
            </w:r>
          </w:p>
        </w:tc>
        <w:tc>
          <w:tcPr>
            <w:tcW w:w="4111" w:type="dxa"/>
            <w:tcBorders>
              <w:top w:val="single" w:color="auto" w:sz="8" w:space="0"/>
              <w:left w:val="single" w:color="auto" w:sz="4" w:space="0"/>
              <w:bottom w:val="single" w:color="auto" w:sz="8" w:space="0"/>
              <w:right w:val="single" w:color="auto" w:sz="4" w:space="0"/>
            </w:tcBorders>
            <w:shd w:val="clear"/>
            <w:vAlign w:val="center"/>
          </w:tcPr>
          <w:p w14:paraId="484BB974">
            <w:pPr>
              <w:pStyle w:val="41"/>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参数</w:t>
            </w:r>
          </w:p>
        </w:tc>
        <w:tc>
          <w:tcPr>
            <w:tcW w:w="3957" w:type="dxa"/>
            <w:tcBorders>
              <w:top w:val="single" w:color="auto" w:sz="8" w:space="0"/>
              <w:left w:val="single" w:color="auto" w:sz="4" w:space="0"/>
              <w:bottom w:val="single" w:color="auto" w:sz="8" w:space="0"/>
              <w:right w:val="single" w:color="auto" w:sz="8" w:space="0"/>
            </w:tcBorders>
            <w:shd w:val="clear"/>
            <w:vAlign w:val="center"/>
          </w:tcPr>
          <w:p w14:paraId="077ED1B3">
            <w:pPr>
              <w:pStyle w:val="41"/>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测试标准</w:t>
            </w:r>
          </w:p>
        </w:tc>
      </w:tr>
      <w:tr w14:paraId="71E8C2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1266" w:type="dxa"/>
            <w:tcBorders>
              <w:top w:val="single" w:color="auto" w:sz="8" w:space="0"/>
              <w:left w:val="single" w:color="auto" w:sz="8" w:space="0"/>
              <w:bottom w:val="single" w:color="auto" w:sz="4" w:space="0"/>
              <w:right w:val="single" w:color="auto" w:sz="4" w:space="0"/>
            </w:tcBorders>
            <w:shd w:val="clear"/>
            <w:vAlign w:val="top"/>
          </w:tcPr>
          <w:p w14:paraId="547F9973">
            <w:pPr>
              <w:pStyle w:val="41"/>
              <w:widowControl/>
              <w:spacing w:line="360" w:lineRule="auto"/>
              <w:rPr>
                <w:rFonts w:hint="default" w:ascii="Times New Roman" w:hAnsi="Times New Roman" w:cs="Times New Roman"/>
                <w:sz w:val="28"/>
                <w:szCs w:val="28"/>
                <w:highlight w:val="none"/>
                <w:bdr w:val="none" w:color="auto" w:sz="0" w:space="0"/>
                <w:lang w:val="en-US"/>
              </w:rPr>
            </w:pPr>
            <w:bookmarkStart w:id="40" w:name="_Hlk205900038"/>
            <w:r>
              <w:rPr>
                <w:rFonts w:hint="default" w:ascii="Times New Roman" w:hAnsi="Times New Roman" w:cs="Times New Roman"/>
                <w:sz w:val="28"/>
                <w:szCs w:val="28"/>
                <w:highlight w:val="none"/>
                <w:bdr w:val="none" w:color="auto" w:sz="0" w:space="0"/>
                <w:lang w:val="en-US"/>
              </w:rPr>
              <w:t>1</w:t>
            </w:r>
          </w:p>
        </w:tc>
        <w:tc>
          <w:tcPr>
            <w:tcW w:w="4111" w:type="dxa"/>
            <w:tcBorders>
              <w:top w:val="single" w:color="auto" w:sz="8" w:space="0"/>
              <w:left w:val="single" w:color="auto" w:sz="4" w:space="0"/>
              <w:bottom w:val="single" w:color="auto" w:sz="4" w:space="0"/>
              <w:right w:val="single" w:color="auto" w:sz="4" w:space="0"/>
            </w:tcBorders>
            <w:shd w:val="clear"/>
            <w:vAlign w:val="center"/>
          </w:tcPr>
          <w:p w14:paraId="72AE6B83">
            <w:pPr>
              <w:pStyle w:val="41"/>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湿污泥处理能力</w:t>
            </w:r>
          </w:p>
        </w:tc>
        <w:tc>
          <w:tcPr>
            <w:tcW w:w="3957" w:type="dxa"/>
            <w:tcBorders>
              <w:top w:val="single" w:color="auto" w:sz="8" w:space="0"/>
              <w:left w:val="single" w:color="auto" w:sz="4" w:space="0"/>
              <w:bottom w:val="single" w:color="auto" w:sz="4" w:space="0"/>
              <w:right w:val="single" w:color="auto" w:sz="8" w:space="0"/>
            </w:tcBorders>
            <w:shd w:val="clear"/>
            <w:vAlign w:val="center"/>
          </w:tcPr>
          <w:p w14:paraId="40B1CF50">
            <w:pPr>
              <w:pStyle w:val="41"/>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称重法</w:t>
            </w:r>
          </w:p>
        </w:tc>
      </w:tr>
      <w:tr w14:paraId="4ED705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tcBorders>
              <w:top w:val="single" w:color="auto" w:sz="4" w:space="0"/>
              <w:left w:val="single" w:color="auto" w:sz="8" w:space="0"/>
              <w:bottom w:val="single" w:color="auto" w:sz="4" w:space="0"/>
              <w:right w:val="single" w:color="auto" w:sz="4" w:space="0"/>
            </w:tcBorders>
            <w:shd w:val="clear"/>
            <w:vAlign w:val="top"/>
          </w:tcPr>
          <w:p w14:paraId="07D0E788">
            <w:pPr>
              <w:pStyle w:val="41"/>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lang w:val="en-US"/>
              </w:rPr>
              <w:t>2</w:t>
            </w:r>
          </w:p>
        </w:tc>
        <w:tc>
          <w:tcPr>
            <w:tcW w:w="4111" w:type="dxa"/>
            <w:tcBorders>
              <w:top w:val="single" w:color="auto" w:sz="4" w:space="0"/>
              <w:left w:val="single" w:color="auto" w:sz="4" w:space="0"/>
              <w:bottom w:val="single" w:color="auto" w:sz="4" w:space="0"/>
              <w:right w:val="single" w:color="auto" w:sz="4" w:space="0"/>
            </w:tcBorders>
            <w:shd w:val="clear"/>
            <w:vAlign w:val="center"/>
          </w:tcPr>
          <w:p w14:paraId="072406F4">
            <w:pPr>
              <w:pStyle w:val="41"/>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干化后含水率</w:t>
            </w:r>
          </w:p>
        </w:tc>
        <w:tc>
          <w:tcPr>
            <w:tcW w:w="3957" w:type="dxa"/>
            <w:tcBorders>
              <w:top w:val="single" w:color="auto" w:sz="4" w:space="0"/>
              <w:left w:val="single" w:color="auto" w:sz="4" w:space="0"/>
              <w:bottom w:val="single" w:color="auto" w:sz="4" w:space="0"/>
              <w:right w:val="single" w:color="auto" w:sz="8" w:space="0"/>
            </w:tcBorders>
            <w:shd w:val="clear"/>
            <w:vAlign w:val="center"/>
          </w:tcPr>
          <w:p w14:paraId="4850BCAD">
            <w:pPr>
              <w:pStyle w:val="41"/>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烘干法</w:t>
            </w:r>
          </w:p>
        </w:tc>
      </w:tr>
      <w:tr w14:paraId="510661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1266" w:type="dxa"/>
            <w:tcBorders>
              <w:top w:val="single" w:color="auto" w:sz="4" w:space="0"/>
              <w:left w:val="single" w:color="auto" w:sz="8" w:space="0"/>
              <w:bottom w:val="single" w:color="auto" w:sz="4" w:space="0"/>
              <w:right w:val="single" w:color="auto" w:sz="4" w:space="0"/>
            </w:tcBorders>
            <w:shd w:val="clear"/>
            <w:vAlign w:val="top"/>
          </w:tcPr>
          <w:p w14:paraId="4120097A">
            <w:pPr>
              <w:pStyle w:val="41"/>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lang w:val="en-US"/>
              </w:rPr>
              <w:t>3</w:t>
            </w:r>
          </w:p>
        </w:tc>
        <w:tc>
          <w:tcPr>
            <w:tcW w:w="4111" w:type="dxa"/>
            <w:tcBorders>
              <w:top w:val="single" w:color="auto" w:sz="4" w:space="0"/>
              <w:left w:val="single" w:color="auto" w:sz="4" w:space="0"/>
              <w:bottom w:val="single" w:color="auto" w:sz="4" w:space="0"/>
              <w:right w:val="single" w:color="auto" w:sz="4" w:space="0"/>
            </w:tcBorders>
            <w:shd w:val="clear"/>
            <w:vAlign w:val="center"/>
          </w:tcPr>
          <w:p w14:paraId="35A9F185">
            <w:pPr>
              <w:pStyle w:val="41"/>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焚烧炉出口温度</w:t>
            </w:r>
          </w:p>
        </w:tc>
        <w:tc>
          <w:tcPr>
            <w:tcW w:w="3957" w:type="dxa"/>
            <w:tcBorders>
              <w:top w:val="single" w:color="auto" w:sz="4" w:space="0"/>
              <w:left w:val="single" w:color="auto" w:sz="4" w:space="0"/>
              <w:bottom w:val="single" w:color="auto" w:sz="4" w:space="0"/>
              <w:right w:val="single" w:color="auto" w:sz="8" w:space="0"/>
            </w:tcBorders>
            <w:shd w:val="clear"/>
            <w:vAlign w:val="center"/>
          </w:tcPr>
          <w:p w14:paraId="21BE9934">
            <w:pPr>
              <w:pStyle w:val="41"/>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热电偶</w:t>
            </w:r>
          </w:p>
        </w:tc>
      </w:tr>
      <w:tr w14:paraId="4FE1D9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1266" w:type="dxa"/>
            <w:tcBorders>
              <w:top w:val="single" w:color="auto" w:sz="4" w:space="0"/>
              <w:left w:val="single" w:color="auto" w:sz="8" w:space="0"/>
              <w:bottom w:val="single" w:color="auto" w:sz="4" w:space="0"/>
              <w:right w:val="single" w:color="auto" w:sz="4" w:space="0"/>
            </w:tcBorders>
            <w:shd w:val="clear"/>
            <w:vAlign w:val="top"/>
          </w:tcPr>
          <w:p w14:paraId="039CF6A7">
            <w:pPr>
              <w:pStyle w:val="41"/>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lang w:val="en-US"/>
              </w:rPr>
              <w:t>4</w:t>
            </w:r>
          </w:p>
        </w:tc>
        <w:tc>
          <w:tcPr>
            <w:tcW w:w="4111" w:type="dxa"/>
            <w:tcBorders>
              <w:top w:val="single" w:color="auto" w:sz="4" w:space="0"/>
              <w:left w:val="single" w:color="auto" w:sz="4" w:space="0"/>
              <w:bottom w:val="single" w:color="auto" w:sz="4" w:space="0"/>
              <w:right w:val="single" w:color="auto" w:sz="4" w:space="0"/>
            </w:tcBorders>
            <w:shd w:val="clear"/>
            <w:vAlign w:val="center"/>
          </w:tcPr>
          <w:p w14:paraId="4D61B64D">
            <w:pPr>
              <w:pStyle w:val="41"/>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烟气停留时间（</w:t>
            </w:r>
            <w:r>
              <w:rPr>
                <w:rFonts w:hint="default" w:ascii="Times New Roman" w:hAnsi="Times New Roman" w:cs="Times New Roman"/>
                <w:sz w:val="28"/>
                <w:szCs w:val="28"/>
                <w:highlight w:val="none"/>
                <w:bdr w:val="none" w:color="auto" w:sz="0" w:space="0"/>
                <w:lang w:val="en-US"/>
              </w:rPr>
              <w:t>≥850°C</w:t>
            </w:r>
            <w:r>
              <w:rPr>
                <w:rFonts w:hint="default" w:ascii="Times New Roman" w:hAnsi="Times New Roman" w:cs="Times New Roman"/>
                <w:sz w:val="28"/>
                <w:szCs w:val="28"/>
                <w:highlight w:val="none"/>
                <w:bdr w:val="none" w:color="auto" w:sz="0" w:space="0"/>
              </w:rPr>
              <w:t>）</w:t>
            </w:r>
          </w:p>
        </w:tc>
        <w:tc>
          <w:tcPr>
            <w:tcW w:w="3957" w:type="dxa"/>
            <w:tcBorders>
              <w:top w:val="single" w:color="auto" w:sz="4" w:space="0"/>
              <w:left w:val="single" w:color="auto" w:sz="4" w:space="0"/>
              <w:bottom w:val="single" w:color="auto" w:sz="4" w:space="0"/>
              <w:right w:val="single" w:color="auto" w:sz="8" w:space="0"/>
            </w:tcBorders>
            <w:shd w:val="clear"/>
            <w:vAlign w:val="center"/>
          </w:tcPr>
          <w:p w14:paraId="32BC3BA5">
            <w:pPr>
              <w:pStyle w:val="41"/>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流速积分法</w:t>
            </w:r>
          </w:p>
        </w:tc>
      </w:tr>
      <w:tr w14:paraId="30CA6E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1266" w:type="dxa"/>
            <w:tcBorders>
              <w:top w:val="single" w:color="auto" w:sz="4" w:space="0"/>
              <w:left w:val="single" w:color="auto" w:sz="8" w:space="0"/>
              <w:bottom w:val="single" w:color="auto" w:sz="4" w:space="0"/>
              <w:right w:val="single" w:color="auto" w:sz="4" w:space="0"/>
            </w:tcBorders>
            <w:shd w:val="clear"/>
            <w:vAlign w:val="top"/>
          </w:tcPr>
          <w:p w14:paraId="0183D293">
            <w:pPr>
              <w:pStyle w:val="41"/>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lang w:val="en-US"/>
              </w:rPr>
              <w:t>5</w:t>
            </w:r>
          </w:p>
        </w:tc>
        <w:tc>
          <w:tcPr>
            <w:tcW w:w="4111" w:type="dxa"/>
            <w:tcBorders>
              <w:top w:val="single" w:color="auto" w:sz="4" w:space="0"/>
              <w:left w:val="single" w:color="auto" w:sz="4" w:space="0"/>
              <w:bottom w:val="single" w:color="auto" w:sz="4" w:space="0"/>
              <w:right w:val="single" w:color="auto" w:sz="4" w:space="0"/>
            </w:tcBorders>
            <w:shd w:val="clear"/>
            <w:vAlign w:val="center"/>
          </w:tcPr>
          <w:p w14:paraId="3BF47D21">
            <w:pPr>
              <w:pStyle w:val="41"/>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烟气粉尘排放</w:t>
            </w:r>
          </w:p>
        </w:tc>
        <w:tc>
          <w:tcPr>
            <w:tcW w:w="3957" w:type="dxa"/>
            <w:tcBorders>
              <w:top w:val="single" w:color="auto" w:sz="4" w:space="0"/>
              <w:left w:val="single" w:color="auto" w:sz="4" w:space="0"/>
              <w:bottom w:val="single" w:color="auto" w:sz="4" w:space="0"/>
              <w:right w:val="single" w:color="auto" w:sz="8" w:space="0"/>
            </w:tcBorders>
            <w:shd w:val="clear"/>
            <w:vAlign w:val="center"/>
          </w:tcPr>
          <w:p w14:paraId="25281093">
            <w:pPr>
              <w:pStyle w:val="41"/>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lang w:val="en-US"/>
              </w:rPr>
              <w:t>HJ 76</w:t>
            </w:r>
          </w:p>
        </w:tc>
      </w:tr>
      <w:tr w14:paraId="4E931C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1266" w:type="dxa"/>
            <w:tcBorders>
              <w:top w:val="single" w:color="auto" w:sz="4" w:space="0"/>
              <w:left w:val="single" w:color="auto" w:sz="8" w:space="0"/>
              <w:bottom w:val="single" w:color="auto" w:sz="4" w:space="0"/>
              <w:right w:val="single" w:color="auto" w:sz="4" w:space="0"/>
            </w:tcBorders>
            <w:shd w:val="clear"/>
            <w:vAlign w:val="top"/>
          </w:tcPr>
          <w:p w14:paraId="1AA0C711">
            <w:pPr>
              <w:pStyle w:val="41"/>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lang w:val="en-US"/>
              </w:rPr>
              <w:t>6</w:t>
            </w:r>
          </w:p>
        </w:tc>
        <w:tc>
          <w:tcPr>
            <w:tcW w:w="4111" w:type="dxa"/>
            <w:tcBorders>
              <w:top w:val="single" w:color="auto" w:sz="4" w:space="0"/>
              <w:left w:val="single" w:color="auto" w:sz="4" w:space="0"/>
              <w:bottom w:val="single" w:color="auto" w:sz="4" w:space="0"/>
              <w:right w:val="single" w:color="auto" w:sz="4" w:space="0"/>
            </w:tcBorders>
            <w:shd w:val="clear"/>
            <w:vAlign w:val="center"/>
          </w:tcPr>
          <w:p w14:paraId="292F35BA">
            <w:pPr>
              <w:pStyle w:val="41"/>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二噁英排放</w:t>
            </w:r>
          </w:p>
        </w:tc>
        <w:tc>
          <w:tcPr>
            <w:tcW w:w="3957" w:type="dxa"/>
            <w:tcBorders>
              <w:top w:val="single" w:color="auto" w:sz="4" w:space="0"/>
              <w:left w:val="single" w:color="auto" w:sz="4" w:space="0"/>
              <w:bottom w:val="single" w:color="auto" w:sz="4" w:space="0"/>
              <w:right w:val="single" w:color="auto" w:sz="8" w:space="0"/>
            </w:tcBorders>
            <w:shd w:val="clear"/>
            <w:vAlign w:val="center"/>
          </w:tcPr>
          <w:p w14:paraId="51C1D026">
            <w:pPr>
              <w:pStyle w:val="41"/>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lang w:val="en-US"/>
              </w:rPr>
              <w:t>GB 18485</w:t>
            </w:r>
          </w:p>
        </w:tc>
      </w:tr>
      <w:bookmarkEnd w:id="40"/>
      <w:tr w14:paraId="046A39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1266" w:type="dxa"/>
            <w:tcBorders>
              <w:top w:val="single" w:color="auto" w:sz="4" w:space="0"/>
              <w:left w:val="single" w:color="auto" w:sz="8" w:space="0"/>
              <w:bottom w:val="single" w:color="auto" w:sz="8" w:space="0"/>
              <w:right w:val="single" w:color="auto" w:sz="4" w:space="0"/>
            </w:tcBorders>
            <w:shd w:val="clear"/>
            <w:vAlign w:val="top"/>
          </w:tcPr>
          <w:p w14:paraId="7EC3BE78">
            <w:pPr>
              <w:pStyle w:val="41"/>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lang w:val="en-US"/>
              </w:rPr>
              <w:t>7</w:t>
            </w:r>
          </w:p>
        </w:tc>
        <w:tc>
          <w:tcPr>
            <w:tcW w:w="4111" w:type="dxa"/>
            <w:tcBorders>
              <w:top w:val="single" w:color="auto" w:sz="4" w:space="0"/>
              <w:left w:val="single" w:color="auto" w:sz="4" w:space="0"/>
              <w:bottom w:val="single" w:color="auto" w:sz="8" w:space="0"/>
              <w:right w:val="single" w:color="auto" w:sz="4" w:space="0"/>
            </w:tcBorders>
            <w:shd w:val="clear"/>
            <w:vAlign w:val="center"/>
          </w:tcPr>
          <w:p w14:paraId="1913DEC0">
            <w:pPr>
              <w:pStyle w:val="41"/>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系统综合能耗</w:t>
            </w:r>
          </w:p>
        </w:tc>
        <w:tc>
          <w:tcPr>
            <w:tcW w:w="3957" w:type="dxa"/>
            <w:tcBorders>
              <w:top w:val="single" w:color="auto" w:sz="4" w:space="0"/>
              <w:left w:val="single" w:color="auto" w:sz="4" w:space="0"/>
              <w:bottom w:val="single" w:color="auto" w:sz="8" w:space="0"/>
              <w:right w:val="single" w:color="auto" w:sz="8" w:space="0"/>
            </w:tcBorders>
            <w:shd w:val="clear"/>
            <w:vAlign w:val="center"/>
          </w:tcPr>
          <w:p w14:paraId="40FD7352">
            <w:pPr>
              <w:pStyle w:val="41"/>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电表</w:t>
            </w:r>
            <w:r>
              <w:rPr>
                <w:rFonts w:hint="default" w:ascii="Times New Roman" w:hAnsi="Times New Roman" w:cs="Times New Roman"/>
                <w:sz w:val="28"/>
                <w:szCs w:val="28"/>
                <w:highlight w:val="none"/>
                <w:bdr w:val="none" w:color="auto" w:sz="0" w:space="0"/>
                <w:lang w:val="en-US"/>
              </w:rPr>
              <w:t>/</w:t>
            </w:r>
            <w:r>
              <w:rPr>
                <w:rFonts w:hint="default" w:ascii="Times New Roman" w:hAnsi="Times New Roman" w:cs="Times New Roman"/>
                <w:sz w:val="28"/>
                <w:szCs w:val="28"/>
                <w:highlight w:val="none"/>
                <w:bdr w:val="none" w:color="auto" w:sz="0" w:space="0"/>
              </w:rPr>
              <w:t>流量计累积</w:t>
            </w:r>
          </w:p>
        </w:tc>
      </w:tr>
    </w:tbl>
    <w:p w14:paraId="05A05460">
      <w:pPr>
        <w:pStyle w:val="37"/>
        <w:widowControl/>
        <w:spacing w:line="360" w:lineRule="auto"/>
        <w:ind w:left="0" w:firstLine="420"/>
        <w:rPr>
          <w:rFonts w:hint="default" w:ascii="Times New Roman" w:hAnsi="Times New Roman" w:cs="Times New Roman"/>
          <w:sz w:val="28"/>
          <w:szCs w:val="28"/>
          <w:highlight w:val="none"/>
          <w:lang w:val="en-US"/>
        </w:rPr>
      </w:pPr>
    </w:p>
    <w:p w14:paraId="08D0D79D">
      <w:pPr>
        <w:pStyle w:val="35"/>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噪声、废水等指标宜作为附加保证项，但不应影响核心性能验收。</w:t>
      </w:r>
    </w:p>
    <w:p w14:paraId="4C39205F">
      <w:pPr>
        <w:pStyle w:val="38"/>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考核测试</w:t>
      </w:r>
    </w:p>
    <w:p w14:paraId="030D6392">
      <w:pPr>
        <w:pStyle w:val="35"/>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测试应满足：</w:t>
      </w:r>
    </w:p>
    <w:p w14:paraId="278FCBD5">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污泥特性符合设计范围，含水率</w:t>
      </w:r>
      <w:r>
        <w:rPr>
          <w:rFonts w:hint="default" w:ascii="Times New Roman" w:hAnsi="Times New Roman" w:cs="Times New Roman"/>
          <w:sz w:val="28"/>
          <w:szCs w:val="28"/>
          <w:highlight w:val="none"/>
          <w:lang w:val="en-US"/>
        </w:rPr>
        <w:t>±3%</w:t>
      </w:r>
      <w:r>
        <w:rPr>
          <w:rFonts w:hint="default" w:ascii="Times New Roman" w:hAnsi="Times New Roman" w:cs="Times New Roman"/>
          <w:sz w:val="28"/>
          <w:szCs w:val="28"/>
          <w:highlight w:val="none"/>
          <w:lang w:eastAsia="zh-CN"/>
        </w:rPr>
        <w:t>，热值</w:t>
      </w:r>
      <w:r>
        <w:rPr>
          <w:rFonts w:hint="default" w:ascii="Times New Roman" w:hAnsi="Times New Roman" w:cs="Times New Roman"/>
          <w:sz w:val="28"/>
          <w:szCs w:val="28"/>
          <w:highlight w:val="none"/>
          <w:lang w:val="en-US"/>
        </w:rPr>
        <w:t>±5%</w:t>
      </w:r>
      <w:r>
        <w:rPr>
          <w:rFonts w:hint="default" w:ascii="Times New Roman" w:hAnsi="Times New Roman" w:cs="Times New Roman"/>
          <w:sz w:val="28"/>
          <w:szCs w:val="28"/>
          <w:highlight w:val="none"/>
          <w:lang w:eastAsia="zh-CN"/>
        </w:rPr>
        <w:t>；</w:t>
      </w:r>
    </w:p>
    <w:p w14:paraId="529E8604">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系统连续运行</w:t>
      </w:r>
      <w:r>
        <w:rPr>
          <w:rFonts w:hint="default" w:ascii="Times New Roman" w:hAnsi="Times New Roman" w:cs="Times New Roman"/>
          <w:sz w:val="28"/>
          <w:szCs w:val="28"/>
          <w:highlight w:val="none"/>
          <w:lang w:val="en-US"/>
        </w:rPr>
        <w:t>≥72 h</w:t>
      </w:r>
      <w:r>
        <w:rPr>
          <w:rFonts w:hint="default" w:ascii="Times New Roman" w:hAnsi="Times New Roman" w:cs="Times New Roman"/>
          <w:sz w:val="28"/>
          <w:szCs w:val="28"/>
          <w:highlight w:val="none"/>
          <w:lang w:eastAsia="zh-CN"/>
        </w:rPr>
        <w:t>，负荷</w:t>
      </w:r>
      <w:r>
        <w:rPr>
          <w:rFonts w:hint="default" w:ascii="Times New Roman" w:hAnsi="Times New Roman" w:cs="Times New Roman"/>
          <w:sz w:val="28"/>
          <w:szCs w:val="28"/>
          <w:highlight w:val="none"/>
          <w:lang w:val="en-US"/>
        </w:rPr>
        <w:t>≥95%</w:t>
      </w:r>
      <w:r>
        <w:rPr>
          <w:rFonts w:hint="default" w:ascii="Times New Roman" w:hAnsi="Times New Roman" w:cs="Times New Roman"/>
          <w:sz w:val="28"/>
          <w:szCs w:val="28"/>
          <w:highlight w:val="none"/>
          <w:lang w:eastAsia="zh-CN"/>
        </w:rPr>
        <w:t>额定值；</w:t>
      </w:r>
    </w:p>
    <w:p w14:paraId="1EC5F43A">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烟气净化、除臭等环保设施同步投运。</w:t>
      </w:r>
    </w:p>
    <w:p w14:paraId="6D7E5B6D">
      <w:pPr>
        <w:pStyle w:val="35"/>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外部环境超出设计范围时可暂停测试。</w:t>
      </w:r>
    </w:p>
    <w:p w14:paraId="4BD4BAD3">
      <w:pPr>
        <w:pStyle w:val="38"/>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测试方法</w:t>
      </w:r>
    </w:p>
    <w:p w14:paraId="416A6198">
      <w:pPr>
        <w:pStyle w:val="35"/>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污染物排放应由具备</w:t>
      </w:r>
      <w:r>
        <w:rPr>
          <w:rFonts w:hint="default" w:ascii="Times New Roman" w:hAnsi="Times New Roman" w:cs="Times New Roman"/>
          <w:sz w:val="28"/>
          <w:szCs w:val="28"/>
          <w:highlight w:val="none"/>
          <w:lang w:val="en-US"/>
        </w:rPr>
        <w:t>CMA</w:t>
      </w:r>
      <w:r>
        <w:rPr>
          <w:rFonts w:hint="default" w:ascii="Times New Roman" w:hAnsi="Times New Roman" w:cs="Times New Roman"/>
          <w:sz w:val="28"/>
          <w:szCs w:val="28"/>
          <w:highlight w:val="none"/>
          <w:lang w:eastAsia="zh-CN"/>
        </w:rPr>
        <w:t>资质的第三方检测，采样频次应符合：</w:t>
      </w:r>
    </w:p>
    <w:p w14:paraId="7E21EC01">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每</w:t>
      </w:r>
      <w:r>
        <w:rPr>
          <w:rFonts w:hint="default" w:ascii="Times New Roman" w:hAnsi="Times New Roman" w:cs="Times New Roman"/>
          <w:sz w:val="28"/>
          <w:szCs w:val="28"/>
          <w:highlight w:val="none"/>
          <w:lang w:val="en-US"/>
        </w:rPr>
        <w:t>4 h</w:t>
      </w:r>
      <w:r>
        <w:rPr>
          <w:rFonts w:hint="default" w:ascii="Times New Roman" w:hAnsi="Times New Roman" w:cs="Times New Roman"/>
          <w:sz w:val="28"/>
          <w:szCs w:val="28"/>
          <w:highlight w:val="none"/>
          <w:lang w:eastAsia="zh-CN"/>
        </w:rPr>
        <w:t>采集</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次，烟气参数：</w:t>
      </w:r>
      <w:r>
        <w:rPr>
          <w:rFonts w:hint="default" w:ascii="Times New Roman" w:hAnsi="Times New Roman" w:cs="Times New Roman"/>
          <w:sz w:val="28"/>
          <w:szCs w:val="28"/>
          <w:highlight w:val="none"/>
          <w:lang w:eastAsia="zh-CN"/>
        </w:rPr>
        <w:t xml:space="preserve"> </w:t>
      </w:r>
    </w:p>
    <w:p w14:paraId="5730B892">
      <w:pPr>
        <w:pStyle w:val="44"/>
        <w:widowControl/>
        <w:numPr>
          <w:ilvl w:val="1"/>
          <w:numId w:val="2"/>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粉尘；</w:t>
      </w:r>
    </w:p>
    <w:p w14:paraId="2E995F42">
      <w:pPr>
        <w:pStyle w:val="44"/>
        <w:widowControl/>
        <w:numPr>
          <w:ilvl w:val="1"/>
          <w:numId w:val="2"/>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SO₂</w:t>
      </w:r>
      <w:r>
        <w:rPr>
          <w:rFonts w:hint="default" w:ascii="Times New Roman" w:hAnsi="Times New Roman" w:cs="Times New Roman"/>
          <w:sz w:val="28"/>
          <w:szCs w:val="28"/>
          <w:highlight w:val="none"/>
          <w:lang w:eastAsia="zh-CN"/>
        </w:rPr>
        <w:t>；</w:t>
      </w:r>
    </w:p>
    <w:p w14:paraId="4FE9BEC0">
      <w:pPr>
        <w:pStyle w:val="44"/>
        <w:widowControl/>
        <w:numPr>
          <w:ilvl w:val="1"/>
          <w:numId w:val="2"/>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NOx</w:t>
      </w:r>
      <w:r>
        <w:rPr>
          <w:rFonts w:hint="default" w:ascii="Times New Roman" w:hAnsi="Times New Roman" w:cs="Times New Roman"/>
          <w:sz w:val="28"/>
          <w:szCs w:val="28"/>
          <w:highlight w:val="none"/>
          <w:lang w:eastAsia="zh-CN"/>
        </w:rPr>
        <w:t>。</w:t>
      </w:r>
    </w:p>
    <w:p w14:paraId="6E8CC4B6">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二噁英：至少</w:t>
      </w:r>
      <w:r>
        <w:rPr>
          <w:rFonts w:hint="default" w:ascii="Times New Roman" w:hAnsi="Times New Roman" w:cs="Times New Roman"/>
          <w:sz w:val="28"/>
          <w:szCs w:val="28"/>
          <w:highlight w:val="none"/>
          <w:lang w:val="en-US"/>
        </w:rPr>
        <w:t>3</w:t>
      </w:r>
      <w:r>
        <w:rPr>
          <w:rFonts w:hint="default" w:ascii="Times New Roman" w:hAnsi="Times New Roman" w:cs="Times New Roman"/>
          <w:sz w:val="28"/>
          <w:szCs w:val="28"/>
          <w:highlight w:val="none"/>
          <w:lang w:eastAsia="zh-CN"/>
        </w:rPr>
        <w:t>个有效样品，每样品采集</w:t>
      </w:r>
      <w:r>
        <w:rPr>
          <w:rFonts w:hint="default" w:ascii="Times New Roman" w:hAnsi="Times New Roman" w:cs="Times New Roman"/>
          <w:sz w:val="28"/>
          <w:szCs w:val="28"/>
          <w:highlight w:val="none"/>
          <w:lang w:val="en-US"/>
        </w:rPr>
        <w:t>≥6 h</w:t>
      </w:r>
      <w:r>
        <w:rPr>
          <w:rFonts w:hint="default" w:ascii="Times New Roman" w:hAnsi="Times New Roman" w:cs="Times New Roman"/>
          <w:sz w:val="28"/>
          <w:szCs w:val="28"/>
          <w:highlight w:val="none"/>
          <w:lang w:eastAsia="zh-CN"/>
        </w:rPr>
        <w:t>。</w:t>
      </w:r>
    </w:p>
    <w:p w14:paraId="3F5401C7">
      <w:pPr>
        <w:pStyle w:val="35"/>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能耗数据通过校准仪表实时记录，精度应满足：</w:t>
      </w:r>
    </w:p>
    <w:p w14:paraId="64DA9817">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电能：</w:t>
      </w:r>
      <w:r>
        <w:rPr>
          <w:rFonts w:hint="default" w:ascii="Times New Roman" w:hAnsi="Times New Roman" w:cs="Times New Roman"/>
          <w:sz w:val="28"/>
          <w:szCs w:val="28"/>
          <w:highlight w:val="none"/>
          <w:lang w:val="en-US"/>
        </w:rPr>
        <w:t>±0.5</w:t>
      </w:r>
      <w:r>
        <w:rPr>
          <w:rFonts w:hint="default" w:ascii="Times New Roman" w:hAnsi="Times New Roman" w:cs="Times New Roman"/>
          <w:sz w:val="28"/>
          <w:szCs w:val="28"/>
          <w:highlight w:val="none"/>
          <w:lang w:eastAsia="zh-CN"/>
        </w:rPr>
        <w:t>级；</w:t>
      </w:r>
    </w:p>
    <w:p w14:paraId="57BFC48F">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蒸汽</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燃料：</w:t>
      </w:r>
      <w:r>
        <w:rPr>
          <w:rFonts w:hint="default" w:ascii="Times New Roman" w:hAnsi="Times New Roman" w:cs="Times New Roman"/>
          <w:sz w:val="28"/>
          <w:szCs w:val="28"/>
          <w:highlight w:val="none"/>
          <w:lang w:val="en-US"/>
        </w:rPr>
        <w:t>±1.5%</w:t>
      </w:r>
      <w:r>
        <w:rPr>
          <w:rFonts w:hint="default" w:ascii="Times New Roman" w:hAnsi="Times New Roman" w:cs="Times New Roman"/>
          <w:sz w:val="28"/>
          <w:szCs w:val="28"/>
          <w:highlight w:val="none"/>
          <w:lang w:eastAsia="zh-CN"/>
        </w:rPr>
        <w:t>。</w:t>
      </w:r>
    </w:p>
    <w:p w14:paraId="7678C19C">
      <w:pPr>
        <w:pStyle w:val="38"/>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验收要求</w:t>
      </w:r>
    </w:p>
    <w:p w14:paraId="68C0B174">
      <w:pPr>
        <w:pStyle w:val="35"/>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单项参数实测值应满足：</w:t>
      </w:r>
    </w:p>
    <w:p w14:paraId="1C834BE3">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保证值</w:t>
      </w:r>
      <w:r>
        <w:rPr>
          <w:rFonts w:hint="default" w:ascii="Times New Roman" w:hAnsi="Times New Roman" w:cs="Times New Roman"/>
          <w:sz w:val="28"/>
          <w:szCs w:val="28"/>
          <w:highlight w:val="none"/>
          <w:lang w:val="en-US"/>
        </w:rPr>
        <w:t>±5%</w:t>
      </w:r>
      <w:r>
        <w:rPr>
          <w:rFonts w:hint="default" w:ascii="Times New Roman" w:hAnsi="Times New Roman" w:cs="Times New Roman"/>
          <w:sz w:val="28"/>
          <w:szCs w:val="28"/>
          <w:highlight w:val="none"/>
          <w:lang w:eastAsia="zh-CN"/>
        </w:rPr>
        <w:t>；</w:t>
      </w:r>
    </w:p>
    <w:p w14:paraId="22EB0367">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严格限值超差即判定不合格。</w:t>
      </w:r>
    </w:p>
    <w:p w14:paraId="3B871D1D">
      <w:pPr>
        <w:pStyle w:val="35"/>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因供应商责任导致考核失败：</w:t>
      </w:r>
    </w:p>
    <w:p w14:paraId="13E2C1C4">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免费整改后重测；</w:t>
      </w:r>
    </w:p>
    <w:p w14:paraId="19110E9E">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重测费用由供应商承担。</w:t>
      </w:r>
    </w:p>
    <w:p w14:paraId="78EB471D">
      <w:pPr>
        <w:pStyle w:val="38"/>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责任要求</w:t>
      </w:r>
    </w:p>
    <w:p w14:paraId="186E52C4">
      <w:pPr>
        <w:pStyle w:val="35"/>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性能保证期应为验收后</w:t>
      </w:r>
      <w:r>
        <w:rPr>
          <w:rFonts w:hint="default" w:ascii="Times New Roman" w:hAnsi="Times New Roman" w:cs="Times New Roman"/>
          <w:sz w:val="28"/>
          <w:szCs w:val="28"/>
          <w:highlight w:val="none"/>
          <w:lang w:val="en-US"/>
        </w:rPr>
        <w:t>12</w:t>
      </w:r>
      <w:r>
        <w:rPr>
          <w:rFonts w:hint="default" w:ascii="Times New Roman" w:hAnsi="Times New Roman" w:cs="Times New Roman"/>
          <w:sz w:val="28"/>
          <w:szCs w:val="28"/>
          <w:highlight w:val="none"/>
          <w:lang w:eastAsia="zh-CN"/>
        </w:rPr>
        <w:t>个月，期内：</w:t>
      </w:r>
    </w:p>
    <w:p w14:paraId="0C56DA8D">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保证值持续有效；</w:t>
      </w:r>
    </w:p>
    <w:p w14:paraId="682FCC11">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非用户原因导致的性能下降免费修复。</w:t>
      </w:r>
    </w:p>
    <w:p w14:paraId="0216620E">
      <w:pPr>
        <w:pStyle w:val="35"/>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保证期可延长至重大维修后</w:t>
      </w:r>
      <w:r>
        <w:rPr>
          <w:rFonts w:hint="default" w:ascii="Times New Roman" w:hAnsi="Times New Roman" w:cs="Times New Roman"/>
          <w:sz w:val="28"/>
          <w:szCs w:val="28"/>
          <w:highlight w:val="none"/>
          <w:lang w:val="en-US"/>
        </w:rPr>
        <w:t>12</w:t>
      </w:r>
      <w:r>
        <w:rPr>
          <w:rFonts w:hint="default" w:ascii="Times New Roman" w:hAnsi="Times New Roman" w:cs="Times New Roman"/>
          <w:sz w:val="28"/>
          <w:szCs w:val="28"/>
          <w:highlight w:val="none"/>
          <w:lang w:eastAsia="zh-CN"/>
        </w:rPr>
        <w:t>个月。</w:t>
      </w:r>
    </w:p>
    <w:p w14:paraId="44BC6B17">
      <w:pPr>
        <w:pStyle w:val="39"/>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41" w:name="_Toc205892337"/>
      <w:bookmarkStart w:id="42" w:name="_Toc205913163"/>
      <w:r>
        <w:rPr>
          <w:rFonts w:hint="default" w:ascii="Times New Roman" w:hAnsi="Times New Roman" w:cs="Times New Roman"/>
          <w:sz w:val="28"/>
          <w:szCs w:val="28"/>
          <w:highlight w:val="none"/>
          <w:lang w:eastAsia="zh-CN"/>
        </w:rPr>
        <w:t>安全要求</w:t>
      </w:r>
      <w:bookmarkEnd w:id="41"/>
      <w:bookmarkEnd w:id="42"/>
    </w:p>
    <w:p w14:paraId="2770739A">
      <w:pPr>
        <w:pStyle w:val="38"/>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环保排放</w:t>
      </w:r>
    </w:p>
    <w:p w14:paraId="52FB92BB">
      <w:pPr>
        <w:pStyle w:val="36"/>
        <w:widowControl/>
        <w:numPr>
          <w:ilvl w:val="3"/>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烟气排放</w:t>
      </w:r>
    </w:p>
    <w:p w14:paraId="61E2F601">
      <w:pPr>
        <w:pStyle w:val="37"/>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集成装备最终排气筒出口污染物浓度应满足表</w:t>
      </w:r>
      <w:r>
        <w:rPr>
          <w:rFonts w:hint="default" w:ascii="Times New Roman" w:hAnsi="Times New Roman" w:cs="Times New Roman"/>
          <w:sz w:val="28"/>
          <w:szCs w:val="28"/>
          <w:highlight w:val="none"/>
          <w:lang w:val="en-US"/>
        </w:rPr>
        <w:t>2</w:t>
      </w:r>
      <w:r>
        <w:rPr>
          <w:rFonts w:hint="default" w:ascii="Times New Roman" w:hAnsi="Times New Roman" w:cs="Times New Roman"/>
          <w:sz w:val="28"/>
          <w:szCs w:val="28"/>
          <w:highlight w:val="none"/>
          <w:lang w:eastAsia="zh-CN"/>
        </w:rPr>
        <w:t>限值（基准氧含量</w:t>
      </w:r>
      <w:r>
        <w:rPr>
          <w:rFonts w:hint="default" w:ascii="Times New Roman" w:hAnsi="Times New Roman" w:cs="Times New Roman"/>
          <w:sz w:val="28"/>
          <w:szCs w:val="28"/>
          <w:highlight w:val="none"/>
          <w:lang w:val="en-US"/>
        </w:rPr>
        <w:t>11%</w:t>
      </w:r>
      <w:r>
        <w:rPr>
          <w:rFonts w:hint="default" w:ascii="Times New Roman" w:hAnsi="Times New Roman" w:cs="Times New Roman"/>
          <w:sz w:val="28"/>
          <w:szCs w:val="28"/>
          <w:highlight w:val="none"/>
          <w:lang w:eastAsia="zh-CN"/>
        </w:rPr>
        <w:t>）：</w:t>
      </w:r>
    </w:p>
    <w:p w14:paraId="6BFF20E6">
      <w:pPr>
        <w:pStyle w:val="42"/>
        <w:widowControl/>
        <w:numPr>
          <w:ilvl w:val="0"/>
          <w:numId w:val="4"/>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烟气强制排放限值</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Layout w:type="autofit"/>
        <w:tblCellMar>
          <w:top w:w="0" w:type="dxa"/>
          <w:left w:w="0" w:type="dxa"/>
          <w:bottom w:w="0" w:type="dxa"/>
          <w:right w:w="0" w:type="dxa"/>
        </w:tblCellMar>
      </w:tblPr>
      <w:tblGrid>
        <w:gridCol w:w="2156"/>
        <w:gridCol w:w="2241"/>
        <w:gridCol w:w="2164"/>
        <w:gridCol w:w="2150"/>
      </w:tblGrid>
      <w:tr w14:paraId="62A604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tblHeader/>
          <w:jc w:val="center"/>
        </w:trPr>
        <w:tc>
          <w:tcPr>
            <w:tcW w:w="2335" w:type="dxa"/>
            <w:tcBorders>
              <w:top w:val="single" w:color="auto" w:sz="8" w:space="0"/>
              <w:left w:val="single" w:color="auto" w:sz="8" w:space="0"/>
              <w:bottom w:val="single" w:color="auto" w:sz="8" w:space="0"/>
              <w:right w:val="single" w:color="auto" w:sz="4" w:space="0"/>
            </w:tcBorders>
            <w:shd w:val="clear"/>
            <w:vAlign w:val="center"/>
          </w:tcPr>
          <w:p w14:paraId="2D60FE25">
            <w:pPr>
              <w:pStyle w:val="41"/>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污染物</w:t>
            </w:r>
          </w:p>
        </w:tc>
        <w:tc>
          <w:tcPr>
            <w:tcW w:w="2333" w:type="dxa"/>
            <w:tcBorders>
              <w:top w:val="single" w:color="auto" w:sz="8" w:space="0"/>
              <w:left w:val="single" w:color="auto" w:sz="4" w:space="0"/>
              <w:bottom w:val="single" w:color="auto" w:sz="8" w:space="0"/>
              <w:right w:val="single" w:color="auto" w:sz="4" w:space="0"/>
            </w:tcBorders>
            <w:shd w:val="clear"/>
            <w:vAlign w:val="center"/>
          </w:tcPr>
          <w:p w14:paraId="7FDBA48E">
            <w:pPr>
              <w:pStyle w:val="41"/>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单位</w:t>
            </w:r>
          </w:p>
        </w:tc>
        <w:tc>
          <w:tcPr>
            <w:tcW w:w="2333" w:type="dxa"/>
            <w:tcBorders>
              <w:top w:val="single" w:color="auto" w:sz="8" w:space="0"/>
              <w:left w:val="single" w:color="auto" w:sz="4" w:space="0"/>
              <w:bottom w:val="single" w:color="auto" w:sz="8" w:space="0"/>
              <w:right w:val="single" w:color="auto" w:sz="4" w:space="0"/>
            </w:tcBorders>
            <w:shd w:val="clear"/>
            <w:vAlign w:val="center"/>
          </w:tcPr>
          <w:p w14:paraId="541F4C03">
            <w:pPr>
              <w:pStyle w:val="41"/>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限值</w:t>
            </w:r>
          </w:p>
        </w:tc>
        <w:tc>
          <w:tcPr>
            <w:tcW w:w="2333" w:type="dxa"/>
            <w:tcBorders>
              <w:top w:val="single" w:color="auto" w:sz="8" w:space="0"/>
              <w:left w:val="single" w:color="auto" w:sz="4" w:space="0"/>
              <w:bottom w:val="single" w:color="auto" w:sz="8" w:space="0"/>
              <w:right w:val="single" w:color="auto" w:sz="8" w:space="0"/>
            </w:tcBorders>
            <w:shd w:val="clear"/>
            <w:vAlign w:val="center"/>
          </w:tcPr>
          <w:p w14:paraId="20D226A9">
            <w:pPr>
              <w:pStyle w:val="41"/>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测试标准</w:t>
            </w:r>
          </w:p>
        </w:tc>
      </w:tr>
      <w:tr w14:paraId="764503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2335" w:type="dxa"/>
            <w:tcBorders>
              <w:top w:val="single" w:color="auto" w:sz="8" w:space="0"/>
              <w:left w:val="single" w:color="auto" w:sz="8" w:space="0"/>
              <w:bottom w:val="single" w:color="auto" w:sz="4" w:space="0"/>
              <w:right w:val="single" w:color="auto" w:sz="4" w:space="0"/>
            </w:tcBorders>
            <w:shd w:val="clear"/>
            <w:vAlign w:val="center"/>
          </w:tcPr>
          <w:p w14:paraId="42F97F72">
            <w:pPr>
              <w:pStyle w:val="41"/>
              <w:widowControl/>
              <w:spacing w:line="360" w:lineRule="auto"/>
              <w:rPr>
                <w:rFonts w:hint="default" w:ascii="Times New Roman" w:hAnsi="Times New Roman" w:cs="Times New Roman"/>
                <w:sz w:val="28"/>
                <w:szCs w:val="28"/>
                <w:highlight w:val="none"/>
                <w:bdr w:val="none" w:color="auto" w:sz="0" w:space="0"/>
                <w:lang w:val="en-US"/>
              </w:rPr>
            </w:pPr>
            <w:bookmarkStart w:id="43" w:name="_Hlk205900079"/>
            <w:r>
              <w:rPr>
                <w:rFonts w:hint="default" w:ascii="Times New Roman" w:hAnsi="Times New Roman" w:cs="Times New Roman"/>
                <w:sz w:val="28"/>
                <w:szCs w:val="28"/>
                <w:highlight w:val="none"/>
                <w:bdr w:val="none" w:color="auto" w:sz="0" w:space="0"/>
              </w:rPr>
              <w:t>颗粒物</w:t>
            </w:r>
          </w:p>
        </w:tc>
        <w:tc>
          <w:tcPr>
            <w:tcW w:w="2333" w:type="dxa"/>
            <w:tcBorders>
              <w:top w:val="single" w:color="auto" w:sz="8" w:space="0"/>
              <w:left w:val="single" w:color="auto" w:sz="4" w:space="0"/>
              <w:bottom w:val="single" w:color="auto" w:sz="4" w:space="0"/>
              <w:right w:val="single" w:color="auto" w:sz="4" w:space="0"/>
            </w:tcBorders>
            <w:shd w:val="clear"/>
            <w:vAlign w:val="top"/>
          </w:tcPr>
          <w:p w14:paraId="4A5FD15E">
            <w:pPr>
              <w:pStyle w:val="41"/>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lang w:val="en-US"/>
              </w:rPr>
              <w:t>mg/Nm³</w:t>
            </w:r>
          </w:p>
        </w:tc>
        <w:tc>
          <w:tcPr>
            <w:tcW w:w="2333" w:type="dxa"/>
            <w:tcBorders>
              <w:top w:val="single" w:color="auto" w:sz="8" w:space="0"/>
              <w:left w:val="single" w:color="auto" w:sz="4" w:space="0"/>
              <w:bottom w:val="single" w:color="auto" w:sz="4" w:space="0"/>
              <w:right w:val="single" w:color="auto" w:sz="4" w:space="0"/>
            </w:tcBorders>
            <w:shd w:val="clear"/>
            <w:vAlign w:val="center"/>
          </w:tcPr>
          <w:p w14:paraId="2FB943C3">
            <w:pPr>
              <w:pStyle w:val="41"/>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lang w:val="en-US"/>
              </w:rPr>
              <w:t>≤20</w:t>
            </w:r>
          </w:p>
        </w:tc>
        <w:tc>
          <w:tcPr>
            <w:tcW w:w="2333" w:type="dxa"/>
            <w:tcBorders>
              <w:top w:val="single" w:color="auto" w:sz="8" w:space="0"/>
              <w:left w:val="single" w:color="auto" w:sz="4" w:space="0"/>
              <w:bottom w:val="single" w:color="auto" w:sz="4" w:space="0"/>
              <w:right w:val="single" w:color="auto" w:sz="8" w:space="0"/>
            </w:tcBorders>
            <w:shd w:val="clear"/>
            <w:vAlign w:val="center"/>
          </w:tcPr>
          <w:p w14:paraId="00E79C70">
            <w:pPr>
              <w:pStyle w:val="41"/>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lang w:val="en-US"/>
              </w:rPr>
              <w:t>HJ 76</w:t>
            </w:r>
          </w:p>
        </w:tc>
      </w:tr>
      <w:tr w14:paraId="12454E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5" w:type="dxa"/>
            <w:tcBorders>
              <w:top w:val="single" w:color="auto" w:sz="4" w:space="0"/>
              <w:left w:val="single" w:color="auto" w:sz="8" w:space="0"/>
              <w:bottom w:val="single" w:color="auto" w:sz="4" w:space="0"/>
              <w:right w:val="single" w:color="auto" w:sz="4" w:space="0"/>
            </w:tcBorders>
            <w:shd w:val="clear"/>
            <w:vAlign w:val="center"/>
          </w:tcPr>
          <w:p w14:paraId="7DDE6B4B">
            <w:pPr>
              <w:pStyle w:val="41"/>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lang w:val="en-US"/>
              </w:rPr>
              <w:t>SO₂</w:t>
            </w:r>
          </w:p>
        </w:tc>
        <w:tc>
          <w:tcPr>
            <w:tcW w:w="2333" w:type="dxa"/>
            <w:tcBorders>
              <w:top w:val="single" w:color="auto" w:sz="4" w:space="0"/>
              <w:left w:val="single" w:color="auto" w:sz="4" w:space="0"/>
              <w:bottom w:val="single" w:color="auto" w:sz="4" w:space="0"/>
              <w:right w:val="single" w:color="auto" w:sz="4" w:space="0"/>
            </w:tcBorders>
            <w:shd w:val="clear"/>
            <w:vAlign w:val="top"/>
          </w:tcPr>
          <w:p w14:paraId="68D41D90">
            <w:pPr>
              <w:pStyle w:val="41"/>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lang w:val="en-US"/>
              </w:rPr>
              <w:t>mg/Nm³</w:t>
            </w:r>
          </w:p>
        </w:tc>
        <w:tc>
          <w:tcPr>
            <w:tcW w:w="2333" w:type="dxa"/>
            <w:tcBorders>
              <w:top w:val="single" w:color="auto" w:sz="4" w:space="0"/>
              <w:left w:val="single" w:color="auto" w:sz="4" w:space="0"/>
              <w:bottom w:val="single" w:color="auto" w:sz="4" w:space="0"/>
              <w:right w:val="single" w:color="auto" w:sz="4" w:space="0"/>
            </w:tcBorders>
            <w:shd w:val="clear"/>
            <w:vAlign w:val="center"/>
          </w:tcPr>
          <w:p w14:paraId="035438AA">
            <w:pPr>
              <w:pStyle w:val="41"/>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lang w:val="en-US"/>
              </w:rPr>
              <w:t>≤80</w:t>
            </w:r>
          </w:p>
        </w:tc>
        <w:tc>
          <w:tcPr>
            <w:tcW w:w="2333" w:type="dxa"/>
            <w:tcBorders>
              <w:top w:val="single" w:color="auto" w:sz="4" w:space="0"/>
              <w:left w:val="single" w:color="auto" w:sz="4" w:space="0"/>
              <w:bottom w:val="single" w:color="auto" w:sz="4" w:space="0"/>
              <w:right w:val="single" w:color="auto" w:sz="8" w:space="0"/>
            </w:tcBorders>
            <w:shd w:val="clear"/>
            <w:vAlign w:val="center"/>
          </w:tcPr>
          <w:p w14:paraId="39F8437E">
            <w:pPr>
              <w:pStyle w:val="41"/>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lang w:val="en-US"/>
              </w:rPr>
              <w:t>HJ 57</w:t>
            </w:r>
          </w:p>
        </w:tc>
      </w:tr>
      <w:tr w14:paraId="3C4886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5" w:type="dxa"/>
            <w:tcBorders>
              <w:top w:val="single" w:color="auto" w:sz="4" w:space="0"/>
              <w:left w:val="single" w:color="auto" w:sz="8" w:space="0"/>
              <w:bottom w:val="single" w:color="auto" w:sz="4" w:space="0"/>
              <w:right w:val="single" w:color="auto" w:sz="4" w:space="0"/>
            </w:tcBorders>
            <w:shd w:val="clear"/>
            <w:vAlign w:val="center"/>
          </w:tcPr>
          <w:p w14:paraId="5B03919C">
            <w:pPr>
              <w:pStyle w:val="41"/>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lang w:val="en-US"/>
              </w:rPr>
              <w:t>NOx</w:t>
            </w:r>
          </w:p>
        </w:tc>
        <w:tc>
          <w:tcPr>
            <w:tcW w:w="2333" w:type="dxa"/>
            <w:tcBorders>
              <w:top w:val="single" w:color="auto" w:sz="4" w:space="0"/>
              <w:left w:val="single" w:color="auto" w:sz="4" w:space="0"/>
              <w:bottom w:val="single" w:color="auto" w:sz="4" w:space="0"/>
              <w:right w:val="single" w:color="auto" w:sz="4" w:space="0"/>
            </w:tcBorders>
            <w:shd w:val="clear"/>
            <w:vAlign w:val="top"/>
          </w:tcPr>
          <w:p w14:paraId="6AC44410">
            <w:pPr>
              <w:pStyle w:val="41"/>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lang w:val="en-US"/>
              </w:rPr>
              <w:t>mg/Nm³</w:t>
            </w:r>
          </w:p>
        </w:tc>
        <w:tc>
          <w:tcPr>
            <w:tcW w:w="2333" w:type="dxa"/>
            <w:tcBorders>
              <w:top w:val="single" w:color="auto" w:sz="4" w:space="0"/>
              <w:left w:val="single" w:color="auto" w:sz="4" w:space="0"/>
              <w:bottom w:val="single" w:color="auto" w:sz="4" w:space="0"/>
              <w:right w:val="single" w:color="auto" w:sz="4" w:space="0"/>
            </w:tcBorders>
            <w:shd w:val="clear"/>
            <w:vAlign w:val="center"/>
          </w:tcPr>
          <w:p w14:paraId="23462374">
            <w:pPr>
              <w:pStyle w:val="41"/>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lang w:val="en-US"/>
              </w:rPr>
              <w:t>≤250</w:t>
            </w:r>
          </w:p>
        </w:tc>
        <w:tc>
          <w:tcPr>
            <w:tcW w:w="2333" w:type="dxa"/>
            <w:tcBorders>
              <w:top w:val="single" w:color="auto" w:sz="4" w:space="0"/>
              <w:left w:val="single" w:color="auto" w:sz="4" w:space="0"/>
              <w:bottom w:val="single" w:color="auto" w:sz="4" w:space="0"/>
              <w:right w:val="single" w:color="auto" w:sz="8" w:space="0"/>
            </w:tcBorders>
            <w:shd w:val="clear"/>
            <w:vAlign w:val="center"/>
          </w:tcPr>
          <w:p w14:paraId="648309D4">
            <w:pPr>
              <w:pStyle w:val="41"/>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lang w:val="en-US"/>
              </w:rPr>
              <w:t>HJ 692</w:t>
            </w:r>
          </w:p>
        </w:tc>
      </w:tr>
      <w:tr w14:paraId="4FE5FB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5" w:type="dxa"/>
            <w:tcBorders>
              <w:top w:val="single" w:color="auto" w:sz="4" w:space="0"/>
              <w:left w:val="single" w:color="auto" w:sz="8" w:space="0"/>
              <w:bottom w:val="single" w:color="auto" w:sz="4" w:space="0"/>
              <w:right w:val="single" w:color="auto" w:sz="4" w:space="0"/>
            </w:tcBorders>
            <w:shd w:val="clear"/>
            <w:vAlign w:val="center"/>
          </w:tcPr>
          <w:p w14:paraId="5ADD2578">
            <w:pPr>
              <w:pStyle w:val="41"/>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lang w:val="en-US"/>
              </w:rPr>
              <w:t>HCl</w:t>
            </w:r>
          </w:p>
        </w:tc>
        <w:tc>
          <w:tcPr>
            <w:tcW w:w="2333" w:type="dxa"/>
            <w:tcBorders>
              <w:top w:val="single" w:color="auto" w:sz="4" w:space="0"/>
              <w:left w:val="single" w:color="auto" w:sz="4" w:space="0"/>
              <w:bottom w:val="single" w:color="auto" w:sz="4" w:space="0"/>
              <w:right w:val="single" w:color="auto" w:sz="4" w:space="0"/>
            </w:tcBorders>
            <w:shd w:val="clear"/>
            <w:vAlign w:val="top"/>
          </w:tcPr>
          <w:p w14:paraId="0EDC1DA2">
            <w:pPr>
              <w:pStyle w:val="41"/>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lang w:val="en-US"/>
              </w:rPr>
              <w:t>mg/Nm³</w:t>
            </w:r>
          </w:p>
        </w:tc>
        <w:tc>
          <w:tcPr>
            <w:tcW w:w="2333" w:type="dxa"/>
            <w:tcBorders>
              <w:top w:val="single" w:color="auto" w:sz="4" w:space="0"/>
              <w:left w:val="single" w:color="auto" w:sz="4" w:space="0"/>
              <w:bottom w:val="single" w:color="auto" w:sz="4" w:space="0"/>
              <w:right w:val="single" w:color="auto" w:sz="4" w:space="0"/>
            </w:tcBorders>
            <w:shd w:val="clear"/>
            <w:vAlign w:val="center"/>
          </w:tcPr>
          <w:p w14:paraId="20390CB0">
            <w:pPr>
              <w:pStyle w:val="41"/>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lang w:val="en-US"/>
              </w:rPr>
              <w:t>≤50</w:t>
            </w:r>
          </w:p>
        </w:tc>
        <w:tc>
          <w:tcPr>
            <w:tcW w:w="2333" w:type="dxa"/>
            <w:tcBorders>
              <w:top w:val="single" w:color="auto" w:sz="4" w:space="0"/>
              <w:left w:val="single" w:color="auto" w:sz="4" w:space="0"/>
              <w:bottom w:val="single" w:color="auto" w:sz="4" w:space="0"/>
              <w:right w:val="single" w:color="auto" w:sz="8" w:space="0"/>
            </w:tcBorders>
            <w:shd w:val="clear"/>
            <w:vAlign w:val="center"/>
          </w:tcPr>
          <w:p w14:paraId="66BA2FAC">
            <w:pPr>
              <w:pStyle w:val="41"/>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lang w:val="en-US"/>
              </w:rPr>
              <w:t>HJ 548</w:t>
            </w:r>
          </w:p>
        </w:tc>
      </w:tr>
      <w:tr w14:paraId="4D99A1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2335" w:type="dxa"/>
            <w:tcBorders>
              <w:top w:val="single" w:color="auto" w:sz="4" w:space="0"/>
              <w:left w:val="single" w:color="auto" w:sz="8" w:space="0"/>
              <w:bottom w:val="single" w:color="auto" w:sz="4" w:space="0"/>
              <w:right w:val="single" w:color="auto" w:sz="4" w:space="0"/>
            </w:tcBorders>
            <w:shd w:val="clear"/>
            <w:vAlign w:val="center"/>
          </w:tcPr>
          <w:p w14:paraId="7915C76D">
            <w:pPr>
              <w:pStyle w:val="41"/>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二噁英类</w:t>
            </w:r>
          </w:p>
        </w:tc>
        <w:tc>
          <w:tcPr>
            <w:tcW w:w="2333" w:type="dxa"/>
            <w:tcBorders>
              <w:top w:val="single" w:color="auto" w:sz="4" w:space="0"/>
              <w:left w:val="single" w:color="auto" w:sz="4" w:space="0"/>
              <w:bottom w:val="single" w:color="auto" w:sz="4" w:space="0"/>
              <w:right w:val="single" w:color="auto" w:sz="4" w:space="0"/>
            </w:tcBorders>
            <w:shd w:val="clear"/>
            <w:vAlign w:val="center"/>
          </w:tcPr>
          <w:p w14:paraId="7673C388">
            <w:pPr>
              <w:pStyle w:val="41"/>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lang w:val="en-US"/>
              </w:rPr>
              <w:t>ngTEQ/Nm</w:t>
            </w:r>
            <w:r>
              <w:rPr>
                <w:rFonts w:hint="default" w:ascii="Times New Roman" w:hAnsi="Times New Roman" w:cs="Times New Roman"/>
                <w:sz w:val="28"/>
                <w:szCs w:val="28"/>
                <w:highlight w:val="none"/>
                <w:bdr w:val="none" w:color="auto" w:sz="0" w:space="0"/>
                <w:vertAlign w:val="superscript"/>
                <w:lang w:val="en-US"/>
              </w:rPr>
              <w:t>3</w:t>
            </w:r>
          </w:p>
        </w:tc>
        <w:tc>
          <w:tcPr>
            <w:tcW w:w="2333" w:type="dxa"/>
            <w:tcBorders>
              <w:top w:val="single" w:color="auto" w:sz="4" w:space="0"/>
              <w:left w:val="single" w:color="auto" w:sz="4" w:space="0"/>
              <w:bottom w:val="single" w:color="auto" w:sz="4" w:space="0"/>
              <w:right w:val="single" w:color="auto" w:sz="4" w:space="0"/>
            </w:tcBorders>
            <w:shd w:val="clear"/>
            <w:vAlign w:val="center"/>
          </w:tcPr>
          <w:p w14:paraId="623B2164">
            <w:pPr>
              <w:pStyle w:val="41"/>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lang w:val="en-US"/>
              </w:rPr>
              <w:t>≤0.1</w:t>
            </w:r>
          </w:p>
        </w:tc>
        <w:tc>
          <w:tcPr>
            <w:tcW w:w="2333" w:type="dxa"/>
            <w:tcBorders>
              <w:top w:val="single" w:color="auto" w:sz="4" w:space="0"/>
              <w:left w:val="single" w:color="auto" w:sz="4" w:space="0"/>
              <w:bottom w:val="single" w:color="auto" w:sz="4" w:space="0"/>
              <w:right w:val="single" w:color="auto" w:sz="8" w:space="0"/>
            </w:tcBorders>
            <w:shd w:val="clear"/>
            <w:vAlign w:val="center"/>
          </w:tcPr>
          <w:p w14:paraId="35BD9CCB">
            <w:pPr>
              <w:pStyle w:val="41"/>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lang w:val="en-US"/>
              </w:rPr>
              <w:t>HJ 77.2</w:t>
            </w:r>
          </w:p>
        </w:tc>
      </w:tr>
      <w:tr w14:paraId="533BF4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2335" w:type="dxa"/>
            <w:tcBorders>
              <w:top w:val="single" w:color="auto" w:sz="4" w:space="0"/>
              <w:left w:val="single" w:color="auto" w:sz="8" w:space="0"/>
              <w:bottom w:val="single" w:color="auto" w:sz="8" w:space="0"/>
              <w:right w:val="single" w:color="auto" w:sz="4" w:space="0"/>
            </w:tcBorders>
            <w:shd w:val="clear"/>
            <w:vAlign w:val="center"/>
          </w:tcPr>
          <w:p w14:paraId="6A495CAE">
            <w:pPr>
              <w:pStyle w:val="41"/>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汞及其化合物</w:t>
            </w:r>
          </w:p>
        </w:tc>
        <w:tc>
          <w:tcPr>
            <w:tcW w:w="2333" w:type="dxa"/>
            <w:tcBorders>
              <w:top w:val="single" w:color="auto" w:sz="4" w:space="0"/>
              <w:left w:val="single" w:color="auto" w:sz="4" w:space="0"/>
              <w:bottom w:val="single" w:color="auto" w:sz="8" w:space="0"/>
              <w:right w:val="single" w:color="auto" w:sz="4" w:space="0"/>
            </w:tcBorders>
            <w:shd w:val="clear"/>
            <w:vAlign w:val="top"/>
          </w:tcPr>
          <w:p w14:paraId="4B6D485C">
            <w:pPr>
              <w:pStyle w:val="41"/>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lang w:val="en-US"/>
              </w:rPr>
              <w:t>mg/Nm³</w:t>
            </w:r>
          </w:p>
        </w:tc>
        <w:tc>
          <w:tcPr>
            <w:tcW w:w="2333" w:type="dxa"/>
            <w:tcBorders>
              <w:top w:val="single" w:color="auto" w:sz="4" w:space="0"/>
              <w:left w:val="single" w:color="auto" w:sz="4" w:space="0"/>
              <w:bottom w:val="single" w:color="auto" w:sz="8" w:space="0"/>
              <w:right w:val="single" w:color="auto" w:sz="4" w:space="0"/>
            </w:tcBorders>
            <w:shd w:val="clear"/>
            <w:vAlign w:val="center"/>
          </w:tcPr>
          <w:p w14:paraId="695F8BC9">
            <w:pPr>
              <w:pStyle w:val="41"/>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lang w:val="en-US"/>
              </w:rPr>
              <w:t>≤0.05</w:t>
            </w:r>
          </w:p>
        </w:tc>
        <w:tc>
          <w:tcPr>
            <w:tcW w:w="2333" w:type="dxa"/>
            <w:tcBorders>
              <w:top w:val="single" w:color="auto" w:sz="4" w:space="0"/>
              <w:left w:val="single" w:color="auto" w:sz="4" w:space="0"/>
              <w:bottom w:val="single" w:color="auto" w:sz="8" w:space="0"/>
              <w:right w:val="single" w:color="auto" w:sz="8" w:space="0"/>
            </w:tcBorders>
            <w:shd w:val="clear"/>
            <w:vAlign w:val="center"/>
          </w:tcPr>
          <w:p w14:paraId="0EE564DF">
            <w:pPr>
              <w:pStyle w:val="41"/>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lang w:val="en-US"/>
              </w:rPr>
              <w:t>HJ 543</w:t>
            </w:r>
          </w:p>
        </w:tc>
      </w:tr>
      <w:bookmarkEnd w:id="43"/>
    </w:tbl>
    <w:p w14:paraId="125D0B79">
      <w:pPr>
        <w:pStyle w:val="37"/>
        <w:widowControl/>
        <w:spacing w:line="360" w:lineRule="auto"/>
        <w:ind w:left="0" w:firstLine="420"/>
        <w:rPr>
          <w:rFonts w:hint="default" w:ascii="Times New Roman" w:hAnsi="Times New Roman" w:cs="Times New Roman"/>
          <w:sz w:val="28"/>
          <w:szCs w:val="28"/>
          <w:highlight w:val="none"/>
          <w:lang w:val="en-US"/>
        </w:rPr>
      </w:pPr>
    </w:p>
    <w:p w14:paraId="2689A5B9">
      <w:pPr>
        <w:pStyle w:val="36"/>
        <w:widowControl/>
        <w:numPr>
          <w:ilvl w:val="3"/>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废水与固废</w:t>
      </w:r>
    </w:p>
    <w:p w14:paraId="5A21C6E1">
      <w:pPr>
        <w:pStyle w:val="37"/>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废水与固废</w:t>
      </w:r>
      <w:bookmarkStart w:id="44" w:name="OLE_LINK3"/>
      <w:r>
        <w:rPr>
          <w:rFonts w:hint="default" w:ascii="Times New Roman" w:hAnsi="Times New Roman" w:cs="Times New Roman"/>
          <w:sz w:val="28"/>
          <w:szCs w:val="28"/>
          <w:highlight w:val="none"/>
          <w:lang w:eastAsia="zh-CN"/>
        </w:rPr>
        <w:t>应满足以下要求</w:t>
      </w:r>
      <w:bookmarkEnd w:id="44"/>
      <w:r>
        <w:rPr>
          <w:rFonts w:hint="default" w:ascii="Times New Roman" w:hAnsi="Times New Roman" w:cs="Times New Roman"/>
          <w:sz w:val="28"/>
          <w:szCs w:val="28"/>
          <w:highlight w:val="none"/>
          <w:lang w:eastAsia="zh-CN"/>
        </w:rPr>
        <w:t>：</w:t>
      </w:r>
    </w:p>
    <w:p w14:paraId="65B7A995">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工艺废水预处理至</w:t>
      </w:r>
      <w:r>
        <w:rPr>
          <w:rFonts w:hint="default" w:ascii="Times New Roman" w:hAnsi="Times New Roman" w:cs="Times New Roman"/>
          <w:sz w:val="28"/>
          <w:szCs w:val="28"/>
          <w:highlight w:val="none"/>
          <w:lang w:val="en-US"/>
        </w:rPr>
        <w:t>pH=6~9</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COD≤100 mg/L</w:t>
      </w:r>
      <w:r>
        <w:rPr>
          <w:rFonts w:hint="default" w:ascii="Times New Roman" w:hAnsi="Times New Roman" w:cs="Times New Roman"/>
          <w:sz w:val="28"/>
          <w:szCs w:val="28"/>
          <w:highlight w:val="none"/>
          <w:lang w:eastAsia="zh-CN"/>
        </w:rPr>
        <w:t>后，排入厂区污水管网；</w:t>
      </w:r>
    </w:p>
    <w:p w14:paraId="4563BFA8">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飞灰按危险废物管理，密封转运至有资质单位处置。</w:t>
      </w:r>
    </w:p>
    <w:p w14:paraId="09069E9A">
      <w:pPr>
        <w:pStyle w:val="38"/>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安全设计</w:t>
      </w:r>
    </w:p>
    <w:p w14:paraId="3E8F28E7">
      <w:pPr>
        <w:pStyle w:val="35"/>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防爆防火应满足以下要求：</w:t>
      </w:r>
    </w:p>
    <w:p w14:paraId="08886BD8">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干化机、干污泥仓等爆炸风险区，配置：</w:t>
      </w:r>
    </w:p>
    <w:p w14:paraId="0757A80F">
      <w:pPr>
        <w:pStyle w:val="44"/>
        <w:widowControl/>
        <w:numPr>
          <w:ilvl w:val="1"/>
          <w:numId w:val="2"/>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氧含量监测仪，精度</w:t>
      </w:r>
      <w:r>
        <w:rPr>
          <w:rFonts w:hint="default" w:ascii="Times New Roman" w:hAnsi="Times New Roman" w:cs="Times New Roman"/>
          <w:sz w:val="28"/>
          <w:szCs w:val="28"/>
          <w:highlight w:val="none"/>
          <w:lang w:val="en-US"/>
        </w:rPr>
        <w:t>±0.5%</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eastAsia="zh-CN"/>
        </w:rPr>
        <w:t xml:space="preserve"> </w:t>
      </w:r>
    </w:p>
    <w:p w14:paraId="5645691A">
      <w:pPr>
        <w:pStyle w:val="44"/>
        <w:widowControl/>
        <w:numPr>
          <w:ilvl w:val="1"/>
          <w:numId w:val="2"/>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自动氮气惰化系统，氧含量</w:t>
      </w:r>
      <w:r>
        <w:rPr>
          <w:rFonts w:hint="default" w:ascii="Times New Roman" w:hAnsi="Times New Roman" w:cs="Times New Roman"/>
          <w:sz w:val="28"/>
          <w:szCs w:val="28"/>
          <w:highlight w:val="none"/>
          <w:lang w:val="en-US"/>
        </w:rPr>
        <w:t>&gt;8%</w:t>
      </w:r>
      <w:r>
        <w:rPr>
          <w:rFonts w:hint="default" w:ascii="Times New Roman" w:hAnsi="Times New Roman" w:cs="Times New Roman"/>
          <w:sz w:val="28"/>
          <w:szCs w:val="28"/>
          <w:highlight w:val="none"/>
          <w:lang w:eastAsia="zh-CN"/>
        </w:rPr>
        <w:t>时触发；</w:t>
      </w:r>
    </w:p>
    <w:p w14:paraId="716A52B5">
      <w:pPr>
        <w:pStyle w:val="44"/>
        <w:widowControl/>
        <w:numPr>
          <w:ilvl w:val="1"/>
          <w:numId w:val="2"/>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泄爆片，爆破压力</w:t>
      </w:r>
      <w:r>
        <w:rPr>
          <w:rFonts w:hint="default" w:ascii="Times New Roman" w:hAnsi="Times New Roman" w:cs="Times New Roman"/>
          <w:sz w:val="28"/>
          <w:szCs w:val="28"/>
          <w:highlight w:val="none"/>
          <w:lang w:val="en-US"/>
        </w:rPr>
        <w:t>≤0.1 MPa</w:t>
      </w:r>
      <w:r>
        <w:rPr>
          <w:rFonts w:hint="default" w:ascii="Times New Roman" w:hAnsi="Times New Roman" w:cs="Times New Roman"/>
          <w:sz w:val="28"/>
          <w:szCs w:val="28"/>
          <w:highlight w:val="none"/>
          <w:lang w:eastAsia="zh-CN"/>
        </w:rPr>
        <w:t>。</w:t>
      </w:r>
    </w:p>
    <w:p w14:paraId="2C0F2F41">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焚烧炉周边</w:t>
      </w:r>
      <w:r>
        <w:rPr>
          <w:rFonts w:hint="default" w:ascii="Times New Roman" w:hAnsi="Times New Roman" w:cs="Times New Roman"/>
          <w:sz w:val="28"/>
          <w:szCs w:val="28"/>
          <w:highlight w:val="none"/>
          <w:lang w:val="en-US"/>
        </w:rPr>
        <w:t>5 m</w:t>
      </w:r>
      <w:r>
        <w:rPr>
          <w:rFonts w:hint="default" w:ascii="Times New Roman" w:hAnsi="Times New Roman" w:cs="Times New Roman"/>
          <w:sz w:val="28"/>
          <w:szCs w:val="28"/>
          <w:highlight w:val="none"/>
          <w:lang w:eastAsia="zh-CN"/>
        </w:rPr>
        <w:t>内设置消防栓，水压</w:t>
      </w:r>
      <w:r>
        <w:rPr>
          <w:rFonts w:hint="default" w:ascii="Times New Roman" w:hAnsi="Times New Roman" w:cs="Times New Roman"/>
          <w:sz w:val="28"/>
          <w:szCs w:val="28"/>
          <w:highlight w:val="none"/>
          <w:lang w:val="en-US"/>
        </w:rPr>
        <w:t>≥0.4 MPa</w:t>
      </w:r>
      <w:r>
        <w:rPr>
          <w:rFonts w:hint="default" w:ascii="Times New Roman" w:hAnsi="Times New Roman" w:cs="Times New Roman"/>
          <w:sz w:val="28"/>
          <w:szCs w:val="28"/>
          <w:highlight w:val="none"/>
          <w:lang w:eastAsia="zh-CN"/>
        </w:rPr>
        <w:t>，及</w:t>
      </w:r>
      <w:r>
        <w:rPr>
          <w:rFonts w:hint="default" w:ascii="Times New Roman" w:hAnsi="Times New Roman" w:cs="Times New Roman"/>
          <w:sz w:val="28"/>
          <w:szCs w:val="28"/>
          <w:highlight w:val="none"/>
          <w:lang w:val="en-US"/>
        </w:rPr>
        <w:t>CO₂</w:t>
      </w:r>
      <w:r>
        <w:rPr>
          <w:rFonts w:hint="default" w:ascii="Times New Roman" w:hAnsi="Times New Roman" w:cs="Times New Roman"/>
          <w:sz w:val="28"/>
          <w:szCs w:val="28"/>
          <w:highlight w:val="none"/>
          <w:lang w:eastAsia="zh-CN"/>
        </w:rPr>
        <w:t>灭火器。</w:t>
      </w:r>
    </w:p>
    <w:p w14:paraId="0052F524">
      <w:pPr>
        <w:pStyle w:val="35"/>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毒害防护应满足以下要求：</w:t>
      </w:r>
    </w:p>
    <w:p w14:paraId="22BBBC5D">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储泥池、反应塔等有限空间安装</w:t>
      </w:r>
      <w:r>
        <w:rPr>
          <w:rFonts w:hint="default" w:ascii="Times New Roman" w:hAnsi="Times New Roman" w:cs="Times New Roman"/>
          <w:sz w:val="28"/>
          <w:szCs w:val="28"/>
          <w:highlight w:val="none"/>
          <w:lang w:val="en-US"/>
        </w:rPr>
        <w:t>H₂S/CH₄</w:t>
      </w:r>
      <w:r>
        <w:rPr>
          <w:rFonts w:hint="default" w:ascii="Times New Roman" w:hAnsi="Times New Roman" w:cs="Times New Roman"/>
          <w:sz w:val="28"/>
          <w:szCs w:val="28"/>
          <w:highlight w:val="none"/>
          <w:lang w:eastAsia="zh-CN"/>
        </w:rPr>
        <w:t>检测仪，一级报警值</w:t>
      </w:r>
      <w:r>
        <w:rPr>
          <w:rFonts w:hint="default" w:ascii="Times New Roman" w:hAnsi="Times New Roman" w:cs="Times New Roman"/>
          <w:sz w:val="28"/>
          <w:szCs w:val="28"/>
          <w:highlight w:val="none"/>
          <w:lang w:val="en-US"/>
        </w:rPr>
        <w:t>10 ppm</w:t>
      </w:r>
      <w:r>
        <w:rPr>
          <w:rFonts w:hint="default" w:ascii="Times New Roman" w:hAnsi="Times New Roman" w:cs="Times New Roman"/>
          <w:sz w:val="28"/>
          <w:szCs w:val="28"/>
          <w:highlight w:val="none"/>
          <w:lang w:eastAsia="zh-CN"/>
        </w:rPr>
        <w:t>，二级报警值</w:t>
      </w:r>
      <w:r>
        <w:rPr>
          <w:rFonts w:hint="default" w:ascii="Times New Roman" w:hAnsi="Times New Roman" w:cs="Times New Roman"/>
          <w:sz w:val="28"/>
          <w:szCs w:val="28"/>
          <w:highlight w:val="none"/>
          <w:lang w:val="en-US"/>
        </w:rPr>
        <w:t>15 ppm</w:t>
      </w:r>
      <w:r>
        <w:rPr>
          <w:rFonts w:hint="default" w:ascii="Times New Roman" w:hAnsi="Times New Roman" w:cs="Times New Roman"/>
          <w:sz w:val="28"/>
          <w:szCs w:val="28"/>
          <w:highlight w:val="none"/>
          <w:lang w:eastAsia="zh-CN"/>
        </w:rPr>
        <w:t>，并联锁启动事故风机，风量</w:t>
      </w:r>
      <w:r>
        <w:rPr>
          <w:rFonts w:hint="default" w:ascii="Times New Roman" w:hAnsi="Times New Roman" w:cs="Times New Roman"/>
          <w:sz w:val="28"/>
          <w:szCs w:val="28"/>
          <w:highlight w:val="none"/>
          <w:lang w:val="en-US"/>
        </w:rPr>
        <w:t>≥12</w:t>
      </w:r>
      <w:r>
        <w:rPr>
          <w:rFonts w:hint="default" w:ascii="Times New Roman" w:hAnsi="Times New Roman" w:cs="Times New Roman"/>
          <w:sz w:val="28"/>
          <w:szCs w:val="28"/>
          <w:highlight w:val="none"/>
          <w:lang w:eastAsia="zh-CN"/>
        </w:rPr>
        <w:t>次</w:t>
      </w:r>
      <w:r>
        <w:rPr>
          <w:rFonts w:hint="default" w:ascii="Times New Roman" w:hAnsi="Times New Roman" w:cs="Times New Roman"/>
          <w:sz w:val="28"/>
          <w:szCs w:val="28"/>
          <w:highlight w:val="none"/>
          <w:lang w:val="en-US"/>
        </w:rPr>
        <w:t>/h</w:t>
      </w:r>
      <w:r>
        <w:rPr>
          <w:rFonts w:hint="default" w:ascii="Times New Roman" w:hAnsi="Times New Roman" w:cs="Times New Roman"/>
          <w:sz w:val="28"/>
          <w:szCs w:val="28"/>
          <w:highlight w:val="none"/>
          <w:lang w:eastAsia="zh-CN"/>
        </w:rPr>
        <w:t>换气。</w:t>
      </w:r>
    </w:p>
    <w:p w14:paraId="607D8B46">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接触腐蚀性介质的操作位配置紧急淋浴器，响应时间</w:t>
      </w:r>
      <w:r>
        <w:rPr>
          <w:rFonts w:hint="default" w:ascii="Times New Roman" w:hAnsi="Times New Roman" w:cs="Times New Roman"/>
          <w:sz w:val="28"/>
          <w:szCs w:val="28"/>
          <w:highlight w:val="none"/>
          <w:lang w:val="en-US"/>
        </w:rPr>
        <w:t>≤1 s</w:t>
      </w:r>
      <w:r>
        <w:rPr>
          <w:rFonts w:hint="default" w:ascii="Times New Roman" w:hAnsi="Times New Roman" w:cs="Times New Roman"/>
          <w:sz w:val="28"/>
          <w:szCs w:val="28"/>
          <w:highlight w:val="none"/>
          <w:lang w:eastAsia="zh-CN"/>
        </w:rPr>
        <w:t>。</w:t>
      </w:r>
    </w:p>
    <w:p w14:paraId="5BD836B9">
      <w:pPr>
        <w:pStyle w:val="38"/>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职业健康</w:t>
      </w:r>
    </w:p>
    <w:p w14:paraId="3575D035">
      <w:pPr>
        <w:pStyle w:val="35"/>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高噪声设备（引风机、空压机）应采取：</w:t>
      </w:r>
    </w:p>
    <w:p w14:paraId="71B1DBCD">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隔声罩，插入损失</w:t>
      </w:r>
      <w:r>
        <w:rPr>
          <w:rFonts w:hint="default" w:ascii="Times New Roman" w:hAnsi="Times New Roman" w:cs="Times New Roman"/>
          <w:sz w:val="28"/>
          <w:szCs w:val="28"/>
          <w:highlight w:val="none"/>
          <w:lang w:val="en-US"/>
        </w:rPr>
        <w:t>≥25 dB(A)</w:t>
      </w:r>
      <w:r>
        <w:rPr>
          <w:rFonts w:hint="default" w:ascii="Times New Roman" w:hAnsi="Times New Roman" w:cs="Times New Roman"/>
          <w:sz w:val="28"/>
          <w:szCs w:val="28"/>
          <w:highlight w:val="none"/>
          <w:lang w:eastAsia="zh-CN"/>
        </w:rPr>
        <w:t>；</w:t>
      </w:r>
    </w:p>
    <w:p w14:paraId="02F2F0F7">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减振基础，振动速度</w:t>
      </w:r>
      <w:r>
        <w:rPr>
          <w:rFonts w:hint="default" w:ascii="Times New Roman" w:hAnsi="Times New Roman" w:cs="Times New Roman"/>
          <w:sz w:val="28"/>
          <w:szCs w:val="28"/>
          <w:highlight w:val="none"/>
          <w:lang w:val="en-US"/>
        </w:rPr>
        <w:t>≤4.5 mm/s</w:t>
      </w:r>
      <w:r>
        <w:rPr>
          <w:rFonts w:hint="default" w:ascii="Times New Roman" w:hAnsi="Times New Roman" w:cs="Times New Roman"/>
          <w:sz w:val="28"/>
          <w:szCs w:val="28"/>
          <w:highlight w:val="none"/>
          <w:lang w:eastAsia="zh-CN"/>
        </w:rPr>
        <w:t>。</w:t>
      </w:r>
    </w:p>
    <w:p w14:paraId="0AAADCD9">
      <w:pPr>
        <w:pStyle w:val="35"/>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巡检通道噪声宜</w:t>
      </w:r>
      <w:r>
        <w:rPr>
          <w:rFonts w:hint="default" w:ascii="Times New Roman" w:hAnsi="Times New Roman" w:cs="Times New Roman"/>
          <w:sz w:val="28"/>
          <w:szCs w:val="28"/>
          <w:highlight w:val="none"/>
          <w:lang w:val="en-US"/>
        </w:rPr>
        <w:t>≤85 dB(A)</w:t>
      </w:r>
      <w:r>
        <w:rPr>
          <w:rFonts w:hint="default" w:ascii="Times New Roman" w:hAnsi="Times New Roman" w:cs="Times New Roman"/>
          <w:sz w:val="28"/>
          <w:szCs w:val="28"/>
          <w:highlight w:val="none"/>
          <w:lang w:eastAsia="zh-CN"/>
        </w:rPr>
        <w:t>，否则应配发护耳器。</w:t>
      </w:r>
    </w:p>
    <w:p w14:paraId="415DDEB3">
      <w:pPr>
        <w:pStyle w:val="38"/>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应急管理</w:t>
      </w:r>
    </w:p>
    <w:p w14:paraId="28CED737">
      <w:pPr>
        <w:pStyle w:val="35"/>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控制系统应预设紧急停车程序，触发条件应包括：</w:t>
      </w:r>
    </w:p>
    <w:p w14:paraId="42B15042">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焚烧炉温度</w:t>
      </w:r>
      <w:r>
        <w:rPr>
          <w:rFonts w:hint="default" w:ascii="Times New Roman" w:hAnsi="Times New Roman" w:cs="Times New Roman"/>
          <w:sz w:val="28"/>
          <w:szCs w:val="28"/>
          <w:highlight w:val="none"/>
          <w:lang w:val="en-US"/>
        </w:rPr>
        <w:t>&lt;800°C</w:t>
      </w:r>
      <w:r>
        <w:rPr>
          <w:rFonts w:hint="default" w:ascii="Times New Roman" w:hAnsi="Times New Roman" w:cs="Times New Roman"/>
          <w:sz w:val="28"/>
          <w:szCs w:val="28"/>
          <w:highlight w:val="none"/>
          <w:lang w:eastAsia="zh-CN"/>
        </w:rPr>
        <w:t>，持续</w:t>
      </w:r>
      <w:r>
        <w:rPr>
          <w:rFonts w:hint="default" w:ascii="Times New Roman" w:hAnsi="Times New Roman" w:cs="Times New Roman"/>
          <w:sz w:val="28"/>
          <w:szCs w:val="28"/>
          <w:highlight w:val="none"/>
          <w:lang w:val="en-US"/>
        </w:rPr>
        <w:t>&gt;5 s</w:t>
      </w:r>
      <w:r>
        <w:rPr>
          <w:rFonts w:hint="default" w:ascii="Times New Roman" w:hAnsi="Times New Roman" w:cs="Times New Roman"/>
          <w:sz w:val="28"/>
          <w:szCs w:val="28"/>
          <w:highlight w:val="none"/>
          <w:lang w:eastAsia="zh-CN"/>
        </w:rPr>
        <w:t>；</w:t>
      </w:r>
    </w:p>
    <w:p w14:paraId="114DE574">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干化系统氧含量</w:t>
      </w:r>
      <w:r>
        <w:rPr>
          <w:rFonts w:hint="default" w:ascii="Times New Roman" w:hAnsi="Times New Roman" w:cs="Times New Roman"/>
          <w:sz w:val="28"/>
          <w:szCs w:val="28"/>
          <w:highlight w:val="none"/>
          <w:lang w:val="en-US"/>
        </w:rPr>
        <w:t>&gt;10%</w:t>
      </w:r>
      <w:r>
        <w:rPr>
          <w:rFonts w:hint="default" w:ascii="Times New Roman" w:hAnsi="Times New Roman" w:cs="Times New Roman"/>
          <w:sz w:val="28"/>
          <w:szCs w:val="28"/>
          <w:highlight w:val="none"/>
          <w:lang w:eastAsia="zh-CN"/>
        </w:rPr>
        <w:t>；</w:t>
      </w:r>
    </w:p>
    <w:p w14:paraId="3C48A81E">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烟气净化失效，粉尘</w:t>
      </w:r>
      <w:r>
        <w:rPr>
          <w:rFonts w:hint="default" w:ascii="Times New Roman" w:hAnsi="Times New Roman" w:cs="Times New Roman"/>
          <w:sz w:val="28"/>
          <w:szCs w:val="28"/>
          <w:highlight w:val="none"/>
          <w:lang w:val="en-US"/>
        </w:rPr>
        <w:t>&gt;50 mg/Nm³</w:t>
      </w:r>
      <w:r>
        <w:rPr>
          <w:rFonts w:hint="default" w:ascii="Times New Roman" w:hAnsi="Times New Roman" w:cs="Times New Roman"/>
          <w:sz w:val="28"/>
          <w:szCs w:val="28"/>
          <w:highlight w:val="none"/>
          <w:lang w:eastAsia="zh-CN"/>
        </w:rPr>
        <w:t>。</w:t>
      </w:r>
    </w:p>
    <w:p w14:paraId="0CAEF2D1">
      <w:pPr>
        <w:pStyle w:val="35"/>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供应商应提供应急预案，涵盖火灾、有毒泄漏、粉尘爆炸场景的处置流程。</w:t>
      </w:r>
    </w:p>
    <w:p w14:paraId="6E8D7C14">
      <w:pPr>
        <w:pStyle w:val="38"/>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文件要求</w:t>
      </w:r>
    </w:p>
    <w:p w14:paraId="1828F5C0">
      <w:pPr>
        <w:pStyle w:val="37"/>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供应商应提交：</w:t>
      </w:r>
    </w:p>
    <w:p w14:paraId="6A58C7BA">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环保设备性能承诺书；</w:t>
      </w:r>
    </w:p>
    <w:p w14:paraId="5CDE253A">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防爆区域划分图；</w:t>
      </w:r>
    </w:p>
    <w:p w14:paraId="451C58E6">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安全阀、泄爆片计算书及型式试验证书。</w:t>
      </w:r>
    </w:p>
    <w:p w14:paraId="1CB7E58D">
      <w:pPr>
        <w:pStyle w:val="39"/>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45" w:name="_Toc205892338"/>
      <w:bookmarkStart w:id="46" w:name="_Toc205913164"/>
      <w:r>
        <w:rPr>
          <w:rFonts w:hint="default" w:ascii="Times New Roman" w:hAnsi="Times New Roman" w:cs="Times New Roman"/>
          <w:sz w:val="28"/>
          <w:szCs w:val="28"/>
          <w:highlight w:val="none"/>
          <w:lang w:eastAsia="zh-CN"/>
        </w:rPr>
        <w:t>包装、运输与标识</w:t>
      </w:r>
      <w:bookmarkEnd w:id="45"/>
      <w:bookmarkEnd w:id="46"/>
    </w:p>
    <w:p w14:paraId="0446B7D2">
      <w:pPr>
        <w:pStyle w:val="38"/>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包装</w:t>
      </w:r>
    </w:p>
    <w:p w14:paraId="16167E4D">
      <w:pPr>
        <w:pStyle w:val="35"/>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焚烧炉、余热锅炉等大型设备，应采用模块化钢结构框架包装，框架刚度满足：</w:t>
      </w:r>
    </w:p>
    <w:p w14:paraId="38A614ED">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抗变形能力</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设备自重</w:t>
      </w:r>
      <w:r>
        <w:rPr>
          <w:rFonts w:hint="default" w:ascii="Times New Roman" w:hAnsi="Times New Roman" w:cs="Times New Roman"/>
          <w:sz w:val="28"/>
          <w:szCs w:val="28"/>
          <w:highlight w:val="none"/>
          <w:lang w:val="en-US"/>
        </w:rPr>
        <w:t>200%</w:t>
      </w:r>
      <w:r>
        <w:rPr>
          <w:rFonts w:hint="default" w:ascii="Times New Roman" w:hAnsi="Times New Roman" w:cs="Times New Roman"/>
          <w:sz w:val="28"/>
          <w:szCs w:val="28"/>
          <w:highlight w:val="none"/>
          <w:lang w:eastAsia="zh-CN"/>
        </w:rPr>
        <w:t>；</w:t>
      </w:r>
    </w:p>
    <w:p w14:paraId="28E3D21D">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顶面承压</w:t>
      </w:r>
      <w:r>
        <w:rPr>
          <w:rFonts w:hint="default" w:ascii="Times New Roman" w:hAnsi="Times New Roman" w:cs="Times New Roman"/>
          <w:sz w:val="28"/>
          <w:szCs w:val="28"/>
          <w:highlight w:val="none"/>
          <w:lang w:val="en-US"/>
        </w:rPr>
        <w:t>≥5 kN/m²</w:t>
      </w:r>
      <w:r>
        <w:rPr>
          <w:rFonts w:hint="default" w:ascii="Times New Roman" w:hAnsi="Times New Roman" w:cs="Times New Roman"/>
          <w:sz w:val="28"/>
          <w:szCs w:val="28"/>
          <w:highlight w:val="none"/>
          <w:lang w:eastAsia="zh-CN"/>
        </w:rPr>
        <w:t>。</w:t>
      </w:r>
    </w:p>
    <w:p w14:paraId="5DB91B75">
      <w:pPr>
        <w:pStyle w:val="35"/>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分析仪等精密仪表，应独立包装：</w:t>
      </w:r>
    </w:p>
    <w:p w14:paraId="35647F8F">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防静电袋密封后装入硬质发泡箱，抗震</w:t>
      </w:r>
      <w:r>
        <w:rPr>
          <w:rFonts w:hint="default" w:ascii="Times New Roman" w:hAnsi="Times New Roman" w:cs="Times New Roman"/>
          <w:sz w:val="28"/>
          <w:szCs w:val="28"/>
          <w:highlight w:val="none"/>
          <w:lang w:val="en-US"/>
        </w:rPr>
        <w:t>≥5 g</w:t>
      </w:r>
      <w:r>
        <w:rPr>
          <w:rFonts w:hint="default" w:ascii="Times New Roman" w:hAnsi="Times New Roman" w:cs="Times New Roman"/>
          <w:sz w:val="28"/>
          <w:szCs w:val="28"/>
          <w:highlight w:val="none"/>
          <w:lang w:eastAsia="zh-CN"/>
        </w:rPr>
        <w:t>；</w:t>
      </w:r>
    </w:p>
    <w:p w14:paraId="40DA7950">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箱内湿度指示卡宜显色阈值</w:t>
      </w:r>
      <w:r>
        <w:rPr>
          <w:rFonts w:hint="default" w:ascii="Times New Roman" w:hAnsi="Times New Roman" w:cs="Times New Roman"/>
          <w:sz w:val="28"/>
          <w:szCs w:val="28"/>
          <w:highlight w:val="none"/>
          <w:lang w:val="en-US"/>
        </w:rPr>
        <w:t>≤30%RH</w:t>
      </w:r>
      <w:r>
        <w:rPr>
          <w:rFonts w:hint="default" w:ascii="Times New Roman" w:hAnsi="Times New Roman" w:cs="Times New Roman"/>
          <w:sz w:val="28"/>
          <w:szCs w:val="28"/>
          <w:highlight w:val="none"/>
          <w:lang w:eastAsia="zh-CN"/>
        </w:rPr>
        <w:t>。</w:t>
      </w:r>
    </w:p>
    <w:p w14:paraId="62C81DD7">
      <w:pPr>
        <w:pStyle w:val="35"/>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滤袋、陶瓷内衬等易损件，可采用木箱包装，内衬防水油毡</w:t>
      </w:r>
      <w:r>
        <w:rPr>
          <w:rFonts w:hint="default" w:ascii="Times New Roman" w:hAnsi="Times New Roman" w:cs="Times New Roman"/>
          <w:sz w:val="28"/>
          <w:szCs w:val="28"/>
          <w:highlight w:val="none"/>
          <w:lang w:val="en-US"/>
        </w:rPr>
        <w:t>≥0.5 mm</w:t>
      </w:r>
      <w:r>
        <w:rPr>
          <w:rFonts w:hint="default" w:ascii="Times New Roman" w:hAnsi="Times New Roman" w:cs="Times New Roman"/>
          <w:sz w:val="28"/>
          <w:szCs w:val="28"/>
          <w:highlight w:val="none"/>
          <w:lang w:eastAsia="zh-CN"/>
        </w:rPr>
        <w:t>厚。</w:t>
      </w:r>
    </w:p>
    <w:p w14:paraId="54845455">
      <w:pPr>
        <w:pStyle w:val="38"/>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运输</w:t>
      </w:r>
    </w:p>
    <w:p w14:paraId="246FBB79">
      <w:pPr>
        <w:pStyle w:val="35"/>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超限设备（宽度＞</w:t>
      </w:r>
      <w:r>
        <w:rPr>
          <w:rFonts w:hint="default" w:ascii="Times New Roman" w:hAnsi="Times New Roman" w:cs="Times New Roman"/>
          <w:sz w:val="28"/>
          <w:szCs w:val="28"/>
          <w:highlight w:val="none"/>
          <w:lang w:val="en-US"/>
        </w:rPr>
        <w:t>3.5 m</w:t>
      </w:r>
      <w:r>
        <w:rPr>
          <w:rFonts w:hint="default" w:ascii="Times New Roman" w:hAnsi="Times New Roman" w:cs="Times New Roman"/>
          <w:sz w:val="28"/>
          <w:szCs w:val="28"/>
          <w:highlight w:val="none"/>
          <w:lang w:eastAsia="zh-CN"/>
        </w:rPr>
        <w:t>）应申请特种运输许可，并提交：</w:t>
      </w:r>
    </w:p>
    <w:p w14:paraId="444E89D2">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三维尺寸图；</w:t>
      </w:r>
    </w:p>
    <w:p w14:paraId="58032116">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公路</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水路运输路线勘察报告。</w:t>
      </w:r>
    </w:p>
    <w:p w14:paraId="36B34D9D">
      <w:pPr>
        <w:pStyle w:val="35"/>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运输过程应满足以下要求：</w:t>
      </w:r>
    </w:p>
    <w:p w14:paraId="3F811370">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加速度</w:t>
      </w:r>
      <w:r>
        <w:rPr>
          <w:rFonts w:hint="default" w:ascii="Times New Roman" w:hAnsi="Times New Roman" w:cs="Times New Roman"/>
          <w:sz w:val="28"/>
          <w:szCs w:val="28"/>
          <w:highlight w:val="none"/>
          <w:lang w:val="en-US"/>
        </w:rPr>
        <w:t>≤0.3 g</w:t>
      </w:r>
      <w:r>
        <w:rPr>
          <w:rFonts w:hint="default" w:ascii="Times New Roman" w:hAnsi="Times New Roman" w:cs="Times New Roman"/>
          <w:sz w:val="28"/>
          <w:szCs w:val="28"/>
          <w:highlight w:val="none"/>
          <w:lang w:eastAsia="zh-CN"/>
        </w:rPr>
        <w:t>；</w:t>
      </w:r>
    </w:p>
    <w:p w14:paraId="16F0F0B1">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设备表面温度宜保持</w:t>
      </w:r>
      <w:r>
        <w:rPr>
          <w:rFonts w:hint="default" w:ascii="Times New Roman" w:hAnsi="Times New Roman" w:cs="Times New Roman"/>
          <w:sz w:val="28"/>
          <w:szCs w:val="28"/>
          <w:highlight w:val="none"/>
          <w:lang w:val="en-US"/>
        </w:rPr>
        <w:t>-25°C</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50°C</w:t>
      </w:r>
      <w:r>
        <w:rPr>
          <w:rFonts w:hint="default" w:ascii="Times New Roman" w:hAnsi="Times New Roman" w:cs="Times New Roman"/>
          <w:sz w:val="28"/>
          <w:szCs w:val="28"/>
          <w:highlight w:val="none"/>
          <w:lang w:eastAsia="zh-CN"/>
        </w:rPr>
        <w:t>。</w:t>
      </w:r>
    </w:p>
    <w:p w14:paraId="4DCC73C7">
      <w:pPr>
        <w:pStyle w:val="35"/>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海运集装箱箱内宜投用气相防锈剂。</w:t>
      </w:r>
    </w:p>
    <w:p w14:paraId="1E83C0B0">
      <w:pPr>
        <w:pStyle w:val="38"/>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标识</w:t>
      </w:r>
    </w:p>
    <w:p w14:paraId="09E59E4A">
      <w:pPr>
        <w:pStyle w:val="35"/>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外箱标识应包含：</w:t>
      </w:r>
    </w:p>
    <w:p w14:paraId="70D3CE78">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设备名称</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编号；</w:t>
      </w:r>
    </w:p>
    <w:p w14:paraId="4FFFC75E">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尺寸；</w:t>
      </w:r>
    </w:p>
    <w:p w14:paraId="21DC9D19">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毛重</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净重；</w:t>
      </w:r>
    </w:p>
    <w:p w14:paraId="39BEA6D5">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重心位置；</w:t>
      </w:r>
    </w:p>
    <w:p w14:paraId="0F304E9C">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防雨；</w:t>
      </w:r>
    </w:p>
    <w:p w14:paraId="5065286A">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禁止翻滚。</w:t>
      </w:r>
    </w:p>
    <w:p w14:paraId="0C83DBC5">
      <w:pPr>
        <w:pStyle w:val="35"/>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危险警示应符合</w:t>
      </w:r>
      <w:r>
        <w:rPr>
          <w:rFonts w:hint="default" w:ascii="Times New Roman" w:hAnsi="Times New Roman" w:cs="Times New Roman"/>
          <w:sz w:val="28"/>
          <w:szCs w:val="28"/>
          <w:highlight w:val="none"/>
          <w:lang w:val="en-US"/>
        </w:rPr>
        <w:t>G</w:t>
      </w:r>
      <w:bookmarkStart w:id="47" w:name="OLE_LINK6"/>
      <w:r>
        <w:rPr>
          <w:rFonts w:hint="default" w:ascii="Times New Roman" w:hAnsi="Times New Roman" w:cs="Times New Roman"/>
          <w:sz w:val="28"/>
          <w:szCs w:val="28"/>
          <w:highlight w:val="none"/>
          <w:lang w:val="en-US"/>
        </w:rPr>
        <w:t>B 190</w:t>
      </w:r>
      <w:r>
        <w:rPr>
          <w:rFonts w:hint="default" w:ascii="Times New Roman" w:hAnsi="Times New Roman" w:cs="Times New Roman"/>
          <w:sz w:val="28"/>
          <w:szCs w:val="28"/>
          <w:highlight w:val="none"/>
          <w:lang w:eastAsia="zh-CN"/>
        </w:rPr>
        <w:t>的</w:t>
      </w:r>
      <w:bookmarkEnd w:id="47"/>
      <w:r>
        <w:rPr>
          <w:rFonts w:hint="default" w:ascii="Times New Roman" w:hAnsi="Times New Roman" w:cs="Times New Roman"/>
          <w:sz w:val="28"/>
          <w:szCs w:val="28"/>
          <w:highlight w:val="none"/>
          <w:lang w:eastAsia="zh-CN"/>
        </w:rPr>
        <w:t>要求：</w:t>
      </w:r>
    </w:p>
    <w:p w14:paraId="29CE98EB">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腐蚀性介质包件贴</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腐蚀</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标识；</w:t>
      </w:r>
    </w:p>
    <w:p w14:paraId="0CB94E2B">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电气设备贴</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防静电</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标识。</w:t>
      </w:r>
    </w:p>
    <w:p w14:paraId="640E32EC">
      <w:pPr>
        <w:pStyle w:val="35"/>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接口防护应满足以下要求：</w:t>
      </w:r>
    </w:p>
    <w:p w14:paraId="7C90F799">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法兰口加盖盲板；</w:t>
      </w:r>
    </w:p>
    <w:p w14:paraId="3C40B607">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电缆接口注密封胶。</w:t>
      </w:r>
    </w:p>
    <w:p w14:paraId="61685525">
      <w:pPr>
        <w:pStyle w:val="38"/>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文件</w:t>
      </w:r>
    </w:p>
    <w:p w14:paraId="1D2B51C2">
      <w:pPr>
        <w:pStyle w:val="35"/>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每箱应内置防水袋封装：</w:t>
      </w:r>
    </w:p>
    <w:p w14:paraId="7CC6122A">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装箱清单；</w:t>
      </w:r>
    </w:p>
    <w:p w14:paraId="07E5E8E5">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安装方位示意图。</w:t>
      </w:r>
    </w:p>
    <w:p w14:paraId="078E4B14">
      <w:pPr>
        <w:pStyle w:val="35"/>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整套设备应提供总装箱目录，注明</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关键箱</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与</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备件箱</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分类。</w:t>
      </w:r>
    </w:p>
    <w:p w14:paraId="4C8C3610">
      <w:pPr>
        <w:pStyle w:val="38"/>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责任</w:t>
      </w:r>
    </w:p>
    <w:p w14:paraId="7CD3AC43">
      <w:pPr>
        <w:pStyle w:val="35"/>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运输导致的设备损伤：</w:t>
      </w:r>
    </w:p>
    <w:p w14:paraId="4FC8D292">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包装完好但内部损坏由供应商担责；</w:t>
      </w:r>
    </w:p>
    <w:p w14:paraId="28B15CA7">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外箱破损且未购买保险归责于承运方。</w:t>
      </w:r>
    </w:p>
    <w:p w14:paraId="14135150">
      <w:pPr>
        <w:pStyle w:val="35"/>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到货开箱应双方签字确认，争议问题宜</w:t>
      </w:r>
      <w:r>
        <w:rPr>
          <w:rFonts w:hint="default" w:ascii="Times New Roman" w:hAnsi="Times New Roman" w:cs="Times New Roman"/>
          <w:sz w:val="28"/>
          <w:szCs w:val="28"/>
          <w:highlight w:val="none"/>
          <w:lang w:val="en-US"/>
        </w:rPr>
        <w:t>48 h</w:t>
      </w:r>
      <w:r>
        <w:rPr>
          <w:rFonts w:hint="default" w:ascii="Times New Roman" w:hAnsi="Times New Roman" w:cs="Times New Roman"/>
          <w:sz w:val="28"/>
          <w:szCs w:val="28"/>
          <w:highlight w:val="none"/>
          <w:lang w:eastAsia="zh-CN"/>
        </w:rPr>
        <w:t>内书面提出。</w:t>
      </w:r>
    </w:p>
    <w:p w14:paraId="615E11A1">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48" w:name="_Toc12675"/>
      <w:r>
        <w:rPr>
          <w:rFonts w:hint="default" w:ascii="Times New Roman" w:hAnsi="Times New Roman" w:eastAsia="黑体" w:cs="Times New Roman"/>
          <w:b/>
          <w:kern w:val="0"/>
          <w:sz w:val="30"/>
          <w:szCs w:val="30"/>
          <w:highlight w:val="none"/>
          <w:lang w:val="en-US" w:eastAsia="zh-CN"/>
        </w:rPr>
        <w:t>三</w:t>
      </w:r>
      <w:r>
        <w:rPr>
          <w:rFonts w:hint="default" w:ascii="Times New Roman" w:hAnsi="Times New Roman" w:eastAsia="黑体" w:cs="Times New Roman"/>
          <w:b/>
          <w:kern w:val="0"/>
          <w:sz w:val="30"/>
          <w:szCs w:val="30"/>
          <w:highlight w:val="none"/>
        </w:rPr>
        <w:t>、主要试验</w:t>
      </w:r>
      <w:r>
        <w:rPr>
          <w:rFonts w:hint="default" w:ascii="Times New Roman" w:hAnsi="Times New Roman" w:eastAsia="黑体" w:cs="Times New Roman"/>
          <w:b/>
          <w:kern w:val="0"/>
          <w:sz w:val="30"/>
          <w:szCs w:val="30"/>
          <w:highlight w:val="none"/>
          <w:lang w:val="en-US" w:eastAsia="zh-CN"/>
        </w:rPr>
        <w:t>和情况分析</w:t>
      </w:r>
      <w:bookmarkEnd w:id="48"/>
    </w:p>
    <w:p w14:paraId="2A59B8C2">
      <w:pPr>
        <w:widowControl/>
        <w:spacing w:line="360" w:lineRule="auto"/>
        <w:ind w:firstLine="560" w:firstLineChars="2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结合国内外的行业测试标准和企业内部工厂管控的项目进行要求规定和试验验证。</w:t>
      </w:r>
    </w:p>
    <w:p w14:paraId="015961A7">
      <w:pPr>
        <w:widowControl/>
        <w:spacing w:line="360" w:lineRule="auto"/>
        <w:ind w:firstLine="560" w:firstLineChars="2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在污泥干化焚烧系统集成装备的研发过程中，开展了全面且深入的试验验证工作。针对干化环节，通过搭建中试平台，模拟不同含水率、成分的污泥，对多种干化工艺及设备参数进行反复测试，精确记录干化时间、能耗以及污泥最终含水率等关键指标，累计试验次数超[X]次，确保干化设备在各种工况下都能稳定高效运行，将污泥含水率精准控制在设定范围内。对于焚烧部分，在大型试验炉中进行了长时间的连续焚烧试验，详细分析不同焚烧温度、停留时间以及空气过剩系数等因素对污泥焚烧效果的影响，重点监测污染物排放情况，如二噁英、氮氧化物、二氧化硫等，经过</w:t>
      </w:r>
      <w:r>
        <w:rPr>
          <w:rFonts w:hint="default" w:ascii="Times New Roman" w:hAnsi="Times New Roman" w:cs="Times New Roman"/>
          <w:sz w:val="28"/>
          <w:szCs w:val="28"/>
          <w:highlight w:val="none"/>
          <w:lang w:val="en-US" w:eastAsia="zh-CN"/>
        </w:rPr>
        <w:t>多</w:t>
      </w:r>
      <w:r>
        <w:rPr>
          <w:rFonts w:hint="default" w:ascii="Times New Roman" w:hAnsi="Times New Roman" w:cs="Times New Roman"/>
          <w:sz w:val="28"/>
          <w:szCs w:val="28"/>
          <w:highlight w:val="none"/>
        </w:rPr>
        <w:t>次优化调整试验，使焚烧过程达到最佳状态，污染物排放远低于国家相关标准。同时，对整个系统集成装备进行了联动试验，检验各子系统之间的协同配合能力，模拟实际运行中可能出现的各种突发情况，如设备故障、污泥流量波动等，通过多次应急演练和故障排除试验，确保系统具备高度的可靠性和稳定性。</w:t>
      </w:r>
    </w:p>
    <w:p w14:paraId="4299132E">
      <w:pPr>
        <w:widowControl/>
        <w:spacing w:line="360" w:lineRule="auto"/>
        <w:ind w:firstLine="560" w:firstLineChars="2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通过本污泥干化焚烧系统集成装备技术的应用，预期能够实现多方面显著效果。在污泥处理能力上，可高效处理不同规模产生的污泥，满足城市污水处理厂、工业废水处理设施等日益增长的污泥处置需求，日处理量可根据实际需求灵活调整，有效解决污泥堆积带来的环境隐患。在处理质量方面，经该系统处理后的污泥能够实现充分干化和彻底焚烧，最终产物为无害化的灰渣，体积大幅减小，便于后续处置和资源化利用。在环保性能上，严格遵循国家及地方最严格的环保标准，通过先进的污染控制技术，确保焚烧过程中各类污染物排放浓度极低，氮氧化物、二氧化硫等污染物排放浓度也远低于标准限值，最大程度减少对环境的二次污染。此外，该系统集成装备具备智能化控制功能，能够实现运行参数的实时监测和自动调整，降低人工操作强度，提高运行效率，同时通过优化能源利用，降低整体能耗，实现节能减排与经济效益的双赢，为污泥处理行业的可持续发展提供有力技术支撑。</w:t>
      </w:r>
    </w:p>
    <w:p w14:paraId="0DD8E88F">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49" w:name="_Toc20840"/>
      <w:r>
        <w:rPr>
          <w:rFonts w:hint="default" w:ascii="Times New Roman" w:hAnsi="Times New Roman" w:eastAsia="黑体" w:cs="Times New Roman"/>
          <w:b/>
          <w:kern w:val="0"/>
          <w:sz w:val="30"/>
          <w:szCs w:val="30"/>
          <w:highlight w:val="none"/>
          <w:lang w:val="en-US" w:eastAsia="zh-CN"/>
        </w:rPr>
        <w:t>四</w:t>
      </w:r>
      <w:r>
        <w:rPr>
          <w:rFonts w:hint="default" w:ascii="Times New Roman" w:hAnsi="Times New Roman" w:eastAsia="黑体" w:cs="Times New Roman"/>
          <w:b/>
          <w:kern w:val="0"/>
          <w:sz w:val="30"/>
          <w:szCs w:val="30"/>
          <w:highlight w:val="none"/>
        </w:rPr>
        <w:t>、</w:t>
      </w:r>
      <w:r>
        <w:rPr>
          <w:rFonts w:hint="default" w:ascii="Times New Roman" w:hAnsi="Times New Roman" w:eastAsia="黑体" w:cs="Times New Roman"/>
          <w:b/>
          <w:kern w:val="0"/>
          <w:sz w:val="30"/>
          <w:szCs w:val="30"/>
          <w:highlight w:val="none"/>
          <w:lang w:val="en-US" w:eastAsia="zh-CN"/>
        </w:rPr>
        <w:t>标准中涉及专利的情况</w:t>
      </w:r>
      <w:bookmarkEnd w:id="49"/>
    </w:p>
    <w:p w14:paraId="61864BB7">
      <w:pPr>
        <w:widowControl/>
        <w:spacing w:line="360" w:lineRule="auto"/>
        <w:ind w:firstLine="560" w:firstLineChars="200"/>
        <w:rPr>
          <w:rFonts w:hint="default" w:ascii="Times New Roman" w:hAnsi="Times New Roman" w:cs="Times New Roman" w:eastAsiaTheme="minorEastAsia"/>
          <w:sz w:val="28"/>
          <w:szCs w:val="28"/>
          <w:highlight w:val="none"/>
          <w:lang w:val="en-US" w:eastAsia="zh-CN"/>
        </w:rPr>
      </w:pPr>
      <w:r>
        <w:rPr>
          <w:rFonts w:hint="default" w:ascii="Times New Roman" w:hAnsi="Times New Roman" w:cs="Times New Roman"/>
          <w:sz w:val="28"/>
          <w:szCs w:val="28"/>
          <w:highlight w:val="none"/>
          <w:lang w:val="en-US" w:eastAsia="zh-CN"/>
        </w:rPr>
        <w:t>无</w:t>
      </w:r>
    </w:p>
    <w:p w14:paraId="65DEF14E">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50" w:name="_Toc29243"/>
      <w:r>
        <w:rPr>
          <w:rFonts w:hint="default" w:ascii="Times New Roman" w:hAnsi="Times New Roman" w:eastAsia="黑体" w:cs="Times New Roman"/>
          <w:b/>
          <w:kern w:val="0"/>
          <w:sz w:val="30"/>
          <w:szCs w:val="30"/>
          <w:highlight w:val="none"/>
          <w:lang w:val="en-US" w:eastAsia="zh-CN"/>
        </w:rPr>
        <w:t>五</w:t>
      </w:r>
      <w:r>
        <w:rPr>
          <w:rFonts w:hint="default" w:ascii="Times New Roman" w:hAnsi="Times New Roman" w:eastAsia="黑体" w:cs="Times New Roman"/>
          <w:b/>
          <w:kern w:val="0"/>
          <w:sz w:val="30"/>
          <w:szCs w:val="30"/>
          <w:highlight w:val="none"/>
        </w:rPr>
        <w:t>、</w:t>
      </w:r>
      <w:r>
        <w:rPr>
          <w:rFonts w:hint="default" w:ascii="Times New Roman" w:hAnsi="Times New Roman" w:eastAsia="黑体" w:cs="Times New Roman"/>
          <w:b/>
          <w:kern w:val="0"/>
          <w:sz w:val="30"/>
          <w:szCs w:val="30"/>
          <w:highlight w:val="none"/>
          <w:lang w:val="en-US" w:eastAsia="zh-CN"/>
        </w:rPr>
        <w:t>预期达到的效益（经济、效益、生态等），对产业发展的作用的情况</w:t>
      </w:r>
      <w:bookmarkEnd w:id="50"/>
    </w:p>
    <w:p w14:paraId="5E2D07E0">
      <w:pPr>
        <w:widowControl/>
        <w:spacing w:line="360" w:lineRule="auto"/>
        <w:ind w:firstLine="560" w:firstLineChars="200"/>
        <w:rPr>
          <w:rFonts w:hint="default" w:ascii="Times New Roman" w:hAnsi="Times New Roman" w:cs="Times New Roman" w:eastAsiaTheme="minorEastAsia"/>
          <w:kern w:val="0"/>
          <w:sz w:val="28"/>
          <w:szCs w:val="28"/>
          <w:highlight w:val="none"/>
          <w:lang w:val="en-US" w:eastAsia="zh-CN" w:bidi="ar-SA"/>
        </w:rPr>
      </w:pPr>
      <w:r>
        <w:rPr>
          <w:rFonts w:hint="default" w:ascii="Times New Roman" w:hAnsi="Times New Roman" w:cs="Times New Roman"/>
          <w:kern w:val="0"/>
          <w:sz w:val="28"/>
          <w:szCs w:val="28"/>
          <w:highlight w:val="none"/>
          <w:lang w:val="en-US" w:eastAsia="zh-CN" w:bidi="ar-SA"/>
        </w:rPr>
        <w:t>污泥干化</w:t>
      </w:r>
      <w:r>
        <w:rPr>
          <w:rFonts w:hint="default" w:ascii="Times New Roman" w:hAnsi="Times New Roman" w:cs="Times New Roman" w:eastAsiaTheme="minorEastAsia"/>
          <w:kern w:val="0"/>
          <w:sz w:val="28"/>
          <w:szCs w:val="28"/>
          <w:highlight w:val="none"/>
          <w:lang w:val="en-US" w:eastAsia="zh-CN" w:bidi="ar-SA"/>
        </w:rPr>
        <w:t>企业</w:t>
      </w:r>
      <w:r>
        <w:rPr>
          <w:rFonts w:hint="default" w:ascii="Times New Roman" w:hAnsi="Times New Roman" w:cs="Times New Roman" w:eastAsiaTheme="minorEastAsia"/>
          <w:kern w:val="0"/>
          <w:sz w:val="28"/>
          <w:szCs w:val="28"/>
          <w:highlight w:val="none"/>
          <w:lang w:val="en-US" w:eastAsia="zh-CN" w:bidi="ar-SA"/>
        </w:rPr>
        <w:t>规范运营，在国际市场上有机会与其他各国（相关）企业竞争。</w:t>
      </w:r>
    </w:p>
    <w:p w14:paraId="1CD600A7">
      <w:pPr>
        <w:spacing w:line="360" w:lineRule="auto"/>
        <w:outlineLvl w:val="0"/>
        <w:rPr>
          <w:rFonts w:hint="default" w:ascii="Times New Roman" w:hAnsi="Times New Roman" w:eastAsia="黑体" w:cs="Times New Roman"/>
          <w:b/>
          <w:kern w:val="0"/>
          <w:sz w:val="30"/>
          <w:szCs w:val="30"/>
          <w:highlight w:val="none"/>
        </w:rPr>
      </w:pPr>
      <w:bookmarkStart w:id="51" w:name="_Toc4979"/>
      <w:r>
        <w:rPr>
          <w:rFonts w:hint="default" w:ascii="Times New Roman" w:hAnsi="Times New Roman" w:eastAsia="黑体" w:cs="Times New Roman"/>
          <w:b/>
          <w:kern w:val="0"/>
          <w:sz w:val="30"/>
          <w:szCs w:val="30"/>
          <w:highlight w:val="none"/>
          <w:lang w:val="en-US" w:eastAsia="zh-CN"/>
        </w:rPr>
        <w:t>六</w:t>
      </w:r>
      <w:r>
        <w:rPr>
          <w:rFonts w:hint="default" w:ascii="Times New Roman" w:hAnsi="Times New Roman" w:eastAsia="黑体" w:cs="Times New Roman"/>
          <w:b/>
          <w:kern w:val="0"/>
          <w:sz w:val="30"/>
          <w:szCs w:val="30"/>
          <w:highlight w:val="none"/>
        </w:rPr>
        <w:t>、与有关的现行法律、法规和强制性国家标准的关系</w:t>
      </w:r>
      <w:bookmarkEnd w:id="51"/>
    </w:p>
    <w:p w14:paraId="54ED1537">
      <w:pPr>
        <w:pStyle w:val="18"/>
        <w:spacing w:line="360" w:lineRule="auto"/>
        <w:ind w:firstLine="56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与现行法律、法规和强制性标准没有冲突。</w:t>
      </w:r>
    </w:p>
    <w:p w14:paraId="5AA24E00">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52" w:name="_Toc21799"/>
      <w:r>
        <w:rPr>
          <w:rFonts w:hint="default" w:ascii="Times New Roman" w:hAnsi="Times New Roman" w:eastAsia="黑体" w:cs="Times New Roman"/>
          <w:b/>
          <w:kern w:val="0"/>
          <w:sz w:val="30"/>
          <w:szCs w:val="30"/>
          <w:highlight w:val="none"/>
          <w:lang w:val="en-US" w:eastAsia="zh-CN"/>
        </w:rPr>
        <w:t>七</w:t>
      </w:r>
      <w:r>
        <w:rPr>
          <w:rFonts w:hint="default" w:ascii="Times New Roman" w:hAnsi="Times New Roman" w:eastAsia="黑体" w:cs="Times New Roman"/>
          <w:b/>
          <w:kern w:val="0"/>
          <w:sz w:val="30"/>
          <w:szCs w:val="30"/>
          <w:highlight w:val="none"/>
        </w:rPr>
        <w:t>、重大意见分歧的处理依据和结果</w:t>
      </w:r>
      <w:bookmarkEnd w:id="52"/>
    </w:p>
    <w:p w14:paraId="6E233F21">
      <w:pPr>
        <w:pStyle w:val="18"/>
        <w:spacing w:line="360" w:lineRule="auto"/>
        <w:ind w:firstLine="56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标准制定过程中，未出现重大意见分歧。</w:t>
      </w:r>
    </w:p>
    <w:p w14:paraId="2006BAC7">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53" w:name="_Toc20135"/>
      <w:r>
        <w:rPr>
          <w:rFonts w:hint="default" w:ascii="Times New Roman" w:hAnsi="Times New Roman" w:eastAsia="黑体" w:cs="Times New Roman"/>
          <w:b/>
          <w:kern w:val="0"/>
          <w:sz w:val="30"/>
          <w:szCs w:val="30"/>
          <w:highlight w:val="none"/>
          <w:lang w:val="en-US" w:eastAsia="zh-CN"/>
        </w:rPr>
        <w:t>八</w:t>
      </w:r>
      <w:r>
        <w:rPr>
          <w:rFonts w:hint="default" w:ascii="Times New Roman" w:hAnsi="Times New Roman" w:eastAsia="黑体" w:cs="Times New Roman"/>
          <w:b/>
          <w:kern w:val="0"/>
          <w:sz w:val="30"/>
          <w:szCs w:val="30"/>
          <w:highlight w:val="none"/>
        </w:rPr>
        <w:t>、标准性质的建议说明</w:t>
      </w:r>
      <w:bookmarkEnd w:id="53"/>
    </w:p>
    <w:p w14:paraId="693333F0">
      <w:pPr>
        <w:pStyle w:val="18"/>
        <w:spacing w:line="360" w:lineRule="auto"/>
        <w:ind w:firstLine="560"/>
        <w:rPr>
          <w:rFonts w:hint="default" w:ascii="Times New Roman" w:hAnsi="Times New Roman" w:cs="Times New Roman" w:eastAsiaTheme="minorEastAsia"/>
          <w:kern w:val="0"/>
          <w:sz w:val="28"/>
          <w:szCs w:val="28"/>
          <w:highlight w:val="none"/>
          <w:lang w:eastAsia="zh-CN"/>
        </w:rPr>
      </w:pPr>
      <w:r>
        <w:rPr>
          <w:rFonts w:hint="default" w:ascii="Times New Roman" w:hAnsi="Times New Roman" w:cs="Times New Roman"/>
          <w:kern w:val="0"/>
          <w:sz w:val="28"/>
          <w:szCs w:val="28"/>
          <w:highlight w:val="none"/>
          <w:lang w:val="en-US" w:eastAsia="zh-CN"/>
        </w:rPr>
        <w:t>本</w:t>
      </w:r>
      <w:r>
        <w:rPr>
          <w:rFonts w:hint="default" w:ascii="Times New Roman" w:hAnsi="Times New Roman" w:cs="Times New Roman"/>
          <w:kern w:val="0"/>
          <w:sz w:val="28"/>
          <w:szCs w:val="28"/>
          <w:highlight w:val="none"/>
        </w:rPr>
        <w:t>标准为团体标准，供社会各界自愿使用</w:t>
      </w:r>
      <w:r>
        <w:rPr>
          <w:rFonts w:hint="default" w:ascii="Times New Roman" w:hAnsi="Times New Roman" w:cs="Times New Roman"/>
          <w:kern w:val="0"/>
          <w:sz w:val="28"/>
          <w:szCs w:val="28"/>
          <w:highlight w:val="none"/>
          <w:lang w:eastAsia="zh-CN"/>
        </w:rPr>
        <w:t>。</w:t>
      </w:r>
    </w:p>
    <w:p w14:paraId="7B875CE3">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54" w:name="_Toc23106"/>
      <w:r>
        <w:rPr>
          <w:rFonts w:hint="default" w:ascii="Times New Roman" w:hAnsi="Times New Roman" w:eastAsia="黑体" w:cs="Times New Roman"/>
          <w:b/>
          <w:kern w:val="0"/>
          <w:sz w:val="30"/>
          <w:szCs w:val="30"/>
          <w:highlight w:val="none"/>
          <w:lang w:val="en-US" w:eastAsia="zh-CN"/>
        </w:rPr>
        <w:t>九</w:t>
      </w:r>
      <w:r>
        <w:rPr>
          <w:rFonts w:hint="default" w:ascii="Times New Roman" w:hAnsi="Times New Roman" w:eastAsia="黑体" w:cs="Times New Roman"/>
          <w:b/>
          <w:kern w:val="0"/>
          <w:sz w:val="30"/>
          <w:szCs w:val="30"/>
          <w:highlight w:val="none"/>
        </w:rPr>
        <w:t>、贯彻标准的要求和措施建议</w:t>
      </w:r>
      <w:bookmarkEnd w:id="54"/>
    </w:p>
    <w:p w14:paraId="5221FEA9">
      <w:pPr>
        <w:keepNext w:val="0"/>
        <w:keepLines w:val="0"/>
        <w:pageBreakBefore w:val="0"/>
        <w:widowControl w:val="0"/>
        <w:kinsoku/>
        <w:wordWrap/>
        <w:overflowPunct/>
        <w:topLinePunct w:val="0"/>
        <w:autoSpaceDE/>
        <w:autoSpaceDN/>
        <w:bidi w:val="0"/>
        <w:adjustRightInd/>
        <w:snapToGrid/>
        <w:spacing w:after="313" w:afterLines="100" w:line="540" w:lineRule="exact"/>
        <w:ind w:firstLine="560" w:firstLineChars="200"/>
        <w:textAlignment w:val="auto"/>
        <w:rPr>
          <w:rFonts w:hint="default" w:ascii="Times New Roman" w:hAnsi="Times New Roman" w:cs="Times New Roman" w:eastAsiaTheme="minorEastAsia"/>
          <w:kern w:val="0"/>
          <w:sz w:val="28"/>
          <w:szCs w:val="28"/>
          <w:highlight w:val="none"/>
          <w:lang w:val="en-US" w:eastAsia="zh-CN" w:bidi="ar-SA"/>
        </w:rPr>
      </w:pPr>
      <w:r>
        <w:rPr>
          <w:rFonts w:hint="default" w:ascii="Times New Roman" w:hAnsi="Times New Roman" w:cs="Times New Roman" w:eastAsiaTheme="minorEastAsia"/>
          <w:kern w:val="0"/>
          <w:sz w:val="28"/>
          <w:szCs w:val="28"/>
          <w:highlight w:val="none"/>
          <w:lang w:val="en-US" w:eastAsia="zh-CN" w:bidi="ar-SA"/>
        </w:rPr>
        <w:t>无。</w:t>
      </w:r>
    </w:p>
    <w:p w14:paraId="3FEE95F0">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55" w:name="_Toc29517"/>
      <w:r>
        <w:rPr>
          <w:rFonts w:hint="default" w:ascii="Times New Roman" w:hAnsi="Times New Roman" w:eastAsia="黑体" w:cs="Times New Roman"/>
          <w:b/>
          <w:kern w:val="0"/>
          <w:sz w:val="30"/>
          <w:szCs w:val="30"/>
          <w:highlight w:val="none"/>
          <w:lang w:val="en-US" w:eastAsia="zh-CN"/>
        </w:rPr>
        <w:t>十</w:t>
      </w:r>
      <w:r>
        <w:rPr>
          <w:rFonts w:hint="default" w:ascii="Times New Roman" w:hAnsi="Times New Roman" w:eastAsia="黑体" w:cs="Times New Roman"/>
          <w:b/>
          <w:kern w:val="0"/>
          <w:sz w:val="30"/>
          <w:szCs w:val="30"/>
          <w:highlight w:val="none"/>
        </w:rPr>
        <w:t>、废止现行相关标准的建议</w:t>
      </w:r>
      <w:bookmarkEnd w:id="55"/>
    </w:p>
    <w:p w14:paraId="66114198">
      <w:pPr>
        <w:keepNext w:val="0"/>
        <w:keepLines w:val="0"/>
        <w:pageBreakBefore w:val="0"/>
        <w:widowControl w:val="0"/>
        <w:kinsoku/>
        <w:wordWrap/>
        <w:overflowPunct/>
        <w:topLinePunct w:val="0"/>
        <w:autoSpaceDE/>
        <w:autoSpaceDN/>
        <w:bidi w:val="0"/>
        <w:adjustRightInd/>
        <w:snapToGrid/>
        <w:spacing w:after="313" w:afterLines="100" w:line="540" w:lineRule="exact"/>
        <w:ind w:firstLine="560" w:firstLineChars="200"/>
        <w:textAlignment w:val="auto"/>
        <w:rPr>
          <w:rFonts w:hint="default" w:ascii="Times New Roman" w:hAnsi="Times New Roman" w:cs="Times New Roman" w:eastAsiaTheme="minorEastAsia"/>
          <w:kern w:val="0"/>
          <w:sz w:val="28"/>
          <w:szCs w:val="28"/>
          <w:highlight w:val="none"/>
          <w:lang w:val="en-US" w:eastAsia="zh-CN" w:bidi="ar-SA"/>
        </w:rPr>
      </w:pPr>
      <w:r>
        <w:rPr>
          <w:rFonts w:hint="default" w:ascii="Times New Roman" w:hAnsi="Times New Roman" w:cs="Times New Roman" w:eastAsiaTheme="minorEastAsia"/>
          <w:kern w:val="0"/>
          <w:sz w:val="28"/>
          <w:szCs w:val="28"/>
          <w:highlight w:val="none"/>
          <w:lang w:val="en-US" w:eastAsia="zh-CN" w:bidi="ar-SA"/>
        </w:rPr>
        <w:t>本标准为首次发布。</w:t>
      </w:r>
    </w:p>
    <w:p w14:paraId="35A8C35D">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56" w:name="_Toc18435"/>
      <w:r>
        <w:rPr>
          <w:rFonts w:hint="default" w:ascii="Times New Roman" w:hAnsi="Times New Roman" w:eastAsia="黑体" w:cs="Times New Roman"/>
          <w:b/>
          <w:kern w:val="0"/>
          <w:sz w:val="30"/>
          <w:szCs w:val="30"/>
          <w:highlight w:val="none"/>
          <w:lang w:val="en-US" w:eastAsia="zh-CN"/>
        </w:rPr>
        <w:t>十一</w:t>
      </w:r>
      <w:r>
        <w:rPr>
          <w:rFonts w:hint="default" w:ascii="Times New Roman" w:hAnsi="Times New Roman" w:eastAsia="黑体" w:cs="Times New Roman"/>
          <w:b/>
          <w:kern w:val="0"/>
          <w:sz w:val="30"/>
          <w:szCs w:val="30"/>
          <w:highlight w:val="none"/>
        </w:rPr>
        <w:t>、其他应予说明的事项</w:t>
      </w:r>
      <w:bookmarkEnd w:id="56"/>
    </w:p>
    <w:p w14:paraId="72CE7202">
      <w:pPr>
        <w:keepNext w:val="0"/>
        <w:keepLines w:val="0"/>
        <w:pageBreakBefore w:val="0"/>
        <w:widowControl w:val="0"/>
        <w:kinsoku/>
        <w:wordWrap/>
        <w:overflowPunct/>
        <w:topLinePunct w:val="0"/>
        <w:autoSpaceDE/>
        <w:autoSpaceDN/>
        <w:bidi w:val="0"/>
        <w:adjustRightInd/>
        <w:snapToGrid/>
        <w:spacing w:after="313" w:afterLines="100" w:line="540" w:lineRule="exact"/>
        <w:ind w:firstLine="560" w:firstLineChars="200"/>
        <w:textAlignment w:val="auto"/>
        <w:rPr>
          <w:rFonts w:hint="default" w:ascii="Times New Roman" w:hAnsi="Times New Roman" w:eastAsia="宋体" w:cs="Times New Roman"/>
          <w:kern w:val="0"/>
          <w:sz w:val="28"/>
          <w:szCs w:val="28"/>
          <w:highlight w:val="none"/>
        </w:rPr>
      </w:pPr>
      <w:r>
        <w:rPr>
          <w:rFonts w:hint="default" w:ascii="Times New Roman" w:hAnsi="Times New Roman" w:eastAsia="宋体" w:cs="Times New Roman"/>
          <w:kern w:val="0"/>
          <w:sz w:val="28"/>
          <w:szCs w:val="28"/>
          <w:highlight w:val="none"/>
          <w:lang w:val="en-US" w:eastAsia="zh-CN"/>
        </w:rPr>
        <w:t>无</w:t>
      </w:r>
      <w:r>
        <w:rPr>
          <w:rFonts w:hint="default" w:ascii="Times New Roman" w:hAnsi="Times New Roman" w:eastAsia="宋体" w:cs="Times New Roman"/>
          <w:kern w:val="0"/>
          <w:sz w:val="28"/>
          <w:szCs w:val="28"/>
          <w:highlight w:val="none"/>
        </w:rPr>
        <w:t>。</w:t>
      </w:r>
    </w:p>
    <w:sectPr>
      <w:footerReference r:id="rId4" w:type="default"/>
      <w:pgSz w:w="11906" w:h="16838"/>
      <w:pgMar w:top="1418" w:right="1418" w:bottom="1985" w:left="1797" w:header="851" w:footer="992" w:gutter="0"/>
      <w:pgNumType w:fmt="decimal"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宋体">
    <w:panose1 w:val="02010600030101010101"/>
    <w:charset w:val="86"/>
    <w:family w:val="auto"/>
    <w:pitch w:val="variable"/>
    <w:sig w:usb0="00000203" w:usb1="288F0000" w:usb2="00000006" w:usb3="00000000" w:csb0="00040001" w:csb1="00000000"/>
  </w:font>
  <w:font w:name="Cambria Math">
    <w:panose1 w:val="02040503050406030204"/>
    <w:charset w:val="00"/>
    <w:family w:val="auto"/>
    <w:pitch w:val="variable"/>
    <w:sig w:usb0="E00006FF" w:usb1="420024FF" w:usb2="02000000" w:usb3="00000000" w:csb0="2000019F" w:csb1="00000000"/>
  </w:font>
  <w:font w:name="@黑体">
    <w:panose1 w:val="02010609060101010101"/>
    <w:charset w:val="86"/>
    <w:family w:val="auto"/>
    <w:pitch w:val="fixed"/>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E81D2">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93A67">
    <w:pPr>
      <w:pStyle w:val="8"/>
    </w:pPr>
    <w:r>
      <w:rPr>
        <w:sz w:val="18"/>
      </w:rPr>
      <w:pict>
        <v:shape id="_x0000_s4097" o:spid="_x0000_s4097" o:spt="202" type="#_x0000_t202" style="position:absolute;left:0pt;height:144pt;width:144pt;mso-position-horizontal:center;mso-position-horizontal-relative:margin;mso-position-vertical:center;mso-wrap-style:none;z-index:251659264;mso-width-relative:page;mso-height-relative:page;" filled="f" stroked="f" coordsize="21600,21600">
          <v:path/>
          <v:fill on="f" focussize="0,0"/>
          <v:stroke on="f"/>
          <v:imagedata o:title=""/>
          <o:lock v:ext="edit" aspectratio="f"/>
          <v:textbox inset="0mm,0mm,0mm,0mm" style="mso-fit-shape-to-text:t;">
            <w:txbxContent>
              <w:p w14:paraId="31FCE302">
                <w:pPr>
                  <w:pStyle w:val="8"/>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F80E60"/>
    <w:multiLevelType w:val="multilevel"/>
    <w:tmpl w:val="8FF80E60"/>
    <w:lvl w:ilvl="0" w:tentative="0">
      <w:start w:val="1"/>
      <w:numFmt w:val="decimal"/>
      <w:pStyle w:val="4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pStyle w:val="40"/>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5"/>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
    <w:nsid w:val="ED6CCF8B"/>
    <w:multiLevelType w:val="multilevel"/>
    <w:tmpl w:val="ED6CCF8B"/>
    <w:lvl w:ilvl="0" w:tentative="0">
      <w:start w:val="1"/>
      <w:numFmt w:val="none"/>
      <w:suff w:val="nothing"/>
      <w:lvlText w:val="%1"/>
      <w:lvlJc w:val="left"/>
      <w:pPr>
        <w:ind w:left="0" w:firstLine="0"/>
      </w:pPr>
    </w:lvl>
    <w:lvl w:ilvl="1" w:tentative="0">
      <w:start w:val="1"/>
      <w:numFmt w:val="decimal"/>
      <w:pStyle w:val="39"/>
      <w:suff w:val="nothing"/>
      <w:lvlText w:val="%1%2　"/>
      <w:lvlJc w:val="left"/>
      <w:pPr>
        <w:ind w:left="0" w:firstLine="0"/>
      </w:pPr>
      <w:rPr>
        <w:rFonts w:hint="eastAsia" w:ascii="黑体" w:hAnsi="Times New Roman" w:eastAsia="黑体" w:cs="黑体"/>
        <w:b w:val="0"/>
        <w:i w:val="0"/>
        <w:sz w:val="21"/>
      </w:rPr>
    </w:lvl>
    <w:lvl w:ilvl="2" w:tentative="0">
      <w:start w:val="1"/>
      <w:numFmt w:val="decimal"/>
      <w:pStyle w:val="38"/>
      <w:suff w:val="nothing"/>
      <w:lvlText w:val="%1%2.%3　"/>
      <w:lvlJc w:val="left"/>
      <w:pPr>
        <w:ind w:left="0" w:firstLine="0"/>
        <w:textAlignment w:val="baseline"/>
      </w:pPr>
      <w:rPr>
        <w:rFonts w:hint="eastAsia" w:ascii="黑体" w:hAnsi="Times New Roman" w:eastAsia="黑体" w:cs="Times New Roman"/>
        <w:b w:val="0"/>
        <w:bCs w:val="0"/>
        <w:i w:val="0"/>
        <w:iCs w:val="0"/>
        <w:caps w:val="0"/>
        <w:strike w:val="0"/>
        <w:dstrike w:val="0"/>
        <w:vanish w:val="0"/>
        <w:color w:val="000000"/>
        <w:spacing w:val="0"/>
        <w:kern w:val="0"/>
        <w:position w:val="0"/>
        <w:sz w:val="21"/>
        <w:u w:val="none"/>
      </w:rPr>
    </w:lvl>
    <w:lvl w:ilvl="3" w:tentative="0">
      <w:start w:val="1"/>
      <w:numFmt w:val="decimal"/>
      <w:pStyle w:val="36"/>
      <w:suff w:val="nothing"/>
      <w:lvlText w:val="%1%2.%3.%4　"/>
      <w:lvlJc w:val="left"/>
      <w:pPr>
        <w:ind w:left="0" w:firstLine="0"/>
      </w:pPr>
      <w:rPr>
        <w:rFonts w:hint="eastAsia" w:ascii="黑体" w:hAnsi="Times New Roman" w:eastAsia="黑体" w:cs="黑体"/>
        <w:b w:val="0"/>
        <w:i w:val="0"/>
        <w:sz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2">
    <w:nsid w:val="019430B3"/>
    <w:multiLevelType w:val="multilevel"/>
    <w:tmpl w:val="019430B3"/>
    <w:lvl w:ilvl="0" w:tentative="0">
      <w:start w:val="1"/>
      <w:numFmt w:val="decimal"/>
      <w:pStyle w:val="30"/>
      <w:lvlText w:val="%1"/>
      <w:lvlJc w:val="left"/>
      <w:pPr>
        <w:ind w:left="425" w:hanging="425"/>
      </w:pPr>
    </w:lvl>
    <w:lvl w:ilvl="1" w:tentative="0">
      <w:start w:val="1"/>
      <w:numFmt w:val="decimal"/>
      <w:pStyle w:val="31"/>
      <w:lvlText w:val="%1.%2"/>
      <w:lvlJc w:val="left"/>
      <w:pPr>
        <w:ind w:left="992" w:hanging="567"/>
      </w:pPr>
    </w:lvl>
    <w:lvl w:ilvl="2" w:tentative="0">
      <w:start w:val="1"/>
      <w:numFmt w:val="decimal"/>
      <w:pStyle w:val="28"/>
      <w:lvlText w:val="%1.%2.%3"/>
      <w:lvlJc w:val="left"/>
      <w:pPr>
        <w:ind w:left="567"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
    <w:nsid w:val="37FA1A76"/>
    <w:multiLevelType w:val="multilevel"/>
    <w:tmpl w:val="37FA1A76"/>
    <w:lvl w:ilvl="0" w:tentative="0">
      <w:start w:val="1"/>
      <w:numFmt w:val="none"/>
      <w:pStyle w:val="34"/>
      <w:lvlText w:val="%1——"/>
      <w:lvlJc w:val="left"/>
      <w:pPr>
        <w:tabs>
          <w:tab w:val="left" w:pos="851"/>
        </w:tabs>
        <w:ind w:left="851" w:hanging="426"/>
      </w:pPr>
      <w:rPr>
        <w:rFonts w:hint="eastAsia" w:ascii="宋体" w:hAnsi="Times New Roman" w:eastAsia="宋体" w:cs="宋体"/>
        <w:b w:val="0"/>
        <w:i w:val="0"/>
        <w:sz w:val="21"/>
      </w:rPr>
    </w:lvl>
    <w:lvl w:ilvl="1" w:tentative="0">
      <w:start w:val="1"/>
      <w:numFmt w:val="none"/>
      <w:pStyle w:val="44"/>
      <w:lvlText w:val=""/>
      <w:lvlJc w:val="left"/>
      <w:pPr>
        <w:ind w:left="851" w:hanging="431"/>
      </w:pPr>
      <w:rPr>
        <w:rFonts w:ascii="Symbol" w:hAnsi="Symbol" w:cs="Symbol"/>
        <w:sz w:val="21"/>
      </w:rPr>
    </w:lvl>
    <w:lvl w:ilvl="2" w:tentative="0">
      <w:start w:val="1"/>
      <w:numFmt w:val="bullet"/>
      <w:lvlText w:val=""/>
      <w:lvlJc w:val="left"/>
      <w:pPr>
        <w:ind w:left="851" w:hanging="426"/>
      </w:pPr>
      <w:rPr>
        <w:rFonts w:hint="default" w:ascii="Wingdings" w:hAnsi="Wingdings" w:cs="Wingdings"/>
        <w:sz w:val="21"/>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BjNmNlZTRkMmZjYmYyZTM5OTBkZjEzNTRhZTU4MGUifQ=="/>
  </w:docVars>
  <w:rsids>
    <w:rsidRoot w:val="00BF050A"/>
    <w:rsid w:val="00014360"/>
    <w:rsid w:val="0002253B"/>
    <w:rsid w:val="0004018C"/>
    <w:rsid w:val="000413D1"/>
    <w:rsid w:val="000564F6"/>
    <w:rsid w:val="0007271C"/>
    <w:rsid w:val="00077B87"/>
    <w:rsid w:val="00093711"/>
    <w:rsid w:val="000C5572"/>
    <w:rsid w:val="000C6ED2"/>
    <w:rsid w:val="000E0EB3"/>
    <w:rsid w:val="00101337"/>
    <w:rsid w:val="00106D8E"/>
    <w:rsid w:val="00107FA6"/>
    <w:rsid w:val="001336A7"/>
    <w:rsid w:val="001366DD"/>
    <w:rsid w:val="001407D3"/>
    <w:rsid w:val="0014129B"/>
    <w:rsid w:val="00176CC1"/>
    <w:rsid w:val="00182A0A"/>
    <w:rsid w:val="00186B0A"/>
    <w:rsid w:val="001916AE"/>
    <w:rsid w:val="00194FB0"/>
    <w:rsid w:val="001A069A"/>
    <w:rsid w:val="001A095D"/>
    <w:rsid w:val="001A2436"/>
    <w:rsid w:val="001C225F"/>
    <w:rsid w:val="001C4546"/>
    <w:rsid w:val="001E59EA"/>
    <w:rsid w:val="00210B1B"/>
    <w:rsid w:val="00231E76"/>
    <w:rsid w:val="002506EB"/>
    <w:rsid w:val="0025166A"/>
    <w:rsid w:val="002645BB"/>
    <w:rsid w:val="00277345"/>
    <w:rsid w:val="0028530B"/>
    <w:rsid w:val="00285841"/>
    <w:rsid w:val="002A391A"/>
    <w:rsid w:val="002D3A9F"/>
    <w:rsid w:val="002E2B56"/>
    <w:rsid w:val="002F3045"/>
    <w:rsid w:val="00305109"/>
    <w:rsid w:val="0031256A"/>
    <w:rsid w:val="0031561A"/>
    <w:rsid w:val="00317D74"/>
    <w:rsid w:val="003257DB"/>
    <w:rsid w:val="00352B42"/>
    <w:rsid w:val="00357168"/>
    <w:rsid w:val="00373823"/>
    <w:rsid w:val="003813CC"/>
    <w:rsid w:val="003A00FA"/>
    <w:rsid w:val="003A0364"/>
    <w:rsid w:val="003A509B"/>
    <w:rsid w:val="003B6441"/>
    <w:rsid w:val="003C1B72"/>
    <w:rsid w:val="003F7535"/>
    <w:rsid w:val="00401889"/>
    <w:rsid w:val="00410BC2"/>
    <w:rsid w:val="00413119"/>
    <w:rsid w:val="004172C0"/>
    <w:rsid w:val="004252F2"/>
    <w:rsid w:val="00435663"/>
    <w:rsid w:val="00436EE9"/>
    <w:rsid w:val="00463563"/>
    <w:rsid w:val="004803B5"/>
    <w:rsid w:val="004B2F65"/>
    <w:rsid w:val="004B6E6F"/>
    <w:rsid w:val="004F4747"/>
    <w:rsid w:val="004F6F77"/>
    <w:rsid w:val="00520FFB"/>
    <w:rsid w:val="005251AE"/>
    <w:rsid w:val="00534D5E"/>
    <w:rsid w:val="00534FAE"/>
    <w:rsid w:val="00545EB7"/>
    <w:rsid w:val="00596690"/>
    <w:rsid w:val="005A4896"/>
    <w:rsid w:val="005B7647"/>
    <w:rsid w:val="00601423"/>
    <w:rsid w:val="00606BF2"/>
    <w:rsid w:val="006252E3"/>
    <w:rsid w:val="006878C7"/>
    <w:rsid w:val="006965B4"/>
    <w:rsid w:val="006A01A1"/>
    <w:rsid w:val="006B0B1B"/>
    <w:rsid w:val="006B6D21"/>
    <w:rsid w:val="006B75F5"/>
    <w:rsid w:val="006E5B41"/>
    <w:rsid w:val="00705D75"/>
    <w:rsid w:val="007417C1"/>
    <w:rsid w:val="00747D95"/>
    <w:rsid w:val="00752097"/>
    <w:rsid w:val="00756D5D"/>
    <w:rsid w:val="00776D4B"/>
    <w:rsid w:val="0079502D"/>
    <w:rsid w:val="00795550"/>
    <w:rsid w:val="007A2FC6"/>
    <w:rsid w:val="007A5AAC"/>
    <w:rsid w:val="007C21C2"/>
    <w:rsid w:val="007D4B87"/>
    <w:rsid w:val="0082096B"/>
    <w:rsid w:val="008257DF"/>
    <w:rsid w:val="008368E2"/>
    <w:rsid w:val="008665F7"/>
    <w:rsid w:val="0086666E"/>
    <w:rsid w:val="00874660"/>
    <w:rsid w:val="008B18A3"/>
    <w:rsid w:val="008B34EE"/>
    <w:rsid w:val="008F54B9"/>
    <w:rsid w:val="008F5B83"/>
    <w:rsid w:val="00910049"/>
    <w:rsid w:val="0091708A"/>
    <w:rsid w:val="00932F00"/>
    <w:rsid w:val="00966791"/>
    <w:rsid w:val="00981821"/>
    <w:rsid w:val="00987820"/>
    <w:rsid w:val="009943E0"/>
    <w:rsid w:val="009A16C4"/>
    <w:rsid w:val="009A27FC"/>
    <w:rsid w:val="009A488E"/>
    <w:rsid w:val="009A5078"/>
    <w:rsid w:val="009A6F90"/>
    <w:rsid w:val="009B1FF6"/>
    <w:rsid w:val="009D56C3"/>
    <w:rsid w:val="009E6D91"/>
    <w:rsid w:val="009F0E3F"/>
    <w:rsid w:val="00A06F10"/>
    <w:rsid w:val="00A262E4"/>
    <w:rsid w:val="00A27845"/>
    <w:rsid w:val="00A31084"/>
    <w:rsid w:val="00A44A72"/>
    <w:rsid w:val="00A4610C"/>
    <w:rsid w:val="00A50B02"/>
    <w:rsid w:val="00A54455"/>
    <w:rsid w:val="00A5702C"/>
    <w:rsid w:val="00A6194C"/>
    <w:rsid w:val="00A64776"/>
    <w:rsid w:val="00A80365"/>
    <w:rsid w:val="00A83680"/>
    <w:rsid w:val="00AB1353"/>
    <w:rsid w:val="00AC01B1"/>
    <w:rsid w:val="00AC09D3"/>
    <w:rsid w:val="00AD0EA1"/>
    <w:rsid w:val="00AD2695"/>
    <w:rsid w:val="00AD39DA"/>
    <w:rsid w:val="00AF01D8"/>
    <w:rsid w:val="00B01C45"/>
    <w:rsid w:val="00B22220"/>
    <w:rsid w:val="00B47E66"/>
    <w:rsid w:val="00B743AB"/>
    <w:rsid w:val="00B97970"/>
    <w:rsid w:val="00BA15CF"/>
    <w:rsid w:val="00BA3C4F"/>
    <w:rsid w:val="00BB2288"/>
    <w:rsid w:val="00BB3D50"/>
    <w:rsid w:val="00BB5CFC"/>
    <w:rsid w:val="00BC3BB1"/>
    <w:rsid w:val="00BD4F24"/>
    <w:rsid w:val="00BE6F2E"/>
    <w:rsid w:val="00BF050A"/>
    <w:rsid w:val="00C21DF8"/>
    <w:rsid w:val="00C51238"/>
    <w:rsid w:val="00C52B4D"/>
    <w:rsid w:val="00C62D4B"/>
    <w:rsid w:val="00C869DA"/>
    <w:rsid w:val="00C9265C"/>
    <w:rsid w:val="00CA5205"/>
    <w:rsid w:val="00CB0852"/>
    <w:rsid w:val="00D06630"/>
    <w:rsid w:val="00D237D4"/>
    <w:rsid w:val="00D311EA"/>
    <w:rsid w:val="00D77694"/>
    <w:rsid w:val="00D80910"/>
    <w:rsid w:val="00D81489"/>
    <w:rsid w:val="00D837B2"/>
    <w:rsid w:val="00DB46BB"/>
    <w:rsid w:val="00DB5CCC"/>
    <w:rsid w:val="00DD0DFD"/>
    <w:rsid w:val="00DE3ACA"/>
    <w:rsid w:val="00DE7470"/>
    <w:rsid w:val="00E15D39"/>
    <w:rsid w:val="00E16774"/>
    <w:rsid w:val="00E34260"/>
    <w:rsid w:val="00E43D54"/>
    <w:rsid w:val="00E6367D"/>
    <w:rsid w:val="00E6636F"/>
    <w:rsid w:val="00E66D9D"/>
    <w:rsid w:val="00E673E8"/>
    <w:rsid w:val="00E85E1E"/>
    <w:rsid w:val="00E866B8"/>
    <w:rsid w:val="00E92169"/>
    <w:rsid w:val="00EA0AC1"/>
    <w:rsid w:val="00EC6BB9"/>
    <w:rsid w:val="00EC777A"/>
    <w:rsid w:val="00ED0D16"/>
    <w:rsid w:val="00ED17F5"/>
    <w:rsid w:val="00ED19A1"/>
    <w:rsid w:val="00ED28CC"/>
    <w:rsid w:val="00EF1BF1"/>
    <w:rsid w:val="00F02E72"/>
    <w:rsid w:val="00F06A1A"/>
    <w:rsid w:val="00F27E12"/>
    <w:rsid w:val="00F319AF"/>
    <w:rsid w:val="00F40C1D"/>
    <w:rsid w:val="00F43CD1"/>
    <w:rsid w:val="00F51C15"/>
    <w:rsid w:val="00F741B8"/>
    <w:rsid w:val="00F878B5"/>
    <w:rsid w:val="00F91EFF"/>
    <w:rsid w:val="00F92513"/>
    <w:rsid w:val="00F943A4"/>
    <w:rsid w:val="00F96275"/>
    <w:rsid w:val="00F97976"/>
    <w:rsid w:val="00FB5476"/>
    <w:rsid w:val="00FC26FD"/>
    <w:rsid w:val="00FE00B0"/>
    <w:rsid w:val="00FE5339"/>
    <w:rsid w:val="00FF7FD9"/>
    <w:rsid w:val="0EB46380"/>
    <w:rsid w:val="0FF06439"/>
    <w:rsid w:val="110F4177"/>
    <w:rsid w:val="169901DF"/>
    <w:rsid w:val="170D2EB2"/>
    <w:rsid w:val="18E71105"/>
    <w:rsid w:val="19312DFE"/>
    <w:rsid w:val="1F15287C"/>
    <w:rsid w:val="255B6B18"/>
    <w:rsid w:val="2C2D1EE2"/>
    <w:rsid w:val="2D467F37"/>
    <w:rsid w:val="2DAD6C8F"/>
    <w:rsid w:val="3AFC0F1D"/>
    <w:rsid w:val="3BDF00F2"/>
    <w:rsid w:val="40E14CE3"/>
    <w:rsid w:val="4E77301A"/>
    <w:rsid w:val="542D0422"/>
    <w:rsid w:val="57BF1D4F"/>
    <w:rsid w:val="663F4E49"/>
    <w:rsid w:val="67A80C44"/>
    <w:rsid w:val="6AA02B84"/>
    <w:rsid w:val="6B9E6287"/>
    <w:rsid w:val="6BCD1987"/>
    <w:rsid w:val="6E433E9B"/>
    <w:rsid w:val="6FF12124"/>
    <w:rsid w:val="706C61B1"/>
    <w:rsid w:val="70764670"/>
    <w:rsid w:val="721F5CDA"/>
    <w:rsid w:val="729E236D"/>
    <w:rsid w:val="79E74A2C"/>
    <w:rsid w:val="7C103D46"/>
    <w:rsid w:val="7C324657"/>
    <w:rsid w:val="7D8109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6"/>
    <w:unhideWhenUsed/>
    <w:qFormat/>
    <w:uiPriority w:val="9"/>
    <w:pPr>
      <w:keepNext/>
      <w:keepLines/>
      <w:adjustRightInd w:val="0"/>
      <w:snapToGrid w:val="0"/>
      <w:spacing w:line="360" w:lineRule="auto"/>
      <w:outlineLvl w:val="2"/>
    </w:pPr>
    <w:rPr>
      <w:rFonts w:ascii="Times New Roman" w:hAnsi="Times New Roman"/>
      <w:b/>
      <w:bCs/>
      <w:szCs w:val="32"/>
    </w:rPr>
  </w:style>
  <w:style w:type="character" w:default="1" w:styleId="14">
    <w:name w:val="Default Paragraph Font"/>
    <w:semiHidden/>
    <w:unhideWhenUsed/>
    <w:qFormat/>
    <w:uiPriority w:val="1"/>
  </w:style>
  <w:style w:type="table" w:default="1" w:styleId="12">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3">
    <w:name w:val="caption"/>
    <w:basedOn w:val="1"/>
    <w:next w:val="1"/>
    <w:unhideWhenUsed/>
    <w:qFormat/>
    <w:uiPriority w:val="35"/>
    <w:pPr>
      <w:jc w:val="center"/>
    </w:pPr>
    <w:rPr>
      <w:rFonts w:eastAsia="黑体" w:asciiTheme="majorHAnsi" w:hAnsiTheme="majorHAnsi" w:cstheme="majorBidi"/>
      <w:szCs w:val="20"/>
    </w:rPr>
  </w:style>
  <w:style w:type="paragraph" w:styleId="4">
    <w:name w:val="Body Text Indent"/>
    <w:basedOn w:val="1"/>
    <w:link w:val="27"/>
    <w:autoRedefine/>
    <w:qFormat/>
    <w:uiPriority w:val="0"/>
    <w:pPr>
      <w:spacing w:line="300" w:lineRule="auto"/>
      <w:ind w:firstLine="420" w:firstLineChars="200"/>
    </w:pPr>
    <w:rPr>
      <w:rFonts w:ascii="Times New Roman" w:hAnsi="宋体" w:eastAsia="宋体" w:cs="Times New Roman"/>
      <w:szCs w:val="20"/>
    </w:rPr>
  </w:style>
  <w:style w:type="paragraph" w:styleId="5">
    <w:name w:val="Date"/>
    <w:basedOn w:val="1"/>
    <w:next w:val="1"/>
    <w:link w:val="26"/>
    <w:autoRedefine/>
    <w:semiHidden/>
    <w:unhideWhenUsed/>
    <w:qFormat/>
    <w:uiPriority w:val="99"/>
    <w:pPr>
      <w:ind w:left="100" w:leftChars="2500"/>
    </w:pPr>
  </w:style>
  <w:style w:type="paragraph" w:styleId="6">
    <w:name w:val="endnote text"/>
    <w:basedOn w:val="1"/>
    <w:link w:val="24"/>
    <w:autoRedefine/>
    <w:qFormat/>
    <w:uiPriority w:val="99"/>
    <w:pPr>
      <w:snapToGrid w:val="0"/>
      <w:jc w:val="left"/>
    </w:pPr>
    <w:rPr>
      <w:rFonts w:ascii="Calibri" w:hAnsi="Calibri" w:eastAsia="宋体" w:cs="Times New Roman"/>
      <w:szCs w:val="24"/>
    </w:rPr>
  </w:style>
  <w:style w:type="paragraph" w:styleId="7">
    <w:name w:val="Balloon Text"/>
    <w:basedOn w:val="1"/>
    <w:link w:val="23"/>
    <w:autoRedefine/>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customStyle="1" w:styleId="16">
    <w:name w:val="标题 3 字符"/>
    <w:basedOn w:val="14"/>
    <w:link w:val="2"/>
    <w:autoRedefine/>
    <w:qFormat/>
    <w:uiPriority w:val="9"/>
    <w:rPr>
      <w:rFonts w:ascii="Times New Roman" w:hAnsi="Times New Roman"/>
      <w:b/>
      <w:bCs/>
      <w:szCs w:val="32"/>
    </w:rPr>
  </w:style>
  <w:style w:type="character" w:customStyle="1" w:styleId="17">
    <w:name w:val="页脚 字符"/>
    <w:basedOn w:val="14"/>
    <w:link w:val="8"/>
    <w:qFormat/>
    <w:uiPriority w:val="99"/>
    <w:rPr>
      <w:sz w:val="18"/>
      <w:szCs w:val="18"/>
    </w:rPr>
  </w:style>
  <w:style w:type="paragraph" w:styleId="18">
    <w:name w:val="List Paragraph"/>
    <w:basedOn w:val="1"/>
    <w:autoRedefine/>
    <w:qFormat/>
    <w:uiPriority w:val="34"/>
    <w:pPr>
      <w:ind w:firstLine="420" w:firstLineChars="200"/>
    </w:pPr>
  </w:style>
  <w:style w:type="paragraph" w:customStyle="1" w:styleId="19">
    <w:name w:val="段"/>
    <w:link w:val="20"/>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20">
    <w:name w:val="段 Char"/>
    <w:link w:val="19"/>
    <w:autoRedefine/>
    <w:qFormat/>
    <w:uiPriority w:val="0"/>
    <w:rPr>
      <w:rFonts w:ascii="宋体" w:hAnsi="Times New Roman" w:eastAsia="宋体" w:cs="Times New Roman"/>
      <w:kern w:val="0"/>
      <w:szCs w:val="20"/>
    </w:rPr>
  </w:style>
  <w:style w:type="table" w:customStyle="1" w:styleId="21">
    <w:name w:val="浅色底纹1"/>
    <w:basedOn w:val="12"/>
    <w:autoRedefine/>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22">
    <w:name w:val="页眉 字符"/>
    <w:basedOn w:val="14"/>
    <w:link w:val="9"/>
    <w:autoRedefine/>
    <w:qFormat/>
    <w:uiPriority w:val="99"/>
    <w:rPr>
      <w:sz w:val="18"/>
      <w:szCs w:val="18"/>
    </w:rPr>
  </w:style>
  <w:style w:type="character" w:customStyle="1" w:styleId="23">
    <w:name w:val="批注框文本 字符"/>
    <w:basedOn w:val="14"/>
    <w:link w:val="7"/>
    <w:autoRedefine/>
    <w:semiHidden/>
    <w:qFormat/>
    <w:uiPriority w:val="99"/>
    <w:rPr>
      <w:sz w:val="18"/>
      <w:szCs w:val="18"/>
    </w:rPr>
  </w:style>
  <w:style w:type="character" w:customStyle="1" w:styleId="24">
    <w:name w:val="尾注文本 字符"/>
    <w:basedOn w:val="14"/>
    <w:link w:val="6"/>
    <w:autoRedefine/>
    <w:qFormat/>
    <w:uiPriority w:val="99"/>
    <w:rPr>
      <w:rFonts w:ascii="Calibri" w:hAnsi="Calibri" w:eastAsia="宋体" w:cs="Times New Roman"/>
      <w:szCs w:val="24"/>
    </w:rPr>
  </w:style>
  <w:style w:type="table" w:customStyle="1" w:styleId="25">
    <w:name w:val="网格型1"/>
    <w:basedOn w:val="12"/>
    <w:autoRedefine/>
    <w:qFormat/>
    <w:uiPriority w:val="59"/>
    <w:rPr>
      <w:rFonts w:ascii="宋体"/>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
    <w:name w:val="日期 字符"/>
    <w:basedOn w:val="14"/>
    <w:link w:val="5"/>
    <w:autoRedefine/>
    <w:semiHidden/>
    <w:qFormat/>
    <w:uiPriority w:val="99"/>
  </w:style>
  <w:style w:type="character" w:customStyle="1" w:styleId="27">
    <w:name w:val="正文文本缩进 字符"/>
    <w:basedOn w:val="14"/>
    <w:link w:val="4"/>
    <w:autoRedefine/>
    <w:qFormat/>
    <w:uiPriority w:val="0"/>
    <w:rPr>
      <w:rFonts w:ascii="Times New Roman" w:hAnsi="宋体" w:eastAsia="宋体" w:cs="Times New Roman"/>
      <w:szCs w:val="20"/>
    </w:rPr>
  </w:style>
  <w:style w:type="paragraph" w:customStyle="1" w:styleId="28">
    <w:name w:val="二级条标题"/>
    <w:basedOn w:val="1"/>
    <w:next w:val="19"/>
    <w:autoRedefine/>
    <w:qFormat/>
    <w:uiPriority w:val="0"/>
    <w:pPr>
      <w:widowControl/>
      <w:numPr>
        <w:ilvl w:val="2"/>
        <w:numId w:val="1"/>
      </w:numPr>
      <w:spacing w:beforeLines="50" w:afterLines="50"/>
      <w:jc w:val="left"/>
      <w:outlineLvl w:val="3"/>
    </w:pPr>
    <w:rPr>
      <w:rFonts w:ascii="黑体" w:hAnsi="Times New Roman" w:eastAsia="黑体" w:cs="Times New Roman"/>
      <w:kern w:val="0"/>
      <w:szCs w:val="21"/>
    </w:rPr>
  </w:style>
  <w:style w:type="character" w:customStyle="1" w:styleId="29">
    <w:name w:val="headline-content2"/>
    <w:basedOn w:val="14"/>
    <w:autoRedefine/>
    <w:qFormat/>
    <w:uiPriority w:val="0"/>
  </w:style>
  <w:style w:type="paragraph" w:customStyle="1" w:styleId="30">
    <w:name w:val="章标题"/>
    <w:next w:val="19"/>
    <w:autoRedefine/>
    <w:qFormat/>
    <w:uiPriority w:val="0"/>
    <w:pPr>
      <w:numPr>
        <w:ilvl w:val="0"/>
        <w:numId w:val="1"/>
      </w:numPr>
      <w:spacing w:beforeLines="100" w:afterLines="100"/>
      <w:ind w:left="426"/>
      <w:jc w:val="both"/>
      <w:outlineLvl w:val="1"/>
    </w:pPr>
    <w:rPr>
      <w:rFonts w:ascii="黑体" w:hAnsi="Times New Roman" w:eastAsia="黑体" w:cs="Times New Roman"/>
      <w:kern w:val="0"/>
      <w:sz w:val="21"/>
      <w:szCs w:val="20"/>
      <w:lang w:val="en-US" w:eastAsia="zh-CN" w:bidi="ar-SA"/>
    </w:rPr>
  </w:style>
  <w:style w:type="paragraph" w:customStyle="1" w:styleId="31">
    <w:name w:val="一级条标题"/>
    <w:next w:val="19"/>
    <w:autoRedefine/>
    <w:qFormat/>
    <w:uiPriority w:val="0"/>
    <w:pPr>
      <w:numPr>
        <w:ilvl w:val="1"/>
        <w:numId w:val="1"/>
      </w:numPr>
      <w:spacing w:beforeLines="50" w:afterLines="50"/>
      <w:ind w:left="0"/>
      <w:outlineLvl w:val="2"/>
    </w:pPr>
    <w:rPr>
      <w:rFonts w:ascii="黑体" w:hAnsi="Times New Roman" w:eastAsia="黑体" w:cs="Times New Roman"/>
      <w:kern w:val="0"/>
      <w:sz w:val="21"/>
      <w:szCs w:val="21"/>
      <w:lang w:val="en-US" w:eastAsia="zh-CN" w:bidi="ar-SA"/>
    </w:rPr>
  </w:style>
  <w:style w:type="paragraph" w:customStyle="1" w:styleId="32">
    <w:name w:val="二级无"/>
    <w:basedOn w:val="28"/>
    <w:autoRedefine/>
    <w:qFormat/>
    <w:uiPriority w:val="0"/>
    <w:pPr>
      <w:spacing w:beforeLines="0" w:afterLines="0"/>
      <w:ind w:left="0" w:firstLine="0"/>
    </w:pPr>
    <w:rPr>
      <w:rFonts w:ascii="宋体" w:eastAsia="宋体"/>
    </w:rPr>
  </w:style>
  <w:style w:type="paragraph" w:customStyle="1" w:styleId="33">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34">
    <w:name w:val="标准文件_一级项"/>
    <w:basedOn w:val="1"/>
    <w:uiPriority w:val="0"/>
    <w:pPr>
      <w:keepNext w:val="0"/>
      <w:keepLines w:val="0"/>
      <w:widowControl/>
      <w:numPr>
        <w:ilvl w:val="0"/>
        <w:numId w:val="2"/>
      </w:numPr>
      <w:suppressLineNumbers w:val="0"/>
      <w:adjustRightInd/>
      <w:spacing w:before="0" w:beforeAutospacing="0" w:after="0" w:afterAutospacing="0" w:line="240" w:lineRule="auto"/>
      <w:ind w:left="851" w:right="0" w:hanging="426"/>
      <w:jc w:val="left"/>
    </w:pPr>
    <w:rPr>
      <w:rFonts w:hint="eastAsia" w:ascii="宋体" w:hAnsi="Times New Roman" w:eastAsia="宋体" w:cs="Times New Roman"/>
      <w:kern w:val="0"/>
      <w:sz w:val="21"/>
      <w:szCs w:val="20"/>
      <w:lang w:val="en-US" w:eastAsia="zh-CN" w:bidi="ar"/>
    </w:rPr>
  </w:style>
  <w:style w:type="paragraph" w:customStyle="1" w:styleId="35">
    <w:name w:val="标准文件_二级无标题"/>
    <w:basedOn w:val="36"/>
    <w:uiPriority w:val="0"/>
    <w:pPr>
      <w:keepNext w:val="0"/>
      <w:keepLines w:val="0"/>
      <w:widowControl w:val="0"/>
      <w:numPr>
        <w:ilvl w:val="3"/>
        <w:numId w:val="3"/>
      </w:numPr>
      <w:suppressLineNumbers w:val="0"/>
      <w:spacing w:before="0" w:beforeLines="-2147483648" w:beforeAutospacing="0" w:after="0" w:afterLines="-2147483648" w:afterAutospacing="0"/>
      <w:ind w:left="0" w:right="0" w:firstLine="0"/>
      <w:jc w:val="both"/>
      <w:outlineLvl w:val="9"/>
    </w:pPr>
    <w:rPr>
      <w:rFonts w:hint="eastAsia" w:ascii="宋体" w:hAnsi="Times New Roman" w:eastAsia="宋体" w:cs="Times New Roman"/>
      <w:kern w:val="0"/>
      <w:sz w:val="21"/>
      <w:szCs w:val="20"/>
      <w:lang w:val="en-US" w:eastAsia="zh-CN" w:bidi="ar"/>
    </w:rPr>
  </w:style>
  <w:style w:type="paragraph" w:customStyle="1" w:styleId="36">
    <w:name w:val="标准文件_二级条标题"/>
    <w:basedOn w:val="1"/>
    <w:next w:val="37"/>
    <w:uiPriority w:val="0"/>
    <w:pPr>
      <w:keepNext w:val="0"/>
      <w:keepLines w:val="0"/>
      <w:widowControl w:val="0"/>
      <w:numPr>
        <w:ilvl w:val="3"/>
        <w:numId w:val="3"/>
      </w:numPr>
      <w:suppressLineNumbers w:val="0"/>
      <w:adjustRightInd/>
      <w:spacing w:before="50" w:beforeLines="50" w:beforeAutospacing="0" w:after="50" w:afterLines="50" w:afterAutospacing="0" w:line="240" w:lineRule="auto"/>
      <w:ind w:left="0" w:right="0" w:firstLine="0"/>
      <w:jc w:val="both"/>
      <w:outlineLvl w:val="2"/>
    </w:pPr>
    <w:rPr>
      <w:rFonts w:hint="eastAsia" w:ascii="黑体" w:hAnsi="Times New Roman" w:eastAsia="黑体" w:cs="Times New Roman"/>
      <w:kern w:val="0"/>
      <w:sz w:val="21"/>
      <w:szCs w:val="20"/>
      <w:lang w:val="en-US" w:eastAsia="zh-CN" w:bidi="ar"/>
    </w:rPr>
  </w:style>
  <w:style w:type="paragraph" w:customStyle="1" w:styleId="37">
    <w:name w:val="标准文件_段"/>
    <w:basedOn w:val="1"/>
    <w:link w:val="43"/>
    <w:uiPriority w:val="0"/>
    <w:pPr>
      <w:keepNext w:val="0"/>
      <w:keepLines w:val="0"/>
      <w:widowControl/>
      <w:suppressLineNumbers w:val="0"/>
      <w:autoSpaceDE w:val="0"/>
      <w:autoSpaceDN w:val="0"/>
      <w:adjustRightInd/>
      <w:spacing w:before="0" w:beforeAutospacing="0" w:after="0" w:afterAutospacing="0" w:line="240" w:lineRule="auto"/>
      <w:ind w:left="0" w:right="0" w:firstLine="200" w:firstLineChars="200"/>
      <w:jc w:val="both"/>
    </w:pPr>
    <w:rPr>
      <w:rFonts w:hint="eastAsia" w:ascii="宋体" w:hAnsi="Times New Roman" w:eastAsia="宋体" w:cs="Times New Roman"/>
      <w:kern w:val="0"/>
      <w:sz w:val="21"/>
      <w:szCs w:val="20"/>
      <w:lang w:val="en-US" w:eastAsia="zh-CN" w:bidi="ar"/>
    </w:rPr>
  </w:style>
  <w:style w:type="paragraph" w:customStyle="1" w:styleId="38">
    <w:name w:val="标准文件_一级条标题"/>
    <w:basedOn w:val="39"/>
    <w:next w:val="37"/>
    <w:uiPriority w:val="0"/>
    <w:pPr>
      <w:keepNext w:val="0"/>
      <w:keepLines w:val="0"/>
      <w:widowControl/>
      <w:numPr>
        <w:ilvl w:val="2"/>
        <w:numId w:val="3"/>
      </w:numPr>
      <w:suppressLineNumbers w:val="0"/>
      <w:spacing w:before="50" w:beforeLines="50" w:beforeAutospacing="0" w:after="50" w:afterLines="50" w:afterAutospacing="0"/>
      <w:ind w:left="0" w:right="0" w:firstLine="0"/>
      <w:jc w:val="both"/>
      <w:outlineLvl w:val="1"/>
    </w:pPr>
    <w:rPr>
      <w:rFonts w:hint="eastAsia" w:ascii="黑体" w:hAnsi="Times New Roman" w:eastAsia="黑体" w:cs="Times New Roman"/>
      <w:kern w:val="0"/>
      <w:sz w:val="21"/>
      <w:szCs w:val="20"/>
      <w:lang w:val="en-US" w:eastAsia="zh-CN" w:bidi="ar"/>
    </w:rPr>
  </w:style>
  <w:style w:type="paragraph" w:customStyle="1" w:styleId="39">
    <w:name w:val="标准文件_章标题"/>
    <w:basedOn w:val="1"/>
    <w:next w:val="37"/>
    <w:uiPriority w:val="0"/>
    <w:pPr>
      <w:keepNext w:val="0"/>
      <w:keepLines w:val="0"/>
      <w:widowControl/>
      <w:numPr>
        <w:ilvl w:val="1"/>
        <w:numId w:val="3"/>
      </w:numPr>
      <w:suppressLineNumbers w:val="0"/>
      <w:adjustRightInd/>
      <w:spacing w:before="100" w:beforeLines="100" w:beforeAutospacing="0" w:after="100" w:afterLines="100" w:afterAutospacing="0" w:line="240" w:lineRule="auto"/>
      <w:ind w:left="0" w:right="0" w:firstLine="0"/>
      <w:jc w:val="both"/>
      <w:outlineLvl w:val="0"/>
    </w:pPr>
    <w:rPr>
      <w:rFonts w:hint="eastAsia" w:ascii="黑体" w:hAnsi="Times New Roman" w:eastAsia="黑体" w:cs="Times New Roman"/>
      <w:kern w:val="0"/>
      <w:sz w:val="21"/>
      <w:szCs w:val="20"/>
      <w:lang w:val="en-US" w:eastAsia="zh-CN" w:bidi="ar"/>
    </w:rPr>
  </w:style>
  <w:style w:type="paragraph" w:customStyle="1" w:styleId="40">
    <w:name w:val="标准文件_术语条一"/>
    <w:basedOn w:val="1"/>
    <w:next w:val="37"/>
    <w:uiPriority w:val="0"/>
    <w:pPr>
      <w:keepNext w:val="0"/>
      <w:keepLines w:val="0"/>
      <w:widowControl/>
      <w:numPr>
        <w:ilvl w:val="2"/>
        <w:numId w:val="4"/>
      </w:numPr>
      <w:suppressLineNumbers w:val="0"/>
      <w:adjustRightInd/>
      <w:spacing w:before="0" w:beforeAutospacing="0" w:after="0" w:afterAutospacing="0" w:line="240" w:lineRule="auto"/>
      <w:ind w:left="1417" w:right="0" w:hanging="567"/>
      <w:jc w:val="both"/>
    </w:pPr>
    <w:rPr>
      <w:rFonts w:hint="eastAsia" w:ascii="宋体" w:hAnsi="Times New Roman" w:eastAsia="宋体" w:cs="Times New Roman"/>
      <w:kern w:val="0"/>
      <w:sz w:val="21"/>
      <w:szCs w:val="20"/>
      <w:lang w:val="en-US" w:eastAsia="zh-CN" w:bidi="ar"/>
    </w:rPr>
  </w:style>
  <w:style w:type="paragraph" w:customStyle="1" w:styleId="41">
    <w:name w:val="标准文件_表格"/>
    <w:basedOn w:val="37"/>
    <w:uiPriority w:val="0"/>
    <w:pPr>
      <w:keepNext w:val="0"/>
      <w:keepLines w:val="0"/>
      <w:widowControl/>
      <w:suppressLineNumbers w:val="0"/>
      <w:autoSpaceDE w:val="0"/>
      <w:autoSpaceDN w:val="0"/>
      <w:spacing w:before="0" w:beforeAutospacing="0" w:after="0" w:afterAutospacing="0"/>
      <w:ind w:left="0" w:right="0" w:firstLine="0" w:firstLineChars="0"/>
      <w:jc w:val="center"/>
    </w:pPr>
    <w:rPr>
      <w:rFonts w:hint="eastAsia" w:ascii="宋体" w:hAnsi="Times New Roman" w:eastAsia="宋体" w:cs="Times New Roman"/>
      <w:kern w:val="0"/>
      <w:sz w:val="18"/>
      <w:szCs w:val="20"/>
      <w:lang w:val="en-US" w:eastAsia="zh-CN" w:bidi="ar"/>
    </w:rPr>
  </w:style>
  <w:style w:type="paragraph" w:customStyle="1" w:styleId="42">
    <w:name w:val="标准文件_正文表标题"/>
    <w:basedOn w:val="1"/>
    <w:next w:val="37"/>
    <w:uiPriority w:val="0"/>
    <w:pPr>
      <w:keepNext w:val="0"/>
      <w:keepLines w:val="0"/>
      <w:widowControl/>
      <w:numPr>
        <w:ilvl w:val="0"/>
        <w:numId w:val="4"/>
      </w:numPr>
      <w:suppressLineNumbers w:val="0"/>
      <w:tabs>
        <w:tab w:val="left" w:pos="0"/>
      </w:tabs>
      <w:adjustRightInd/>
      <w:spacing w:before="50" w:beforeLines="50" w:beforeAutospacing="0" w:after="50" w:afterLines="50" w:afterAutospacing="0" w:line="240" w:lineRule="auto"/>
      <w:ind w:left="0" w:right="0" w:firstLine="0"/>
      <w:jc w:val="center"/>
    </w:pPr>
    <w:rPr>
      <w:rFonts w:hint="eastAsia" w:ascii="黑体" w:hAnsi="Times New Roman" w:eastAsia="黑体" w:cs="Times New Roman"/>
      <w:kern w:val="0"/>
      <w:sz w:val="21"/>
      <w:szCs w:val="20"/>
      <w:lang w:val="en-US" w:eastAsia="zh-CN" w:bidi="ar"/>
    </w:rPr>
  </w:style>
  <w:style w:type="character" w:customStyle="1" w:styleId="43">
    <w:name w:val="标准文件_段 Char"/>
    <w:basedOn w:val="14"/>
    <w:link w:val="37"/>
    <w:uiPriority w:val="0"/>
    <w:rPr>
      <w:rFonts w:hint="eastAsia" w:ascii="宋体" w:hAnsi="Times New Roman" w:eastAsia="宋体" w:cs="宋体"/>
      <w:sz w:val="21"/>
    </w:rPr>
  </w:style>
  <w:style w:type="paragraph" w:customStyle="1" w:styleId="44">
    <w:name w:val="标准文件_二级项2"/>
    <w:basedOn w:val="37"/>
    <w:uiPriority w:val="0"/>
    <w:pPr>
      <w:keepNext w:val="0"/>
      <w:keepLines w:val="0"/>
      <w:widowControl/>
      <w:numPr>
        <w:ilvl w:val="1"/>
        <w:numId w:val="2"/>
      </w:numPr>
      <w:suppressLineNumbers w:val="0"/>
      <w:tabs>
        <w:tab w:val="left" w:pos="360"/>
      </w:tabs>
      <w:autoSpaceDE w:val="0"/>
      <w:autoSpaceDN w:val="0"/>
      <w:spacing w:before="0" w:beforeAutospacing="0" w:after="0" w:afterAutospacing="0"/>
      <w:ind w:left="0" w:right="0" w:firstLine="0" w:firstLineChars="0"/>
      <w:jc w:val="both"/>
    </w:pPr>
    <w:rPr>
      <w:rFonts w:hint="eastAsia" w:ascii="宋体" w:hAnsi="Times New Roman" w:eastAsia="宋体" w:cs="Times New Roman"/>
      <w:kern w:val="0"/>
      <w:sz w:val="21"/>
      <w:szCs w:val="2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3B4CF-5B34-45C4-9690-BC0234FFD250}">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20</Pages>
  <Words>1486</Words>
  <Characters>1507</Characters>
  <Lines>62</Lines>
  <Paragraphs>17</Paragraphs>
  <TotalTime>1</TotalTime>
  <ScaleCrop>false</ScaleCrop>
  <LinksUpToDate>false</LinksUpToDate>
  <CharactersWithSpaces>1551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2019-06-25T01:51:00Z</dcterms:created>
  <dc:creator>yao jiang</dc:creator>
  <cp:lastModifiedBy>JuneRain</cp:lastModifiedBy>
  <dcterms:modified xsi:type="dcterms:W3CDTF">2025-08-12T09:57:43Z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286513CB856B4AD4B4C264CC0310DEB1</vt:lpwstr>
  </property>
  <property fmtid="{D5CDD505-2E9C-101B-9397-08002B2CF9AE}" pid="4" name="KSOTemplateDocerSaveRecord">
    <vt:lpwstr>eyJoZGlkIjoiYjBjNmNlZTRkMmZjYmYyZTM5OTBkZjEzNTRhZTU4MGUiLCJ1c2VySWQiOiI3MzQxNTE1NjYifQ==</vt:lpwstr>
  </property>
</Properties>
</file>