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D3DCD">
      <w:pPr>
        <w:spacing w:line="360" w:lineRule="auto"/>
        <w:ind w:firstLine="2240" w:firstLineChars="400"/>
        <w:rPr>
          <w:spacing w:val="20"/>
          <w:sz w:val="52"/>
          <w:szCs w:val="52"/>
        </w:rPr>
      </w:pPr>
    </w:p>
    <w:p w14:paraId="1B7B6CC6">
      <w:pPr>
        <w:spacing w:line="360" w:lineRule="auto"/>
        <w:jc w:val="center"/>
        <w:rPr>
          <w:rFonts w:hint="eastAsia" w:ascii="黑体" w:hAnsi="黑体" w:eastAsia="黑体" w:cs="黑体"/>
          <w:b/>
          <w:sz w:val="30"/>
          <w:szCs w:val="30"/>
        </w:rPr>
      </w:pPr>
      <w:r>
        <w:rPr>
          <w:rFonts w:hint="eastAsia"/>
          <w:spacing w:val="20"/>
          <w:sz w:val="52"/>
          <w:szCs w:val="52"/>
        </w:rPr>
        <w:t>内蒙古标准化协会</w:t>
      </w:r>
    </w:p>
    <w:p w14:paraId="3A194537">
      <w:pPr>
        <w:spacing w:line="360" w:lineRule="auto"/>
        <w:ind w:firstLine="602" w:firstLineChars="200"/>
        <w:jc w:val="center"/>
        <w:rPr>
          <w:rFonts w:hint="eastAsia" w:ascii="黑体" w:hAnsi="黑体" w:eastAsia="黑体" w:cs="黑体"/>
          <w:b/>
          <w:sz w:val="30"/>
          <w:szCs w:val="30"/>
        </w:rPr>
      </w:pPr>
    </w:p>
    <w:p w14:paraId="35EA5FCE">
      <w:pPr>
        <w:spacing w:line="360" w:lineRule="auto"/>
        <w:ind w:firstLine="602" w:firstLineChars="200"/>
        <w:jc w:val="center"/>
        <w:rPr>
          <w:rFonts w:hint="eastAsia" w:ascii="黑体" w:hAnsi="黑体" w:eastAsia="黑体" w:cs="黑体"/>
          <w:b/>
          <w:sz w:val="30"/>
          <w:szCs w:val="30"/>
        </w:rPr>
      </w:pPr>
    </w:p>
    <w:p w14:paraId="341A649C">
      <w:pPr>
        <w:spacing w:after="240"/>
        <w:jc w:val="center"/>
        <w:rPr>
          <w:rFonts w:hint="eastAsia" w:ascii="黑体" w:hAnsi="黑体" w:eastAsia="黑体" w:cs="黑体"/>
          <w:color w:val="000000"/>
          <w:kern w:val="0"/>
          <w:sz w:val="40"/>
          <w:szCs w:val="40"/>
        </w:rPr>
      </w:pPr>
      <w:r>
        <w:rPr>
          <w:rFonts w:hint="eastAsia" w:ascii="黑体" w:hAnsi="黑体" w:eastAsia="黑体" w:cs="黑体"/>
          <w:color w:val="000000"/>
          <w:kern w:val="0"/>
          <w:sz w:val="40"/>
          <w:szCs w:val="40"/>
        </w:rPr>
        <w:t>《盐碱地麦后复种饲用燕麦栽培技术规程》</w:t>
      </w:r>
    </w:p>
    <w:p w14:paraId="1F180511">
      <w:pPr>
        <w:spacing w:after="240" w:line="360" w:lineRule="auto"/>
        <w:jc w:val="center"/>
        <w:rPr>
          <w:rFonts w:hint="eastAsia" w:ascii="黑体" w:hAnsi="黑体" w:eastAsia="黑体" w:cs="黑体"/>
          <w:color w:val="000000"/>
          <w:kern w:val="0"/>
          <w:sz w:val="40"/>
          <w:szCs w:val="40"/>
        </w:rPr>
      </w:pPr>
      <w:r>
        <w:rPr>
          <w:rFonts w:hint="eastAsia" w:ascii="黑体" w:hAnsi="黑体" w:eastAsia="黑体" w:cs="黑体"/>
          <w:color w:val="000000"/>
          <w:kern w:val="0"/>
          <w:sz w:val="40"/>
          <w:szCs w:val="40"/>
        </w:rPr>
        <w:t>编制说明</w:t>
      </w:r>
    </w:p>
    <w:p w14:paraId="660DC720">
      <w:pPr>
        <w:spacing w:line="360" w:lineRule="auto"/>
        <w:jc w:val="center"/>
        <w:rPr>
          <w:rFonts w:hint="eastAsia" w:ascii="黑体" w:hAnsi="黑体" w:eastAsia="黑体" w:cs="黑体"/>
          <w:color w:val="000000"/>
          <w:kern w:val="0"/>
          <w:sz w:val="40"/>
          <w:szCs w:val="40"/>
        </w:rPr>
      </w:pPr>
      <w:r>
        <w:rPr>
          <w:rFonts w:hint="eastAsia" w:ascii="黑体" w:hAnsi="黑体" w:eastAsia="黑体" w:cs="黑体"/>
          <w:color w:val="000000"/>
          <w:kern w:val="0"/>
          <w:sz w:val="40"/>
          <w:szCs w:val="40"/>
        </w:rPr>
        <w:t>（征求意见稿）</w:t>
      </w:r>
    </w:p>
    <w:p w14:paraId="36CB98F4">
      <w:pPr>
        <w:spacing w:line="360" w:lineRule="auto"/>
        <w:ind w:firstLine="602" w:firstLineChars="200"/>
        <w:jc w:val="center"/>
        <w:rPr>
          <w:rFonts w:hint="eastAsia" w:ascii="黑体" w:hAnsi="黑体" w:eastAsia="黑体" w:cs="黑体"/>
          <w:b/>
          <w:sz w:val="30"/>
          <w:szCs w:val="30"/>
        </w:rPr>
      </w:pPr>
    </w:p>
    <w:p w14:paraId="55257580">
      <w:pPr>
        <w:spacing w:line="360" w:lineRule="auto"/>
        <w:ind w:firstLine="602" w:firstLineChars="200"/>
        <w:jc w:val="center"/>
        <w:rPr>
          <w:rFonts w:hint="eastAsia" w:ascii="黑体" w:hAnsi="黑体" w:eastAsia="黑体" w:cs="黑体"/>
          <w:b/>
          <w:sz w:val="30"/>
          <w:szCs w:val="30"/>
        </w:rPr>
      </w:pPr>
    </w:p>
    <w:p w14:paraId="1E1873A3">
      <w:pPr>
        <w:spacing w:line="360" w:lineRule="auto"/>
        <w:ind w:firstLine="602" w:firstLineChars="200"/>
        <w:jc w:val="center"/>
        <w:rPr>
          <w:rFonts w:hint="eastAsia" w:ascii="黑体" w:hAnsi="黑体" w:eastAsia="黑体" w:cs="黑体"/>
          <w:b/>
          <w:sz w:val="30"/>
          <w:szCs w:val="30"/>
        </w:rPr>
      </w:pPr>
    </w:p>
    <w:p w14:paraId="3D7D73C3">
      <w:pPr>
        <w:spacing w:line="360" w:lineRule="auto"/>
        <w:ind w:firstLine="602" w:firstLineChars="200"/>
        <w:jc w:val="center"/>
        <w:rPr>
          <w:rFonts w:hint="eastAsia" w:ascii="黑体" w:hAnsi="黑体" w:eastAsia="黑体" w:cs="黑体"/>
          <w:b/>
          <w:sz w:val="30"/>
          <w:szCs w:val="30"/>
        </w:rPr>
      </w:pPr>
    </w:p>
    <w:p w14:paraId="263049AD">
      <w:pPr>
        <w:spacing w:line="360" w:lineRule="auto"/>
        <w:ind w:firstLine="602" w:firstLineChars="200"/>
        <w:jc w:val="center"/>
        <w:rPr>
          <w:rFonts w:hint="eastAsia" w:ascii="黑体" w:hAnsi="黑体" w:eastAsia="黑体" w:cs="黑体"/>
          <w:b/>
          <w:sz w:val="30"/>
          <w:szCs w:val="30"/>
        </w:rPr>
      </w:pPr>
    </w:p>
    <w:p w14:paraId="035C0DEC">
      <w:pPr>
        <w:spacing w:line="360" w:lineRule="auto"/>
        <w:ind w:firstLine="602" w:firstLineChars="200"/>
        <w:jc w:val="center"/>
        <w:rPr>
          <w:rFonts w:hint="eastAsia" w:ascii="黑体" w:hAnsi="黑体" w:eastAsia="黑体" w:cs="黑体"/>
          <w:b/>
          <w:sz w:val="30"/>
          <w:szCs w:val="30"/>
        </w:rPr>
      </w:pPr>
    </w:p>
    <w:p w14:paraId="69649A37">
      <w:pPr>
        <w:spacing w:line="360" w:lineRule="auto"/>
        <w:ind w:firstLine="602" w:firstLineChars="200"/>
        <w:jc w:val="center"/>
        <w:rPr>
          <w:rFonts w:hint="eastAsia" w:ascii="黑体" w:hAnsi="黑体" w:eastAsia="黑体" w:cs="黑体"/>
          <w:b/>
          <w:sz w:val="30"/>
          <w:szCs w:val="30"/>
        </w:rPr>
      </w:pPr>
    </w:p>
    <w:p w14:paraId="334850A2">
      <w:pPr>
        <w:spacing w:line="360" w:lineRule="auto"/>
        <w:ind w:firstLine="602" w:firstLineChars="200"/>
        <w:jc w:val="center"/>
        <w:rPr>
          <w:rFonts w:hint="eastAsia" w:ascii="黑体" w:hAnsi="黑体" w:eastAsia="黑体" w:cs="黑体"/>
          <w:b/>
          <w:sz w:val="30"/>
          <w:szCs w:val="30"/>
        </w:rPr>
      </w:pPr>
    </w:p>
    <w:p w14:paraId="13F5A3DD">
      <w:pPr>
        <w:spacing w:line="360" w:lineRule="auto"/>
        <w:ind w:firstLine="602" w:firstLineChars="200"/>
        <w:jc w:val="center"/>
        <w:rPr>
          <w:rFonts w:hint="eastAsia" w:ascii="黑体" w:hAnsi="黑体" w:eastAsia="黑体" w:cs="黑体"/>
          <w:b/>
          <w:sz w:val="30"/>
          <w:szCs w:val="30"/>
        </w:rPr>
      </w:pPr>
    </w:p>
    <w:p w14:paraId="7C5B5D86">
      <w:pPr>
        <w:spacing w:line="360" w:lineRule="auto"/>
        <w:jc w:val="center"/>
        <w:rPr>
          <w:rFonts w:hint="eastAsia" w:ascii="黑体" w:hAnsi="黑体" w:eastAsia="黑体" w:cs="黑体"/>
          <w:b/>
          <w:sz w:val="40"/>
          <w:szCs w:val="40"/>
        </w:rPr>
      </w:pPr>
      <w:r>
        <w:rPr>
          <w:rFonts w:hint="eastAsia" w:ascii="黑体" w:hAnsi="黑体" w:eastAsia="黑体" w:cs="黑体"/>
          <w:b/>
          <w:sz w:val="40"/>
          <w:szCs w:val="40"/>
        </w:rPr>
        <w:t>《盐碱地紫花苜蓿饲草减肥增效栽培技术规程》起草组</w:t>
      </w:r>
    </w:p>
    <w:p w14:paraId="1C6D07C7">
      <w:pPr>
        <w:spacing w:line="360" w:lineRule="auto"/>
        <w:jc w:val="center"/>
        <w:rPr>
          <w:rFonts w:hint="eastAsia" w:ascii="黑体" w:hAnsi="黑体" w:eastAsia="黑体" w:cs="黑体"/>
          <w:b/>
          <w:sz w:val="40"/>
          <w:szCs w:val="40"/>
        </w:rPr>
      </w:pPr>
      <w:r>
        <w:rPr>
          <w:rFonts w:hint="eastAsia" w:ascii="黑体" w:hAnsi="黑体" w:eastAsia="黑体" w:cs="黑体"/>
          <w:b/>
          <w:sz w:val="40"/>
          <w:szCs w:val="40"/>
        </w:rPr>
        <w:t>20</w:t>
      </w:r>
      <w:r>
        <w:rPr>
          <w:rFonts w:ascii="黑体" w:hAnsi="黑体" w:eastAsia="黑体" w:cs="黑体"/>
          <w:b/>
          <w:sz w:val="40"/>
          <w:szCs w:val="40"/>
        </w:rPr>
        <w:t>2</w:t>
      </w:r>
      <w:r>
        <w:rPr>
          <w:rFonts w:hint="eastAsia" w:ascii="黑体" w:hAnsi="黑体" w:eastAsia="黑体" w:cs="黑体"/>
          <w:b/>
          <w:sz w:val="40"/>
          <w:szCs w:val="40"/>
        </w:rPr>
        <w:t>5年</w:t>
      </w:r>
      <w:r>
        <w:rPr>
          <w:rFonts w:hint="eastAsia" w:ascii="黑体" w:hAnsi="黑体" w:eastAsia="黑体" w:cs="黑体"/>
          <w:b/>
          <w:sz w:val="40"/>
          <w:szCs w:val="40"/>
          <w:lang w:val="en-US" w:eastAsia="zh-CN"/>
        </w:rPr>
        <w:t>10</w:t>
      </w:r>
      <w:r>
        <w:rPr>
          <w:rFonts w:hint="eastAsia" w:ascii="黑体" w:hAnsi="黑体" w:eastAsia="黑体" w:cs="黑体"/>
          <w:b/>
          <w:sz w:val="40"/>
          <w:szCs w:val="40"/>
        </w:rPr>
        <w:t>月</w:t>
      </w:r>
    </w:p>
    <w:p w14:paraId="2579A3EF">
      <w:pPr>
        <w:widowControl/>
        <w:jc w:val="left"/>
        <w:rPr>
          <w:rFonts w:hint="eastAsia" w:asciiTheme="minorEastAsia" w:hAnsiTheme="minorEastAsia"/>
          <w:b/>
          <w:sz w:val="36"/>
          <w:szCs w:val="36"/>
        </w:rPr>
      </w:pPr>
      <w:r>
        <w:rPr>
          <w:rFonts w:hint="eastAsia" w:asciiTheme="minorEastAsia" w:hAnsiTheme="minorEastAsia"/>
          <w:b/>
          <w:sz w:val="36"/>
          <w:szCs w:val="36"/>
        </w:rPr>
        <w:br w:type="page"/>
      </w:r>
    </w:p>
    <w:p w14:paraId="7570CC88">
      <w:pPr>
        <w:jc w:val="center"/>
        <w:rPr>
          <w:rFonts w:hint="eastAsia" w:asciiTheme="minorEastAsia" w:hAnsiTheme="minorEastAsia"/>
          <w:b/>
          <w:sz w:val="36"/>
          <w:szCs w:val="36"/>
        </w:rPr>
      </w:pPr>
      <w:r>
        <w:rPr>
          <w:rFonts w:hint="eastAsia" w:asciiTheme="minorEastAsia" w:hAnsiTheme="minorEastAsia"/>
          <w:b/>
          <w:sz w:val="36"/>
          <w:szCs w:val="36"/>
        </w:rPr>
        <w:t>《盐碱地麦后复种饲用燕麦栽培技术规程》</w:t>
      </w:r>
    </w:p>
    <w:p w14:paraId="73361493">
      <w:pPr>
        <w:jc w:val="center"/>
        <w:rPr>
          <w:rFonts w:hint="eastAsia" w:asciiTheme="minorEastAsia" w:hAnsiTheme="minorEastAsia"/>
          <w:b/>
          <w:sz w:val="36"/>
          <w:szCs w:val="36"/>
        </w:rPr>
      </w:pPr>
      <w:r>
        <w:rPr>
          <w:rFonts w:hint="eastAsia" w:asciiTheme="minorEastAsia" w:hAnsiTheme="minorEastAsia"/>
          <w:b/>
          <w:sz w:val="36"/>
          <w:szCs w:val="36"/>
        </w:rPr>
        <w:t>编制说明</w:t>
      </w:r>
    </w:p>
    <w:p w14:paraId="55ED0196">
      <w:pPr>
        <w:rPr>
          <w:rFonts w:hint="eastAsia" w:ascii="仿宋" w:hAnsi="仿宋" w:eastAsia="仿宋"/>
          <w:b/>
          <w:sz w:val="30"/>
          <w:szCs w:val="30"/>
        </w:rPr>
      </w:pPr>
      <w:r>
        <w:rPr>
          <w:rFonts w:hint="eastAsia" w:ascii="仿宋" w:hAnsi="仿宋" w:eastAsia="仿宋"/>
          <w:b/>
          <w:sz w:val="30"/>
          <w:szCs w:val="30"/>
        </w:rPr>
        <w:t>一、工作简况</w:t>
      </w:r>
    </w:p>
    <w:p w14:paraId="3E58EE25">
      <w:pPr>
        <w:rPr>
          <w:rFonts w:hint="eastAsia" w:ascii="仿宋" w:hAnsi="仿宋" w:eastAsia="仿宋"/>
          <w:b/>
          <w:sz w:val="28"/>
          <w:szCs w:val="28"/>
        </w:rPr>
      </w:pPr>
      <w:r>
        <w:rPr>
          <w:rFonts w:hint="eastAsia" w:ascii="仿宋" w:hAnsi="仿宋" w:eastAsia="仿宋"/>
          <w:b/>
          <w:sz w:val="28"/>
          <w:szCs w:val="28"/>
        </w:rPr>
        <w:t>1、任务来源</w:t>
      </w:r>
    </w:p>
    <w:p w14:paraId="4FC1C27A">
      <w:pPr>
        <w:spacing w:line="480" w:lineRule="exact"/>
        <w:rPr>
          <w:rFonts w:hint="eastAsia" w:ascii="仿宋" w:hAnsi="仿宋" w:eastAsia="仿宋"/>
          <w:sz w:val="28"/>
          <w:szCs w:val="28"/>
        </w:rPr>
      </w:pPr>
      <w:r>
        <w:rPr>
          <w:rFonts w:hint="eastAsia" w:ascii="仿宋" w:hAnsi="仿宋" w:eastAsia="仿宋"/>
          <w:sz w:val="28"/>
          <w:szCs w:val="28"/>
        </w:rPr>
        <w:t xml:space="preserve">    《内蒙古标准化协会关于下达2025年第5批5项团体标准制修订项目的通知》（内标协〔2025〕016号）。</w:t>
      </w:r>
    </w:p>
    <w:p w14:paraId="70B97042">
      <w:pPr>
        <w:rPr>
          <w:rFonts w:hint="eastAsia" w:ascii="仿宋" w:hAnsi="仿宋" w:eastAsia="仿宋"/>
          <w:b/>
          <w:sz w:val="28"/>
          <w:szCs w:val="28"/>
        </w:rPr>
      </w:pPr>
      <w:r>
        <w:rPr>
          <w:rFonts w:hint="eastAsia" w:ascii="仿宋" w:hAnsi="仿宋" w:eastAsia="仿宋"/>
          <w:b/>
          <w:sz w:val="28"/>
          <w:szCs w:val="28"/>
        </w:rPr>
        <w:t>2、起草单位及协作单位</w:t>
      </w:r>
    </w:p>
    <w:p w14:paraId="5DA7FDD1">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起草单位：蒙草生态环境（集团）股份有限公司</w:t>
      </w:r>
    </w:p>
    <w:p w14:paraId="36E96418">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协作单位：内蒙古草业技术创新中心有限公司、内蒙古天赋河套种质科技发展有限公司、内蒙古草都草牧业股份有限公司、内蒙古正时生态农业（集团）有限公司。</w:t>
      </w:r>
    </w:p>
    <w:p w14:paraId="514D6921">
      <w:pPr>
        <w:rPr>
          <w:rFonts w:hint="eastAsia" w:ascii="仿宋" w:hAnsi="仿宋" w:eastAsia="仿宋"/>
          <w:b/>
          <w:sz w:val="28"/>
          <w:szCs w:val="28"/>
        </w:rPr>
      </w:pPr>
      <w:r>
        <w:rPr>
          <w:rFonts w:hint="eastAsia" w:ascii="仿宋" w:hAnsi="仿宋" w:eastAsia="仿宋"/>
          <w:b/>
          <w:sz w:val="28"/>
          <w:szCs w:val="28"/>
        </w:rPr>
        <w:t>3、主要起草人</w:t>
      </w:r>
    </w:p>
    <w:p w14:paraId="382BB94C">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本标准主要起草人为：段嘉蕾、张跃华、田振东、王召明、高旭、贾振宇、刘长涛、张婷、温馨、高若凡、雷瀚、陈辰、屈璐璐、贾海凤、珠娜。</w:t>
      </w:r>
    </w:p>
    <w:p w14:paraId="40DA5C1C">
      <w:pPr>
        <w:ind w:firstLine="560" w:firstLineChars="200"/>
        <w:jc w:val="center"/>
        <w:rPr>
          <w:rFonts w:hint="eastAsia" w:ascii="仿宋" w:hAnsi="仿宋" w:eastAsia="仿宋"/>
          <w:sz w:val="28"/>
          <w:szCs w:val="28"/>
        </w:rPr>
      </w:pPr>
      <w:r>
        <w:rPr>
          <w:rFonts w:hint="eastAsia" w:ascii="仿宋" w:hAnsi="仿宋" w:eastAsia="仿宋"/>
          <w:sz w:val="28"/>
          <w:szCs w:val="28"/>
        </w:rPr>
        <w:t>表1标准参与编写人员及其所做的工作</w:t>
      </w:r>
    </w:p>
    <w:tbl>
      <w:tblPr>
        <w:tblStyle w:val="5"/>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333"/>
        <w:gridCol w:w="2183"/>
        <w:gridCol w:w="1227"/>
        <w:gridCol w:w="3779"/>
      </w:tblGrid>
      <w:tr w14:paraId="620584F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70F72E73">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姓名</w:t>
            </w:r>
          </w:p>
        </w:tc>
        <w:tc>
          <w:tcPr>
            <w:tcW w:w="1281" w:type="pct"/>
            <w:vAlign w:val="center"/>
          </w:tcPr>
          <w:p w14:paraId="155FD6CF">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工作单位</w:t>
            </w:r>
          </w:p>
        </w:tc>
        <w:tc>
          <w:tcPr>
            <w:tcW w:w="720" w:type="pct"/>
            <w:vAlign w:val="center"/>
          </w:tcPr>
          <w:p w14:paraId="2184CC37">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职称</w:t>
            </w:r>
          </w:p>
        </w:tc>
        <w:tc>
          <w:tcPr>
            <w:tcW w:w="2217" w:type="pct"/>
            <w:vAlign w:val="center"/>
          </w:tcPr>
          <w:p w14:paraId="44BA130C">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主要工作内容</w:t>
            </w:r>
          </w:p>
        </w:tc>
      </w:tr>
      <w:tr w14:paraId="2CB255F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2E2F16A6">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段嘉蕾</w:t>
            </w:r>
          </w:p>
        </w:tc>
        <w:tc>
          <w:tcPr>
            <w:tcW w:w="1281" w:type="pct"/>
            <w:vAlign w:val="center"/>
          </w:tcPr>
          <w:p w14:paraId="50E6C1E3">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0537AC9E">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初级</w:t>
            </w:r>
          </w:p>
        </w:tc>
        <w:tc>
          <w:tcPr>
            <w:tcW w:w="2217" w:type="pct"/>
            <w:vAlign w:val="center"/>
          </w:tcPr>
          <w:p w14:paraId="751F776C">
            <w:pPr>
              <w:autoSpaceDE w:val="0"/>
              <w:autoSpaceDN w:val="0"/>
              <w:spacing w:after="0"/>
              <w:contextualSpacing/>
              <w:rPr>
                <w:rFonts w:ascii="Times New Roman" w:hAnsi="Times New Roman" w:eastAsia="宋体" w:cs="Times New Roman"/>
                <w:color w:val="000000" w:themeColor="text1"/>
                <w:kern w:val="0"/>
                <w:sz w:val="22"/>
                <w:szCs w:val="28"/>
                <w14:textFill>
                  <w14:solidFill>
                    <w14:schemeClr w14:val="tx1"/>
                  </w14:solidFill>
                </w14:textFill>
              </w:rPr>
            </w:pPr>
            <w:r>
              <w:rPr>
                <w:rFonts w:ascii="Times New Roman" w:hAnsi="Times New Roman" w:eastAsia="宋体" w:cs="Times New Roman"/>
                <w:color w:val="000000" w:themeColor="text1"/>
                <w:kern w:val="0"/>
                <w:sz w:val="22"/>
                <w:szCs w:val="28"/>
                <w14:textFill>
                  <w14:solidFill>
                    <w14:schemeClr w14:val="tx1"/>
                  </w14:solidFill>
                </w14:textFill>
              </w:rPr>
              <w:t>项目主持人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负责方案设计</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532E46A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7A0951D2">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张跃华</w:t>
            </w:r>
          </w:p>
        </w:tc>
        <w:tc>
          <w:tcPr>
            <w:tcW w:w="1281" w:type="pct"/>
            <w:vAlign w:val="center"/>
          </w:tcPr>
          <w:p w14:paraId="5294EB43">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36123A7D">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745A9C62">
            <w:pPr>
              <w:autoSpaceDE w:val="0"/>
              <w:autoSpaceDN w:val="0"/>
              <w:spacing w:after="80"/>
              <w:contextualSpacing/>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w:t>
            </w:r>
            <w:r>
              <w:rPr>
                <w:rFonts w:ascii="Times New Roman" w:hAnsi="Times New Roman" w:eastAsia="宋体" w:cs="Times New Roman"/>
                <w:color w:val="000000" w:themeColor="text1"/>
                <w:kern w:val="0"/>
                <w:sz w:val="22"/>
                <w:szCs w:val="28"/>
                <w14:textFill>
                  <w14:solidFill>
                    <w14:schemeClr w14:val="tx1"/>
                  </w14:solidFill>
                </w14:textFill>
              </w:rPr>
              <w:t>参加人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7A05FC2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3B771A6E">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田振东</w:t>
            </w:r>
          </w:p>
        </w:tc>
        <w:tc>
          <w:tcPr>
            <w:tcW w:w="1281" w:type="pct"/>
            <w:vAlign w:val="center"/>
          </w:tcPr>
          <w:p w14:paraId="7749CCE2">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1CA31133">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47399E40">
            <w:pPr>
              <w:spacing w:after="0"/>
              <w:rPr>
                <w:rFonts w:eastAsia="宋体"/>
                <w:kern w:val="0"/>
                <w:sz w:val="22"/>
              </w:rPr>
            </w:pPr>
            <w:r>
              <w:rPr>
                <w:rFonts w:hint="eastAsia" w:ascii="Times New Roman" w:hAnsi="Times New Roman" w:eastAsia="宋体" w:cs="Times New Roman"/>
                <w:color w:val="000000" w:themeColor="text1"/>
                <w:kern w:val="0"/>
                <w:sz w:val="22"/>
                <w:szCs w:val="28"/>
                <w14:textFill>
                  <w14:solidFill>
                    <w14:schemeClr w14:val="tx1"/>
                  </w14:solidFill>
                </w14:textFill>
              </w:rPr>
              <w:t>主要</w:t>
            </w:r>
            <w:r>
              <w:rPr>
                <w:rFonts w:ascii="Times New Roman" w:hAnsi="Times New Roman" w:eastAsia="宋体" w:cs="Times New Roman"/>
                <w:color w:val="000000" w:themeColor="text1"/>
                <w:kern w:val="0"/>
                <w:sz w:val="22"/>
                <w:szCs w:val="28"/>
                <w14:textFill>
                  <w14:solidFill>
                    <w14:schemeClr w14:val="tx1"/>
                  </w14:solidFill>
                </w14:textFill>
              </w:rPr>
              <w:t>参加人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4AF8590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1133986D">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王召明</w:t>
            </w:r>
          </w:p>
        </w:tc>
        <w:tc>
          <w:tcPr>
            <w:tcW w:w="1281" w:type="pct"/>
            <w:vAlign w:val="center"/>
          </w:tcPr>
          <w:p w14:paraId="036B58C1">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内蒙古草业技术创新中心有限公司</w:t>
            </w:r>
          </w:p>
        </w:tc>
        <w:tc>
          <w:tcPr>
            <w:tcW w:w="720" w:type="pct"/>
            <w:vAlign w:val="center"/>
          </w:tcPr>
          <w:p w14:paraId="48389EB5">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正高级</w:t>
            </w:r>
          </w:p>
        </w:tc>
        <w:tc>
          <w:tcPr>
            <w:tcW w:w="2217" w:type="pct"/>
            <w:vAlign w:val="center"/>
          </w:tcPr>
          <w:p w14:paraId="3F2D613E">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315FE8A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68D9C3D1">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高旭</w:t>
            </w:r>
          </w:p>
        </w:tc>
        <w:tc>
          <w:tcPr>
            <w:tcW w:w="1281" w:type="pct"/>
            <w:vAlign w:val="center"/>
          </w:tcPr>
          <w:p w14:paraId="053A0863">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内蒙古天赋河套种质科技发展有限公司</w:t>
            </w:r>
          </w:p>
        </w:tc>
        <w:tc>
          <w:tcPr>
            <w:tcW w:w="720" w:type="pct"/>
            <w:vAlign w:val="center"/>
          </w:tcPr>
          <w:p w14:paraId="1E60812E">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副高级</w:t>
            </w:r>
          </w:p>
        </w:tc>
        <w:tc>
          <w:tcPr>
            <w:tcW w:w="2217" w:type="pct"/>
            <w:vAlign w:val="center"/>
          </w:tcPr>
          <w:p w14:paraId="77487290">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3122348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4F385B14">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贾振宇</w:t>
            </w:r>
          </w:p>
        </w:tc>
        <w:tc>
          <w:tcPr>
            <w:tcW w:w="1281" w:type="pct"/>
            <w:vAlign w:val="center"/>
          </w:tcPr>
          <w:p w14:paraId="76CDA109">
            <w:pPr>
              <w:spacing w:after="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3BD04BB4">
            <w:pPr>
              <w:spacing w:after="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2EB67C87">
            <w:pPr>
              <w:spacing w:after="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w:t>
            </w:r>
            <w:r>
              <w:rPr>
                <w:rFonts w:ascii="Times New Roman" w:hAnsi="Times New Roman" w:eastAsia="宋体" w:cs="Times New Roman"/>
                <w:color w:val="000000" w:themeColor="text1"/>
                <w:kern w:val="0"/>
                <w:sz w:val="22"/>
                <w:szCs w:val="28"/>
                <w14:textFill>
                  <w14:solidFill>
                    <w14:schemeClr w14:val="tx1"/>
                  </w14:solidFill>
                </w14:textFill>
              </w:rPr>
              <w:t>参加人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2365C46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64BAE83E">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刘长涛</w:t>
            </w:r>
          </w:p>
        </w:tc>
        <w:tc>
          <w:tcPr>
            <w:tcW w:w="1281" w:type="pct"/>
            <w:vAlign w:val="center"/>
          </w:tcPr>
          <w:p w14:paraId="716C6D8F">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67B3FB63">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7EBFE94A">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7E0514D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5C585C3B">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张婷</w:t>
            </w:r>
          </w:p>
        </w:tc>
        <w:tc>
          <w:tcPr>
            <w:tcW w:w="1281" w:type="pct"/>
            <w:vAlign w:val="center"/>
          </w:tcPr>
          <w:p w14:paraId="44D73656">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0F4C5CCF">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w:t>
            </w:r>
          </w:p>
        </w:tc>
        <w:tc>
          <w:tcPr>
            <w:tcW w:w="2217" w:type="pct"/>
            <w:vAlign w:val="center"/>
          </w:tcPr>
          <w:p w14:paraId="7F912353">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5BEA808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17F3EA9D">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温馨</w:t>
            </w:r>
          </w:p>
        </w:tc>
        <w:tc>
          <w:tcPr>
            <w:tcW w:w="1281" w:type="pct"/>
            <w:vAlign w:val="center"/>
          </w:tcPr>
          <w:p w14:paraId="037C35FF">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内蒙古天赋河套种质科技发展有限公司</w:t>
            </w:r>
          </w:p>
        </w:tc>
        <w:tc>
          <w:tcPr>
            <w:tcW w:w="720" w:type="pct"/>
            <w:vAlign w:val="center"/>
          </w:tcPr>
          <w:p w14:paraId="4F302A83">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05DBCA3F">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3FC9684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02891BCE">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高若凡</w:t>
            </w:r>
          </w:p>
        </w:tc>
        <w:tc>
          <w:tcPr>
            <w:tcW w:w="1281" w:type="pct"/>
            <w:vAlign w:val="center"/>
          </w:tcPr>
          <w:p w14:paraId="60FC6668">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内蒙古草业技术创新中心有限公司</w:t>
            </w:r>
          </w:p>
        </w:tc>
        <w:tc>
          <w:tcPr>
            <w:tcW w:w="720" w:type="pct"/>
            <w:vAlign w:val="center"/>
          </w:tcPr>
          <w:p w14:paraId="4DF182F1">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初级</w:t>
            </w:r>
          </w:p>
        </w:tc>
        <w:tc>
          <w:tcPr>
            <w:tcW w:w="2217" w:type="pct"/>
            <w:vAlign w:val="center"/>
          </w:tcPr>
          <w:p w14:paraId="45393C41">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5AD5E2B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2B7B6A1E">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雷瀚</w:t>
            </w:r>
          </w:p>
        </w:tc>
        <w:tc>
          <w:tcPr>
            <w:tcW w:w="1281" w:type="pct"/>
            <w:vAlign w:val="center"/>
          </w:tcPr>
          <w:p w14:paraId="38A2C695">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内蒙古草业技术创新中心有限公司</w:t>
            </w:r>
          </w:p>
        </w:tc>
        <w:tc>
          <w:tcPr>
            <w:tcW w:w="720" w:type="pct"/>
            <w:vAlign w:val="center"/>
          </w:tcPr>
          <w:p w14:paraId="57A9191F">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0D358FAF">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266D0B8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4A1D55BF">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陈辰</w:t>
            </w:r>
          </w:p>
        </w:tc>
        <w:tc>
          <w:tcPr>
            <w:tcW w:w="1281" w:type="pct"/>
            <w:vAlign w:val="center"/>
          </w:tcPr>
          <w:p w14:paraId="626F5EF2">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659A4C98">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w:t>
            </w:r>
          </w:p>
        </w:tc>
        <w:tc>
          <w:tcPr>
            <w:tcW w:w="2217" w:type="pct"/>
            <w:vAlign w:val="center"/>
          </w:tcPr>
          <w:p w14:paraId="6B794586">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1E966CB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07AF1647">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屈璐璐</w:t>
            </w:r>
          </w:p>
        </w:tc>
        <w:tc>
          <w:tcPr>
            <w:tcW w:w="1281" w:type="pct"/>
            <w:vAlign w:val="center"/>
          </w:tcPr>
          <w:p w14:paraId="62F648FB">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内蒙古草业技术创新中心有限公司</w:t>
            </w:r>
          </w:p>
        </w:tc>
        <w:tc>
          <w:tcPr>
            <w:tcW w:w="720" w:type="pct"/>
            <w:vAlign w:val="center"/>
          </w:tcPr>
          <w:p w14:paraId="1D5A9EF3">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38909AFB">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3266D7E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3540B079">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贾海凤</w:t>
            </w:r>
          </w:p>
        </w:tc>
        <w:tc>
          <w:tcPr>
            <w:tcW w:w="1281" w:type="pct"/>
            <w:vAlign w:val="center"/>
          </w:tcPr>
          <w:p w14:paraId="0DBEDA7E">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内蒙古草都草牧业股份有限公司</w:t>
            </w:r>
          </w:p>
        </w:tc>
        <w:tc>
          <w:tcPr>
            <w:tcW w:w="720" w:type="pct"/>
            <w:vAlign w:val="center"/>
          </w:tcPr>
          <w:p w14:paraId="6DD0C0A7">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初级</w:t>
            </w:r>
          </w:p>
        </w:tc>
        <w:tc>
          <w:tcPr>
            <w:tcW w:w="2217" w:type="pct"/>
            <w:vAlign w:val="center"/>
          </w:tcPr>
          <w:p w14:paraId="7C7BBF4D">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2BF4BE3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7397319A">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珠娜</w:t>
            </w:r>
          </w:p>
        </w:tc>
        <w:tc>
          <w:tcPr>
            <w:tcW w:w="1281" w:type="pct"/>
            <w:vAlign w:val="center"/>
          </w:tcPr>
          <w:p w14:paraId="0A56D8AF">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内蒙古正时生态农业（集团）有限公司</w:t>
            </w:r>
          </w:p>
        </w:tc>
        <w:tc>
          <w:tcPr>
            <w:tcW w:w="720" w:type="pct"/>
            <w:vAlign w:val="center"/>
          </w:tcPr>
          <w:p w14:paraId="40C36F3E">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w:t>
            </w:r>
          </w:p>
        </w:tc>
        <w:tc>
          <w:tcPr>
            <w:tcW w:w="2217" w:type="pct"/>
            <w:vAlign w:val="center"/>
          </w:tcPr>
          <w:p w14:paraId="248F63CF">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bl>
    <w:p w14:paraId="24E2EC73">
      <w:pPr>
        <w:rPr>
          <w:rFonts w:hint="eastAsia" w:ascii="仿宋" w:hAnsi="仿宋" w:eastAsia="仿宋"/>
          <w:sz w:val="28"/>
          <w:szCs w:val="28"/>
        </w:rPr>
      </w:pPr>
    </w:p>
    <w:p w14:paraId="1712A4E4">
      <w:pPr>
        <w:rPr>
          <w:rFonts w:hint="eastAsia" w:ascii="仿宋" w:hAnsi="仿宋" w:eastAsia="仿宋"/>
          <w:b/>
          <w:sz w:val="28"/>
          <w:szCs w:val="28"/>
        </w:rPr>
      </w:pPr>
      <w:r>
        <w:rPr>
          <w:rFonts w:hint="eastAsia" w:ascii="仿宋" w:hAnsi="仿宋" w:eastAsia="仿宋"/>
          <w:b/>
          <w:sz w:val="28"/>
          <w:szCs w:val="28"/>
        </w:rPr>
        <w:t>二、制定标准的必要性和意义</w:t>
      </w:r>
    </w:p>
    <w:p w14:paraId="2A3BBD96">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盐碱地是指土壤中含有过量的可溶性盐分和碱性物质，导致土壤盐碱度过高，严重影响农作物的生长发育。内蒙古自治区近年来对农业的技术升级、环境保护以及盐碱地治理高度重视，相关政策文件明确指出，盐碱地改良是促进自治区农业经济持续增长、提高农民收入的重要途径。根据内蒙古自治区“十四五”规划中的重点工作任务和自治区政府年度工作报告，盐碱地治理已成为促进农业绿色发展的关键领域。</w:t>
      </w:r>
    </w:p>
    <w:p w14:paraId="0415A385">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麦后复种饲用燕麦是一种在小麦收获后，利用剩余生长季节种植燕麦作为饲草的种植模式，这一模式在农业生产中具有重要意义，能有效提高土地利用率，增加饲草供应，满足畜牧业发展需求。饲用燕麦作为一种耐盐碱作物，能够在盐碱地上生长良好，并且具有较强的抗旱能力，能够有效地减少盐碱土壤的水分蒸发，帮助改善土壤水分保持能力，燕麦生长过程中对土壤养分的吸收和归还，以及其根系对土壤结构的改善作用，有助于提高土壤肥力。</w:t>
      </w:r>
    </w:p>
    <w:p w14:paraId="086D4E37">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制定该标准具有广泛的普遍性，特别是在我国河套灌区、黄河流域等典型盐碱地区的农业生产中。这些区域由于盐碱化程度较高，土地的可耕性受到严重影响，导致农业生产力低下，甚至部分地区出现荒漠化现象。因此，盐碱地治理成为了全区农业和生态环境发展的关键任务。通过制定盐碱地饲用燕麦栽培技术规程，明确耐盐碱燕麦品种选择依据，可为盐碱地可持续利用提供解决方案。本标准涉及的技术为全区性、共性技术，适用于内蒙古自治区的中轻度盐碱地区。因此，该标准能够在自治区范围内普遍应用，具有良好的社会性和广泛的推广前景。</w:t>
      </w:r>
    </w:p>
    <w:p w14:paraId="0E080A34">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此外，该技术方案与当前在研的科研项目同步进行，技术成果经过试验验证，具有较高的科学性和实用性。因此，该标准的制定不仅符合国家和自治区对农业生态技术的需求，也有充分的科研成果作为支撑，能够为盐碱地有效利用及优质燕麦饲草生产提供切实可行的技术方案。</w:t>
      </w:r>
    </w:p>
    <w:p w14:paraId="40AD2A57">
      <w:pPr>
        <w:rPr>
          <w:rFonts w:hint="eastAsia" w:ascii="仿宋" w:hAnsi="仿宋" w:eastAsia="仿宋"/>
          <w:b/>
          <w:sz w:val="28"/>
          <w:szCs w:val="28"/>
        </w:rPr>
      </w:pPr>
      <w:r>
        <w:rPr>
          <w:rFonts w:hint="eastAsia" w:ascii="仿宋" w:hAnsi="仿宋" w:eastAsia="仿宋"/>
          <w:b/>
          <w:sz w:val="28"/>
          <w:szCs w:val="28"/>
        </w:rPr>
        <w:t>三、主要起草过程</w:t>
      </w:r>
    </w:p>
    <w:p w14:paraId="51174ACC">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2022-2023年对82份燕麦材料开展种子萌发期、幼苗期、大田耐盐碱性评价，初步筛选出5份高耐盐碱型材料，分别为白燕23号，甜燕1号，蒙农大燕1号，甜燕麦，ZX-1106。2023-2025年在内蒙古巴彦淖尔市临河区（pH8.5，土壤含盐量0.3%）进行麦后复种饲用燕麦栽培试验。</w:t>
      </w:r>
    </w:p>
    <w:p w14:paraId="1F8C56AC">
      <w:pPr>
        <w:spacing w:line="480" w:lineRule="exact"/>
        <w:ind w:firstLine="560" w:firstLineChars="200"/>
        <w:rPr>
          <w:rFonts w:hint="eastAsia" w:ascii="仿宋" w:hAnsi="仿宋" w:eastAsia="仿宋"/>
          <w:b/>
          <w:sz w:val="28"/>
          <w:szCs w:val="28"/>
        </w:rPr>
      </w:pPr>
      <w:r>
        <w:rPr>
          <w:rFonts w:hint="eastAsia" w:ascii="仿宋" w:hAnsi="仿宋" w:eastAsia="仿宋"/>
          <w:color w:val="000000" w:themeColor="text1"/>
          <w:sz w:val="28"/>
          <w:szCs w:val="28"/>
          <w14:textFill>
            <w14:solidFill>
              <w14:schemeClr w14:val="tx1"/>
            </w14:solidFill>
          </w14:textFill>
        </w:rPr>
        <w:t>2025年3月-5月，由蒙草生态环境（集团）股份有限公司牵头、内蒙古草业技术创新中心有限公司和内蒙古天赋河套种质科技发展有限公司协作，组成标准起草组，制定工作方案，形成工作组讨论稿，同年5月立项。</w:t>
      </w:r>
    </w:p>
    <w:p w14:paraId="43C79289">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2025年6月-8月，补充更新试验数据，完善标准内容，形成征求意见稿。</w:t>
      </w:r>
    </w:p>
    <w:p w14:paraId="780A46CF">
      <w:pPr>
        <w:spacing w:line="480" w:lineRule="exact"/>
        <w:ind w:firstLine="560" w:firstLineChars="200"/>
        <w:rPr>
          <w:rFonts w:hint="eastAsia" w:ascii="Times New Roman" w:hAnsi="Times New Roman" w:eastAsia="仿宋" w:cs="Times New Roman"/>
          <w:color w:val="000000" w:themeColor="text1"/>
          <w:spacing w:val="6"/>
          <w:sz w:val="28"/>
          <w:szCs w:val="24"/>
          <w:lang w:val="en-US" w:eastAsia="zh-CN" w:bidi="ar"/>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2025年</w:t>
      </w:r>
      <w:r>
        <w:rPr>
          <w:rFonts w:hint="eastAsia" w:ascii="仿宋" w:hAnsi="仿宋" w:eastAsia="仿宋"/>
          <w:color w:val="000000" w:themeColor="text1"/>
          <w:sz w:val="28"/>
          <w:szCs w:val="28"/>
          <w:lang w:val="en-US" w:eastAsia="zh-CN"/>
          <w14:textFill>
            <w14:solidFill>
              <w14:schemeClr w14:val="tx1"/>
            </w14:solidFill>
          </w14:textFill>
        </w:rPr>
        <w:t>9-10</w:t>
      </w:r>
      <w:r>
        <w:rPr>
          <w:rFonts w:hint="eastAsia" w:ascii="仿宋" w:hAnsi="仿宋" w:eastAsia="仿宋"/>
          <w:color w:val="000000" w:themeColor="text1"/>
          <w:sz w:val="28"/>
          <w:szCs w:val="28"/>
          <w14:textFill>
            <w14:solidFill>
              <w14:schemeClr w14:val="tx1"/>
            </w14:solidFill>
          </w14:textFill>
        </w:rPr>
        <w:t>月，</w:t>
      </w:r>
      <w:r>
        <w:rPr>
          <w:rFonts w:hint="eastAsia" w:ascii="Times New Roman" w:hAnsi="Times New Roman" w:eastAsia="仿宋" w:cs="Times New Roman"/>
          <w:color w:val="000000" w:themeColor="text1"/>
          <w:spacing w:val="6"/>
          <w:sz w:val="28"/>
          <w:szCs w:val="24"/>
          <w:lang w:val="en-US" w:eastAsia="zh-CN" w:bidi="ar"/>
          <w14:textFill>
            <w14:solidFill>
              <w14:schemeClr w14:val="tx1"/>
            </w14:solidFill>
          </w14:textFill>
        </w:rPr>
        <w:t>召开立项评审会，根据老师意见进行进一步修改，形成征求意见稿。</w:t>
      </w:r>
    </w:p>
    <w:p w14:paraId="3E2FA9FD">
      <w:pPr>
        <w:rPr>
          <w:rFonts w:hint="eastAsia" w:ascii="仿宋" w:hAnsi="仿宋" w:eastAsia="仿宋"/>
          <w:b/>
          <w:sz w:val="28"/>
          <w:szCs w:val="28"/>
        </w:rPr>
      </w:pPr>
      <w:r>
        <w:rPr>
          <w:rFonts w:hint="eastAsia" w:ascii="仿宋" w:hAnsi="仿宋" w:eastAsia="仿宋"/>
          <w:b/>
          <w:sz w:val="28"/>
          <w:szCs w:val="28"/>
        </w:rPr>
        <w:t>四、制定标准的原则和依据，与现行法律、法规、标准的关系</w:t>
      </w:r>
    </w:p>
    <w:p w14:paraId="6100E2F3">
      <w:pPr>
        <w:spacing w:line="480" w:lineRule="exact"/>
        <w:jc w:val="left"/>
        <w:rPr>
          <w:rFonts w:hint="eastAsia" w:ascii="仿宋" w:hAnsi="仿宋" w:eastAsia="仿宋" w:cs="仿宋"/>
          <w:b/>
          <w:sz w:val="28"/>
          <w:szCs w:val="24"/>
        </w:rPr>
      </w:pPr>
      <w:r>
        <w:rPr>
          <w:rFonts w:hint="eastAsia" w:ascii="仿宋" w:hAnsi="仿宋" w:eastAsia="仿宋" w:cs="仿宋"/>
          <w:b/>
          <w:color w:val="000000"/>
          <w:sz w:val="28"/>
          <w:szCs w:val="24"/>
        </w:rPr>
        <w:t>1、编制</w:t>
      </w:r>
      <w:r>
        <w:rPr>
          <w:rFonts w:hint="eastAsia" w:ascii="仿宋" w:hAnsi="仿宋" w:eastAsia="仿宋" w:cs="仿宋"/>
          <w:b/>
          <w:sz w:val="28"/>
          <w:szCs w:val="24"/>
        </w:rPr>
        <w:t>原则</w:t>
      </w:r>
    </w:p>
    <w:p w14:paraId="7BBDF945">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科学性原则：以盐碱地土壤理化特性、麦后复种的光温资源规律及饲用燕麦耐盐性与生育期特性为核心依据，结合国内外盐碱地复种燕麦最新科研成果设定技术参数。确保规程条款符合盐碱地生态规律、复种农时逻辑与燕麦生长科学机制，避免盲目缩短生育期或过量施肥导致的品质下降问题。</w:t>
      </w:r>
    </w:p>
    <w:p w14:paraId="4210D1AA">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实用性原则：针对麦后土壤墒情不足、复种周期短、出苗慢等问题，制定栽培方案，明确不同盐碱程度下燕麦刈割时期，兼顾生物量与粗蛋白含量。</w:t>
      </w:r>
    </w:p>
    <w:p w14:paraId="1A483B81">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可操作性原则：对“麦后准备-土壤改良-播种-田间管理-收获”全流程设定量化、清晰的操作指引，标注关键时间节点，降低基层种植者操作难度。</w:t>
      </w:r>
    </w:p>
    <w:p w14:paraId="601F880C">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先进性原则：借鉴国内外盐碱地复种绿色高效经验，引入秸秆循环利用技术，推广水肥一体化滴灌技术，结合复种特点优化收获后处理技术。实践适宜轮作模式，提升盐碱地土壤肥力，推动盐碱地复种从“单一生产”向“生态-经济双效益”转型。</w:t>
      </w:r>
    </w:p>
    <w:p w14:paraId="576ADEE9">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经济性原则：在保障燕麦生物量与饲用品质的前提下，综合平衡复种成本与收益。选择耐盐早熟品种，通过有机肥与少量化肥配施，</w:t>
      </w:r>
      <w:bookmarkStart w:id="0" w:name="_Hlk208236212"/>
      <w:r>
        <w:rPr>
          <w:rFonts w:hint="eastAsia" w:ascii="仿宋" w:hAnsi="仿宋" w:eastAsia="仿宋"/>
          <w:color w:val="000000" w:themeColor="text1"/>
          <w:sz w:val="28"/>
          <w:szCs w:val="28"/>
          <w14:textFill>
            <w14:solidFill>
              <w14:schemeClr w14:val="tx1"/>
            </w14:solidFill>
          </w14:textFill>
        </w:rPr>
        <w:t>综合土壤改良效果，形成低成本本土化技术。</w:t>
      </w:r>
      <w:bookmarkEnd w:id="0"/>
    </w:p>
    <w:p w14:paraId="7C836154">
      <w:pPr>
        <w:spacing w:line="480" w:lineRule="exact"/>
        <w:rPr>
          <w:rFonts w:hint="eastAsia" w:ascii="仿宋" w:hAnsi="仿宋" w:eastAsia="仿宋" w:cs="仿宋"/>
          <w:b/>
          <w:sz w:val="28"/>
          <w:szCs w:val="24"/>
        </w:rPr>
      </w:pPr>
      <w:r>
        <w:rPr>
          <w:rFonts w:hint="eastAsia" w:ascii="仿宋" w:hAnsi="仿宋" w:eastAsia="仿宋" w:cs="仿宋"/>
          <w:b/>
          <w:sz w:val="28"/>
          <w:szCs w:val="24"/>
        </w:rPr>
        <w:t>2、编制依据</w:t>
      </w:r>
    </w:p>
    <w:p w14:paraId="20939386">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本标准的技术依据是2022-2025年由起草单位在内蒙古巴彦淖尔市进行的连续田间栽培试验，试验数据真实可靠。</w:t>
      </w:r>
    </w:p>
    <w:p w14:paraId="3E68AEE4">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本标准编制依据严格按照G</w:t>
      </w:r>
      <w:r>
        <w:rPr>
          <w:rFonts w:ascii="仿宋" w:hAnsi="仿宋" w:eastAsia="仿宋"/>
          <w:color w:val="000000" w:themeColor="text1"/>
          <w:sz w:val="28"/>
          <w:szCs w:val="28"/>
          <w14:textFill>
            <w14:solidFill>
              <w14:schemeClr w14:val="tx1"/>
            </w14:solidFill>
          </w14:textFill>
        </w:rPr>
        <w:t>B/T1.1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2020</w:t>
      </w:r>
      <w:r>
        <w:rPr>
          <w:rFonts w:hint="eastAsia" w:ascii="仿宋" w:hAnsi="仿宋" w:eastAsia="仿宋"/>
          <w:color w:val="000000" w:themeColor="text1"/>
          <w:sz w:val="28"/>
          <w:szCs w:val="28"/>
          <w14:textFill>
            <w14:solidFill>
              <w14:schemeClr w14:val="tx1"/>
            </w14:solidFill>
          </w14:textFill>
        </w:rPr>
        <w:t>《标准化工作导则 第1部分：标准化文件的结构和起草规则》的规定起草文件。</w:t>
      </w:r>
    </w:p>
    <w:p w14:paraId="6EBC992B">
      <w:pPr>
        <w:spacing w:line="480" w:lineRule="exact"/>
        <w:rPr>
          <w:rFonts w:hint="eastAsia" w:ascii="仿宋" w:hAnsi="仿宋" w:eastAsia="仿宋" w:cs="仿宋"/>
          <w:b/>
          <w:sz w:val="28"/>
          <w:szCs w:val="24"/>
        </w:rPr>
      </w:pPr>
      <w:r>
        <w:rPr>
          <w:rFonts w:hint="eastAsia" w:ascii="仿宋" w:hAnsi="仿宋" w:eastAsia="仿宋" w:cs="仿宋"/>
          <w:b/>
          <w:sz w:val="28"/>
          <w:szCs w:val="24"/>
        </w:rPr>
        <w:t>3、与现行法律、法规、标准的关系</w:t>
      </w:r>
    </w:p>
    <w:p w14:paraId="393E92A3">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本标准在编制过程中，没有出现与现行有关法律、法规和国家、行业、地方标准相违背的情况。</w:t>
      </w:r>
    </w:p>
    <w:p w14:paraId="3887ADD8">
      <w:pPr>
        <w:spacing w:line="480" w:lineRule="exact"/>
        <w:rPr>
          <w:rFonts w:hint="eastAsia" w:ascii="仿宋" w:hAnsi="仿宋" w:eastAsia="仿宋" w:cs="仿宋"/>
          <w:b/>
          <w:sz w:val="28"/>
          <w:szCs w:val="24"/>
        </w:rPr>
      </w:pPr>
      <w:r>
        <w:rPr>
          <w:rFonts w:hint="eastAsia" w:ascii="仿宋" w:hAnsi="仿宋" w:eastAsia="仿宋" w:cs="仿宋"/>
          <w:b/>
          <w:sz w:val="28"/>
          <w:szCs w:val="24"/>
        </w:rPr>
        <w:t>4、与现行相关标准的联系</w:t>
      </w:r>
    </w:p>
    <w:p w14:paraId="6981B0C2">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GB 4404.4《粮食作物种子 第4部分：燕麦》本标准中要求的净度、发芽率等指标应以此国标为最低基准，或根据饲用燕麦的特性提出更高要求。</w:t>
      </w:r>
    </w:p>
    <w:p w14:paraId="5BBEDAC4">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NY/T 496《肥料合理使用准则 通则》，本标准</w:t>
      </w:r>
      <w:r>
        <w:rPr>
          <w:rFonts w:ascii="仿宋" w:hAnsi="仿宋" w:eastAsia="仿宋"/>
          <w:color w:val="000000" w:themeColor="text1"/>
          <w:sz w:val="28"/>
          <w:szCs w:val="28"/>
          <w14:textFill>
            <w14:solidFill>
              <w14:schemeClr w14:val="tx1"/>
            </w14:solidFill>
          </w14:textFill>
        </w:rPr>
        <w:t>中推荐的肥料种类、施用方法应遵循肥料合理使用的通用原则，确保安全、高效、环保。</w:t>
      </w:r>
    </w:p>
    <w:p w14:paraId="64586FAC">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GB 5084《农田灌溉水质标准》本标准灌溉水质应符合此国标。</w:t>
      </w:r>
    </w:p>
    <w:p w14:paraId="2913DA14">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DB15/T</w:t>
      </w:r>
      <w:r>
        <w:rPr>
          <w:rFonts w:hint="eastAsia" w:ascii="仿宋" w:hAnsi="仿宋" w:eastAsia="仿宋"/>
          <w:color w:val="000000" w:themeColor="text1"/>
          <w:sz w:val="28"/>
          <w:szCs w:val="28"/>
          <w14:textFill>
            <w14:solidFill>
              <w14:schemeClr w14:val="tx1"/>
            </w14:solidFill>
          </w14:textFill>
        </w:rPr>
        <w:t xml:space="preserve"> 3330《盐碱地麦后复种饲用燕麦×油菜生产技术规程》，也涉及播前、播后及生育期灌水，本标准进一步量化灌溉定额。</w:t>
      </w:r>
    </w:p>
    <w:p w14:paraId="7C7A6D42">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T/SAASS 159</w:t>
      </w:r>
      <w:r>
        <w:rPr>
          <w:rFonts w:hint="eastAsia" w:ascii="仿宋" w:hAnsi="仿宋" w:eastAsia="仿宋"/>
          <w:color w:val="000000" w:themeColor="text1"/>
          <w:sz w:val="28"/>
          <w:szCs w:val="28"/>
          <w14:textFill>
            <w14:solidFill>
              <w14:schemeClr w14:val="tx1"/>
            </w14:solidFill>
          </w14:textFill>
        </w:rPr>
        <w:t>《黄河三角洲盐碱地饲用燕麦复种青贮玉米技术规程》为燕麦和青贮玉米轮作，本标准是饲用燕麦单作栽培，二者在技术路线上有根本不同，单作技术更专注于燕麦本身的高产优质栽培管理，技术措施针对性更强。</w:t>
      </w:r>
    </w:p>
    <w:p w14:paraId="2986F6A7">
      <w:pPr>
        <w:rPr>
          <w:rFonts w:hint="eastAsia" w:ascii="仿宋" w:hAnsi="仿宋" w:eastAsia="仿宋"/>
          <w:b/>
          <w:sz w:val="28"/>
          <w:szCs w:val="28"/>
        </w:rPr>
      </w:pPr>
      <w:r>
        <w:rPr>
          <w:rFonts w:hint="eastAsia" w:ascii="仿宋" w:hAnsi="仿宋" w:eastAsia="仿宋"/>
          <w:b/>
          <w:sz w:val="28"/>
          <w:szCs w:val="28"/>
        </w:rPr>
        <w:t>五、主要条款的说明，主要技术指标、参数、试验验证的论述</w:t>
      </w:r>
    </w:p>
    <w:p w14:paraId="79188F26">
      <w:pPr>
        <w:spacing w:line="480" w:lineRule="exact"/>
        <w:rPr>
          <w:rFonts w:hint="eastAsia" w:ascii="仿宋" w:hAnsi="仿宋" w:eastAsia="仿宋"/>
          <w:b/>
          <w:sz w:val="28"/>
          <w:szCs w:val="28"/>
        </w:rPr>
      </w:pPr>
      <w:r>
        <w:rPr>
          <w:rFonts w:hint="eastAsia" w:ascii="仿宋" w:hAnsi="仿宋" w:eastAsia="仿宋"/>
          <w:b/>
          <w:sz w:val="28"/>
          <w:szCs w:val="28"/>
        </w:rPr>
        <w:t>1、主要条款说明</w:t>
      </w:r>
    </w:p>
    <w:p w14:paraId="2C82CFD8">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第1章是适用范围；</w:t>
      </w:r>
    </w:p>
    <w:p w14:paraId="316C56B4">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第2章是规范性引用文件；</w:t>
      </w:r>
    </w:p>
    <w:p w14:paraId="24470AF0">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第3章是术语和定义，对麦后复种和饲用燕麦的定义进行说明；</w:t>
      </w:r>
    </w:p>
    <w:p w14:paraId="2AF980C0">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第4章是整地，包括秸秆粉碎和翻耕还田；</w:t>
      </w:r>
    </w:p>
    <w:p w14:paraId="1C43E463">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地5章是播种，包括品种选择、种子质量、种子处理、播种时间、播种量、播种方式；</w:t>
      </w:r>
    </w:p>
    <w:p w14:paraId="739D58B8">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第6章是田间管理，包括施肥、灌溉、杂草防除、病虫害防治；</w:t>
      </w:r>
    </w:p>
    <w:p w14:paraId="766171DE">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第7章是刈割，对适宜刈割时期和留茬高度进行说明。</w:t>
      </w:r>
    </w:p>
    <w:p w14:paraId="6D86A8DD">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附录A 耐盐碱饲用燕麦良种推荐目录</w:t>
      </w:r>
    </w:p>
    <w:p w14:paraId="47164288">
      <w:pPr>
        <w:spacing w:line="480" w:lineRule="exact"/>
        <w:rPr>
          <w:rFonts w:hint="eastAsia" w:ascii="仿宋" w:hAnsi="仿宋" w:eastAsia="仿宋"/>
          <w:b/>
          <w:sz w:val="28"/>
          <w:szCs w:val="28"/>
        </w:rPr>
      </w:pPr>
      <w:r>
        <w:rPr>
          <w:rFonts w:hint="eastAsia" w:ascii="仿宋" w:hAnsi="仿宋" w:eastAsia="仿宋"/>
          <w:b/>
          <w:sz w:val="28"/>
          <w:szCs w:val="28"/>
        </w:rPr>
        <w:t>2、主要技术指标、参数、试验论证的论述</w:t>
      </w:r>
    </w:p>
    <w:p w14:paraId="01277C85">
      <w:pPr>
        <w:spacing w:line="480" w:lineRule="exact"/>
        <w:ind w:firstLine="48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耐盐碱燕麦品种筛选：</w:t>
      </w:r>
    </w:p>
    <w:p w14:paraId="62E0B25C">
      <w:pPr>
        <w:spacing w:line="480" w:lineRule="exact"/>
        <w:ind w:firstLine="48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选用0.8%的NaCl、NaHCO3（质量比1：1），混合盐碱溶液进行盐碱胁迫处理，用蒸馏水（CK）作为对照处理。选用籽粒饱满均一的燕麦种子50粒，每个水平设置3次重复，放置在底部铺有双层滤纸的发芽盒中，每个培养盒内加对应溶液10 ml。采用人工气候箱对供试材料进行培养，条件为光照/黑暗时间：16 h/8 h，温度25 ℃/20 ℃。</w:t>
      </w:r>
    </w:p>
    <w:p w14:paraId="0688D3B9">
      <w:pPr>
        <w:spacing w:line="48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82份燕麦种质进行萌发期胁迫处理，测定了发芽势、发芽率、发芽指数、活力指数、芽长、根长、根鲜重、芽鲜重8项指标，通过相关性分析、主成分分析、隶属函数分析、聚类分析方法对参试燕麦种质材料进行了耐盐碱综合鉴定评价。从82份燕麦种质资源中筛选出高耐盐碱材料5份，分别为白燕23号、ZX-1106、甜燕1号、蒙农大1号、甜燕麦，中等耐盐碱材料10份。</w:t>
      </w:r>
    </w:p>
    <w:p w14:paraId="57C3900A">
      <w:pPr>
        <w:ind w:firstLine="482"/>
        <w:jc w:val="center"/>
        <w:rPr>
          <w:rFonts w:ascii="仿宋" w:hAnsi="仿宋" w:eastAsia="仿宋"/>
          <w:color w:val="000000" w:themeColor="text1"/>
          <w:sz w:val="28"/>
          <w:szCs w:val="28"/>
          <w14:textFill>
            <w14:solidFill>
              <w14:schemeClr w14:val="tx1"/>
            </w14:solidFill>
          </w14:textFill>
        </w:rPr>
      </w:pPr>
      <w:r>
        <w:rPr>
          <w:rFonts w:ascii="Times New Roman" w:hAnsi="Times New Roman" w:eastAsia="仿宋" w:cs="Arial"/>
          <w:b/>
          <w:color w:val="000000"/>
          <w:sz w:val="24"/>
          <w:szCs w:val="28"/>
        </w:rPr>
        <w:drawing>
          <wp:inline distT="0" distB="0" distL="0" distR="0">
            <wp:extent cx="2343150" cy="2172335"/>
            <wp:effectExtent l="0" t="0" r="0" b="0"/>
            <wp:docPr id="1229450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5040"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347894" cy="2176515"/>
                    </a:xfrm>
                    <a:prstGeom prst="rect">
                      <a:avLst/>
                    </a:prstGeom>
                    <a:noFill/>
                    <a:ln>
                      <a:noFill/>
                    </a:ln>
                  </pic:spPr>
                </pic:pic>
              </a:graphicData>
            </a:graphic>
          </wp:inline>
        </w:drawing>
      </w:r>
    </w:p>
    <w:p w14:paraId="62F77935">
      <w:pPr>
        <w:spacing w:line="480" w:lineRule="exact"/>
        <w:ind w:firstLine="48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图1  82份燕麦材料聚类分析</w:t>
      </w:r>
    </w:p>
    <w:p w14:paraId="71B309A8">
      <w:pPr>
        <w:spacing w:line="480" w:lineRule="exact"/>
        <w:rPr>
          <w:rFonts w:hint="eastAsia" w:ascii="仿宋" w:hAnsi="仿宋" w:eastAsia="仿宋"/>
          <w:b/>
          <w:sz w:val="28"/>
          <w:szCs w:val="28"/>
        </w:rPr>
      </w:pPr>
      <w:r>
        <w:rPr>
          <w:rFonts w:hint="eastAsia" w:ascii="仿宋" w:hAnsi="仿宋" w:eastAsia="仿宋"/>
          <w:b/>
          <w:sz w:val="28"/>
          <w:szCs w:val="28"/>
        </w:rPr>
        <w:t>3、是否为本领域市场新技术、新产品、新服务的标准化转化（说明产品特性、技术要求等内容）</w:t>
      </w:r>
    </w:p>
    <w:p w14:paraId="676B0419">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否。</w:t>
      </w:r>
    </w:p>
    <w:p w14:paraId="1DDFBCBF">
      <w:pPr>
        <w:rPr>
          <w:rFonts w:hint="eastAsia" w:ascii="仿宋" w:hAnsi="仿宋" w:eastAsia="仿宋"/>
          <w:b/>
          <w:sz w:val="28"/>
          <w:szCs w:val="28"/>
        </w:rPr>
      </w:pPr>
      <w:r>
        <w:rPr>
          <w:rFonts w:hint="eastAsia" w:ascii="仿宋" w:hAnsi="仿宋" w:eastAsia="仿宋"/>
          <w:b/>
          <w:sz w:val="28"/>
          <w:szCs w:val="28"/>
        </w:rPr>
        <w:t>六、重大意见分歧的处理依据和结果</w:t>
      </w:r>
    </w:p>
    <w:p w14:paraId="173F6390">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本文件在编写过程中没有重大意见分歧。</w:t>
      </w:r>
    </w:p>
    <w:p w14:paraId="0F2E80A3">
      <w:pPr>
        <w:rPr>
          <w:rFonts w:hint="eastAsia" w:ascii="仿宋" w:hAnsi="仿宋" w:eastAsia="仿宋"/>
          <w:b/>
          <w:sz w:val="28"/>
          <w:szCs w:val="28"/>
        </w:rPr>
      </w:pPr>
      <w:r>
        <w:rPr>
          <w:rFonts w:hint="eastAsia" w:ascii="仿宋" w:hAnsi="仿宋" w:eastAsia="仿宋"/>
          <w:b/>
          <w:sz w:val="28"/>
          <w:szCs w:val="28"/>
        </w:rPr>
        <w:t>七、</w:t>
      </w:r>
      <w:r>
        <w:rPr>
          <w:rFonts w:ascii="仿宋" w:hAnsi="仿宋" w:eastAsia="仿宋"/>
          <w:b/>
          <w:sz w:val="28"/>
          <w:szCs w:val="28"/>
        </w:rPr>
        <w:t>采用国际标准或国外先进标准的，说明采标程度，以及国内外同类标准水平的对比情况</w:t>
      </w:r>
    </w:p>
    <w:p w14:paraId="4224F2F9">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本文件未采用国际标准或国外先进标准。</w:t>
      </w:r>
    </w:p>
    <w:p w14:paraId="0E44065E">
      <w:pPr>
        <w:rPr>
          <w:rFonts w:hint="eastAsia" w:ascii="仿宋" w:hAnsi="仿宋" w:eastAsia="仿宋"/>
          <w:b/>
          <w:sz w:val="28"/>
          <w:szCs w:val="28"/>
        </w:rPr>
      </w:pPr>
      <w:r>
        <w:rPr>
          <w:rFonts w:hint="eastAsia" w:ascii="仿宋" w:hAnsi="仿宋" w:eastAsia="仿宋"/>
          <w:b/>
          <w:sz w:val="28"/>
          <w:szCs w:val="28"/>
        </w:rPr>
        <w:t>八、推广应用（包括实施措施；实施方向、如以标准为依据开展的产业推进、行业管理等有关活动）</w:t>
      </w:r>
    </w:p>
    <w:p w14:paraId="42706334">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无。</w:t>
      </w:r>
    </w:p>
    <w:p w14:paraId="1603C286">
      <w:pPr>
        <w:rPr>
          <w:rFonts w:hint="eastAsia" w:ascii="仿宋" w:hAnsi="仿宋" w:eastAsia="仿宋"/>
          <w:b/>
          <w:sz w:val="28"/>
          <w:szCs w:val="28"/>
        </w:rPr>
      </w:pPr>
      <w:r>
        <w:rPr>
          <w:rFonts w:hint="eastAsia" w:ascii="仿宋" w:hAnsi="仿宋" w:eastAsia="仿宋"/>
          <w:b/>
          <w:sz w:val="28"/>
          <w:szCs w:val="28"/>
        </w:rPr>
        <w:t>八、其他应说明的事项</w:t>
      </w:r>
    </w:p>
    <w:p w14:paraId="4EA2F824">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无。</w:t>
      </w:r>
    </w:p>
    <w:p w14:paraId="114C2728">
      <w:pPr>
        <w:rPr>
          <w:rFonts w:hint="eastAsia" w:ascii="仿宋" w:hAnsi="仿宋" w:eastAsia="仿宋"/>
          <w:b/>
          <w:sz w:val="28"/>
          <w:szCs w:val="28"/>
        </w:rPr>
      </w:pPr>
      <w:r>
        <w:rPr>
          <w:rFonts w:hint="eastAsia" w:ascii="仿宋" w:hAnsi="仿宋" w:eastAsia="仿宋"/>
          <w:b/>
          <w:sz w:val="28"/>
          <w:szCs w:val="28"/>
        </w:rPr>
        <w:t>九、征求意见说明</w:t>
      </w:r>
    </w:p>
    <w:p w14:paraId="0B2CEA76">
      <w:pPr>
        <w:jc w:val="center"/>
        <w:rPr>
          <w:rFonts w:hint="eastAsia" w:asciiTheme="minorEastAsia" w:hAnsiTheme="minorEastAsia"/>
          <w:bCs/>
          <w:sz w:val="28"/>
          <w:szCs w:val="28"/>
        </w:rPr>
      </w:pPr>
      <w:r>
        <w:rPr>
          <w:rFonts w:hint="eastAsia" w:asciiTheme="minorEastAsia" w:hAnsiTheme="minorEastAsia"/>
          <w:bCs/>
          <w:sz w:val="28"/>
          <w:szCs w:val="28"/>
        </w:rPr>
        <w:t>《盐碱地麦后复种饲用燕麦栽培技术规程》征求意见汇总表</w:t>
      </w:r>
    </w:p>
    <w:p w14:paraId="0FD4A4C7">
      <w:pPr>
        <w:jc w:val="left"/>
        <w:rPr>
          <w:rFonts w:hint="eastAsia" w:ascii="宋体" w:hAnsi="宋体" w:eastAsia="宋体"/>
          <w:sz w:val="24"/>
          <w:szCs w:val="24"/>
        </w:rPr>
      </w:pPr>
      <w:r>
        <w:rPr>
          <w:rFonts w:hint="eastAsia" w:ascii="宋体" w:hAnsi="宋体" w:eastAsia="宋体"/>
          <w:sz w:val="24"/>
          <w:szCs w:val="24"/>
        </w:rPr>
        <w:t>起草单位：蒙草生态环境（集团）股份有限公司</w:t>
      </w:r>
    </w:p>
    <w:p w14:paraId="789EBED3">
      <w:pPr>
        <w:spacing w:line="360" w:lineRule="exact"/>
        <w:jc w:val="left"/>
        <w:rPr>
          <w:rFonts w:hint="eastAsia" w:ascii="宋体" w:hAnsi="宋体" w:eastAsia="宋体"/>
          <w:sz w:val="24"/>
          <w:szCs w:val="24"/>
        </w:rPr>
      </w:pPr>
      <w:r>
        <w:rPr>
          <w:rFonts w:hint="eastAsia" w:ascii="宋体" w:hAnsi="宋体" w:eastAsia="宋体"/>
          <w:sz w:val="24"/>
          <w:szCs w:val="24"/>
        </w:rPr>
        <w:t>联 系 人：段嘉蕾</w:t>
      </w:r>
    </w:p>
    <w:p w14:paraId="5BFB65F8">
      <w:pPr>
        <w:spacing w:line="360" w:lineRule="exact"/>
        <w:jc w:val="left"/>
        <w:rPr>
          <w:rFonts w:hint="eastAsia" w:ascii="宋体" w:hAnsi="宋体" w:eastAsia="宋体"/>
          <w:sz w:val="24"/>
          <w:szCs w:val="24"/>
        </w:rPr>
      </w:pPr>
      <w:r>
        <w:rPr>
          <w:rFonts w:hint="eastAsia" w:ascii="宋体" w:hAnsi="宋体" w:eastAsia="宋体"/>
          <w:sz w:val="24"/>
          <w:szCs w:val="24"/>
        </w:rPr>
        <w:t>联系电话：13734805813</w:t>
      </w:r>
    </w:p>
    <w:tbl>
      <w:tblPr>
        <w:tblStyle w:val="4"/>
        <w:tblW w:w="9028"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17"/>
        <w:gridCol w:w="1843"/>
        <w:gridCol w:w="1843"/>
        <w:gridCol w:w="1275"/>
        <w:gridCol w:w="1754"/>
      </w:tblGrid>
      <w:tr w14:paraId="2FE5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96" w:type="dxa"/>
            <w:vAlign w:val="center"/>
          </w:tcPr>
          <w:p w14:paraId="601AAA60">
            <w:pPr>
              <w:spacing w:line="400" w:lineRule="exact"/>
              <w:jc w:val="center"/>
              <w:rPr>
                <w:rFonts w:hint="eastAsia" w:ascii="仿宋" w:hAnsi="仿宋" w:eastAsia="仿宋"/>
                <w:b/>
                <w:bCs/>
                <w:sz w:val="24"/>
              </w:rPr>
            </w:pPr>
            <w:r>
              <w:rPr>
                <w:rFonts w:hint="eastAsia" w:ascii="仿宋" w:hAnsi="仿宋" w:eastAsia="仿宋"/>
                <w:b/>
                <w:bCs/>
                <w:sz w:val="24"/>
              </w:rPr>
              <w:t>序号</w:t>
            </w:r>
          </w:p>
        </w:tc>
        <w:tc>
          <w:tcPr>
            <w:tcW w:w="1417" w:type="dxa"/>
            <w:vAlign w:val="center"/>
          </w:tcPr>
          <w:p w14:paraId="3482125F">
            <w:pPr>
              <w:spacing w:line="400" w:lineRule="exact"/>
              <w:jc w:val="center"/>
              <w:rPr>
                <w:rFonts w:hint="eastAsia" w:ascii="仿宋" w:hAnsi="仿宋" w:eastAsia="仿宋"/>
                <w:b/>
                <w:bCs/>
                <w:sz w:val="24"/>
              </w:rPr>
            </w:pPr>
            <w:r>
              <w:rPr>
                <w:rFonts w:hint="eastAsia" w:ascii="仿宋" w:hAnsi="仿宋" w:eastAsia="仿宋"/>
                <w:b/>
                <w:bCs/>
                <w:sz w:val="24"/>
              </w:rPr>
              <w:t>章节编号</w:t>
            </w:r>
          </w:p>
        </w:tc>
        <w:tc>
          <w:tcPr>
            <w:tcW w:w="1843" w:type="dxa"/>
            <w:vAlign w:val="center"/>
          </w:tcPr>
          <w:p w14:paraId="63612D9B">
            <w:pPr>
              <w:spacing w:line="400" w:lineRule="exact"/>
              <w:jc w:val="center"/>
              <w:rPr>
                <w:rFonts w:hint="eastAsia" w:ascii="仿宋" w:hAnsi="仿宋" w:eastAsia="仿宋"/>
                <w:b/>
                <w:bCs/>
                <w:sz w:val="24"/>
              </w:rPr>
            </w:pPr>
            <w:r>
              <w:rPr>
                <w:rFonts w:hint="eastAsia" w:ascii="仿宋" w:hAnsi="仿宋" w:eastAsia="仿宋"/>
                <w:b/>
                <w:bCs/>
                <w:sz w:val="24"/>
              </w:rPr>
              <w:t>意见</w:t>
            </w:r>
          </w:p>
        </w:tc>
        <w:tc>
          <w:tcPr>
            <w:tcW w:w="1843" w:type="dxa"/>
            <w:vAlign w:val="center"/>
          </w:tcPr>
          <w:p w14:paraId="5B296530">
            <w:pPr>
              <w:spacing w:line="400" w:lineRule="exact"/>
              <w:jc w:val="center"/>
              <w:rPr>
                <w:rFonts w:hint="eastAsia" w:ascii="仿宋" w:hAnsi="仿宋" w:eastAsia="仿宋"/>
                <w:b/>
                <w:bCs/>
                <w:sz w:val="24"/>
              </w:rPr>
            </w:pPr>
            <w:r>
              <w:rPr>
                <w:rFonts w:hint="eastAsia" w:ascii="仿宋" w:hAnsi="仿宋" w:eastAsia="仿宋"/>
                <w:b/>
                <w:bCs/>
                <w:sz w:val="24"/>
              </w:rPr>
              <w:t>提出单位/专家</w:t>
            </w:r>
          </w:p>
        </w:tc>
        <w:tc>
          <w:tcPr>
            <w:tcW w:w="1275" w:type="dxa"/>
            <w:vAlign w:val="center"/>
          </w:tcPr>
          <w:p w14:paraId="087FAABB">
            <w:pPr>
              <w:spacing w:line="400" w:lineRule="exact"/>
              <w:jc w:val="center"/>
              <w:rPr>
                <w:rFonts w:hint="eastAsia" w:ascii="仿宋" w:hAnsi="仿宋" w:eastAsia="仿宋"/>
                <w:b/>
                <w:bCs/>
                <w:sz w:val="24"/>
              </w:rPr>
            </w:pPr>
            <w:r>
              <w:rPr>
                <w:rFonts w:hint="eastAsia" w:ascii="仿宋" w:hAnsi="仿宋" w:eastAsia="仿宋"/>
                <w:b/>
                <w:bCs/>
                <w:sz w:val="24"/>
              </w:rPr>
              <w:t>是否采纳</w:t>
            </w:r>
          </w:p>
        </w:tc>
        <w:tc>
          <w:tcPr>
            <w:tcW w:w="1754" w:type="dxa"/>
            <w:vAlign w:val="center"/>
          </w:tcPr>
          <w:p w14:paraId="345D4515">
            <w:pPr>
              <w:spacing w:line="400" w:lineRule="exact"/>
              <w:jc w:val="center"/>
              <w:rPr>
                <w:rFonts w:hint="eastAsia" w:ascii="仿宋" w:hAnsi="仿宋" w:eastAsia="仿宋"/>
                <w:b/>
                <w:bCs/>
                <w:sz w:val="24"/>
              </w:rPr>
            </w:pPr>
            <w:r>
              <w:rPr>
                <w:rFonts w:hint="eastAsia" w:ascii="仿宋" w:hAnsi="仿宋" w:eastAsia="仿宋"/>
                <w:b/>
                <w:bCs/>
                <w:sz w:val="24"/>
              </w:rPr>
              <w:t>不采纳</w:t>
            </w:r>
          </w:p>
          <w:p w14:paraId="28F2C724">
            <w:pPr>
              <w:spacing w:line="400" w:lineRule="exact"/>
              <w:jc w:val="center"/>
              <w:rPr>
                <w:rFonts w:hint="eastAsia" w:ascii="仿宋" w:hAnsi="仿宋" w:eastAsia="仿宋"/>
                <w:b/>
                <w:bCs/>
                <w:sz w:val="24"/>
              </w:rPr>
            </w:pPr>
            <w:r>
              <w:rPr>
                <w:rFonts w:hint="eastAsia" w:ascii="仿宋" w:hAnsi="仿宋" w:eastAsia="仿宋"/>
                <w:b/>
                <w:bCs/>
                <w:sz w:val="24"/>
              </w:rPr>
              <w:t>（说明原因）</w:t>
            </w:r>
          </w:p>
        </w:tc>
      </w:tr>
      <w:tr w14:paraId="6576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96" w:type="dxa"/>
            <w:vAlign w:val="center"/>
          </w:tcPr>
          <w:p w14:paraId="350E96ED">
            <w:pPr>
              <w:spacing w:line="400" w:lineRule="exact"/>
              <w:jc w:val="center"/>
              <w:rPr>
                <w:rFonts w:hint="eastAsia" w:ascii="仿宋" w:hAnsi="仿宋" w:eastAsia="仿宋"/>
                <w:sz w:val="24"/>
              </w:rPr>
            </w:pPr>
            <w:r>
              <w:rPr>
                <w:rFonts w:hint="eastAsia" w:ascii="仿宋" w:hAnsi="仿宋" w:eastAsia="仿宋"/>
                <w:sz w:val="24"/>
              </w:rPr>
              <w:t>1</w:t>
            </w:r>
          </w:p>
        </w:tc>
        <w:tc>
          <w:tcPr>
            <w:tcW w:w="1417" w:type="dxa"/>
            <w:vAlign w:val="center"/>
          </w:tcPr>
          <w:p w14:paraId="12A0FF81">
            <w:pPr>
              <w:spacing w:line="400" w:lineRule="exact"/>
              <w:jc w:val="left"/>
              <w:rPr>
                <w:rFonts w:hint="eastAsia" w:ascii="仿宋" w:hAnsi="仿宋" w:eastAsia="仿宋"/>
                <w:sz w:val="28"/>
                <w:szCs w:val="28"/>
              </w:rPr>
            </w:pPr>
          </w:p>
        </w:tc>
        <w:tc>
          <w:tcPr>
            <w:tcW w:w="1843" w:type="dxa"/>
            <w:vAlign w:val="center"/>
          </w:tcPr>
          <w:p w14:paraId="4A10592A">
            <w:pPr>
              <w:spacing w:line="400" w:lineRule="exact"/>
              <w:jc w:val="left"/>
              <w:rPr>
                <w:rFonts w:hint="eastAsia" w:ascii="仿宋" w:hAnsi="仿宋" w:eastAsia="仿宋"/>
                <w:sz w:val="28"/>
                <w:szCs w:val="28"/>
              </w:rPr>
            </w:pPr>
          </w:p>
        </w:tc>
        <w:tc>
          <w:tcPr>
            <w:tcW w:w="1843" w:type="dxa"/>
            <w:vAlign w:val="center"/>
          </w:tcPr>
          <w:p w14:paraId="3350878B">
            <w:pPr>
              <w:spacing w:line="400" w:lineRule="exact"/>
              <w:jc w:val="left"/>
              <w:rPr>
                <w:rFonts w:hint="eastAsia" w:ascii="仿宋" w:hAnsi="仿宋" w:eastAsia="仿宋"/>
                <w:sz w:val="28"/>
                <w:szCs w:val="28"/>
              </w:rPr>
            </w:pPr>
          </w:p>
        </w:tc>
        <w:tc>
          <w:tcPr>
            <w:tcW w:w="1275" w:type="dxa"/>
            <w:vAlign w:val="center"/>
          </w:tcPr>
          <w:p w14:paraId="503ADD08">
            <w:pPr>
              <w:spacing w:line="400" w:lineRule="exact"/>
              <w:jc w:val="left"/>
              <w:rPr>
                <w:rFonts w:hint="eastAsia" w:ascii="仿宋" w:hAnsi="仿宋" w:eastAsia="仿宋"/>
                <w:sz w:val="24"/>
              </w:rPr>
            </w:pPr>
          </w:p>
        </w:tc>
        <w:tc>
          <w:tcPr>
            <w:tcW w:w="1754" w:type="dxa"/>
            <w:vAlign w:val="center"/>
          </w:tcPr>
          <w:p w14:paraId="5122284B">
            <w:pPr>
              <w:spacing w:line="400" w:lineRule="exact"/>
              <w:jc w:val="left"/>
              <w:rPr>
                <w:rFonts w:hint="eastAsia" w:ascii="仿宋" w:hAnsi="仿宋" w:eastAsia="仿宋"/>
                <w:sz w:val="24"/>
              </w:rPr>
            </w:pPr>
          </w:p>
        </w:tc>
      </w:tr>
      <w:tr w14:paraId="7D99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6" w:type="dxa"/>
            <w:vAlign w:val="center"/>
          </w:tcPr>
          <w:p w14:paraId="39816C02">
            <w:pPr>
              <w:spacing w:line="400" w:lineRule="exact"/>
              <w:jc w:val="center"/>
              <w:rPr>
                <w:rFonts w:hint="eastAsia" w:ascii="仿宋" w:hAnsi="仿宋" w:eastAsia="仿宋"/>
                <w:sz w:val="24"/>
              </w:rPr>
            </w:pPr>
            <w:r>
              <w:rPr>
                <w:rFonts w:hint="eastAsia" w:ascii="仿宋" w:hAnsi="仿宋" w:eastAsia="仿宋"/>
                <w:sz w:val="24"/>
              </w:rPr>
              <w:t>2</w:t>
            </w:r>
          </w:p>
        </w:tc>
        <w:tc>
          <w:tcPr>
            <w:tcW w:w="1417" w:type="dxa"/>
            <w:vAlign w:val="center"/>
          </w:tcPr>
          <w:p w14:paraId="064E05F2">
            <w:pPr>
              <w:spacing w:line="400" w:lineRule="exact"/>
              <w:jc w:val="left"/>
              <w:rPr>
                <w:rFonts w:hint="eastAsia" w:ascii="仿宋" w:hAnsi="仿宋" w:eastAsia="仿宋"/>
                <w:sz w:val="28"/>
                <w:szCs w:val="28"/>
              </w:rPr>
            </w:pPr>
          </w:p>
        </w:tc>
        <w:tc>
          <w:tcPr>
            <w:tcW w:w="1843" w:type="dxa"/>
            <w:vAlign w:val="center"/>
          </w:tcPr>
          <w:p w14:paraId="36075633">
            <w:pPr>
              <w:spacing w:line="400" w:lineRule="exact"/>
              <w:jc w:val="left"/>
              <w:rPr>
                <w:rFonts w:hint="eastAsia" w:ascii="仿宋" w:hAnsi="仿宋" w:eastAsia="仿宋"/>
                <w:sz w:val="28"/>
                <w:szCs w:val="28"/>
              </w:rPr>
            </w:pPr>
          </w:p>
        </w:tc>
        <w:tc>
          <w:tcPr>
            <w:tcW w:w="1843" w:type="dxa"/>
            <w:vAlign w:val="center"/>
          </w:tcPr>
          <w:p w14:paraId="67EED451">
            <w:pPr>
              <w:spacing w:line="400" w:lineRule="exact"/>
              <w:jc w:val="left"/>
              <w:rPr>
                <w:rFonts w:hint="eastAsia" w:ascii="仿宋" w:hAnsi="仿宋" w:eastAsia="仿宋"/>
                <w:sz w:val="28"/>
                <w:szCs w:val="28"/>
              </w:rPr>
            </w:pPr>
          </w:p>
        </w:tc>
        <w:tc>
          <w:tcPr>
            <w:tcW w:w="1275" w:type="dxa"/>
            <w:vAlign w:val="center"/>
          </w:tcPr>
          <w:p w14:paraId="0B3985C0">
            <w:pPr>
              <w:spacing w:line="400" w:lineRule="exact"/>
              <w:jc w:val="left"/>
              <w:rPr>
                <w:rFonts w:hint="eastAsia" w:ascii="仿宋" w:hAnsi="仿宋" w:eastAsia="仿宋"/>
                <w:sz w:val="24"/>
              </w:rPr>
            </w:pPr>
          </w:p>
        </w:tc>
        <w:tc>
          <w:tcPr>
            <w:tcW w:w="1754" w:type="dxa"/>
            <w:vAlign w:val="center"/>
          </w:tcPr>
          <w:p w14:paraId="7A565B04">
            <w:pPr>
              <w:spacing w:line="400" w:lineRule="exact"/>
              <w:jc w:val="left"/>
              <w:rPr>
                <w:rFonts w:hint="eastAsia" w:ascii="仿宋" w:hAnsi="仿宋" w:eastAsia="仿宋"/>
                <w:sz w:val="24"/>
              </w:rPr>
            </w:pPr>
          </w:p>
        </w:tc>
      </w:tr>
      <w:tr w14:paraId="2D63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E6F2B7">
            <w:pPr>
              <w:spacing w:line="400" w:lineRule="exact"/>
              <w:jc w:val="center"/>
              <w:rPr>
                <w:rFonts w:hint="eastAsia" w:ascii="仿宋" w:hAnsi="仿宋" w:eastAsia="仿宋"/>
                <w:sz w:val="24"/>
              </w:rPr>
            </w:pPr>
            <w:r>
              <w:rPr>
                <w:rFonts w:hint="eastAsia" w:ascii="仿宋" w:hAnsi="仿宋" w:eastAsia="仿宋"/>
                <w:sz w:val="24"/>
              </w:rPr>
              <w:t>3</w:t>
            </w:r>
          </w:p>
        </w:tc>
        <w:tc>
          <w:tcPr>
            <w:tcW w:w="1417" w:type="dxa"/>
            <w:vAlign w:val="center"/>
          </w:tcPr>
          <w:p w14:paraId="3F6D9BEB">
            <w:pPr>
              <w:spacing w:line="400" w:lineRule="exact"/>
              <w:rPr>
                <w:rFonts w:hint="eastAsia" w:ascii="仿宋" w:hAnsi="仿宋" w:eastAsia="仿宋"/>
                <w:sz w:val="28"/>
                <w:szCs w:val="28"/>
              </w:rPr>
            </w:pPr>
          </w:p>
        </w:tc>
        <w:tc>
          <w:tcPr>
            <w:tcW w:w="1843" w:type="dxa"/>
            <w:vAlign w:val="center"/>
          </w:tcPr>
          <w:p w14:paraId="4875D6BB">
            <w:pPr>
              <w:spacing w:line="400" w:lineRule="exact"/>
              <w:jc w:val="left"/>
              <w:rPr>
                <w:rFonts w:hint="eastAsia" w:ascii="仿宋" w:hAnsi="仿宋" w:eastAsia="仿宋"/>
                <w:sz w:val="28"/>
                <w:szCs w:val="28"/>
              </w:rPr>
            </w:pPr>
          </w:p>
        </w:tc>
        <w:tc>
          <w:tcPr>
            <w:tcW w:w="1843" w:type="dxa"/>
            <w:vAlign w:val="center"/>
          </w:tcPr>
          <w:p w14:paraId="119629F3">
            <w:pPr>
              <w:spacing w:line="400" w:lineRule="exact"/>
              <w:jc w:val="left"/>
              <w:rPr>
                <w:rFonts w:hint="eastAsia" w:ascii="仿宋" w:hAnsi="仿宋" w:eastAsia="仿宋"/>
                <w:sz w:val="28"/>
                <w:szCs w:val="28"/>
              </w:rPr>
            </w:pPr>
          </w:p>
        </w:tc>
        <w:tc>
          <w:tcPr>
            <w:tcW w:w="1275" w:type="dxa"/>
            <w:vAlign w:val="center"/>
          </w:tcPr>
          <w:p w14:paraId="4AE2F2EC">
            <w:pPr>
              <w:spacing w:line="400" w:lineRule="exact"/>
              <w:jc w:val="left"/>
              <w:rPr>
                <w:rFonts w:ascii="Arial" w:hAnsi="Arial" w:eastAsia="仿宋" w:cs="Arial"/>
                <w:sz w:val="24"/>
              </w:rPr>
            </w:pPr>
          </w:p>
        </w:tc>
        <w:tc>
          <w:tcPr>
            <w:tcW w:w="1754" w:type="dxa"/>
            <w:vAlign w:val="center"/>
          </w:tcPr>
          <w:p w14:paraId="11B6D074">
            <w:pPr>
              <w:spacing w:line="400" w:lineRule="exact"/>
              <w:jc w:val="left"/>
              <w:rPr>
                <w:rFonts w:hint="eastAsia" w:ascii="仿宋" w:hAnsi="仿宋" w:eastAsia="仿宋"/>
                <w:sz w:val="24"/>
              </w:rPr>
            </w:pPr>
          </w:p>
        </w:tc>
      </w:tr>
      <w:tr w14:paraId="288E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5D9AD2">
            <w:pPr>
              <w:spacing w:line="400" w:lineRule="exact"/>
              <w:jc w:val="center"/>
              <w:rPr>
                <w:rFonts w:hint="eastAsia" w:ascii="仿宋" w:hAnsi="仿宋" w:eastAsia="仿宋"/>
                <w:sz w:val="24"/>
              </w:rPr>
            </w:pPr>
            <w:r>
              <w:rPr>
                <w:rFonts w:hint="eastAsia" w:ascii="仿宋" w:hAnsi="仿宋" w:eastAsia="仿宋"/>
                <w:sz w:val="24"/>
              </w:rPr>
              <w:t>4</w:t>
            </w:r>
          </w:p>
        </w:tc>
        <w:tc>
          <w:tcPr>
            <w:tcW w:w="1417" w:type="dxa"/>
            <w:vAlign w:val="center"/>
          </w:tcPr>
          <w:p w14:paraId="025D705E">
            <w:pPr>
              <w:spacing w:line="400" w:lineRule="exact"/>
              <w:rPr>
                <w:rFonts w:hint="eastAsia" w:ascii="仿宋" w:hAnsi="仿宋" w:eastAsia="仿宋"/>
                <w:sz w:val="28"/>
                <w:szCs w:val="28"/>
              </w:rPr>
            </w:pPr>
          </w:p>
        </w:tc>
        <w:tc>
          <w:tcPr>
            <w:tcW w:w="1843" w:type="dxa"/>
            <w:vAlign w:val="center"/>
          </w:tcPr>
          <w:p w14:paraId="77A68CEF">
            <w:pPr>
              <w:spacing w:line="400" w:lineRule="exact"/>
              <w:jc w:val="left"/>
              <w:rPr>
                <w:rFonts w:hint="eastAsia" w:ascii="仿宋" w:hAnsi="仿宋" w:eastAsia="仿宋"/>
                <w:sz w:val="28"/>
                <w:szCs w:val="28"/>
              </w:rPr>
            </w:pPr>
          </w:p>
        </w:tc>
        <w:tc>
          <w:tcPr>
            <w:tcW w:w="1843" w:type="dxa"/>
            <w:vAlign w:val="center"/>
          </w:tcPr>
          <w:p w14:paraId="34DCE074">
            <w:pPr>
              <w:spacing w:line="400" w:lineRule="exact"/>
              <w:jc w:val="left"/>
              <w:rPr>
                <w:rFonts w:hint="eastAsia" w:ascii="仿宋" w:hAnsi="仿宋" w:eastAsia="仿宋"/>
                <w:sz w:val="28"/>
                <w:szCs w:val="28"/>
              </w:rPr>
            </w:pPr>
          </w:p>
        </w:tc>
        <w:tc>
          <w:tcPr>
            <w:tcW w:w="1275" w:type="dxa"/>
            <w:vAlign w:val="center"/>
          </w:tcPr>
          <w:p w14:paraId="154D3E52">
            <w:pPr>
              <w:spacing w:line="400" w:lineRule="exact"/>
              <w:jc w:val="left"/>
              <w:rPr>
                <w:rFonts w:ascii="Arial" w:hAnsi="Arial" w:eastAsia="仿宋" w:cs="Arial"/>
                <w:sz w:val="24"/>
              </w:rPr>
            </w:pPr>
          </w:p>
        </w:tc>
        <w:tc>
          <w:tcPr>
            <w:tcW w:w="1754" w:type="dxa"/>
            <w:vAlign w:val="center"/>
          </w:tcPr>
          <w:p w14:paraId="4A0C02BF">
            <w:pPr>
              <w:spacing w:line="400" w:lineRule="exact"/>
              <w:jc w:val="left"/>
              <w:rPr>
                <w:rFonts w:hint="eastAsia" w:ascii="仿宋" w:hAnsi="仿宋" w:eastAsia="仿宋"/>
                <w:sz w:val="24"/>
              </w:rPr>
            </w:pPr>
          </w:p>
        </w:tc>
      </w:tr>
      <w:tr w14:paraId="23D5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51395D91">
            <w:pPr>
              <w:spacing w:line="400" w:lineRule="exact"/>
              <w:jc w:val="center"/>
              <w:rPr>
                <w:rFonts w:hint="eastAsia" w:ascii="仿宋" w:hAnsi="仿宋" w:eastAsia="仿宋"/>
                <w:sz w:val="24"/>
              </w:rPr>
            </w:pPr>
            <w:r>
              <w:rPr>
                <w:rFonts w:hint="eastAsia" w:ascii="仿宋" w:hAnsi="仿宋" w:eastAsia="仿宋"/>
                <w:sz w:val="24"/>
              </w:rPr>
              <w:t>5</w:t>
            </w:r>
          </w:p>
        </w:tc>
        <w:tc>
          <w:tcPr>
            <w:tcW w:w="1417" w:type="dxa"/>
            <w:vAlign w:val="center"/>
          </w:tcPr>
          <w:p w14:paraId="7F9FF204">
            <w:pPr>
              <w:spacing w:line="400" w:lineRule="exact"/>
              <w:rPr>
                <w:rFonts w:hint="eastAsia" w:ascii="仿宋" w:hAnsi="仿宋" w:eastAsia="仿宋"/>
                <w:sz w:val="28"/>
                <w:szCs w:val="28"/>
              </w:rPr>
            </w:pPr>
          </w:p>
        </w:tc>
        <w:tc>
          <w:tcPr>
            <w:tcW w:w="1843" w:type="dxa"/>
            <w:vAlign w:val="center"/>
          </w:tcPr>
          <w:p w14:paraId="1C890246">
            <w:pPr>
              <w:spacing w:line="400" w:lineRule="exact"/>
              <w:jc w:val="left"/>
              <w:rPr>
                <w:rFonts w:hint="eastAsia" w:ascii="仿宋" w:hAnsi="仿宋" w:eastAsia="仿宋"/>
                <w:sz w:val="28"/>
                <w:szCs w:val="28"/>
              </w:rPr>
            </w:pPr>
          </w:p>
        </w:tc>
        <w:tc>
          <w:tcPr>
            <w:tcW w:w="1843" w:type="dxa"/>
            <w:vAlign w:val="center"/>
          </w:tcPr>
          <w:p w14:paraId="6D3C8345">
            <w:pPr>
              <w:spacing w:line="400" w:lineRule="exact"/>
              <w:jc w:val="left"/>
              <w:rPr>
                <w:rFonts w:hint="eastAsia" w:ascii="仿宋" w:hAnsi="仿宋" w:eastAsia="仿宋"/>
                <w:sz w:val="28"/>
                <w:szCs w:val="28"/>
              </w:rPr>
            </w:pPr>
          </w:p>
        </w:tc>
        <w:tc>
          <w:tcPr>
            <w:tcW w:w="1275" w:type="dxa"/>
            <w:vAlign w:val="center"/>
          </w:tcPr>
          <w:p w14:paraId="14E9ED0A">
            <w:pPr>
              <w:spacing w:line="400" w:lineRule="exact"/>
              <w:jc w:val="left"/>
              <w:rPr>
                <w:rFonts w:ascii="Arial" w:hAnsi="Arial" w:eastAsia="仿宋" w:cs="Arial"/>
                <w:sz w:val="24"/>
              </w:rPr>
            </w:pPr>
          </w:p>
        </w:tc>
        <w:tc>
          <w:tcPr>
            <w:tcW w:w="1754" w:type="dxa"/>
            <w:vAlign w:val="center"/>
          </w:tcPr>
          <w:p w14:paraId="7649B0C8">
            <w:pPr>
              <w:spacing w:line="400" w:lineRule="exact"/>
              <w:jc w:val="left"/>
              <w:rPr>
                <w:rFonts w:hint="eastAsia" w:ascii="仿宋" w:hAnsi="仿宋" w:eastAsia="仿宋"/>
                <w:sz w:val="24"/>
              </w:rPr>
            </w:pPr>
          </w:p>
        </w:tc>
      </w:tr>
    </w:tbl>
    <w:p w14:paraId="5E56B0A4">
      <w:pPr>
        <w:rPr>
          <w:rFonts w:hint="eastAsia" w:ascii="仿宋" w:hAnsi="仿宋" w:eastAsia="仿宋"/>
          <w:sz w:val="28"/>
          <w:szCs w:val="28"/>
        </w:rPr>
      </w:pPr>
    </w:p>
    <w:p w14:paraId="30345E35">
      <w:pPr>
        <w:wordWrap w:val="0"/>
        <w:spacing w:line="360" w:lineRule="auto"/>
        <w:ind w:firstLine="562" w:firstLineChars="200"/>
        <w:jc w:val="right"/>
        <w:rPr>
          <w:rFonts w:ascii="Times New Roman" w:hAnsi="Times New Roman" w:eastAsia="仿宋"/>
          <w:b/>
          <w:sz w:val="28"/>
          <w:szCs w:val="28"/>
        </w:rPr>
      </w:pPr>
      <w:r>
        <w:rPr>
          <w:rFonts w:ascii="Times New Roman" w:hAnsi="仿宋" w:eastAsia="仿宋"/>
          <w:b/>
          <w:sz w:val="28"/>
          <w:szCs w:val="28"/>
        </w:rPr>
        <w:t>《</w:t>
      </w:r>
      <w:r>
        <w:rPr>
          <w:rFonts w:hint="eastAsia" w:ascii="Times New Roman" w:hAnsi="仿宋" w:eastAsia="仿宋"/>
          <w:b/>
          <w:sz w:val="28"/>
          <w:szCs w:val="28"/>
        </w:rPr>
        <w:t>盐碱地麦后复种饲用燕麦栽培技术规程</w:t>
      </w:r>
      <w:r>
        <w:rPr>
          <w:rFonts w:ascii="Times New Roman" w:hAnsi="仿宋" w:eastAsia="仿宋"/>
          <w:b/>
          <w:sz w:val="28"/>
          <w:szCs w:val="28"/>
        </w:rPr>
        <w:t>》起草组</w:t>
      </w:r>
      <w:r>
        <w:rPr>
          <w:rFonts w:ascii="Times New Roman" w:hAnsi="Times New Roman" w:eastAsia="仿宋"/>
          <w:b/>
          <w:sz w:val="28"/>
          <w:szCs w:val="28"/>
        </w:rPr>
        <w:t xml:space="preserve">  </w:t>
      </w:r>
    </w:p>
    <w:p w14:paraId="4BBBFCEB">
      <w:pPr>
        <w:rPr>
          <w:rFonts w:hint="eastAsia" w:ascii="仿宋" w:hAnsi="仿宋" w:eastAsia="仿宋"/>
          <w:sz w:val="28"/>
          <w:szCs w:val="28"/>
        </w:rPr>
      </w:pPr>
      <w:r>
        <w:rPr>
          <w:rFonts w:ascii="Times New Roman" w:hAnsi="Times New Roman" w:eastAsia="仿宋"/>
          <w:b/>
          <w:sz w:val="28"/>
          <w:szCs w:val="28"/>
        </w:rPr>
        <w:t xml:space="preserve">                                    </w:t>
      </w:r>
      <w:bookmarkStart w:id="1" w:name="_GoBack"/>
      <w:bookmarkEnd w:id="1"/>
      <w:r>
        <w:rPr>
          <w:rFonts w:ascii="Times New Roman" w:hAnsi="Times New Roman" w:eastAsia="仿宋"/>
          <w:b/>
          <w:sz w:val="28"/>
          <w:szCs w:val="28"/>
        </w:rPr>
        <w:t xml:space="preserve">     </w:t>
      </w:r>
      <w:r>
        <w:rPr>
          <w:rFonts w:hint="eastAsia" w:ascii="Times New Roman" w:hAnsi="Times New Roman" w:eastAsia="仿宋"/>
          <w:b/>
          <w:sz w:val="28"/>
          <w:szCs w:val="28"/>
          <w:lang w:val="en-US" w:eastAsia="zh-CN"/>
        </w:rPr>
        <w:t>2005</w:t>
      </w:r>
      <w:r>
        <w:rPr>
          <w:rFonts w:ascii="Times New Roman" w:hAnsi="仿宋" w:eastAsia="仿宋"/>
          <w:b/>
          <w:sz w:val="28"/>
          <w:szCs w:val="28"/>
        </w:rPr>
        <w:t>年</w:t>
      </w:r>
      <w:r>
        <w:rPr>
          <w:rFonts w:hint="eastAsia" w:ascii="Times New Roman" w:hAnsi="仿宋" w:eastAsia="仿宋"/>
          <w:b/>
          <w:sz w:val="28"/>
          <w:szCs w:val="28"/>
          <w:lang w:val="en-US" w:eastAsia="zh-CN"/>
        </w:rPr>
        <w:t>10</w:t>
      </w:r>
      <w:r>
        <w:rPr>
          <w:rFonts w:ascii="Times New Roman" w:hAnsi="仿宋" w:eastAsia="仿宋"/>
          <w:b/>
          <w:sz w:val="28"/>
          <w:szCs w:val="28"/>
        </w:rPr>
        <w:t>月</w:t>
      </w:r>
      <w:r>
        <w:rPr>
          <w:rFonts w:hint="eastAsia" w:ascii="Times New Roman" w:hAnsi="仿宋" w:eastAsia="仿宋"/>
          <w:b/>
          <w:sz w:val="28"/>
          <w:szCs w:val="28"/>
          <w:lang w:val="en-US" w:eastAsia="zh-CN"/>
        </w:rPr>
        <w:t>08</w:t>
      </w:r>
      <w:r>
        <w:rPr>
          <w:rFonts w:ascii="Times New Roman" w:hAnsi="仿宋" w:eastAsia="仿宋"/>
          <w:b/>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NGEwYzMwM2ZjMDI1MTZhOTIzYzczNWZlYWU1Y2IifQ=="/>
  </w:docVars>
  <w:rsids>
    <w:rsidRoot w:val="000B67F0"/>
    <w:rsid w:val="0000005D"/>
    <w:rsid w:val="00001A87"/>
    <w:rsid w:val="000040D0"/>
    <w:rsid w:val="00005414"/>
    <w:rsid w:val="0000562B"/>
    <w:rsid w:val="00006B78"/>
    <w:rsid w:val="000071A6"/>
    <w:rsid w:val="0000721A"/>
    <w:rsid w:val="00012121"/>
    <w:rsid w:val="0001753B"/>
    <w:rsid w:val="000210DD"/>
    <w:rsid w:val="000223B0"/>
    <w:rsid w:val="0002293A"/>
    <w:rsid w:val="000308D8"/>
    <w:rsid w:val="00031544"/>
    <w:rsid w:val="00032DC9"/>
    <w:rsid w:val="00033218"/>
    <w:rsid w:val="0003323D"/>
    <w:rsid w:val="0003329D"/>
    <w:rsid w:val="000411CB"/>
    <w:rsid w:val="0004120B"/>
    <w:rsid w:val="00044938"/>
    <w:rsid w:val="00045AEF"/>
    <w:rsid w:val="00045CB9"/>
    <w:rsid w:val="000500FC"/>
    <w:rsid w:val="00050A84"/>
    <w:rsid w:val="00052FA7"/>
    <w:rsid w:val="00055D9D"/>
    <w:rsid w:val="00056D20"/>
    <w:rsid w:val="00057EA5"/>
    <w:rsid w:val="0006044B"/>
    <w:rsid w:val="00060623"/>
    <w:rsid w:val="00060BB1"/>
    <w:rsid w:val="0006174A"/>
    <w:rsid w:val="00063360"/>
    <w:rsid w:val="00072911"/>
    <w:rsid w:val="00072C4D"/>
    <w:rsid w:val="0007379E"/>
    <w:rsid w:val="00073AEB"/>
    <w:rsid w:val="000745DC"/>
    <w:rsid w:val="00076C3F"/>
    <w:rsid w:val="00077914"/>
    <w:rsid w:val="00080D5B"/>
    <w:rsid w:val="00083FEF"/>
    <w:rsid w:val="00086FE3"/>
    <w:rsid w:val="00092DB8"/>
    <w:rsid w:val="00095602"/>
    <w:rsid w:val="00096223"/>
    <w:rsid w:val="000A1E07"/>
    <w:rsid w:val="000A2AD4"/>
    <w:rsid w:val="000A5629"/>
    <w:rsid w:val="000A5C8C"/>
    <w:rsid w:val="000A6F89"/>
    <w:rsid w:val="000A7420"/>
    <w:rsid w:val="000B03C8"/>
    <w:rsid w:val="000B1C90"/>
    <w:rsid w:val="000B1FC0"/>
    <w:rsid w:val="000B2531"/>
    <w:rsid w:val="000B28C1"/>
    <w:rsid w:val="000B4A7F"/>
    <w:rsid w:val="000B52D6"/>
    <w:rsid w:val="000B65E3"/>
    <w:rsid w:val="000B67F0"/>
    <w:rsid w:val="000B72F3"/>
    <w:rsid w:val="000C0D9C"/>
    <w:rsid w:val="000C188C"/>
    <w:rsid w:val="000C576A"/>
    <w:rsid w:val="000C5C97"/>
    <w:rsid w:val="000C5E00"/>
    <w:rsid w:val="000C6DF6"/>
    <w:rsid w:val="000D0577"/>
    <w:rsid w:val="000D2987"/>
    <w:rsid w:val="000D3ADB"/>
    <w:rsid w:val="000D470C"/>
    <w:rsid w:val="000D471A"/>
    <w:rsid w:val="000D5EA8"/>
    <w:rsid w:val="000D6BC2"/>
    <w:rsid w:val="000D717B"/>
    <w:rsid w:val="000E0072"/>
    <w:rsid w:val="000E3902"/>
    <w:rsid w:val="000E5419"/>
    <w:rsid w:val="000E5E78"/>
    <w:rsid w:val="000E6BF8"/>
    <w:rsid w:val="000E77E7"/>
    <w:rsid w:val="000F0167"/>
    <w:rsid w:val="000F0E29"/>
    <w:rsid w:val="000F0EE0"/>
    <w:rsid w:val="000F28EC"/>
    <w:rsid w:val="000F322B"/>
    <w:rsid w:val="000F43CF"/>
    <w:rsid w:val="000F6698"/>
    <w:rsid w:val="00100B55"/>
    <w:rsid w:val="00104873"/>
    <w:rsid w:val="00106C55"/>
    <w:rsid w:val="00107F18"/>
    <w:rsid w:val="00110990"/>
    <w:rsid w:val="00110FDE"/>
    <w:rsid w:val="0011250C"/>
    <w:rsid w:val="00115553"/>
    <w:rsid w:val="00117E52"/>
    <w:rsid w:val="0012117B"/>
    <w:rsid w:val="0012294F"/>
    <w:rsid w:val="00125D8D"/>
    <w:rsid w:val="0013511E"/>
    <w:rsid w:val="00141D2E"/>
    <w:rsid w:val="00142C07"/>
    <w:rsid w:val="001430A5"/>
    <w:rsid w:val="00143B4F"/>
    <w:rsid w:val="00143B5D"/>
    <w:rsid w:val="001454A6"/>
    <w:rsid w:val="0014630A"/>
    <w:rsid w:val="00147642"/>
    <w:rsid w:val="00147EC0"/>
    <w:rsid w:val="00152E30"/>
    <w:rsid w:val="0015382B"/>
    <w:rsid w:val="00155715"/>
    <w:rsid w:val="001578E0"/>
    <w:rsid w:val="001605A1"/>
    <w:rsid w:val="00163D50"/>
    <w:rsid w:val="00172151"/>
    <w:rsid w:val="00172266"/>
    <w:rsid w:val="00173D61"/>
    <w:rsid w:val="00176AEF"/>
    <w:rsid w:val="00177726"/>
    <w:rsid w:val="00177DFA"/>
    <w:rsid w:val="001816D0"/>
    <w:rsid w:val="0018194A"/>
    <w:rsid w:val="00182A15"/>
    <w:rsid w:val="001906BE"/>
    <w:rsid w:val="00193609"/>
    <w:rsid w:val="0019389E"/>
    <w:rsid w:val="001940C1"/>
    <w:rsid w:val="001955EF"/>
    <w:rsid w:val="001A04FB"/>
    <w:rsid w:val="001A1B42"/>
    <w:rsid w:val="001A3810"/>
    <w:rsid w:val="001A3C19"/>
    <w:rsid w:val="001A4D20"/>
    <w:rsid w:val="001B1E1E"/>
    <w:rsid w:val="001B33FD"/>
    <w:rsid w:val="001B3A96"/>
    <w:rsid w:val="001C2F48"/>
    <w:rsid w:val="001C5A8B"/>
    <w:rsid w:val="001C627D"/>
    <w:rsid w:val="001D44CE"/>
    <w:rsid w:val="001D7E9D"/>
    <w:rsid w:val="001E44CB"/>
    <w:rsid w:val="001E4E59"/>
    <w:rsid w:val="001E4F13"/>
    <w:rsid w:val="001E5BB8"/>
    <w:rsid w:val="001E7264"/>
    <w:rsid w:val="001E748C"/>
    <w:rsid w:val="001E77A7"/>
    <w:rsid w:val="001F2820"/>
    <w:rsid w:val="001F2CBD"/>
    <w:rsid w:val="001F32F1"/>
    <w:rsid w:val="001F6CBD"/>
    <w:rsid w:val="00203D68"/>
    <w:rsid w:val="002047DA"/>
    <w:rsid w:val="0020499C"/>
    <w:rsid w:val="0020517C"/>
    <w:rsid w:val="00205AA6"/>
    <w:rsid w:val="00205C0C"/>
    <w:rsid w:val="00206E20"/>
    <w:rsid w:val="00212CE0"/>
    <w:rsid w:val="0021388A"/>
    <w:rsid w:val="00213D26"/>
    <w:rsid w:val="00223259"/>
    <w:rsid w:val="00223320"/>
    <w:rsid w:val="00224115"/>
    <w:rsid w:val="002278A4"/>
    <w:rsid w:val="0023077F"/>
    <w:rsid w:val="0023177F"/>
    <w:rsid w:val="002357AA"/>
    <w:rsid w:val="002400C5"/>
    <w:rsid w:val="0024066C"/>
    <w:rsid w:val="0024102B"/>
    <w:rsid w:val="002422DC"/>
    <w:rsid w:val="00242C90"/>
    <w:rsid w:val="00243443"/>
    <w:rsid w:val="002479E6"/>
    <w:rsid w:val="00247D50"/>
    <w:rsid w:val="002533B7"/>
    <w:rsid w:val="00253BD1"/>
    <w:rsid w:val="00253FC7"/>
    <w:rsid w:val="0025487C"/>
    <w:rsid w:val="002560D4"/>
    <w:rsid w:val="00256C72"/>
    <w:rsid w:val="0026318B"/>
    <w:rsid w:val="0026362D"/>
    <w:rsid w:val="00270008"/>
    <w:rsid w:val="002729E6"/>
    <w:rsid w:val="00275B3D"/>
    <w:rsid w:val="00277A36"/>
    <w:rsid w:val="002808AF"/>
    <w:rsid w:val="002812C0"/>
    <w:rsid w:val="0028357F"/>
    <w:rsid w:val="00283CF2"/>
    <w:rsid w:val="00286CF7"/>
    <w:rsid w:val="0029058F"/>
    <w:rsid w:val="002922BC"/>
    <w:rsid w:val="00292DF2"/>
    <w:rsid w:val="00293124"/>
    <w:rsid w:val="00294F39"/>
    <w:rsid w:val="0029614D"/>
    <w:rsid w:val="002971FE"/>
    <w:rsid w:val="002A0F8E"/>
    <w:rsid w:val="002A2A57"/>
    <w:rsid w:val="002A5F31"/>
    <w:rsid w:val="002A686E"/>
    <w:rsid w:val="002A75BE"/>
    <w:rsid w:val="002B442F"/>
    <w:rsid w:val="002B524C"/>
    <w:rsid w:val="002B5626"/>
    <w:rsid w:val="002B62DD"/>
    <w:rsid w:val="002C2397"/>
    <w:rsid w:val="002C2C08"/>
    <w:rsid w:val="002C420E"/>
    <w:rsid w:val="002C4279"/>
    <w:rsid w:val="002C7614"/>
    <w:rsid w:val="002C7B0B"/>
    <w:rsid w:val="002D0F20"/>
    <w:rsid w:val="002D1DC3"/>
    <w:rsid w:val="002D2AE8"/>
    <w:rsid w:val="002D3471"/>
    <w:rsid w:val="002D5BC2"/>
    <w:rsid w:val="002D6FC7"/>
    <w:rsid w:val="002E0636"/>
    <w:rsid w:val="002E34EF"/>
    <w:rsid w:val="002E41E8"/>
    <w:rsid w:val="002E7093"/>
    <w:rsid w:val="002F2563"/>
    <w:rsid w:val="002F2687"/>
    <w:rsid w:val="002F3B71"/>
    <w:rsid w:val="002F49BE"/>
    <w:rsid w:val="002F6B5A"/>
    <w:rsid w:val="002F73C5"/>
    <w:rsid w:val="00300841"/>
    <w:rsid w:val="00302950"/>
    <w:rsid w:val="00303C1B"/>
    <w:rsid w:val="00303FC7"/>
    <w:rsid w:val="00313C01"/>
    <w:rsid w:val="00315D64"/>
    <w:rsid w:val="0031707A"/>
    <w:rsid w:val="003204B2"/>
    <w:rsid w:val="003218D0"/>
    <w:rsid w:val="0032281C"/>
    <w:rsid w:val="003265D9"/>
    <w:rsid w:val="00332833"/>
    <w:rsid w:val="00335066"/>
    <w:rsid w:val="00335363"/>
    <w:rsid w:val="0033551B"/>
    <w:rsid w:val="00335959"/>
    <w:rsid w:val="00343196"/>
    <w:rsid w:val="00343CDF"/>
    <w:rsid w:val="00346893"/>
    <w:rsid w:val="00347507"/>
    <w:rsid w:val="00352C5D"/>
    <w:rsid w:val="0035750A"/>
    <w:rsid w:val="00357601"/>
    <w:rsid w:val="00361E07"/>
    <w:rsid w:val="00363155"/>
    <w:rsid w:val="00363D33"/>
    <w:rsid w:val="00364257"/>
    <w:rsid w:val="00364A96"/>
    <w:rsid w:val="00366512"/>
    <w:rsid w:val="003675E1"/>
    <w:rsid w:val="003713E4"/>
    <w:rsid w:val="003779C7"/>
    <w:rsid w:val="00380D7E"/>
    <w:rsid w:val="00380D99"/>
    <w:rsid w:val="00381C37"/>
    <w:rsid w:val="0038386B"/>
    <w:rsid w:val="00383C24"/>
    <w:rsid w:val="00385315"/>
    <w:rsid w:val="0038563A"/>
    <w:rsid w:val="00385C70"/>
    <w:rsid w:val="00386ABB"/>
    <w:rsid w:val="00386D3D"/>
    <w:rsid w:val="00390B63"/>
    <w:rsid w:val="0039195E"/>
    <w:rsid w:val="0039331E"/>
    <w:rsid w:val="00393FA8"/>
    <w:rsid w:val="00397D4C"/>
    <w:rsid w:val="003A11DF"/>
    <w:rsid w:val="003A1812"/>
    <w:rsid w:val="003A22D4"/>
    <w:rsid w:val="003A2A1A"/>
    <w:rsid w:val="003A4F50"/>
    <w:rsid w:val="003A59AD"/>
    <w:rsid w:val="003A780F"/>
    <w:rsid w:val="003A7835"/>
    <w:rsid w:val="003B5146"/>
    <w:rsid w:val="003B5B7D"/>
    <w:rsid w:val="003B6BFB"/>
    <w:rsid w:val="003B6DDD"/>
    <w:rsid w:val="003C0C0E"/>
    <w:rsid w:val="003C1F11"/>
    <w:rsid w:val="003C1FA5"/>
    <w:rsid w:val="003C489E"/>
    <w:rsid w:val="003C49C2"/>
    <w:rsid w:val="003C4F6B"/>
    <w:rsid w:val="003D1A21"/>
    <w:rsid w:val="003D2A6F"/>
    <w:rsid w:val="003D2E23"/>
    <w:rsid w:val="003D4228"/>
    <w:rsid w:val="003D56EC"/>
    <w:rsid w:val="003D7759"/>
    <w:rsid w:val="003E21C6"/>
    <w:rsid w:val="003E2578"/>
    <w:rsid w:val="003E2886"/>
    <w:rsid w:val="003E2C45"/>
    <w:rsid w:val="003E3A62"/>
    <w:rsid w:val="003E55A3"/>
    <w:rsid w:val="003E62EC"/>
    <w:rsid w:val="003E78B8"/>
    <w:rsid w:val="003F0B72"/>
    <w:rsid w:val="003F205D"/>
    <w:rsid w:val="003F243E"/>
    <w:rsid w:val="003F2D86"/>
    <w:rsid w:val="003F3143"/>
    <w:rsid w:val="003F394B"/>
    <w:rsid w:val="0040026D"/>
    <w:rsid w:val="004014CD"/>
    <w:rsid w:val="004029A1"/>
    <w:rsid w:val="00405606"/>
    <w:rsid w:val="004058DD"/>
    <w:rsid w:val="00410738"/>
    <w:rsid w:val="004107E3"/>
    <w:rsid w:val="00412DA0"/>
    <w:rsid w:val="00414890"/>
    <w:rsid w:val="00414A63"/>
    <w:rsid w:val="00414A8F"/>
    <w:rsid w:val="00416D47"/>
    <w:rsid w:val="00416DC5"/>
    <w:rsid w:val="004171C3"/>
    <w:rsid w:val="00423C28"/>
    <w:rsid w:val="00427ECD"/>
    <w:rsid w:val="004327E0"/>
    <w:rsid w:val="004335C0"/>
    <w:rsid w:val="004343DA"/>
    <w:rsid w:val="00435C80"/>
    <w:rsid w:val="004364AD"/>
    <w:rsid w:val="00436A9E"/>
    <w:rsid w:val="00436ADD"/>
    <w:rsid w:val="00436CFD"/>
    <w:rsid w:val="00437D14"/>
    <w:rsid w:val="00441EE8"/>
    <w:rsid w:val="0044251A"/>
    <w:rsid w:val="00446A0A"/>
    <w:rsid w:val="00446D76"/>
    <w:rsid w:val="00446DBB"/>
    <w:rsid w:val="00450963"/>
    <w:rsid w:val="00450B2A"/>
    <w:rsid w:val="00450F24"/>
    <w:rsid w:val="00452440"/>
    <w:rsid w:val="004540DF"/>
    <w:rsid w:val="00454197"/>
    <w:rsid w:val="00461641"/>
    <w:rsid w:val="0046284F"/>
    <w:rsid w:val="00463AC4"/>
    <w:rsid w:val="00464EBD"/>
    <w:rsid w:val="00465786"/>
    <w:rsid w:val="0046607C"/>
    <w:rsid w:val="00467A57"/>
    <w:rsid w:val="00470D85"/>
    <w:rsid w:val="004725D1"/>
    <w:rsid w:val="00473133"/>
    <w:rsid w:val="0047584E"/>
    <w:rsid w:val="00475974"/>
    <w:rsid w:val="00477700"/>
    <w:rsid w:val="00480E2C"/>
    <w:rsid w:val="00481E9F"/>
    <w:rsid w:val="00483D46"/>
    <w:rsid w:val="004878B4"/>
    <w:rsid w:val="00490F87"/>
    <w:rsid w:val="004926FF"/>
    <w:rsid w:val="00492B46"/>
    <w:rsid w:val="004934E1"/>
    <w:rsid w:val="00493AE5"/>
    <w:rsid w:val="00493CC3"/>
    <w:rsid w:val="00493CDA"/>
    <w:rsid w:val="004A0746"/>
    <w:rsid w:val="004A2516"/>
    <w:rsid w:val="004A4BAB"/>
    <w:rsid w:val="004A585F"/>
    <w:rsid w:val="004A74E2"/>
    <w:rsid w:val="004B4B78"/>
    <w:rsid w:val="004B7467"/>
    <w:rsid w:val="004B7EA8"/>
    <w:rsid w:val="004C0344"/>
    <w:rsid w:val="004C17E4"/>
    <w:rsid w:val="004C1D71"/>
    <w:rsid w:val="004C3006"/>
    <w:rsid w:val="004C5241"/>
    <w:rsid w:val="004C551E"/>
    <w:rsid w:val="004C6059"/>
    <w:rsid w:val="004C7778"/>
    <w:rsid w:val="004D1C5F"/>
    <w:rsid w:val="004D4F6C"/>
    <w:rsid w:val="004E0BCE"/>
    <w:rsid w:val="004E2ACA"/>
    <w:rsid w:val="004E5D40"/>
    <w:rsid w:val="004E6C65"/>
    <w:rsid w:val="004E6DE7"/>
    <w:rsid w:val="004F44AD"/>
    <w:rsid w:val="004F474D"/>
    <w:rsid w:val="00501BC9"/>
    <w:rsid w:val="00503729"/>
    <w:rsid w:val="00504384"/>
    <w:rsid w:val="0050485C"/>
    <w:rsid w:val="00505D91"/>
    <w:rsid w:val="00505EB0"/>
    <w:rsid w:val="00510345"/>
    <w:rsid w:val="00513A30"/>
    <w:rsid w:val="00515529"/>
    <w:rsid w:val="00516539"/>
    <w:rsid w:val="00516AD4"/>
    <w:rsid w:val="00517BB8"/>
    <w:rsid w:val="0052084A"/>
    <w:rsid w:val="00521501"/>
    <w:rsid w:val="00522EC8"/>
    <w:rsid w:val="0052563E"/>
    <w:rsid w:val="005258D2"/>
    <w:rsid w:val="00534925"/>
    <w:rsid w:val="00534FC4"/>
    <w:rsid w:val="00536636"/>
    <w:rsid w:val="00542C8B"/>
    <w:rsid w:val="00544349"/>
    <w:rsid w:val="00544BC5"/>
    <w:rsid w:val="0054546F"/>
    <w:rsid w:val="0054642E"/>
    <w:rsid w:val="00546C87"/>
    <w:rsid w:val="005518FC"/>
    <w:rsid w:val="00553180"/>
    <w:rsid w:val="00555570"/>
    <w:rsid w:val="00555CBA"/>
    <w:rsid w:val="00566AC4"/>
    <w:rsid w:val="005742C3"/>
    <w:rsid w:val="00576E7E"/>
    <w:rsid w:val="00581446"/>
    <w:rsid w:val="005835CF"/>
    <w:rsid w:val="00585EE5"/>
    <w:rsid w:val="00590A53"/>
    <w:rsid w:val="00590DAC"/>
    <w:rsid w:val="00595500"/>
    <w:rsid w:val="005955E8"/>
    <w:rsid w:val="005963BE"/>
    <w:rsid w:val="005966BB"/>
    <w:rsid w:val="005967AC"/>
    <w:rsid w:val="005A1818"/>
    <w:rsid w:val="005A1A4F"/>
    <w:rsid w:val="005A2222"/>
    <w:rsid w:val="005A3094"/>
    <w:rsid w:val="005A3B21"/>
    <w:rsid w:val="005A3D75"/>
    <w:rsid w:val="005A4FE5"/>
    <w:rsid w:val="005A5C3F"/>
    <w:rsid w:val="005A7FCA"/>
    <w:rsid w:val="005B11A9"/>
    <w:rsid w:val="005B2950"/>
    <w:rsid w:val="005C0D05"/>
    <w:rsid w:val="005C6D41"/>
    <w:rsid w:val="005D02A4"/>
    <w:rsid w:val="005D31FC"/>
    <w:rsid w:val="005D4362"/>
    <w:rsid w:val="005D5A4D"/>
    <w:rsid w:val="005D616F"/>
    <w:rsid w:val="005E0CF8"/>
    <w:rsid w:val="005E1961"/>
    <w:rsid w:val="005E2A91"/>
    <w:rsid w:val="005E3905"/>
    <w:rsid w:val="005E449A"/>
    <w:rsid w:val="005E4E05"/>
    <w:rsid w:val="005E5452"/>
    <w:rsid w:val="005E7C73"/>
    <w:rsid w:val="005E7E72"/>
    <w:rsid w:val="005F1146"/>
    <w:rsid w:val="005F6525"/>
    <w:rsid w:val="005F7647"/>
    <w:rsid w:val="005F7E62"/>
    <w:rsid w:val="00600EF3"/>
    <w:rsid w:val="006019C0"/>
    <w:rsid w:val="00601EC1"/>
    <w:rsid w:val="00601F41"/>
    <w:rsid w:val="006053CB"/>
    <w:rsid w:val="0060554C"/>
    <w:rsid w:val="00605D29"/>
    <w:rsid w:val="00606621"/>
    <w:rsid w:val="00606F54"/>
    <w:rsid w:val="00607E40"/>
    <w:rsid w:val="00611FBE"/>
    <w:rsid w:val="00613C85"/>
    <w:rsid w:val="00614AC8"/>
    <w:rsid w:val="00616535"/>
    <w:rsid w:val="006200E3"/>
    <w:rsid w:val="00623618"/>
    <w:rsid w:val="00624855"/>
    <w:rsid w:val="0062488E"/>
    <w:rsid w:val="006263E1"/>
    <w:rsid w:val="00626934"/>
    <w:rsid w:val="00627475"/>
    <w:rsid w:val="0063798B"/>
    <w:rsid w:val="00637C4A"/>
    <w:rsid w:val="0064172A"/>
    <w:rsid w:val="00641B20"/>
    <w:rsid w:val="00644DD1"/>
    <w:rsid w:val="0064535C"/>
    <w:rsid w:val="00647BFC"/>
    <w:rsid w:val="006536D7"/>
    <w:rsid w:val="006546A3"/>
    <w:rsid w:val="00656119"/>
    <w:rsid w:val="00660433"/>
    <w:rsid w:val="00661013"/>
    <w:rsid w:val="00662DA7"/>
    <w:rsid w:val="00662E22"/>
    <w:rsid w:val="00664695"/>
    <w:rsid w:val="00665CD1"/>
    <w:rsid w:val="00667166"/>
    <w:rsid w:val="00670D09"/>
    <w:rsid w:val="00671AA3"/>
    <w:rsid w:val="00672626"/>
    <w:rsid w:val="00672F4D"/>
    <w:rsid w:val="0067389F"/>
    <w:rsid w:val="00673E51"/>
    <w:rsid w:val="006749E0"/>
    <w:rsid w:val="006749E8"/>
    <w:rsid w:val="00677756"/>
    <w:rsid w:val="00681829"/>
    <w:rsid w:val="00682126"/>
    <w:rsid w:val="006850F4"/>
    <w:rsid w:val="00685C8A"/>
    <w:rsid w:val="0069014D"/>
    <w:rsid w:val="00693C26"/>
    <w:rsid w:val="006A04D4"/>
    <w:rsid w:val="006A32BF"/>
    <w:rsid w:val="006A39F1"/>
    <w:rsid w:val="006A472D"/>
    <w:rsid w:val="006A4B9D"/>
    <w:rsid w:val="006A5155"/>
    <w:rsid w:val="006A607D"/>
    <w:rsid w:val="006A67A3"/>
    <w:rsid w:val="006B07B9"/>
    <w:rsid w:val="006B0FCA"/>
    <w:rsid w:val="006B10CE"/>
    <w:rsid w:val="006B395B"/>
    <w:rsid w:val="006B3EA8"/>
    <w:rsid w:val="006B446C"/>
    <w:rsid w:val="006B4BFC"/>
    <w:rsid w:val="006C4315"/>
    <w:rsid w:val="006C5FCF"/>
    <w:rsid w:val="006C6279"/>
    <w:rsid w:val="006D27EA"/>
    <w:rsid w:val="006D45E2"/>
    <w:rsid w:val="006D59E3"/>
    <w:rsid w:val="006D5BCC"/>
    <w:rsid w:val="006D5DCB"/>
    <w:rsid w:val="006E1B46"/>
    <w:rsid w:val="006E3368"/>
    <w:rsid w:val="006E3AA9"/>
    <w:rsid w:val="006E4CEA"/>
    <w:rsid w:val="006E52E9"/>
    <w:rsid w:val="006E6E1E"/>
    <w:rsid w:val="006F05AB"/>
    <w:rsid w:val="006F2F92"/>
    <w:rsid w:val="006F5454"/>
    <w:rsid w:val="006F7373"/>
    <w:rsid w:val="007010A4"/>
    <w:rsid w:val="00701ED3"/>
    <w:rsid w:val="00703B44"/>
    <w:rsid w:val="00703EF4"/>
    <w:rsid w:val="00706CA0"/>
    <w:rsid w:val="0071139C"/>
    <w:rsid w:val="00713213"/>
    <w:rsid w:val="0071691B"/>
    <w:rsid w:val="00716C35"/>
    <w:rsid w:val="007205D4"/>
    <w:rsid w:val="00721360"/>
    <w:rsid w:val="007266F5"/>
    <w:rsid w:val="007278B3"/>
    <w:rsid w:val="00727C34"/>
    <w:rsid w:val="0073103A"/>
    <w:rsid w:val="00733371"/>
    <w:rsid w:val="00733E90"/>
    <w:rsid w:val="00735172"/>
    <w:rsid w:val="00735F14"/>
    <w:rsid w:val="00736AFE"/>
    <w:rsid w:val="00737618"/>
    <w:rsid w:val="00737DC2"/>
    <w:rsid w:val="0074056A"/>
    <w:rsid w:val="007418F2"/>
    <w:rsid w:val="00741B3C"/>
    <w:rsid w:val="00742C8A"/>
    <w:rsid w:val="007435CA"/>
    <w:rsid w:val="00751CB9"/>
    <w:rsid w:val="007522DB"/>
    <w:rsid w:val="00752B16"/>
    <w:rsid w:val="007530E9"/>
    <w:rsid w:val="00756C7A"/>
    <w:rsid w:val="00757A00"/>
    <w:rsid w:val="00757B2F"/>
    <w:rsid w:val="00762BF1"/>
    <w:rsid w:val="0076409E"/>
    <w:rsid w:val="00764612"/>
    <w:rsid w:val="0076542F"/>
    <w:rsid w:val="00765CC7"/>
    <w:rsid w:val="00765F0F"/>
    <w:rsid w:val="00771728"/>
    <w:rsid w:val="007723DA"/>
    <w:rsid w:val="007776F7"/>
    <w:rsid w:val="00780382"/>
    <w:rsid w:val="00782E42"/>
    <w:rsid w:val="0078423C"/>
    <w:rsid w:val="00786BF5"/>
    <w:rsid w:val="007903C8"/>
    <w:rsid w:val="007908A7"/>
    <w:rsid w:val="007916C2"/>
    <w:rsid w:val="007937D0"/>
    <w:rsid w:val="00794AB9"/>
    <w:rsid w:val="00795E68"/>
    <w:rsid w:val="007A09FD"/>
    <w:rsid w:val="007A15FF"/>
    <w:rsid w:val="007A25CE"/>
    <w:rsid w:val="007A5E8B"/>
    <w:rsid w:val="007B4B97"/>
    <w:rsid w:val="007B68EC"/>
    <w:rsid w:val="007B701A"/>
    <w:rsid w:val="007B76C9"/>
    <w:rsid w:val="007C16DE"/>
    <w:rsid w:val="007C349A"/>
    <w:rsid w:val="007C4FA2"/>
    <w:rsid w:val="007C744B"/>
    <w:rsid w:val="007C7854"/>
    <w:rsid w:val="007C7E2F"/>
    <w:rsid w:val="007C7F8C"/>
    <w:rsid w:val="007D2D20"/>
    <w:rsid w:val="007D54A6"/>
    <w:rsid w:val="007D596D"/>
    <w:rsid w:val="007E00D7"/>
    <w:rsid w:val="007E0587"/>
    <w:rsid w:val="007E0F66"/>
    <w:rsid w:val="007E2004"/>
    <w:rsid w:val="007E24E2"/>
    <w:rsid w:val="007E3935"/>
    <w:rsid w:val="007E6E52"/>
    <w:rsid w:val="007F5634"/>
    <w:rsid w:val="007F67B0"/>
    <w:rsid w:val="007F77ED"/>
    <w:rsid w:val="00803816"/>
    <w:rsid w:val="00804900"/>
    <w:rsid w:val="00804D2D"/>
    <w:rsid w:val="00806418"/>
    <w:rsid w:val="008067B8"/>
    <w:rsid w:val="00807AB0"/>
    <w:rsid w:val="00810EF9"/>
    <w:rsid w:val="00812056"/>
    <w:rsid w:val="00816C68"/>
    <w:rsid w:val="00823FE7"/>
    <w:rsid w:val="00826EC8"/>
    <w:rsid w:val="0083691C"/>
    <w:rsid w:val="00836BC0"/>
    <w:rsid w:val="00837E21"/>
    <w:rsid w:val="00841AA5"/>
    <w:rsid w:val="00845A54"/>
    <w:rsid w:val="00846560"/>
    <w:rsid w:val="0084699D"/>
    <w:rsid w:val="00850575"/>
    <w:rsid w:val="008506E9"/>
    <w:rsid w:val="00851F34"/>
    <w:rsid w:val="0086160D"/>
    <w:rsid w:val="00865324"/>
    <w:rsid w:val="008656A2"/>
    <w:rsid w:val="00865A5E"/>
    <w:rsid w:val="00870BEA"/>
    <w:rsid w:val="00871B98"/>
    <w:rsid w:val="008739C2"/>
    <w:rsid w:val="00876C10"/>
    <w:rsid w:val="0088015C"/>
    <w:rsid w:val="00881363"/>
    <w:rsid w:val="008845BC"/>
    <w:rsid w:val="00886EB5"/>
    <w:rsid w:val="00887A23"/>
    <w:rsid w:val="0089031D"/>
    <w:rsid w:val="008918D8"/>
    <w:rsid w:val="008A25B4"/>
    <w:rsid w:val="008A7359"/>
    <w:rsid w:val="008B13CB"/>
    <w:rsid w:val="008B3D32"/>
    <w:rsid w:val="008B4163"/>
    <w:rsid w:val="008B4F4C"/>
    <w:rsid w:val="008B5DBE"/>
    <w:rsid w:val="008B640D"/>
    <w:rsid w:val="008C01B8"/>
    <w:rsid w:val="008C1547"/>
    <w:rsid w:val="008C2BEA"/>
    <w:rsid w:val="008C417F"/>
    <w:rsid w:val="008C5756"/>
    <w:rsid w:val="008D038F"/>
    <w:rsid w:val="008D2F2C"/>
    <w:rsid w:val="008D467D"/>
    <w:rsid w:val="008D7BA5"/>
    <w:rsid w:val="008E0D10"/>
    <w:rsid w:val="008E25C2"/>
    <w:rsid w:val="008E2C37"/>
    <w:rsid w:val="008E391E"/>
    <w:rsid w:val="008E4602"/>
    <w:rsid w:val="008E66D3"/>
    <w:rsid w:val="008F1C33"/>
    <w:rsid w:val="008F21AB"/>
    <w:rsid w:val="008F491B"/>
    <w:rsid w:val="008F7471"/>
    <w:rsid w:val="00900C25"/>
    <w:rsid w:val="00906656"/>
    <w:rsid w:val="00913BB4"/>
    <w:rsid w:val="00916AB1"/>
    <w:rsid w:val="00916B4A"/>
    <w:rsid w:val="00916CAD"/>
    <w:rsid w:val="00923A17"/>
    <w:rsid w:val="00925E63"/>
    <w:rsid w:val="00930826"/>
    <w:rsid w:val="00931196"/>
    <w:rsid w:val="00932CA5"/>
    <w:rsid w:val="00933445"/>
    <w:rsid w:val="0093599A"/>
    <w:rsid w:val="00940FCB"/>
    <w:rsid w:val="00941C82"/>
    <w:rsid w:val="00941DDF"/>
    <w:rsid w:val="0094341F"/>
    <w:rsid w:val="009437B3"/>
    <w:rsid w:val="00943CB4"/>
    <w:rsid w:val="009443FB"/>
    <w:rsid w:val="00945645"/>
    <w:rsid w:val="00945C95"/>
    <w:rsid w:val="00950300"/>
    <w:rsid w:val="0095161D"/>
    <w:rsid w:val="00951EC8"/>
    <w:rsid w:val="00953879"/>
    <w:rsid w:val="0095480E"/>
    <w:rsid w:val="00956D31"/>
    <w:rsid w:val="00960A2F"/>
    <w:rsid w:val="0096254F"/>
    <w:rsid w:val="009669D2"/>
    <w:rsid w:val="00971D2D"/>
    <w:rsid w:val="00974DBD"/>
    <w:rsid w:val="00975210"/>
    <w:rsid w:val="0097636B"/>
    <w:rsid w:val="00980AEB"/>
    <w:rsid w:val="00982FEC"/>
    <w:rsid w:val="00984F93"/>
    <w:rsid w:val="00985E9A"/>
    <w:rsid w:val="00986360"/>
    <w:rsid w:val="009865D9"/>
    <w:rsid w:val="00986C25"/>
    <w:rsid w:val="00990EAE"/>
    <w:rsid w:val="009913CC"/>
    <w:rsid w:val="00991951"/>
    <w:rsid w:val="00992228"/>
    <w:rsid w:val="00992DD5"/>
    <w:rsid w:val="009966D8"/>
    <w:rsid w:val="00997582"/>
    <w:rsid w:val="009A5703"/>
    <w:rsid w:val="009A7A10"/>
    <w:rsid w:val="009B06B7"/>
    <w:rsid w:val="009B0A47"/>
    <w:rsid w:val="009B2125"/>
    <w:rsid w:val="009B2365"/>
    <w:rsid w:val="009B2369"/>
    <w:rsid w:val="009B2F97"/>
    <w:rsid w:val="009B3085"/>
    <w:rsid w:val="009B39DE"/>
    <w:rsid w:val="009B6940"/>
    <w:rsid w:val="009C1748"/>
    <w:rsid w:val="009C6697"/>
    <w:rsid w:val="009C7A7C"/>
    <w:rsid w:val="009D00A8"/>
    <w:rsid w:val="009D08FE"/>
    <w:rsid w:val="009D1BB1"/>
    <w:rsid w:val="009D2101"/>
    <w:rsid w:val="009D26FE"/>
    <w:rsid w:val="009D2F3E"/>
    <w:rsid w:val="009D312F"/>
    <w:rsid w:val="009D3F95"/>
    <w:rsid w:val="009E0F30"/>
    <w:rsid w:val="009E5395"/>
    <w:rsid w:val="009F067A"/>
    <w:rsid w:val="009F1949"/>
    <w:rsid w:val="009F5E53"/>
    <w:rsid w:val="009F7104"/>
    <w:rsid w:val="009F7D3A"/>
    <w:rsid w:val="00A00522"/>
    <w:rsid w:val="00A04957"/>
    <w:rsid w:val="00A04BDF"/>
    <w:rsid w:val="00A06BA6"/>
    <w:rsid w:val="00A06E89"/>
    <w:rsid w:val="00A11059"/>
    <w:rsid w:val="00A1391D"/>
    <w:rsid w:val="00A1569B"/>
    <w:rsid w:val="00A15926"/>
    <w:rsid w:val="00A1759A"/>
    <w:rsid w:val="00A219E6"/>
    <w:rsid w:val="00A21E48"/>
    <w:rsid w:val="00A24AE7"/>
    <w:rsid w:val="00A32C60"/>
    <w:rsid w:val="00A34D08"/>
    <w:rsid w:val="00A40B80"/>
    <w:rsid w:val="00A41701"/>
    <w:rsid w:val="00A42B82"/>
    <w:rsid w:val="00A43687"/>
    <w:rsid w:val="00A4623D"/>
    <w:rsid w:val="00A50409"/>
    <w:rsid w:val="00A506C6"/>
    <w:rsid w:val="00A516C1"/>
    <w:rsid w:val="00A5194B"/>
    <w:rsid w:val="00A53592"/>
    <w:rsid w:val="00A53716"/>
    <w:rsid w:val="00A5546A"/>
    <w:rsid w:val="00A564F9"/>
    <w:rsid w:val="00A57B70"/>
    <w:rsid w:val="00A61C3B"/>
    <w:rsid w:val="00A62FDC"/>
    <w:rsid w:val="00A64A4C"/>
    <w:rsid w:val="00A7018C"/>
    <w:rsid w:val="00A71190"/>
    <w:rsid w:val="00A73917"/>
    <w:rsid w:val="00A7449B"/>
    <w:rsid w:val="00A75036"/>
    <w:rsid w:val="00A77BC2"/>
    <w:rsid w:val="00A81971"/>
    <w:rsid w:val="00A81E76"/>
    <w:rsid w:val="00A81F1E"/>
    <w:rsid w:val="00A8348A"/>
    <w:rsid w:val="00A8402C"/>
    <w:rsid w:val="00A85C2F"/>
    <w:rsid w:val="00A87328"/>
    <w:rsid w:val="00A90234"/>
    <w:rsid w:val="00A9358D"/>
    <w:rsid w:val="00A94BDA"/>
    <w:rsid w:val="00A95BCD"/>
    <w:rsid w:val="00A96DC3"/>
    <w:rsid w:val="00A97431"/>
    <w:rsid w:val="00AA047E"/>
    <w:rsid w:val="00AA53FD"/>
    <w:rsid w:val="00AA607F"/>
    <w:rsid w:val="00AA680C"/>
    <w:rsid w:val="00AB2F16"/>
    <w:rsid w:val="00AB3002"/>
    <w:rsid w:val="00AB5CE4"/>
    <w:rsid w:val="00AC0E15"/>
    <w:rsid w:val="00AC3677"/>
    <w:rsid w:val="00AC5F83"/>
    <w:rsid w:val="00AC643D"/>
    <w:rsid w:val="00AC6E59"/>
    <w:rsid w:val="00AC78FD"/>
    <w:rsid w:val="00AC794A"/>
    <w:rsid w:val="00AD0B8B"/>
    <w:rsid w:val="00AD25D6"/>
    <w:rsid w:val="00AD2616"/>
    <w:rsid w:val="00AD4C61"/>
    <w:rsid w:val="00AD6048"/>
    <w:rsid w:val="00AD6C99"/>
    <w:rsid w:val="00AD7BE4"/>
    <w:rsid w:val="00AE0B38"/>
    <w:rsid w:val="00AE150A"/>
    <w:rsid w:val="00AE20FD"/>
    <w:rsid w:val="00AE6650"/>
    <w:rsid w:val="00AE6AEA"/>
    <w:rsid w:val="00AE7B7D"/>
    <w:rsid w:val="00AE7EA8"/>
    <w:rsid w:val="00AF14DA"/>
    <w:rsid w:val="00AF35A6"/>
    <w:rsid w:val="00AF42F4"/>
    <w:rsid w:val="00AF5ADF"/>
    <w:rsid w:val="00AF77CD"/>
    <w:rsid w:val="00AF7E7C"/>
    <w:rsid w:val="00B003CE"/>
    <w:rsid w:val="00B00D3E"/>
    <w:rsid w:val="00B01ADD"/>
    <w:rsid w:val="00B02FE9"/>
    <w:rsid w:val="00B0348E"/>
    <w:rsid w:val="00B03DBF"/>
    <w:rsid w:val="00B076E3"/>
    <w:rsid w:val="00B07C24"/>
    <w:rsid w:val="00B10FA2"/>
    <w:rsid w:val="00B1141B"/>
    <w:rsid w:val="00B1235B"/>
    <w:rsid w:val="00B1411F"/>
    <w:rsid w:val="00B148C8"/>
    <w:rsid w:val="00B1701B"/>
    <w:rsid w:val="00B20323"/>
    <w:rsid w:val="00B2061D"/>
    <w:rsid w:val="00B220DB"/>
    <w:rsid w:val="00B226A3"/>
    <w:rsid w:val="00B22756"/>
    <w:rsid w:val="00B24D49"/>
    <w:rsid w:val="00B2748B"/>
    <w:rsid w:val="00B27F6D"/>
    <w:rsid w:val="00B3050D"/>
    <w:rsid w:val="00B30941"/>
    <w:rsid w:val="00B33722"/>
    <w:rsid w:val="00B33D6E"/>
    <w:rsid w:val="00B34851"/>
    <w:rsid w:val="00B368E9"/>
    <w:rsid w:val="00B36AB9"/>
    <w:rsid w:val="00B37566"/>
    <w:rsid w:val="00B37DAC"/>
    <w:rsid w:val="00B37F3D"/>
    <w:rsid w:val="00B41D8A"/>
    <w:rsid w:val="00B42709"/>
    <w:rsid w:val="00B42E25"/>
    <w:rsid w:val="00B440A8"/>
    <w:rsid w:val="00B446BA"/>
    <w:rsid w:val="00B454F7"/>
    <w:rsid w:val="00B5099F"/>
    <w:rsid w:val="00B50A34"/>
    <w:rsid w:val="00B53906"/>
    <w:rsid w:val="00B55B93"/>
    <w:rsid w:val="00B57872"/>
    <w:rsid w:val="00B6004B"/>
    <w:rsid w:val="00B6066D"/>
    <w:rsid w:val="00B62222"/>
    <w:rsid w:val="00B64CDF"/>
    <w:rsid w:val="00B66B14"/>
    <w:rsid w:val="00B7198A"/>
    <w:rsid w:val="00B71DB4"/>
    <w:rsid w:val="00B7320B"/>
    <w:rsid w:val="00B74C21"/>
    <w:rsid w:val="00B75DD6"/>
    <w:rsid w:val="00B75E50"/>
    <w:rsid w:val="00B7671E"/>
    <w:rsid w:val="00B76C8F"/>
    <w:rsid w:val="00B77DB2"/>
    <w:rsid w:val="00B800AF"/>
    <w:rsid w:val="00B805D0"/>
    <w:rsid w:val="00B80A46"/>
    <w:rsid w:val="00B86636"/>
    <w:rsid w:val="00B92154"/>
    <w:rsid w:val="00B929E8"/>
    <w:rsid w:val="00B92E61"/>
    <w:rsid w:val="00B975B9"/>
    <w:rsid w:val="00B97699"/>
    <w:rsid w:val="00B97A08"/>
    <w:rsid w:val="00BA11E3"/>
    <w:rsid w:val="00BA6E03"/>
    <w:rsid w:val="00BA710D"/>
    <w:rsid w:val="00BA7A55"/>
    <w:rsid w:val="00BB229D"/>
    <w:rsid w:val="00BB4AF3"/>
    <w:rsid w:val="00BB4B59"/>
    <w:rsid w:val="00BB4FB0"/>
    <w:rsid w:val="00BB5754"/>
    <w:rsid w:val="00BB6679"/>
    <w:rsid w:val="00BC0393"/>
    <w:rsid w:val="00BC1FDD"/>
    <w:rsid w:val="00BC2BF2"/>
    <w:rsid w:val="00BC328B"/>
    <w:rsid w:val="00BC3935"/>
    <w:rsid w:val="00BC418E"/>
    <w:rsid w:val="00BC43BB"/>
    <w:rsid w:val="00BC454F"/>
    <w:rsid w:val="00BC4B89"/>
    <w:rsid w:val="00BC570E"/>
    <w:rsid w:val="00BC57AF"/>
    <w:rsid w:val="00BD0EA1"/>
    <w:rsid w:val="00BD4CBF"/>
    <w:rsid w:val="00BD783F"/>
    <w:rsid w:val="00BE29CD"/>
    <w:rsid w:val="00BE3CA9"/>
    <w:rsid w:val="00BE4257"/>
    <w:rsid w:val="00BE5453"/>
    <w:rsid w:val="00BE62D4"/>
    <w:rsid w:val="00BE7070"/>
    <w:rsid w:val="00BF01B8"/>
    <w:rsid w:val="00BF24A2"/>
    <w:rsid w:val="00BF2699"/>
    <w:rsid w:val="00BF3B06"/>
    <w:rsid w:val="00BF7F58"/>
    <w:rsid w:val="00C00B1E"/>
    <w:rsid w:val="00C016A5"/>
    <w:rsid w:val="00C021DD"/>
    <w:rsid w:val="00C033AA"/>
    <w:rsid w:val="00C078C6"/>
    <w:rsid w:val="00C07C80"/>
    <w:rsid w:val="00C10F4F"/>
    <w:rsid w:val="00C12B25"/>
    <w:rsid w:val="00C134F3"/>
    <w:rsid w:val="00C144B6"/>
    <w:rsid w:val="00C14636"/>
    <w:rsid w:val="00C201F4"/>
    <w:rsid w:val="00C206A7"/>
    <w:rsid w:val="00C21AD5"/>
    <w:rsid w:val="00C21D09"/>
    <w:rsid w:val="00C23D50"/>
    <w:rsid w:val="00C244FD"/>
    <w:rsid w:val="00C24AB5"/>
    <w:rsid w:val="00C255D6"/>
    <w:rsid w:val="00C25A4A"/>
    <w:rsid w:val="00C261BB"/>
    <w:rsid w:val="00C268F5"/>
    <w:rsid w:val="00C2696A"/>
    <w:rsid w:val="00C2760F"/>
    <w:rsid w:val="00C32C3F"/>
    <w:rsid w:val="00C343CA"/>
    <w:rsid w:val="00C357CC"/>
    <w:rsid w:val="00C35978"/>
    <w:rsid w:val="00C35FD5"/>
    <w:rsid w:val="00C3750A"/>
    <w:rsid w:val="00C40945"/>
    <w:rsid w:val="00C409BE"/>
    <w:rsid w:val="00C43471"/>
    <w:rsid w:val="00C4420B"/>
    <w:rsid w:val="00C447DC"/>
    <w:rsid w:val="00C457A8"/>
    <w:rsid w:val="00C458ED"/>
    <w:rsid w:val="00C46139"/>
    <w:rsid w:val="00C512FD"/>
    <w:rsid w:val="00C514A4"/>
    <w:rsid w:val="00C565A2"/>
    <w:rsid w:val="00C56945"/>
    <w:rsid w:val="00C56F2D"/>
    <w:rsid w:val="00C5770F"/>
    <w:rsid w:val="00C60DAC"/>
    <w:rsid w:val="00C65BC4"/>
    <w:rsid w:val="00C72460"/>
    <w:rsid w:val="00C72585"/>
    <w:rsid w:val="00C74094"/>
    <w:rsid w:val="00C77A74"/>
    <w:rsid w:val="00C77B7B"/>
    <w:rsid w:val="00C81F3D"/>
    <w:rsid w:val="00C87492"/>
    <w:rsid w:val="00C92499"/>
    <w:rsid w:val="00C94A2D"/>
    <w:rsid w:val="00C958AC"/>
    <w:rsid w:val="00C96167"/>
    <w:rsid w:val="00C979E8"/>
    <w:rsid w:val="00C97C99"/>
    <w:rsid w:val="00CA04CF"/>
    <w:rsid w:val="00CA07FA"/>
    <w:rsid w:val="00CA2BFA"/>
    <w:rsid w:val="00CA35F5"/>
    <w:rsid w:val="00CB0ADD"/>
    <w:rsid w:val="00CB2359"/>
    <w:rsid w:val="00CB5684"/>
    <w:rsid w:val="00CB6600"/>
    <w:rsid w:val="00CB72BC"/>
    <w:rsid w:val="00CC1B74"/>
    <w:rsid w:val="00CC5256"/>
    <w:rsid w:val="00CC64A1"/>
    <w:rsid w:val="00CC6D23"/>
    <w:rsid w:val="00CD13AB"/>
    <w:rsid w:val="00CD154E"/>
    <w:rsid w:val="00CD1CF3"/>
    <w:rsid w:val="00CD2C42"/>
    <w:rsid w:val="00CD6EF0"/>
    <w:rsid w:val="00CD70D6"/>
    <w:rsid w:val="00CE19E0"/>
    <w:rsid w:val="00CE502A"/>
    <w:rsid w:val="00CE751F"/>
    <w:rsid w:val="00CE76E4"/>
    <w:rsid w:val="00CF446A"/>
    <w:rsid w:val="00CF72BC"/>
    <w:rsid w:val="00D00C19"/>
    <w:rsid w:val="00D024B3"/>
    <w:rsid w:val="00D02B5F"/>
    <w:rsid w:val="00D0402D"/>
    <w:rsid w:val="00D0614B"/>
    <w:rsid w:val="00D07071"/>
    <w:rsid w:val="00D10D7A"/>
    <w:rsid w:val="00D1435F"/>
    <w:rsid w:val="00D22BBC"/>
    <w:rsid w:val="00D23BFA"/>
    <w:rsid w:val="00D2558C"/>
    <w:rsid w:val="00D34EC9"/>
    <w:rsid w:val="00D34F65"/>
    <w:rsid w:val="00D43E4E"/>
    <w:rsid w:val="00D45339"/>
    <w:rsid w:val="00D46CDF"/>
    <w:rsid w:val="00D47973"/>
    <w:rsid w:val="00D47BBD"/>
    <w:rsid w:val="00D47CB0"/>
    <w:rsid w:val="00D5015A"/>
    <w:rsid w:val="00D51A0D"/>
    <w:rsid w:val="00D52494"/>
    <w:rsid w:val="00D557CE"/>
    <w:rsid w:val="00D55DD3"/>
    <w:rsid w:val="00D5642F"/>
    <w:rsid w:val="00D56C42"/>
    <w:rsid w:val="00D621E0"/>
    <w:rsid w:val="00D642D8"/>
    <w:rsid w:val="00D67814"/>
    <w:rsid w:val="00D67CFF"/>
    <w:rsid w:val="00D70520"/>
    <w:rsid w:val="00D71A14"/>
    <w:rsid w:val="00D71ED4"/>
    <w:rsid w:val="00D7202D"/>
    <w:rsid w:val="00D82762"/>
    <w:rsid w:val="00D831D6"/>
    <w:rsid w:val="00D8368A"/>
    <w:rsid w:val="00D91B2A"/>
    <w:rsid w:val="00D91BD0"/>
    <w:rsid w:val="00D92AD9"/>
    <w:rsid w:val="00D92F36"/>
    <w:rsid w:val="00D93A87"/>
    <w:rsid w:val="00D94003"/>
    <w:rsid w:val="00D96660"/>
    <w:rsid w:val="00D96B88"/>
    <w:rsid w:val="00D9706A"/>
    <w:rsid w:val="00D97B66"/>
    <w:rsid w:val="00DA0591"/>
    <w:rsid w:val="00DA095A"/>
    <w:rsid w:val="00DA2460"/>
    <w:rsid w:val="00DA35B4"/>
    <w:rsid w:val="00DA43E2"/>
    <w:rsid w:val="00DA6616"/>
    <w:rsid w:val="00DA6BC8"/>
    <w:rsid w:val="00DB1A4B"/>
    <w:rsid w:val="00DB27C1"/>
    <w:rsid w:val="00DB3C9D"/>
    <w:rsid w:val="00DB49C3"/>
    <w:rsid w:val="00DB541C"/>
    <w:rsid w:val="00DB651C"/>
    <w:rsid w:val="00DB718D"/>
    <w:rsid w:val="00DC05EB"/>
    <w:rsid w:val="00DC138B"/>
    <w:rsid w:val="00DC37DD"/>
    <w:rsid w:val="00DC74A6"/>
    <w:rsid w:val="00DC7F5E"/>
    <w:rsid w:val="00DD1F33"/>
    <w:rsid w:val="00DD3661"/>
    <w:rsid w:val="00DD43A8"/>
    <w:rsid w:val="00DD64BF"/>
    <w:rsid w:val="00DD6C08"/>
    <w:rsid w:val="00DE183E"/>
    <w:rsid w:val="00DE1BFD"/>
    <w:rsid w:val="00DE2D05"/>
    <w:rsid w:val="00DE55EE"/>
    <w:rsid w:val="00DE6FB8"/>
    <w:rsid w:val="00DF13AF"/>
    <w:rsid w:val="00DF2E8F"/>
    <w:rsid w:val="00DF6BED"/>
    <w:rsid w:val="00DF7A56"/>
    <w:rsid w:val="00E0036A"/>
    <w:rsid w:val="00E02E57"/>
    <w:rsid w:val="00E02E5D"/>
    <w:rsid w:val="00E04343"/>
    <w:rsid w:val="00E05F2A"/>
    <w:rsid w:val="00E06A58"/>
    <w:rsid w:val="00E07B67"/>
    <w:rsid w:val="00E11263"/>
    <w:rsid w:val="00E12BB6"/>
    <w:rsid w:val="00E13FD6"/>
    <w:rsid w:val="00E1632D"/>
    <w:rsid w:val="00E168D3"/>
    <w:rsid w:val="00E20247"/>
    <w:rsid w:val="00E20D70"/>
    <w:rsid w:val="00E21A27"/>
    <w:rsid w:val="00E23718"/>
    <w:rsid w:val="00E23962"/>
    <w:rsid w:val="00E270B8"/>
    <w:rsid w:val="00E3060E"/>
    <w:rsid w:val="00E31165"/>
    <w:rsid w:val="00E34E26"/>
    <w:rsid w:val="00E352D3"/>
    <w:rsid w:val="00E36D95"/>
    <w:rsid w:val="00E36EE7"/>
    <w:rsid w:val="00E376D3"/>
    <w:rsid w:val="00E438B0"/>
    <w:rsid w:val="00E45EA5"/>
    <w:rsid w:val="00E517E2"/>
    <w:rsid w:val="00E51DE0"/>
    <w:rsid w:val="00E55C3D"/>
    <w:rsid w:val="00E60DAB"/>
    <w:rsid w:val="00E63382"/>
    <w:rsid w:val="00E64092"/>
    <w:rsid w:val="00E64642"/>
    <w:rsid w:val="00E66174"/>
    <w:rsid w:val="00E7003A"/>
    <w:rsid w:val="00E70AE6"/>
    <w:rsid w:val="00E70BC3"/>
    <w:rsid w:val="00E70FC6"/>
    <w:rsid w:val="00E725DF"/>
    <w:rsid w:val="00E73E6C"/>
    <w:rsid w:val="00E844CF"/>
    <w:rsid w:val="00E84AB8"/>
    <w:rsid w:val="00E8530C"/>
    <w:rsid w:val="00E931BD"/>
    <w:rsid w:val="00E9466F"/>
    <w:rsid w:val="00E9519E"/>
    <w:rsid w:val="00EA0CCE"/>
    <w:rsid w:val="00EA1E39"/>
    <w:rsid w:val="00EA28CE"/>
    <w:rsid w:val="00EA3114"/>
    <w:rsid w:val="00EA41AA"/>
    <w:rsid w:val="00EA4A8F"/>
    <w:rsid w:val="00EA4BD0"/>
    <w:rsid w:val="00EA7925"/>
    <w:rsid w:val="00EB027B"/>
    <w:rsid w:val="00EB1234"/>
    <w:rsid w:val="00EB33B0"/>
    <w:rsid w:val="00EC4F1B"/>
    <w:rsid w:val="00EC635A"/>
    <w:rsid w:val="00ED028F"/>
    <w:rsid w:val="00ED0334"/>
    <w:rsid w:val="00ED0CB8"/>
    <w:rsid w:val="00ED72E9"/>
    <w:rsid w:val="00ED72EC"/>
    <w:rsid w:val="00EE253E"/>
    <w:rsid w:val="00EE43E6"/>
    <w:rsid w:val="00EE675D"/>
    <w:rsid w:val="00EF0F27"/>
    <w:rsid w:val="00EF4A6F"/>
    <w:rsid w:val="00EF55DE"/>
    <w:rsid w:val="00EF6D41"/>
    <w:rsid w:val="00F03428"/>
    <w:rsid w:val="00F037D5"/>
    <w:rsid w:val="00F03862"/>
    <w:rsid w:val="00F0564B"/>
    <w:rsid w:val="00F11829"/>
    <w:rsid w:val="00F164A9"/>
    <w:rsid w:val="00F17AAA"/>
    <w:rsid w:val="00F2085B"/>
    <w:rsid w:val="00F21949"/>
    <w:rsid w:val="00F24987"/>
    <w:rsid w:val="00F25F31"/>
    <w:rsid w:val="00F278C3"/>
    <w:rsid w:val="00F35C80"/>
    <w:rsid w:val="00F3745B"/>
    <w:rsid w:val="00F37D5E"/>
    <w:rsid w:val="00F37F6C"/>
    <w:rsid w:val="00F40CC9"/>
    <w:rsid w:val="00F44054"/>
    <w:rsid w:val="00F443BF"/>
    <w:rsid w:val="00F45216"/>
    <w:rsid w:val="00F463EE"/>
    <w:rsid w:val="00F50173"/>
    <w:rsid w:val="00F56C67"/>
    <w:rsid w:val="00F61E67"/>
    <w:rsid w:val="00F6457E"/>
    <w:rsid w:val="00F646B2"/>
    <w:rsid w:val="00F656AA"/>
    <w:rsid w:val="00F657DF"/>
    <w:rsid w:val="00F65909"/>
    <w:rsid w:val="00F67775"/>
    <w:rsid w:val="00F7191F"/>
    <w:rsid w:val="00F721BA"/>
    <w:rsid w:val="00F72A90"/>
    <w:rsid w:val="00F73EE8"/>
    <w:rsid w:val="00F77E1E"/>
    <w:rsid w:val="00F80A65"/>
    <w:rsid w:val="00F825D8"/>
    <w:rsid w:val="00F82B9A"/>
    <w:rsid w:val="00F87BA5"/>
    <w:rsid w:val="00F907B6"/>
    <w:rsid w:val="00F9133E"/>
    <w:rsid w:val="00F9134E"/>
    <w:rsid w:val="00F93C45"/>
    <w:rsid w:val="00F94F7E"/>
    <w:rsid w:val="00F96D96"/>
    <w:rsid w:val="00F974CF"/>
    <w:rsid w:val="00FA08C1"/>
    <w:rsid w:val="00FA0CAE"/>
    <w:rsid w:val="00FA2417"/>
    <w:rsid w:val="00FA3330"/>
    <w:rsid w:val="00FA34FB"/>
    <w:rsid w:val="00FA44F3"/>
    <w:rsid w:val="00FB0D3A"/>
    <w:rsid w:val="00FB153F"/>
    <w:rsid w:val="00FB1768"/>
    <w:rsid w:val="00FB1AF0"/>
    <w:rsid w:val="00FB2487"/>
    <w:rsid w:val="00FB29C4"/>
    <w:rsid w:val="00FB7ED5"/>
    <w:rsid w:val="00FC1F23"/>
    <w:rsid w:val="00FC3A25"/>
    <w:rsid w:val="00FC3FF8"/>
    <w:rsid w:val="00FC7199"/>
    <w:rsid w:val="00FD3336"/>
    <w:rsid w:val="00FD6C5D"/>
    <w:rsid w:val="00FD732A"/>
    <w:rsid w:val="00FD77C0"/>
    <w:rsid w:val="00FE336E"/>
    <w:rsid w:val="00FE3C91"/>
    <w:rsid w:val="00FE48B5"/>
    <w:rsid w:val="00FE5DA4"/>
    <w:rsid w:val="00FE7396"/>
    <w:rsid w:val="00FF0B66"/>
    <w:rsid w:val="00FF390B"/>
    <w:rsid w:val="00FF6BA2"/>
    <w:rsid w:val="40357225"/>
    <w:rsid w:val="48EC789E"/>
    <w:rsid w:val="64A530D4"/>
    <w:rsid w:val="6E8675B7"/>
    <w:rsid w:val="7A9043C4"/>
    <w:rsid w:val="7FF02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spacing w:after="80"/>
      <w:jc w:val="both"/>
    </w:pPr>
    <w:rPr>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段"/>
    <w:link w:val="10"/>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10">
    <w:name w:val="段 Char"/>
    <w:link w:val="9"/>
    <w:autoRedefine/>
    <w:qFormat/>
    <w:uiPriority w:val="0"/>
    <w:rPr>
      <w:rFonts w:ascii="宋体" w:hAnsi="Calibri" w:eastAsia="宋体" w:cs="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3788</Words>
  <Characters>3937</Characters>
  <Lines>158</Lines>
  <Paragraphs>156</Paragraphs>
  <TotalTime>1</TotalTime>
  <ScaleCrop>false</ScaleCrop>
  <LinksUpToDate>false</LinksUpToDate>
  <CharactersWithSpaces>4011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2025-08-22T07:34:00Z</dcterms:created>
  <dc:creator>CLMB</dc:creator>
  <cp:lastModifiedBy>无奈若何</cp:lastModifiedBy>
  <cp:lastPrinted>2020-05-07T00:59:00Z</cp:lastPrinted>
  <dcterms:modified xsi:type="dcterms:W3CDTF">2025-10-10T07:18:43Z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7EFB04853A4F4AA18F5F04452C68F5AE_12</vt:lpwstr>
  </property>
  <property fmtid="{D5CDD505-2E9C-101B-9397-08002B2CF9AE}" pid="4" name="KSOTemplateDocerSaveRecord">
    <vt:lpwstr>eyJoZGlkIjoiMzNiYjliNTIwYWUxZWFjNGFlYTA1NmQzNGFlNzc3MDQiLCJ1c2VySWQiOiI1MzI3MzY5OTMifQ==</vt:lpwstr>
  </property>
</Properties>
</file>