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DEA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DC8505A">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8BF4C9C">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sz w:val="21"/>
                <w:szCs w:val="21"/>
              </w:rPr>
              <w:fldChar w:fldCharType="begin">
                <w:ffData>
                  <w:name w:val="ICS"/>
                  <w:enabled/>
                  <w:calcOnExit w:val="0"/>
                  <w:textInput>
                    <w:default w:val="67.140.1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67.140.10</w:t>
            </w:r>
            <w:r>
              <w:rPr>
                <w:rFonts w:hint="eastAsia" w:ascii="黑体" w:hAnsi="黑体" w:eastAsia="黑体"/>
                <w:sz w:val="21"/>
                <w:szCs w:val="21"/>
              </w:rPr>
              <w:fldChar w:fldCharType="end"/>
            </w:r>
            <w:bookmarkEnd w:id="0"/>
          </w:p>
        </w:tc>
      </w:tr>
      <w:tr w14:paraId="40F4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DB154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F150D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3CBDE1F">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GXTC"/>
                          <w:maxLength w:val="7"/>
                        </w:textInput>
                      </w:ffData>
                    </w:fldChar>
                  </w:r>
                  <w:r>
                    <w:instrText xml:space="preserve"> </w:instrText>
                  </w:r>
                  <w:bookmarkStart w:id="1" w:name="c1"/>
                  <w:r>
                    <w:instrText xml:space="preserve">FORMTEXT </w:instrText>
                  </w:r>
                  <w:r>
                    <w:fldChar w:fldCharType="separate"/>
                  </w:r>
                  <w:r>
                    <w:t>GXTC</w:t>
                  </w:r>
                  <w:r>
                    <w:fldChar w:fldCharType="end"/>
                  </w:r>
                  <w:bookmarkEnd w:id="1"/>
                </w:p>
              </w:tc>
            </w:tr>
          </w:tbl>
          <w:p w14:paraId="45C2103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X 55"/>
                  </w:textInput>
                </w:ffData>
              </w:fldChar>
            </w:r>
            <w:r>
              <w:rPr>
                <w:rFonts w:hint="eastAsia" w:ascii="黑体" w:hAnsi="黑体" w:eastAsia="黑体"/>
                <w:sz w:val="21"/>
                <w:szCs w:val="21"/>
              </w:rPr>
              <w:instrText xml:space="preserve"> </w:instrText>
            </w:r>
            <w:bookmarkStart w:id="2" w:name="CSDN"/>
            <w:r>
              <w:rPr>
                <w:rFonts w:hint="eastAsia" w:ascii="黑体" w:hAnsi="黑体" w:eastAsia="黑体"/>
                <w:sz w:val="21"/>
                <w:szCs w:val="21"/>
              </w:rPr>
              <w:instrText xml:space="preserve">FORMTEXT </w:instrText>
            </w:r>
            <w:r>
              <w:rPr>
                <w:rFonts w:hint="eastAsia" w:ascii="黑体" w:hAnsi="黑体" w:eastAsia="黑体"/>
                <w:sz w:val="21"/>
                <w:szCs w:val="21"/>
              </w:rPr>
              <w:fldChar w:fldCharType="separate"/>
            </w:r>
            <w:r>
              <w:rPr>
                <w:rFonts w:hint="eastAsia" w:ascii="黑体" w:hAnsi="黑体" w:eastAsia="黑体"/>
                <w:sz w:val="21"/>
                <w:szCs w:val="21"/>
              </w:rPr>
              <w:t>X 55</w:t>
            </w:r>
            <w:r>
              <w:rPr>
                <w:rFonts w:hint="eastAsia" w:ascii="黑体" w:hAnsi="黑体" w:eastAsia="黑体"/>
                <w:sz w:val="21"/>
                <w:szCs w:val="21"/>
              </w:rPr>
              <w:fldChar w:fldCharType="end"/>
            </w:r>
            <w:bookmarkEnd w:id="2"/>
          </w:p>
        </w:tc>
      </w:tr>
    </w:tbl>
    <w:p w14:paraId="04982641">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C004289">
      <w:pPr>
        <w:pStyle w:val="198"/>
      </w:pPr>
      <w:r>
        <w:t>T/</w:t>
      </w:r>
      <w:r>
        <w:fldChar w:fldCharType="begin">
          <w:ffData>
            <w:name w:val="文字1"/>
            <w:enabled/>
            <w:calcOnExit w:val="0"/>
            <w:textInput>
              <w:default w:val="GXTC"/>
            </w:textInput>
          </w:ffData>
        </w:fldChar>
      </w:r>
      <w:r>
        <w:instrText xml:space="preserve"> </w:instrText>
      </w:r>
      <w:bookmarkStart w:id="5" w:name="文字1"/>
      <w:r>
        <w:instrText xml:space="preserve">FORMTEXT </w:instrText>
      </w:r>
      <w:r>
        <w:fldChar w:fldCharType="separate"/>
      </w:r>
      <w:r>
        <w:t>GXTC</w:t>
      </w:r>
      <w:r>
        <w:fldChar w:fldCharType="end"/>
      </w:r>
      <w:bookmarkEnd w:id="5"/>
      <w:r>
        <w:t xml:space="preserve"> </w:t>
      </w:r>
      <w:bookmarkStart w:id="56" w:name="_GoBack"/>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XXXX"/>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XXXX</w:t>
      </w:r>
      <w:r>
        <w:rPr>
          <w:rFonts w:ascii="黑体" w:hAnsi="Times New Roman" w:eastAsia="黑体" w:cs="Times New Roman"/>
          <w:bCs/>
          <w:sz w:val="28"/>
          <w:szCs w:val="28"/>
          <w:lang w:val="en-US" w:eastAsia="zh-CN" w:bidi="ar-SA"/>
        </w:rPr>
        <w:fldChar w:fldCharType="end"/>
      </w:r>
      <w:bookmarkEnd w:id="6"/>
      <w:bookmarkEnd w:id="5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1056115">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66A17E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23D860">
      <w:pPr>
        <w:pStyle w:val="53"/>
        <w:framePr w:w="9639" w:h="6976" w:hRule="exact" w:hSpace="0" w:vSpace="0" w:wrap="around" w:hAnchor="page" w:y="6408"/>
        <w:jc w:val="center"/>
        <w:rPr>
          <w:rFonts w:hint="eastAsia" w:ascii="黑体" w:hAnsi="黑体" w:eastAsia="黑体"/>
          <w:b w:val="0"/>
          <w:bCs w:val="0"/>
          <w:w w:val="100"/>
        </w:rPr>
      </w:pPr>
    </w:p>
    <w:p w14:paraId="1D30C474">
      <w:pPr>
        <w:pStyle w:val="200"/>
        <w:framePr w:h="6974" w:hRule="exact" w:wrap="around" w:x="1419" w:anchorLock="1"/>
        <w:rPr>
          <w:rFonts w:hint="eastAsia"/>
        </w:rPr>
      </w:pPr>
      <w:r>
        <w:rPr>
          <w:rFonts w:hint="eastAsia"/>
        </w:rPr>
        <w:fldChar w:fldCharType="begin">
          <w:ffData>
            <w:name w:val="CSTD_NAME"/>
            <w:enabled/>
            <w:calcOnExit w:val="0"/>
            <w:textInput>
              <w:default w:val="广西野生红茶生产加工技术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广西野生红茶生产加工技术规范</w:t>
      </w:r>
      <w:r>
        <w:rPr>
          <w:rFonts w:hint="eastAsia"/>
        </w:rPr>
        <w:fldChar w:fldCharType="end"/>
      </w:r>
      <w:bookmarkEnd w:id="9"/>
    </w:p>
    <w:p w14:paraId="72ED4711">
      <w:pPr>
        <w:framePr w:w="9639" w:h="6974" w:hRule="exact" w:wrap="around" w:vAnchor="page" w:hAnchor="page" w:x="1419" w:y="6408" w:anchorLock="1"/>
        <w:ind w:left="-1418"/>
      </w:pPr>
    </w:p>
    <w:p w14:paraId="13CC4878">
      <w:pPr>
        <w:pStyle w:val="128"/>
        <w:framePr w:w="9639" w:h="6974" w:hRule="exact" w:wrap="around" w:vAnchor="page" w:hAnchor="page" w:x="1419" w:y="6408" w:anchorLock="1"/>
        <w:textAlignment w:val="bottom"/>
        <w:rPr>
          <w:rFonts w:eastAsia="黑体"/>
          <w:b/>
          <w:bCs/>
          <w:szCs w:val="28"/>
        </w:rPr>
      </w:pPr>
      <w:r>
        <w:rPr>
          <w:rFonts w:eastAsia="黑体"/>
          <w:b/>
          <w:bCs/>
          <w:szCs w:val="28"/>
        </w:rPr>
        <w:fldChar w:fldCharType="begin">
          <w:ffData>
            <w:name w:val="ESTD_NAME"/>
            <w:enabled/>
            <w:calcOnExit w:val="0"/>
            <w:textInput>
              <w:default w:val="Technical rules for production and process of Guangxi wild black tea"/>
            </w:textInput>
          </w:ffData>
        </w:fldChar>
      </w:r>
      <w:bookmarkStart w:id="10" w:name="ESTD_NAME"/>
      <w:r>
        <w:rPr>
          <w:rFonts w:eastAsia="黑体"/>
          <w:b/>
          <w:bCs/>
          <w:szCs w:val="28"/>
        </w:rPr>
        <w:instrText xml:space="preserve"> FORMTEXT </w:instrText>
      </w:r>
      <w:r>
        <w:rPr>
          <w:rFonts w:eastAsia="黑体"/>
          <w:b/>
          <w:bCs/>
          <w:szCs w:val="28"/>
        </w:rPr>
        <w:fldChar w:fldCharType="separate"/>
      </w:r>
      <w:r>
        <w:rPr>
          <w:rFonts w:eastAsia="黑体"/>
          <w:b/>
          <w:bCs/>
          <w:szCs w:val="28"/>
        </w:rPr>
        <w:t>Technical rules for production and process of Guangxi wild black tea</w:t>
      </w:r>
      <w:r>
        <w:rPr>
          <w:rFonts w:eastAsia="黑体"/>
          <w:b/>
          <w:bCs/>
          <w:szCs w:val="28"/>
        </w:rPr>
        <w:fldChar w:fldCharType="end"/>
      </w:r>
      <w:bookmarkEnd w:id="10"/>
    </w:p>
    <w:p w14:paraId="1F04EFA6">
      <w:pPr>
        <w:framePr w:w="9639" w:h="6974" w:hRule="exact" w:wrap="around" w:vAnchor="page" w:hAnchor="page" w:x="1419" w:y="6408" w:anchorLock="1"/>
        <w:spacing w:line="760" w:lineRule="exact"/>
        <w:ind w:left="-1418"/>
      </w:pPr>
    </w:p>
    <w:p w14:paraId="1B6A74CB">
      <w:pPr>
        <w:pStyle w:val="128"/>
        <w:framePr w:w="9639" w:h="6974" w:hRule="exact" w:wrap="around" w:vAnchor="page" w:hAnchor="page" w:x="1419" w:y="6408" w:anchorLock="1"/>
        <w:textAlignment w:val="bottom"/>
        <w:rPr>
          <w:rFonts w:eastAsia="黑体"/>
          <w:szCs w:val="28"/>
        </w:rPr>
      </w:pPr>
    </w:p>
    <w:p w14:paraId="5E0F6025">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EE84176">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工作组讨论稿"/>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工作组讨论稿</w:t>
      </w:r>
      <w:r>
        <w:rPr>
          <w:sz w:val="21"/>
          <w:szCs w:val="28"/>
        </w:rPr>
        <w:fldChar w:fldCharType="end"/>
      </w:r>
      <w:bookmarkEnd w:id="12"/>
    </w:p>
    <w:p w14:paraId="7F24136C">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60A01FC">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8FADBD0">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ACFAE66">
      <w:pPr>
        <w:pStyle w:val="154"/>
        <w:framePr w:h="584" w:hRule="exact" w:hSpace="181" w:vSpace="181" w:wrap="around" w:y="14800"/>
        <w:rPr>
          <w:rFonts w:hint="eastAsia" w:hAnsi="黑体"/>
        </w:rPr>
      </w:pPr>
      <w:r>
        <w:rPr>
          <w:rFonts w:hint="eastAsia" w:hAnsi="黑体"/>
          <w:w w:val="100"/>
          <w:sz w:val="28"/>
        </w:rPr>
        <w:fldChar w:fldCharType="begin">
          <w:ffData>
            <w:name w:val="fm"/>
            <w:enabled/>
            <w:calcOnExit w:val="0"/>
            <w:textInput>
              <w:default w:val="广西热带作物学会"/>
            </w:textInput>
          </w:ffData>
        </w:fldChar>
      </w:r>
      <w:bookmarkStart w:id="20" w:name="fm"/>
      <w:r>
        <w:rPr>
          <w:rFonts w:hint="eastAsia" w:hAnsi="黑体"/>
          <w:w w:val="100"/>
          <w:sz w:val="28"/>
        </w:rPr>
        <w:instrText xml:space="preserve"> </w:instrText>
      </w:r>
      <w:r>
        <w:rPr>
          <w:rFonts w:hAnsi="黑体"/>
          <w:w w:val="100"/>
          <w:sz w:val="28"/>
        </w:rPr>
        <w:instrText xml:space="preserve">FORMTEXT</w:instrText>
      </w:r>
      <w:r>
        <w:rPr>
          <w:rFonts w:hint="eastAsia" w:hAnsi="黑体"/>
          <w:w w:val="100"/>
          <w:sz w:val="28"/>
        </w:rPr>
        <w:instrText xml:space="preserve"> </w:instrText>
      </w:r>
      <w:r>
        <w:rPr>
          <w:rFonts w:hint="eastAsia" w:hAnsi="黑体"/>
          <w:w w:val="100"/>
          <w:sz w:val="28"/>
        </w:rPr>
        <w:fldChar w:fldCharType="separate"/>
      </w:r>
      <w:r>
        <w:rPr>
          <w:rFonts w:hint="eastAsia" w:hAnsi="黑体"/>
          <w:w w:val="100"/>
          <w:sz w:val="28"/>
        </w:rPr>
        <w:t>广西热带作物学会</w:t>
      </w:r>
      <w:r>
        <w:rPr>
          <w:rFonts w:hint="eastAsia"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4FAB6287">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F4EFD15">
      <w:pPr>
        <w:widowControl/>
        <w:adjustRightInd/>
        <w:spacing w:line="240" w:lineRule="auto"/>
        <w:jc w:val="left"/>
        <w:rPr>
          <w:rFonts w:ascii="黑体" w:hAnsi="Times New Roman" w:eastAsia="黑体"/>
          <w:spacing w:val="320"/>
          <w:kern w:val="0"/>
          <w:sz w:val="32"/>
          <w:szCs w:val="20"/>
        </w:rPr>
      </w:pPr>
      <w:bookmarkStart w:id="21" w:name="BookMark2"/>
      <w:r>
        <w:rPr>
          <w:spacing w:val="320"/>
        </w:rPr>
        <w:br w:type="page"/>
      </w:r>
    </w:p>
    <w:p w14:paraId="69E4E7B9">
      <w:pPr>
        <w:pStyle w:val="92"/>
        <w:spacing w:before="900" w:after="360"/>
      </w:pPr>
      <w:r>
        <w:rPr>
          <w:rFonts w:hint="eastAsia"/>
          <w:spacing w:val="320"/>
        </w:rPr>
        <w:t>前</w:t>
      </w:r>
      <w:r>
        <w:rPr>
          <w:rFonts w:hint="eastAsia"/>
        </w:rPr>
        <w:t>言</w:t>
      </w:r>
    </w:p>
    <w:p w14:paraId="1BF41510">
      <w:pPr>
        <w:pStyle w:val="59"/>
        <w:ind w:firstLine="420"/>
      </w:pPr>
      <w:r>
        <w:rPr>
          <w:rFonts w:hint="eastAsia"/>
        </w:rPr>
        <w:t>本文件按照</w:t>
      </w:r>
      <w:r>
        <w:rPr>
          <w:rFonts w:ascii="Times New Roman"/>
        </w:rPr>
        <w:t>GB/T 1.1—2020</w:t>
      </w:r>
      <w:r>
        <w:rPr>
          <w:rFonts w:hint="eastAsia"/>
        </w:rPr>
        <w:t>《标准化工作导则  第</w:t>
      </w:r>
      <w:r>
        <w:rPr>
          <w:rFonts w:ascii="Times New Roman"/>
        </w:rPr>
        <w:t>1</w:t>
      </w:r>
      <w:r>
        <w:rPr>
          <w:rFonts w:hint="eastAsia"/>
        </w:rPr>
        <w:t>部分：标准化文件的结构和起草规则》的规定起草。</w:t>
      </w:r>
    </w:p>
    <w:p w14:paraId="06AE322F">
      <w:pPr>
        <w:pStyle w:val="59"/>
        <w:ind w:firstLine="420"/>
      </w:pPr>
      <w:r>
        <w:rPr>
          <w:rFonts w:hint="eastAsia"/>
        </w:rPr>
        <w:t>请注意本文件的某些内容可能涉及专利。本文件的发布机构不承担识别专利的责任。</w:t>
      </w:r>
    </w:p>
    <w:p w14:paraId="06D53F09">
      <w:pPr>
        <w:pStyle w:val="59"/>
        <w:ind w:firstLine="420"/>
      </w:pPr>
      <w:r>
        <w:rPr>
          <w:rFonts w:hint="eastAsia"/>
        </w:rPr>
        <w:t>本文件由广西南亚热带农业科学研究所提出。</w:t>
      </w:r>
    </w:p>
    <w:p w14:paraId="556FE7DD">
      <w:pPr>
        <w:pStyle w:val="59"/>
        <w:ind w:firstLine="420"/>
      </w:pPr>
      <w:r>
        <w:rPr>
          <w:rFonts w:hint="eastAsia"/>
        </w:rPr>
        <w:t>本文件由广西热带作物学会归口。</w:t>
      </w:r>
    </w:p>
    <w:p w14:paraId="5C436E88">
      <w:pPr>
        <w:pStyle w:val="59"/>
        <w:ind w:firstLine="420"/>
      </w:pPr>
      <w:r>
        <w:rPr>
          <w:rFonts w:hint="eastAsia"/>
        </w:rPr>
        <w:t>本文件起草单位：广西南亚热带农业科学研究所、广西绿异茶树良种研究院、广西广茗投资有限公司、百色市茶叶发展中心、广西农垦茶业集团有限公司、三江侗族自治县仙池茶业有限公司、广西金秀县瑶山王茶业有限公司、贵港市覃塘区簧练镇桂鑫茶叶种植专业合作社、桂林漓江茶厂有限公司、灵山县石瓯山茶场、扶绥县宏彰家庭农场、广西融水县天珍大苗山生态农业有限公司、广西嘉成农产品有限公司、广西龙州青山茶业有限公司、灵川县慧诚茶业有限公司、广西艺苑农业科技有限公司。</w:t>
      </w:r>
    </w:p>
    <w:p w14:paraId="1230B885">
      <w:pPr>
        <w:pStyle w:val="59"/>
        <w:ind w:firstLine="420"/>
      </w:pPr>
      <w:r>
        <w:rPr>
          <w:rFonts w:hint="eastAsia"/>
        </w:rPr>
        <w:t>本文件主要起草人：李金婷、吴妃妃、魏宗游、蹇钦昊、冯红钰、覃秀菊、高斯婷、覃仁源、杨晶晶、李子平、覃福方、刘宝贵、刘汉焱、曾庆群、梁光志、叶靖平、罗莲凤、赵云雄、王云仙、吴琴斯、李中山、梁汉高、杨婷、莫宇宁、韦旭桂、黄荣雄、农世鹏、卢创俭、李秋燕、韦明玕、农宏彰、谢乃积、吕新保。</w:t>
      </w:r>
    </w:p>
    <w:p w14:paraId="68F81860">
      <w:pPr>
        <w:widowControl/>
        <w:adjustRightInd/>
        <w:spacing w:line="240" w:lineRule="auto"/>
        <w:jc w:val="left"/>
        <w:rPr>
          <w:rFonts w:ascii="宋体" w:hAnsi="Times New Roman"/>
          <w:kern w:val="0"/>
          <w:szCs w:val="20"/>
        </w:rPr>
      </w:pPr>
      <w:r>
        <w:br w:type="page"/>
      </w:r>
    </w:p>
    <w:p w14:paraId="1B6CF567">
      <w:pPr>
        <w:pStyle w:val="59"/>
        <w:ind w:firstLine="420"/>
      </w:pPr>
    </w:p>
    <w:p w14:paraId="7E6C6D63">
      <w:pPr>
        <w:pStyle w:val="59"/>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38AAA4E1">
      <w:pPr>
        <w:spacing w:line="20" w:lineRule="exact"/>
        <w:jc w:val="center"/>
        <w:rPr>
          <w:rFonts w:hint="eastAsia" w:ascii="黑体" w:hAnsi="黑体" w:eastAsia="黑体"/>
          <w:sz w:val="32"/>
          <w:szCs w:val="32"/>
        </w:rPr>
      </w:pPr>
      <w:bookmarkStart w:id="22" w:name="BookMark4"/>
    </w:p>
    <w:p w14:paraId="05842FD9">
      <w:pPr>
        <w:spacing w:line="20" w:lineRule="exact"/>
        <w:jc w:val="center"/>
        <w:rPr>
          <w:rFonts w:hint="eastAsia" w:ascii="黑体" w:hAnsi="黑体" w:eastAsia="黑体"/>
          <w:sz w:val="32"/>
          <w:szCs w:val="32"/>
        </w:rPr>
      </w:pPr>
    </w:p>
    <w:sdt>
      <w:sdtPr>
        <w:tag w:val="NEW_STAND_NAME"/>
        <w:id w:val="595910757"/>
        <w:lock w:val="sdtLocked"/>
        <w:placeholder>
          <w:docPart w:val="90F22382FC7A45999F6698C73AFCBE3D"/>
        </w:placeholder>
      </w:sdtPr>
      <w:sdtContent>
        <w:p w14:paraId="3B2C3EB8">
          <w:pPr>
            <w:pStyle w:val="180"/>
            <w:rPr>
              <w:rFonts w:hint="eastAsia"/>
            </w:rPr>
          </w:pPr>
          <w:bookmarkStart w:id="23" w:name="NEW_STAND_NAME"/>
          <w:r>
            <w:rPr>
              <w:rFonts w:hint="eastAsia"/>
            </w:rPr>
            <w:t>广西野生红茶生产加工技术规范</w:t>
          </w:r>
        </w:p>
      </w:sdtContent>
    </w:sdt>
    <w:bookmarkEnd w:id="23"/>
    <w:p w14:paraId="2B6EFD19">
      <w:pPr>
        <w:pStyle w:val="107"/>
        <w:spacing w:before="240" w:after="240"/>
      </w:pPr>
      <w:bookmarkStart w:id="24" w:name="_Toc26718930"/>
      <w:bookmarkStart w:id="25" w:name="_Toc24884218"/>
      <w:bookmarkStart w:id="26" w:name="_Toc26986530"/>
      <w:bookmarkStart w:id="27" w:name="_Toc97192964"/>
      <w:bookmarkStart w:id="28" w:name="_Toc17233325"/>
      <w:bookmarkStart w:id="29" w:name="_Toc26648465"/>
      <w:bookmarkStart w:id="30" w:name="_Toc17233333"/>
      <w:bookmarkStart w:id="31" w:name="_Toc26986771"/>
      <w:bookmarkStart w:id="32" w:name="_Toc24884211"/>
      <w:r>
        <w:rPr>
          <w:rFonts w:hint="eastAsia"/>
        </w:rPr>
        <w:t>范围</w:t>
      </w:r>
      <w:bookmarkEnd w:id="24"/>
      <w:bookmarkEnd w:id="25"/>
      <w:bookmarkEnd w:id="26"/>
      <w:bookmarkEnd w:id="27"/>
      <w:bookmarkEnd w:id="28"/>
      <w:bookmarkEnd w:id="29"/>
      <w:bookmarkEnd w:id="30"/>
      <w:bookmarkEnd w:id="31"/>
      <w:bookmarkEnd w:id="32"/>
    </w:p>
    <w:p w14:paraId="76F88BBC">
      <w:pPr>
        <w:pStyle w:val="59"/>
        <w:ind w:firstLine="420"/>
      </w:pPr>
      <w:bookmarkStart w:id="33" w:name="_Toc24884212"/>
      <w:bookmarkStart w:id="34" w:name="_Toc17233326"/>
      <w:bookmarkStart w:id="35" w:name="_Toc24884219"/>
      <w:bookmarkStart w:id="36" w:name="_Toc17233334"/>
      <w:bookmarkStart w:id="37" w:name="_Toc26648466"/>
      <w:r>
        <w:rPr>
          <w:rFonts w:hint="eastAsia"/>
        </w:rPr>
        <w:t>本文件界定了广西野生红茶的术语和定义，基本要求、鲜叶原料要求、加工工艺流程、毛茶审评、精制、质量管理及标志标签、包装、运输、贮存等技术。</w:t>
      </w:r>
    </w:p>
    <w:p w14:paraId="5BF08345">
      <w:pPr>
        <w:pStyle w:val="59"/>
        <w:ind w:firstLine="420"/>
      </w:pPr>
      <w:r>
        <w:rPr>
          <w:rFonts w:hint="eastAsia"/>
        </w:rPr>
        <w:t>本文件适用于广西行政区域内野生红茶的生产加工。</w:t>
      </w:r>
    </w:p>
    <w:p w14:paraId="34E8CA14">
      <w:pPr>
        <w:pStyle w:val="107"/>
        <w:spacing w:before="240" w:after="240"/>
      </w:pPr>
      <w:bookmarkStart w:id="38" w:name="_Toc26986531"/>
      <w:bookmarkStart w:id="39" w:name="_Toc26986772"/>
      <w:bookmarkStart w:id="40" w:name="_Toc26718931"/>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8006994B32D94B10829A838E1C261A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19D3D33">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D3489E">
      <w:pPr>
        <w:pStyle w:val="59"/>
        <w:ind w:firstLine="420"/>
        <w:rPr>
          <w:rFonts w:ascii="Times New Roman"/>
        </w:rPr>
      </w:pPr>
      <w:r>
        <w:rPr>
          <w:rFonts w:hint="eastAsia" w:ascii="Times New Roman"/>
        </w:rPr>
        <w:t>GB 3</w:t>
      </w:r>
      <w:r>
        <w:rPr>
          <w:rFonts w:ascii="Times New Roman"/>
        </w:rPr>
        <w:t>09</w:t>
      </w:r>
      <w:r>
        <w:rPr>
          <w:rFonts w:hint="eastAsia" w:ascii="Times New Roman"/>
        </w:rPr>
        <w:t>5  环境空气质量标准</w:t>
      </w:r>
    </w:p>
    <w:p w14:paraId="5A959A68">
      <w:pPr>
        <w:pStyle w:val="59"/>
        <w:ind w:firstLine="420"/>
        <w:rPr>
          <w:rFonts w:ascii="Times New Roman"/>
        </w:rPr>
      </w:pPr>
      <w:r>
        <w:rPr>
          <w:rFonts w:hint="eastAsia" w:ascii="Times New Roman"/>
        </w:rPr>
        <w:t>GB 5749  生活饮用水卫生标准</w:t>
      </w:r>
    </w:p>
    <w:p w14:paraId="38516CC9">
      <w:pPr>
        <w:pStyle w:val="59"/>
        <w:ind w:firstLine="420"/>
        <w:rPr>
          <w:rFonts w:ascii="Times New Roman"/>
        </w:rPr>
      </w:pPr>
      <w:r>
        <w:rPr>
          <w:rFonts w:hint="eastAsia" w:ascii="Times New Roman"/>
        </w:rPr>
        <w:t>GB 7718  食品安全国家标准 预包装食品标签通则</w:t>
      </w:r>
    </w:p>
    <w:p w14:paraId="26C72F2A">
      <w:pPr>
        <w:pStyle w:val="59"/>
        <w:ind w:firstLine="420"/>
        <w:rPr>
          <w:rFonts w:ascii="Times New Roman"/>
        </w:rPr>
      </w:pPr>
      <w:r>
        <w:rPr>
          <w:rFonts w:hint="eastAsia" w:ascii="Times New Roman"/>
        </w:rPr>
        <w:t>GB 14881 食品安全国家标准  食品生产通用卫生规范</w:t>
      </w:r>
    </w:p>
    <w:p w14:paraId="4269376C">
      <w:pPr>
        <w:pStyle w:val="59"/>
        <w:ind w:firstLine="420"/>
        <w:rPr>
          <w:rFonts w:ascii="Times New Roman"/>
        </w:rPr>
      </w:pPr>
      <w:r>
        <w:rPr>
          <w:rFonts w:hint="eastAsia" w:ascii="Times New Roman"/>
        </w:rPr>
        <w:t>GB/T 191  包装储运图示标志</w:t>
      </w:r>
    </w:p>
    <w:p w14:paraId="598009EB">
      <w:pPr>
        <w:pStyle w:val="59"/>
        <w:ind w:firstLine="420"/>
        <w:rPr>
          <w:rFonts w:ascii="Times New Roman"/>
        </w:rPr>
      </w:pPr>
      <w:r>
        <w:rPr>
          <w:rFonts w:hint="eastAsia" w:ascii="Times New Roman"/>
        </w:rPr>
        <w:t xml:space="preserve">GH/T 1070  </w:t>
      </w:r>
      <w:bookmarkStart w:id="42" w:name="_Hlk194917031"/>
      <w:r>
        <w:rPr>
          <w:rFonts w:hint="eastAsia" w:ascii="Times New Roman"/>
        </w:rPr>
        <w:t>茶叶包装通则</w:t>
      </w:r>
      <w:bookmarkEnd w:id="42"/>
    </w:p>
    <w:p w14:paraId="2009547D">
      <w:pPr>
        <w:pStyle w:val="59"/>
        <w:ind w:firstLine="420"/>
        <w:rPr>
          <w:rFonts w:ascii="Times New Roman"/>
        </w:rPr>
      </w:pPr>
      <w:r>
        <w:rPr>
          <w:rFonts w:hint="eastAsia" w:ascii="Times New Roman"/>
        </w:rPr>
        <w:t>GB/T 23776 茶叶感官审评方法</w:t>
      </w:r>
    </w:p>
    <w:p w14:paraId="20FB0A44">
      <w:pPr>
        <w:pStyle w:val="59"/>
        <w:ind w:firstLine="420"/>
        <w:rPr>
          <w:rFonts w:ascii="Times New Roman"/>
        </w:rPr>
      </w:pPr>
      <w:r>
        <w:rPr>
          <w:rFonts w:hint="eastAsia" w:ascii="Times New Roman"/>
        </w:rPr>
        <w:t>GB/T 30375 茶叶贮存通则</w:t>
      </w:r>
    </w:p>
    <w:p w14:paraId="59C597C9">
      <w:pPr>
        <w:pStyle w:val="59"/>
        <w:ind w:firstLine="420"/>
        <w:rPr>
          <w:rFonts w:ascii="Times New Roman"/>
        </w:rPr>
      </w:pPr>
      <w:r>
        <w:rPr>
          <w:rFonts w:hint="eastAsia" w:ascii="Times New Roman"/>
        </w:rPr>
        <w:t>NY/T3222  工夫红茶加工技术规范</w:t>
      </w:r>
    </w:p>
    <w:p w14:paraId="6841C8DB">
      <w:pPr>
        <w:pStyle w:val="59"/>
        <w:ind w:firstLine="420"/>
        <w:rPr>
          <w:rFonts w:ascii="Times New Roman"/>
        </w:rPr>
      </w:pPr>
      <w:r>
        <w:rPr>
          <w:rFonts w:hint="eastAsia" w:ascii="Times New Roman"/>
        </w:rPr>
        <w:t>NY/T5019  无公害食品 茶叶加工技术规程</w:t>
      </w:r>
    </w:p>
    <w:p w14:paraId="3EC37903">
      <w:pPr>
        <w:pStyle w:val="107"/>
        <w:spacing w:before="240" w:after="240"/>
      </w:pPr>
      <w:bookmarkStart w:id="43" w:name="_Toc97192966"/>
      <w:r>
        <w:rPr>
          <w:rFonts w:hint="eastAsia"/>
          <w:szCs w:val="21"/>
        </w:rPr>
        <w:t>术语和定义</w:t>
      </w:r>
      <w:bookmarkEnd w:id="43"/>
    </w:p>
    <w:sdt>
      <w:sdtPr>
        <w:id w:val="-1909835108"/>
        <w:placeholder>
          <w:docPart w:val="66869450E7E94E22BC53AC986D221C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C0640CD">
          <w:pPr>
            <w:pStyle w:val="59"/>
            <w:ind w:firstLine="420"/>
          </w:pPr>
          <w:bookmarkStart w:id="44" w:name="_Toc26986532"/>
          <w:bookmarkEnd w:id="44"/>
          <w:r>
            <w:t>下列术语和定义适用于本文件。</w:t>
          </w:r>
        </w:p>
      </w:sdtContent>
    </w:sdt>
    <w:p w14:paraId="46F0FB13">
      <w:pPr>
        <w:pStyle w:val="59"/>
        <w:ind w:firstLine="420"/>
      </w:pPr>
    </w:p>
    <w:p w14:paraId="3CF3377C">
      <w:pPr>
        <w:pStyle w:val="226"/>
        <w:ind w:left="420" w:hanging="420" w:hangingChars="200"/>
      </w:pPr>
      <w:r>
        <w:rPr>
          <w:rFonts w:ascii="黑体" w:hAnsi="黑体" w:eastAsia="黑体"/>
        </w:rPr>
        <w:br w:type="textWrapping"/>
      </w:r>
      <w:r>
        <w:rPr>
          <w:rFonts w:hint="eastAsia" w:ascii="黑体" w:hAnsi="黑体" w:eastAsia="黑体"/>
        </w:rPr>
        <w:t>野生茶树</w:t>
      </w:r>
      <w:r>
        <w:rPr>
          <w:rFonts w:ascii="Times New Roman" w:eastAsia="黑体"/>
        </w:rPr>
        <w:t xml:space="preserve"> </w:t>
      </w:r>
      <w:r>
        <w:rPr>
          <w:rFonts w:ascii="Times New Roman" w:eastAsia="黑体"/>
          <w:b/>
          <w:bCs/>
        </w:rPr>
        <w:t>wild tea plants</w:t>
      </w:r>
    </w:p>
    <w:p w14:paraId="024DFAE6">
      <w:pPr>
        <w:pStyle w:val="226"/>
        <w:numPr>
          <w:ilvl w:val="0"/>
          <w:numId w:val="0"/>
        </w:numPr>
        <w:ind w:firstLine="420" w:firstLineChars="200"/>
      </w:pPr>
      <w:r>
        <w:rPr>
          <w:rFonts w:hint="eastAsia"/>
        </w:rPr>
        <w:t>在自然环境下，未经人工栽培和驯化，自然生长的茶树。</w:t>
      </w:r>
    </w:p>
    <w:p w14:paraId="25DCD275">
      <w:pPr>
        <w:pStyle w:val="226"/>
        <w:ind w:left="420" w:hanging="420" w:hangingChars="200"/>
        <w:rPr>
          <w:rFonts w:hint="eastAsia" w:ascii="黑体" w:hAnsi="黑体" w:eastAsia="黑体"/>
        </w:rPr>
      </w:pPr>
    </w:p>
    <w:p w14:paraId="36686A63">
      <w:pPr>
        <w:pStyle w:val="226"/>
        <w:numPr>
          <w:ilvl w:val="0"/>
          <w:numId w:val="0"/>
        </w:numPr>
        <w:ind w:firstLine="420" w:firstLineChars="200"/>
        <w:rPr>
          <w:rFonts w:hint="eastAsia" w:ascii="黑体" w:hAnsi="黑体" w:eastAsia="黑体"/>
        </w:rPr>
      </w:pPr>
      <w:r>
        <w:rPr>
          <w:rFonts w:hint="eastAsia" w:ascii="黑体" w:hAnsi="黑体" w:eastAsia="黑体"/>
        </w:rPr>
        <w:t xml:space="preserve">广西野生红茶 </w:t>
      </w:r>
      <w:r>
        <w:rPr>
          <w:rFonts w:ascii="Times New Roman" w:eastAsia="黑体"/>
          <w:b/>
          <w:bCs/>
        </w:rPr>
        <w:t>Guangxi wild black tea</w:t>
      </w:r>
    </w:p>
    <w:p w14:paraId="6590AF5B">
      <w:pPr>
        <w:pStyle w:val="59"/>
        <w:ind w:firstLine="420"/>
      </w:pPr>
      <w:r>
        <w:rPr>
          <w:rFonts w:hint="eastAsia"/>
        </w:rPr>
        <w:t>以广西地区野生茶树资源品种（品系）的鲜叶为原料，加工而成的红茶产品，其外形条索紧结，甜香持久，滋味醇厚回甘，汤色红浓明亮，叶底红明亮。</w:t>
      </w:r>
      <w:r>
        <w:rPr>
          <w:rFonts w:ascii="黑体" w:hAnsi="黑体" w:eastAsia="黑体"/>
        </w:rPr>
        <w:br w:type="textWrapping"/>
      </w:r>
    </w:p>
    <w:p w14:paraId="7AA42AF2">
      <w:pPr>
        <w:pStyle w:val="107"/>
        <w:spacing w:before="240" w:after="240"/>
      </w:pPr>
      <w:r>
        <w:rPr>
          <w:rFonts w:hint="eastAsia"/>
        </w:rPr>
        <w:t>基本要求</w:t>
      </w:r>
    </w:p>
    <w:p w14:paraId="339B046D">
      <w:pPr>
        <w:pStyle w:val="108"/>
        <w:spacing w:before="120" w:after="120"/>
      </w:pPr>
      <w:r>
        <w:rPr>
          <w:rFonts w:hint="eastAsia"/>
        </w:rPr>
        <w:t>天气要求</w:t>
      </w:r>
    </w:p>
    <w:p w14:paraId="1FAEDEE5">
      <w:pPr>
        <w:pStyle w:val="59"/>
        <w:ind w:firstLine="420"/>
      </w:pPr>
      <w:bookmarkStart w:id="45" w:name="_Hlk205800207"/>
      <w:r>
        <w:rPr>
          <w:rFonts w:hint="eastAsia"/>
        </w:rPr>
        <w:t>选择凉爽、晴朗天气，避免雨天或高温高湿环境。</w:t>
      </w:r>
    </w:p>
    <w:p w14:paraId="044928B6">
      <w:pPr>
        <w:pStyle w:val="59"/>
        <w:ind w:firstLine="420"/>
      </w:pPr>
    </w:p>
    <w:p w14:paraId="125A8C95">
      <w:pPr>
        <w:pStyle w:val="108"/>
        <w:spacing w:before="120" w:after="120"/>
      </w:pPr>
      <w:r>
        <w:rPr>
          <w:rFonts w:hint="eastAsia"/>
        </w:rPr>
        <w:t>加工条件</w:t>
      </w:r>
    </w:p>
    <w:p w14:paraId="7E60232D">
      <w:pPr>
        <w:pStyle w:val="59"/>
        <w:ind w:firstLine="420"/>
        <w:rPr>
          <w:rFonts w:ascii="Times New Roman"/>
        </w:rPr>
      </w:pPr>
      <w:r>
        <w:rPr>
          <w:rFonts w:hint="eastAsia" w:ascii="Times New Roman"/>
        </w:rPr>
        <w:t>加工场所、设备和人员要求应符合GB 14881、NY/T 3222和NY/T 5019的规定，加工用水应符合GB 5749的要求，所处大气环境应符合GB 3095中规定的二级标准。</w:t>
      </w:r>
    </w:p>
    <w:p w14:paraId="3B49E469">
      <w:pPr>
        <w:pStyle w:val="59"/>
        <w:ind w:firstLine="420"/>
      </w:pPr>
    </w:p>
    <w:p w14:paraId="382573A6">
      <w:pPr>
        <w:pStyle w:val="107"/>
        <w:spacing w:before="240" w:after="240"/>
      </w:pPr>
      <w:r>
        <w:rPr>
          <w:rFonts w:hint="eastAsia"/>
        </w:rPr>
        <w:t>鲜叶原料要求</w:t>
      </w:r>
    </w:p>
    <w:p w14:paraId="3654823E">
      <w:pPr>
        <w:pStyle w:val="108"/>
        <w:spacing w:before="120" w:after="120"/>
      </w:pPr>
      <w:r>
        <w:rPr>
          <w:rFonts w:hint="eastAsia"/>
        </w:rPr>
        <w:t>采摘标准</w:t>
      </w:r>
    </w:p>
    <w:p w14:paraId="22A26F88">
      <w:pPr>
        <w:pStyle w:val="59"/>
        <w:ind w:firstLine="420"/>
        <w:rPr>
          <w:rFonts w:ascii="Times New Roman"/>
        </w:rPr>
      </w:pPr>
      <w:r>
        <w:rPr>
          <w:rFonts w:hint="eastAsia" w:ascii="Times New Roman"/>
        </w:rPr>
        <w:t>原料依据鲜叶嫩度分三级，具体要求如下：</w:t>
      </w:r>
    </w:p>
    <w:p w14:paraId="4C9D755E">
      <w:pPr>
        <w:pStyle w:val="59"/>
        <w:ind w:firstLine="420"/>
        <w:rPr>
          <w:rFonts w:ascii="Times New Roman"/>
        </w:rPr>
      </w:pPr>
      <w:r>
        <w:rPr>
          <w:rFonts w:hint="eastAsia" w:ascii="Times New Roman"/>
        </w:rPr>
        <w:t>——特级：一芽一叶的比例应不低于90％，芽叶匀整；</w:t>
      </w:r>
    </w:p>
    <w:p w14:paraId="4FAC837E">
      <w:pPr>
        <w:pStyle w:val="59"/>
        <w:ind w:firstLine="420"/>
        <w:rPr>
          <w:rFonts w:ascii="Times New Roman"/>
        </w:rPr>
      </w:pPr>
      <w:r>
        <w:rPr>
          <w:rFonts w:hint="eastAsia" w:ascii="Times New Roman"/>
        </w:rPr>
        <w:t>——一级：一芽二、三叶及同等嫩度的对夹叶的比例应不低于85％，芽叶匀整；</w:t>
      </w:r>
    </w:p>
    <w:p w14:paraId="50E959C1">
      <w:pPr>
        <w:pStyle w:val="59"/>
        <w:ind w:firstLine="420"/>
        <w:rPr>
          <w:rFonts w:ascii="Times New Roman"/>
        </w:rPr>
      </w:pPr>
      <w:r>
        <w:rPr>
          <w:rFonts w:hint="eastAsia" w:ascii="Times New Roman"/>
        </w:rPr>
        <w:t>——二级：一芽三、四叶及同等嫩度的对夹叶的比例应不低于85％。</w:t>
      </w:r>
    </w:p>
    <w:p w14:paraId="6976AE9A">
      <w:pPr>
        <w:pStyle w:val="108"/>
        <w:spacing w:before="120" w:after="120"/>
      </w:pPr>
      <w:r>
        <w:rPr>
          <w:rFonts w:hint="eastAsia"/>
        </w:rPr>
        <w:t>采摘时间</w:t>
      </w:r>
    </w:p>
    <w:p w14:paraId="7453A280">
      <w:pPr>
        <w:pStyle w:val="59"/>
        <w:ind w:firstLine="420"/>
        <w:rPr>
          <w:rFonts w:ascii="Times New Roman"/>
        </w:rPr>
      </w:pPr>
      <w:r>
        <w:rPr>
          <w:rFonts w:hint="eastAsia" w:ascii="Times New Roman"/>
        </w:rPr>
        <w:t>春季3月下旬</w:t>
      </w:r>
      <w:bookmarkStart w:id="46" w:name="_Hlk195025219"/>
      <w:r>
        <w:rPr>
          <w:rFonts w:hint="eastAsia" w:ascii="Times New Roman"/>
        </w:rPr>
        <w:t>～</w:t>
      </w:r>
      <w:bookmarkEnd w:id="46"/>
      <w:r>
        <w:rPr>
          <w:rFonts w:hint="eastAsia" w:ascii="Times New Roman"/>
        </w:rPr>
        <w:t>4月中旬，秋季9月下旬～10月中旬，采摘应选择连续晴天后的上午，避免露水叶、雨水叶，确保鲜叶干爽。</w:t>
      </w:r>
    </w:p>
    <w:p w14:paraId="2D7192A9">
      <w:pPr>
        <w:pStyle w:val="108"/>
        <w:spacing w:before="120" w:after="120"/>
      </w:pPr>
      <w:r>
        <w:rPr>
          <w:rFonts w:hint="eastAsia"/>
        </w:rPr>
        <w:t>采摘方法</w:t>
      </w:r>
    </w:p>
    <w:p w14:paraId="30E6AA30">
      <w:pPr>
        <w:pStyle w:val="59"/>
        <w:ind w:firstLine="420"/>
        <w:rPr>
          <w:rFonts w:ascii="Times New Roman"/>
        </w:rPr>
      </w:pPr>
      <w:r>
        <w:rPr>
          <w:rFonts w:hint="eastAsia" w:ascii="Times New Roman"/>
        </w:rPr>
        <w:t>采用提手采，不应掐采、捋采，防止芽叶破损或混入老梗。每枝留1～2片真叶，避免过度采摘。鲜叶轻放于透气的竹篮、竹篓等器具中，保持芽叶完整。</w:t>
      </w:r>
    </w:p>
    <w:p w14:paraId="5AE72507">
      <w:pPr>
        <w:pStyle w:val="108"/>
        <w:spacing w:before="120" w:after="120"/>
      </w:pPr>
      <w:r>
        <w:rPr>
          <w:rFonts w:hint="eastAsia"/>
        </w:rPr>
        <w:t>鲜叶装运</w:t>
      </w:r>
    </w:p>
    <w:p w14:paraId="56DABC60">
      <w:pPr>
        <w:pStyle w:val="59"/>
        <w:ind w:firstLine="420"/>
        <w:rPr>
          <w:rFonts w:ascii="Times New Roman"/>
        </w:rPr>
      </w:pPr>
      <w:r>
        <w:rPr>
          <w:rFonts w:hint="eastAsia" w:ascii="Times New Roman"/>
        </w:rPr>
        <w:t>盛装器具应清洁、无污染、透气性良好，防止鲜叶堆积发热、变质。鲜叶采摘后2小时内运送至加工厂，运输过程避免挤压、日晒。</w:t>
      </w:r>
    </w:p>
    <w:p w14:paraId="331529F7">
      <w:pPr>
        <w:pStyle w:val="107"/>
        <w:spacing w:before="240" w:after="240"/>
      </w:pPr>
      <w:r>
        <w:rPr>
          <w:rFonts w:hint="eastAsia"/>
        </w:rPr>
        <w:t>加工工艺流程</w:t>
      </w:r>
    </w:p>
    <w:p w14:paraId="26820159">
      <w:pPr>
        <w:pStyle w:val="59"/>
        <w:ind w:firstLine="420"/>
      </w:pPr>
      <w:r>
        <w:rPr>
          <w:rFonts w:hint="eastAsia"/>
        </w:rPr>
        <w:t>鲜叶验收→筛分摊放→萎凋</w:t>
      </w:r>
      <w:bookmarkStart w:id="47" w:name="_Hlk194914457"/>
      <w:r>
        <w:rPr>
          <w:rFonts w:hint="eastAsia"/>
        </w:rPr>
        <w:t>→</w:t>
      </w:r>
      <w:bookmarkEnd w:id="47"/>
      <w:r>
        <w:rPr>
          <w:rFonts w:hint="eastAsia"/>
        </w:rPr>
        <w:t>揉捻→发酵→烘干（毛火、足火）→提香→毛茶审评</w:t>
      </w:r>
      <w:bookmarkStart w:id="48" w:name="_Hlk194915650"/>
      <w:r>
        <w:rPr>
          <w:rFonts w:hint="eastAsia"/>
        </w:rPr>
        <w:t>→</w:t>
      </w:r>
      <w:bookmarkEnd w:id="48"/>
      <w:r>
        <w:rPr>
          <w:rFonts w:hint="eastAsia"/>
        </w:rPr>
        <w:t>精制→成品。</w:t>
      </w:r>
    </w:p>
    <w:p w14:paraId="6135FD8E">
      <w:pPr>
        <w:pStyle w:val="107"/>
        <w:spacing w:before="240" w:after="240"/>
      </w:pPr>
      <w:r>
        <w:rPr>
          <w:rFonts w:hint="eastAsia"/>
        </w:rPr>
        <w:t>加工技术要求</w:t>
      </w:r>
    </w:p>
    <w:p w14:paraId="43E99FE8">
      <w:pPr>
        <w:pStyle w:val="108"/>
        <w:spacing w:before="120" w:after="120"/>
      </w:pPr>
      <w:r>
        <w:rPr>
          <w:rFonts w:hint="eastAsia"/>
        </w:rPr>
        <w:t>鲜叶验收</w:t>
      </w:r>
    </w:p>
    <w:p w14:paraId="52A25001">
      <w:pPr>
        <w:pStyle w:val="59"/>
        <w:ind w:firstLine="420"/>
      </w:pPr>
      <w:r>
        <w:rPr>
          <w:rFonts w:hint="eastAsia"/>
        </w:rPr>
        <w:t>对采摘运回的鲜叶，按采摘标准严格检验，查看芽叶嫩度、匀度、净度和新鲜度，剔除不符合标准的鲜叶。按批次称重记录，标注采摘地点、时间、重量等信息，以便追溯。</w:t>
      </w:r>
    </w:p>
    <w:p w14:paraId="429458AF">
      <w:pPr>
        <w:pStyle w:val="108"/>
        <w:spacing w:before="120" w:after="120"/>
      </w:pPr>
      <w:r>
        <w:rPr>
          <w:rFonts w:hint="eastAsia"/>
        </w:rPr>
        <w:t>筛分摊放</w:t>
      </w:r>
    </w:p>
    <w:p w14:paraId="5E213ABE">
      <w:pPr>
        <w:pStyle w:val="59"/>
        <w:ind w:firstLine="420"/>
        <w:rPr>
          <w:rFonts w:ascii="Times New Roman"/>
        </w:rPr>
      </w:pPr>
      <w:r>
        <w:rPr>
          <w:rFonts w:hint="eastAsia" w:ascii="Times New Roman"/>
        </w:rPr>
        <w:t>将鲜叶分级摊放，老嫩分开，均匀摊放于通风、清洁的竹席或萎凋槽上，厚度3 cm～5 cm，避免积压。</w:t>
      </w:r>
    </w:p>
    <w:p w14:paraId="52E2AB08">
      <w:pPr>
        <w:pStyle w:val="108"/>
        <w:spacing w:before="120" w:after="120"/>
      </w:pPr>
      <w:r>
        <w:rPr>
          <w:rFonts w:hint="eastAsia"/>
        </w:rPr>
        <w:t>萎凋</w:t>
      </w:r>
    </w:p>
    <w:p w14:paraId="250AE2EE">
      <w:pPr>
        <w:pStyle w:val="59"/>
        <w:ind w:firstLine="420"/>
        <w:rPr>
          <w:rFonts w:ascii="Times New Roman"/>
        </w:rPr>
      </w:pPr>
      <w:r>
        <w:rPr>
          <w:rFonts w:ascii="Times New Roman"/>
        </w:rPr>
        <w:t>萎凋方式及工艺参数见表1。</w:t>
      </w:r>
    </w:p>
    <w:p w14:paraId="4ED7579A">
      <w:pPr>
        <w:pStyle w:val="80"/>
        <w:numPr>
          <w:ilvl w:val="0"/>
          <w:numId w:val="0"/>
        </w:numPr>
        <w:spacing w:before="120" w:after="120"/>
        <w:rPr>
          <w:rFonts w:ascii="Times New Roman"/>
        </w:rPr>
      </w:pPr>
      <w:r>
        <w:rPr>
          <w:rFonts w:hint="eastAsia" w:hAnsi="黑体" w:cs="黑体"/>
          <w:highlight w:val="lightGray"/>
        </w:rPr>
        <w:t>表</w:t>
      </w:r>
      <w:r>
        <w:rPr>
          <w:rFonts w:hint="eastAsia" w:hAnsi="黑体" w:cs="黑体"/>
        </w:rPr>
        <w:t>1</w:t>
      </w:r>
      <w:r>
        <w:rPr>
          <w:rFonts w:ascii="Times New Roman"/>
        </w:rPr>
        <w:t>不同萎凋方式工艺参数</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542"/>
        <w:gridCol w:w="2333"/>
        <w:gridCol w:w="2335"/>
      </w:tblGrid>
      <w:tr w14:paraId="59AF6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vMerge w:val="restart"/>
            <w:tcBorders>
              <w:top w:val="single" w:color="auto" w:sz="8" w:space="0"/>
            </w:tcBorders>
            <w:vAlign w:val="center"/>
          </w:tcPr>
          <w:p w14:paraId="3648923A">
            <w:pPr>
              <w:pStyle w:val="181"/>
              <w:rPr>
                <w:rFonts w:ascii="Times New Roman"/>
              </w:rPr>
            </w:pPr>
            <w:r>
              <w:rPr>
                <w:rFonts w:ascii="Times New Roman"/>
              </w:rPr>
              <w:t>工艺参数</w:t>
            </w:r>
          </w:p>
        </w:tc>
        <w:tc>
          <w:tcPr>
            <w:tcW w:w="8210" w:type="dxa"/>
            <w:gridSpan w:val="3"/>
            <w:tcBorders>
              <w:top w:val="single" w:color="auto" w:sz="8" w:space="0"/>
              <w:bottom w:val="single" w:color="auto" w:sz="4" w:space="0"/>
            </w:tcBorders>
          </w:tcPr>
          <w:p w14:paraId="436375EA">
            <w:pPr>
              <w:pStyle w:val="181"/>
              <w:rPr>
                <w:rFonts w:ascii="Times New Roman"/>
              </w:rPr>
            </w:pPr>
            <w:r>
              <w:rPr>
                <w:rFonts w:ascii="Times New Roman"/>
              </w:rPr>
              <w:t>萎凋方式</w:t>
            </w:r>
          </w:p>
        </w:tc>
      </w:tr>
      <w:tr w14:paraId="197CF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vMerge w:val="continue"/>
            <w:tcBorders>
              <w:bottom w:val="single" w:color="auto" w:sz="8" w:space="0"/>
            </w:tcBorders>
            <w:vAlign w:val="center"/>
          </w:tcPr>
          <w:p w14:paraId="3D4A8C41">
            <w:pPr>
              <w:pStyle w:val="181"/>
              <w:rPr>
                <w:rFonts w:ascii="Times New Roman"/>
              </w:rPr>
            </w:pPr>
          </w:p>
        </w:tc>
        <w:tc>
          <w:tcPr>
            <w:tcW w:w="3542" w:type="dxa"/>
            <w:tcBorders>
              <w:top w:val="single" w:color="auto" w:sz="4" w:space="0"/>
              <w:bottom w:val="single" w:color="auto" w:sz="8" w:space="0"/>
            </w:tcBorders>
          </w:tcPr>
          <w:p w14:paraId="6FF36690">
            <w:pPr>
              <w:pStyle w:val="181"/>
              <w:rPr>
                <w:rFonts w:ascii="Times New Roman"/>
              </w:rPr>
            </w:pPr>
            <w:r>
              <w:rPr>
                <w:rFonts w:ascii="Times New Roman"/>
              </w:rPr>
              <w:t>槽式萎凋</w:t>
            </w:r>
          </w:p>
        </w:tc>
        <w:tc>
          <w:tcPr>
            <w:tcW w:w="2333" w:type="dxa"/>
            <w:tcBorders>
              <w:top w:val="single" w:color="auto" w:sz="4" w:space="0"/>
              <w:bottom w:val="single" w:color="auto" w:sz="8" w:space="0"/>
            </w:tcBorders>
            <w:vAlign w:val="center"/>
          </w:tcPr>
          <w:p w14:paraId="67B2910E">
            <w:pPr>
              <w:pStyle w:val="181"/>
              <w:rPr>
                <w:rFonts w:ascii="Times New Roman"/>
              </w:rPr>
            </w:pPr>
            <w:r>
              <w:rPr>
                <w:rFonts w:ascii="Times New Roman"/>
              </w:rPr>
              <w:t>室内萎凋</w:t>
            </w:r>
          </w:p>
        </w:tc>
        <w:tc>
          <w:tcPr>
            <w:tcW w:w="2335" w:type="dxa"/>
            <w:tcBorders>
              <w:top w:val="single" w:color="auto" w:sz="4" w:space="0"/>
              <w:bottom w:val="single" w:color="auto" w:sz="8" w:space="0"/>
            </w:tcBorders>
            <w:vAlign w:val="center"/>
          </w:tcPr>
          <w:p w14:paraId="4873B1E8">
            <w:pPr>
              <w:pStyle w:val="181"/>
              <w:rPr>
                <w:rFonts w:ascii="Times New Roman"/>
              </w:rPr>
            </w:pPr>
            <w:r>
              <w:rPr>
                <w:rFonts w:ascii="Times New Roman"/>
              </w:rPr>
              <w:t>阳光房萎凋</w:t>
            </w:r>
          </w:p>
        </w:tc>
      </w:tr>
      <w:tr w14:paraId="37508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395EDA4A">
            <w:pPr>
              <w:pStyle w:val="181"/>
              <w:rPr>
                <w:rFonts w:ascii="Times New Roman"/>
              </w:rPr>
            </w:pPr>
            <w:r>
              <w:rPr>
                <w:rFonts w:ascii="Times New Roman"/>
              </w:rPr>
              <w:t>温湿度</w:t>
            </w:r>
          </w:p>
        </w:tc>
        <w:tc>
          <w:tcPr>
            <w:tcW w:w="3542" w:type="dxa"/>
            <w:tcBorders>
              <w:top w:val="single" w:color="auto" w:sz="8" w:space="0"/>
            </w:tcBorders>
          </w:tcPr>
          <w:p w14:paraId="79C0553D">
            <w:pPr>
              <w:pStyle w:val="181"/>
              <w:rPr>
                <w:rFonts w:ascii="Times New Roman"/>
              </w:rPr>
            </w:pPr>
            <w:r>
              <w:rPr>
                <w:rFonts w:ascii="Times New Roman"/>
              </w:rPr>
              <w:t>鼓风机气流温度25 ℃～35 ℃，先高后低，下叶前10 min～15 min停止鼓热风改为鼓自然风</w:t>
            </w:r>
          </w:p>
        </w:tc>
        <w:tc>
          <w:tcPr>
            <w:tcW w:w="2333" w:type="dxa"/>
            <w:tcBorders>
              <w:top w:val="single" w:color="auto" w:sz="8" w:space="0"/>
            </w:tcBorders>
            <w:vAlign w:val="center"/>
          </w:tcPr>
          <w:p w14:paraId="06E9214D">
            <w:pPr>
              <w:pStyle w:val="181"/>
              <w:rPr>
                <w:rFonts w:ascii="Times New Roman"/>
              </w:rPr>
            </w:pPr>
            <w:r>
              <w:rPr>
                <w:rFonts w:ascii="Times New Roman"/>
              </w:rPr>
              <w:t>温度25 ℃～30 ℃，相对温湿60％～70％</w:t>
            </w:r>
          </w:p>
        </w:tc>
        <w:tc>
          <w:tcPr>
            <w:tcW w:w="2335" w:type="dxa"/>
            <w:tcBorders>
              <w:top w:val="single" w:color="auto" w:sz="8" w:space="0"/>
            </w:tcBorders>
            <w:vAlign w:val="center"/>
          </w:tcPr>
          <w:p w14:paraId="38AF4756">
            <w:pPr>
              <w:pStyle w:val="181"/>
              <w:rPr>
                <w:rFonts w:ascii="Times New Roman"/>
              </w:rPr>
            </w:pPr>
            <w:r>
              <w:rPr>
                <w:rFonts w:ascii="Times New Roman"/>
              </w:rPr>
              <w:t>温度25 ℃～30 ℃，相对温湿60％～70％</w:t>
            </w:r>
          </w:p>
        </w:tc>
      </w:tr>
      <w:tr w14:paraId="18607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7AC7D5D">
            <w:pPr>
              <w:pStyle w:val="181"/>
              <w:rPr>
                <w:rFonts w:ascii="Times New Roman"/>
              </w:rPr>
            </w:pPr>
            <w:r>
              <w:rPr>
                <w:rFonts w:ascii="Times New Roman"/>
              </w:rPr>
              <w:t>摊叶</w:t>
            </w:r>
          </w:p>
        </w:tc>
        <w:tc>
          <w:tcPr>
            <w:tcW w:w="3542" w:type="dxa"/>
          </w:tcPr>
          <w:p w14:paraId="3ADD4E27">
            <w:pPr>
              <w:pStyle w:val="181"/>
              <w:rPr>
                <w:rFonts w:ascii="Times New Roman"/>
              </w:rPr>
            </w:pPr>
            <w:bookmarkStart w:id="49" w:name="_Hlk194914919"/>
            <w:r>
              <w:rPr>
                <w:rFonts w:ascii="Times New Roman"/>
              </w:rPr>
              <w:t>10 cm～20 cm</w:t>
            </w:r>
            <w:bookmarkEnd w:id="49"/>
            <w:r>
              <w:rPr>
                <w:rFonts w:ascii="Times New Roman"/>
              </w:rPr>
              <w:t>，嫩叶、雨水叶薄摊，老叶厚摊</w:t>
            </w:r>
          </w:p>
        </w:tc>
        <w:tc>
          <w:tcPr>
            <w:tcW w:w="2333" w:type="dxa"/>
            <w:vAlign w:val="center"/>
          </w:tcPr>
          <w:p w14:paraId="1F521AB9">
            <w:pPr>
              <w:pStyle w:val="181"/>
              <w:rPr>
                <w:rFonts w:ascii="Times New Roman"/>
              </w:rPr>
            </w:pPr>
            <w:r>
              <w:rPr>
                <w:rFonts w:ascii="Times New Roman"/>
              </w:rPr>
              <w:t>2 cm～5 cm，嫩叶、雨水叶薄摊，老叶厚摊</w:t>
            </w:r>
          </w:p>
        </w:tc>
        <w:tc>
          <w:tcPr>
            <w:tcW w:w="2335" w:type="dxa"/>
            <w:vAlign w:val="center"/>
          </w:tcPr>
          <w:p w14:paraId="2BD7FF0E">
            <w:pPr>
              <w:pStyle w:val="181"/>
              <w:rPr>
                <w:rFonts w:ascii="Times New Roman"/>
              </w:rPr>
            </w:pPr>
            <w:r>
              <w:rPr>
                <w:rFonts w:ascii="Times New Roman"/>
              </w:rPr>
              <w:t>2 cm～5 cm，嫩叶、雨水叶薄摊，老叶厚摊</w:t>
            </w:r>
          </w:p>
        </w:tc>
      </w:tr>
      <w:tr w14:paraId="72408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81D480B">
            <w:pPr>
              <w:pStyle w:val="181"/>
              <w:rPr>
                <w:rFonts w:ascii="Times New Roman"/>
              </w:rPr>
            </w:pPr>
            <w:r>
              <w:rPr>
                <w:rFonts w:ascii="Times New Roman"/>
              </w:rPr>
              <w:t>风量</w:t>
            </w:r>
          </w:p>
        </w:tc>
        <w:tc>
          <w:tcPr>
            <w:tcW w:w="3542" w:type="dxa"/>
          </w:tcPr>
          <w:p w14:paraId="04F21703">
            <w:pPr>
              <w:pStyle w:val="181"/>
              <w:rPr>
                <w:rFonts w:ascii="Times New Roman"/>
              </w:rPr>
            </w:pPr>
            <w:r>
              <w:rPr>
                <w:rFonts w:ascii="Times New Roman"/>
              </w:rPr>
              <w:t>15 000 m²/h～20000 m²/h.根据叶层调节</w:t>
            </w:r>
          </w:p>
        </w:tc>
        <w:tc>
          <w:tcPr>
            <w:tcW w:w="2333" w:type="dxa"/>
            <w:vAlign w:val="center"/>
          </w:tcPr>
          <w:p w14:paraId="2661A49D">
            <w:pPr>
              <w:pStyle w:val="181"/>
              <w:rPr>
                <w:rFonts w:ascii="Times New Roman"/>
              </w:rPr>
            </w:pPr>
            <w:r>
              <w:rPr>
                <w:rFonts w:ascii="Times New Roman"/>
                <w:szCs w:val="18"/>
              </w:rPr>
              <w:t>—</w:t>
            </w:r>
          </w:p>
        </w:tc>
        <w:tc>
          <w:tcPr>
            <w:tcW w:w="2335" w:type="dxa"/>
            <w:vAlign w:val="center"/>
          </w:tcPr>
          <w:p w14:paraId="0AF4F3FB">
            <w:pPr>
              <w:pStyle w:val="181"/>
              <w:rPr>
                <w:rFonts w:ascii="Times New Roman"/>
              </w:rPr>
            </w:pPr>
            <w:r>
              <w:rPr>
                <w:rFonts w:ascii="Times New Roman"/>
                <w:szCs w:val="18"/>
              </w:rPr>
              <w:t>—</w:t>
            </w:r>
          </w:p>
        </w:tc>
      </w:tr>
      <w:tr w14:paraId="3FB26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0C53A10">
            <w:pPr>
              <w:pStyle w:val="181"/>
              <w:rPr>
                <w:rFonts w:ascii="Times New Roman"/>
              </w:rPr>
            </w:pPr>
            <w:r>
              <w:rPr>
                <w:rFonts w:ascii="Times New Roman"/>
              </w:rPr>
              <w:t>翻拌</w:t>
            </w:r>
          </w:p>
        </w:tc>
        <w:tc>
          <w:tcPr>
            <w:tcW w:w="3542" w:type="dxa"/>
          </w:tcPr>
          <w:p w14:paraId="29CA3BC5">
            <w:pPr>
              <w:pStyle w:val="181"/>
              <w:rPr>
                <w:rFonts w:ascii="Times New Roman"/>
              </w:rPr>
            </w:pPr>
            <w:r>
              <w:rPr>
                <w:rFonts w:ascii="Times New Roman"/>
              </w:rPr>
              <w:t>鼓风1 h停15 min：轻翻抖匀</w:t>
            </w:r>
          </w:p>
        </w:tc>
        <w:tc>
          <w:tcPr>
            <w:tcW w:w="2333" w:type="dxa"/>
            <w:vAlign w:val="center"/>
          </w:tcPr>
          <w:p w14:paraId="1951419F">
            <w:pPr>
              <w:pStyle w:val="181"/>
              <w:rPr>
                <w:rFonts w:ascii="Times New Roman"/>
              </w:rPr>
            </w:pPr>
            <w:r>
              <w:rPr>
                <w:rFonts w:ascii="Times New Roman"/>
              </w:rPr>
              <w:t>每隔2 h～3 h轻翻抖一次</w:t>
            </w:r>
          </w:p>
        </w:tc>
        <w:tc>
          <w:tcPr>
            <w:tcW w:w="2335" w:type="dxa"/>
            <w:vAlign w:val="center"/>
          </w:tcPr>
          <w:p w14:paraId="5D4F2104">
            <w:pPr>
              <w:pStyle w:val="181"/>
              <w:rPr>
                <w:rFonts w:ascii="Times New Roman"/>
              </w:rPr>
            </w:pPr>
            <w:r>
              <w:rPr>
                <w:rFonts w:ascii="Times New Roman"/>
              </w:rPr>
              <w:t>隔2 h～3 h轻翻抖一次</w:t>
            </w:r>
          </w:p>
        </w:tc>
      </w:tr>
      <w:tr w14:paraId="53861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B684078">
            <w:pPr>
              <w:pStyle w:val="181"/>
              <w:rPr>
                <w:rFonts w:ascii="Times New Roman"/>
              </w:rPr>
            </w:pPr>
            <w:r>
              <w:rPr>
                <w:rFonts w:ascii="Times New Roman"/>
              </w:rPr>
              <w:t>时间</w:t>
            </w:r>
          </w:p>
        </w:tc>
        <w:tc>
          <w:tcPr>
            <w:tcW w:w="3542" w:type="dxa"/>
          </w:tcPr>
          <w:p w14:paraId="6445F0B9">
            <w:pPr>
              <w:pStyle w:val="181"/>
              <w:rPr>
                <w:rFonts w:ascii="Times New Roman"/>
              </w:rPr>
            </w:pPr>
            <w:r>
              <w:rPr>
                <w:rFonts w:ascii="Times New Roman"/>
              </w:rPr>
              <w:t>8 h</w:t>
            </w:r>
            <w:bookmarkStart w:id="50" w:name="OLE_LINK2"/>
            <w:r>
              <w:rPr>
                <w:rFonts w:ascii="Times New Roman"/>
              </w:rPr>
              <w:t>～</w:t>
            </w:r>
            <w:bookmarkEnd w:id="50"/>
            <w:r>
              <w:rPr>
                <w:rFonts w:ascii="Times New Roman"/>
              </w:rPr>
              <w:t>12 h</w:t>
            </w:r>
          </w:p>
        </w:tc>
        <w:tc>
          <w:tcPr>
            <w:tcW w:w="2333" w:type="dxa"/>
            <w:vAlign w:val="center"/>
          </w:tcPr>
          <w:p w14:paraId="297E2013">
            <w:pPr>
              <w:pStyle w:val="181"/>
              <w:rPr>
                <w:rFonts w:ascii="Times New Roman"/>
              </w:rPr>
            </w:pPr>
            <w:r>
              <w:rPr>
                <w:rFonts w:ascii="Times New Roman"/>
              </w:rPr>
              <w:t>12 h～16 h</w:t>
            </w:r>
          </w:p>
        </w:tc>
        <w:tc>
          <w:tcPr>
            <w:tcW w:w="2335" w:type="dxa"/>
            <w:vAlign w:val="center"/>
          </w:tcPr>
          <w:p w14:paraId="66A142A1">
            <w:pPr>
              <w:pStyle w:val="181"/>
              <w:rPr>
                <w:rFonts w:ascii="Times New Roman"/>
              </w:rPr>
            </w:pPr>
            <w:r>
              <w:rPr>
                <w:rFonts w:ascii="Times New Roman"/>
              </w:rPr>
              <w:t>8 h～12 h</w:t>
            </w:r>
          </w:p>
        </w:tc>
      </w:tr>
      <w:tr w14:paraId="24CBC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7C3FCA4">
            <w:pPr>
              <w:pStyle w:val="181"/>
              <w:rPr>
                <w:rFonts w:ascii="Times New Roman"/>
              </w:rPr>
            </w:pPr>
            <w:r>
              <w:rPr>
                <w:rFonts w:ascii="Times New Roman"/>
              </w:rPr>
              <w:t>程度</w:t>
            </w:r>
          </w:p>
        </w:tc>
        <w:tc>
          <w:tcPr>
            <w:tcW w:w="8210" w:type="dxa"/>
            <w:gridSpan w:val="3"/>
          </w:tcPr>
          <w:p w14:paraId="0BF72ED1">
            <w:pPr>
              <w:pStyle w:val="181"/>
              <w:tabs>
                <w:tab w:val="left" w:pos="3270"/>
              </w:tabs>
              <w:rPr>
                <w:rFonts w:ascii="Times New Roman"/>
              </w:rPr>
            </w:pPr>
            <w:r>
              <w:rPr>
                <w:rFonts w:ascii="Times New Roman"/>
              </w:rPr>
              <w:t>芽叶色暗，柔软，80％～85％嫩茎折不断，青气减退，手握成团松手慢散开，含水率61％～63％</w:t>
            </w:r>
          </w:p>
        </w:tc>
      </w:tr>
    </w:tbl>
    <w:p w14:paraId="13F5BD62">
      <w:pPr>
        <w:pStyle w:val="59"/>
        <w:ind w:firstLine="420"/>
      </w:pPr>
    </w:p>
    <w:p w14:paraId="50953C2D">
      <w:pPr>
        <w:pStyle w:val="59"/>
        <w:ind w:firstLine="420"/>
      </w:pPr>
    </w:p>
    <w:p w14:paraId="11F22353">
      <w:pPr>
        <w:pStyle w:val="108"/>
        <w:spacing w:before="120" w:after="120"/>
      </w:pPr>
      <w:r>
        <w:rPr>
          <w:rFonts w:hint="eastAsia"/>
        </w:rPr>
        <w:t>揉捻</w:t>
      </w:r>
    </w:p>
    <w:p w14:paraId="2E4154DC">
      <w:pPr>
        <w:pStyle w:val="59"/>
        <w:ind w:firstLine="420"/>
        <w:rPr>
          <w:rFonts w:ascii="Times New Roman"/>
        </w:rPr>
      </w:pPr>
      <w:r>
        <w:rPr>
          <w:rFonts w:ascii="Times New Roman"/>
        </w:rPr>
        <w:t>采用长时慢揉、分次加压（先轻后重），嫩叶轻压、老叶重压，确保芽叶成条率≥95％，细胞破碎率≥80％。揉捻时间及加压方式见表2。</w:t>
      </w:r>
    </w:p>
    <w:p w14:paraId="1152ADA9">
      <w:pPr>
        <w:pStyle w:val="59"/>
        <w:ind w:firstLine="420"/>
      </w:pPr>
    </w:p>
    <w:p w14:paraId="6EC616D4">
      <w:pPr>
        <w:pStyle w:val="80"/>
        <w:numPr>
          <w:ilvl w:val="0"/>
          <w:numId w:val="0"/>
        </w:numPr>
        <w:spacing w:before="120" w:after="120"/>
        <w:rPr>
          <w:rFonts w:ascii="Times New Roman"/>
        </w:rPr>
      </w:pPr>
      <w:r>
        <w:rPr>
          <w:rFonts w:hint="eastAsia" w:hAnsi="黑体" w:cs="黑体"/>
          <w:highlight w:val="lightGray"/>
          <w:shd w:val="clear" w:color="FFFFFF" w:fill="D9D9D9"/>
        </w:rPr>
        <w:t>表</w:t>
      </w:r>
      <w:r>
        <w:rPr>
          <w:rFonts w:hint="default" w:ascii="Times New Roman" w:hAnsi="Times New Roman" w:cs="Times New Roman"/>
        </w:rPr>
        <w:t>2</w:t>
      </w:r>
      <w:r>
        <w:rPr>
          <w:rFonts w:ascii="Times New Roman"/>
        </w:rPr>
        <w:t xml:space="preserve"> </w:t>
      </w:r>
      <w:bookmarkStart w:id="51" w:name="_Hlk205803710"/>
      <w:r>
        <w:rPr>
          <w:rFonts w:ascii="Times New Roman"/>
        </w:rPr>
        <w:t>揉捻时间及加压方式</w:t>
      </w:r>
      <w:bookmarkEnd w:id="51"/>
    </w:p>
    <w:p w14:paraId="45477567">
      <w:pPr>
        <w:pStyle w:val="181"/>
        <w:ind w:right="720"/>
        <w:rPr>
          <w:rFonts w:ascii="Times New Roman"/>
        </w:rPr>
      </w:pPr>
      <w:r>
        <w:rPr>
          <w:rFonts w:ascii="Times New Roman"/>
        </w:rPr>
        <w:t xml:space="preserve">                                                                       单位：min</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3"/>
        <w:gridCol w:w="1333"/>
        <w:gridCol w:w="1333"/>
        <w:gridCol w:w="1333"/>
        <w:gridCol w:w="1333"/>
        <w:gridCol w:w="1333"/>
        <w:gridCol w:w="1336"/>
      </w:tblGrid>
      <w:tr w14:paraId="0CACB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3" w:type="dxa"/>
            <w:vMerge w:val="restart"/>
            <w:tcBorders>
              <w:top w:val="single" w:color="auto" w:sz="8" w:space="0"/>
            </w:tcBorders>
            <w:vAlign w:val="center"/>
          </w:tcPr>
          <w:p w14:paraId="4066A4DF">
            <w:pPr>
              <w:pStyle w:val="181"/>
              <w:rPr>
                <w:rFonts w:ascii="Times New Roman"/>
              </w:rPr>
            </w:pPr>
            <w:r>
              <w:rPr>
                <w:rFonts w:ascii="Times New Roman"/>
              </w:rPr>
              <w:t>原料级别</w:t>
            </w:r>
          </w:p>
        </w:tc>
        <w:tc>
          <w:tcPr>
            <w:tcW w:w="6665" w:type="dxa"/>
            <w:gridSpan w:val="5"/>
            <w:tcBorders>
              <w:top w:val="single" w:color="auto" w:sz="8" w:space="0"/>
              <w:bottom w:val="single" w:color="auto" w:sz="4" w:space="0"/>
            </w:tcBorders>
          </w:tcPr>
          <w:p w14:paraId="3CCFE18B">
            <w:pPr>
              <w:pStyle w:val="181"/>
              <w:rPr>
                <w:rFonts w:ascii="Times New Roman"/>
              </w:rPr>
            </w:pPr>
            <w:r>
              <w:rPr>
                <w:rFonts w:ascii="Times New Roman"/>
              </w:rPr>
              <w:t>揉捻程度</w:t>
            </w:r>
          </w:p>
        </w:tc>
        <w:tc>
          <w:tcPr>
            <w:tcW w:w="1336" w:type="dxa"/>
            <w:vMerge w:val="restart"/>
            <w:tcBorders>
              <w:top w:val="single" w:color="auto" w:sz="8" w:space="0"/>
            </w:tcBorders>
            <w:vAlign w:val="center"/>
          </w:tcPr>
          <w:p w14:paraId="0E0C65DE">
            <w:pPr>
              <w:pStyle w:val="181"/>
              <w:rPr>
                <w:rFonts w:ascii="Times New Roman"/>
              </w:rPr>
            </w:pPr>
            <w:r>
              <w:rPr>
                <w:rFonts w:ascii="Times New Roman"/>
              </w:rPr>
              <w:t>总时间</w:t>
            </w:r>
          </w:p>
        </w:tc>
      </w:tr>
      <w:tr w14:paraId="73376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333" w:type="dxa"/>
            <w:vMerge w:val="continue"/>
            <w:tcBorders>
              <w:bottom w:val="single" w:color="auto" w:sz="8" w:space="0"/>
            </w:tcBorders>
            <w:vAlign w:val="center"/>
          </w:tcPr>
          <w:p w14:paraId="4330C419">
            <w:pPr>
              <w:pStyle w:val="181"/>
              <w:rPr>
                <w:rFonts w:ascii="Times New Roman"/>
              </w:rPr>
            </w:pPr>
          </w:p>
        </w:tc>
        <w:tc>
          <w:tcPr>
            <w:tcW w:w="1333" w:type="dxa"/>
            <w:tcBorders>
              <w:top w:val="single" w:color="auto" w:sz="4" w:space="0"/>
              <w:bottom w:val="single" w:color="auto" w:sz="8" w:space="0"/>
            </w:tcBorders>
          </w:tcPr>
          <w:p w14:paraId="40DFDA42">
            <w:pPr>
              <w:pStyle w:val="181"/>
              <w:rPr>
                <w:rFonts w:ascii="Times New Roman"/>
              </w:rPr>
            </w:pPr>
            <w:r>
              <w:rPr>
                <w:rFonts w:ascii="Times New Roman"/>
              </w:rPr>
              <w:t>不加压</w:t>
            </w:r>
          </w:p>
        </w:tc>
        <w:tc>
          <w:tcPr>
            <w:tcW w:w="1333" w:type="dxa"/>
            <w:tcBorders>
              <w:top w:val="single" w:color="auto" w:sz="4" w:space="0"/>
              <w:bottom w:val="single" w:color="auto" w:sz="8" w:space="0"/>
            </w:tcBorders>
          </w:tcPr>
          <w:p w14:paraId="66C4F462">
            <w:pPr>
              <w:pStyle w:val="181"/>
              <w:rPr>
                <w:rFonts w:ascii="Times New Roman"/>
              </w:rPr>
            </w:pPr>
            <w:r>
              <w:rPr>
                <w:rFonts w:ascii="Times New Roman"/>
              </w:rPr>
              <w:t>轻压</w:t>
            </w:r>
          </w:p>
        </w:tc>
        <w:tc>
          <w:tcPr>
            <w:tcW w:w="1333" w:type="dxa"/>
            <w:tcBorders>
              <w:top w:val="single" w:color="auto" w:sz="4" w:space="0"/>
              <w:bottom w:val="single" w:color="auto" w:sz="8" w:space="0"/>
            </w:tcBorders>
          </w:tcPr>
          <w:p w14:paraId="2CE04EB6">
            <w:pPr>
              <w:pStyle w:val="181"/>
              <w:rPr>
                <w:rFonts w:ascii="Times New Roman"/>
              </w:rPr>
            </w:pPr>
            <w:r>
              <w:rPr>
                <w:rFonts w:ascii="Times New Roman"/>
              </w:rPr>
              <w:t>中压</w:t>
            </w:r>
          </w:p>
        </w:tc>
        <w:tc>
          <w:tcPr>
            <w:tcW w:w="1333" w:type="dxa"/>
            <w:tcBorders>
              <w:top w:val="single" w:color="auto" w:sz="4" w:space="0"/>
              <w:bottom w:val="single" w:color="auto" w:sz="8" w:space="0"/>
            </w:tcBorders>
          </w:tcPr>
          <w:p w14:paraId="3438604E">
            <w:pPr>
              <w:pStyle w:val="181"/>
              <w:rPr>
                <w:rFonts w:ascii="Times New Roman"/>
              </w:rPr>
            </w:pPr>
            <w:r>
              <w:rPr>
                <w:rFonts w:ascii="Times New Roman"/>
              </w:rPr>
              <w:t>重压</w:t>
            </w:r>
          </w:p>
        </w:tc>
        <w:tc>
          <w:tcPr>
            <w:tcW w:w="1333" w:type="dxa"/>
            <w:tcBorders>
              <w:top w:val="single" w:color="auto" w:sz="4" w:space="0"/>
              <w:bottom w:val="single" w:color="auto" w:sz="8" w:space="0"/>
            </w:tcBorders>
            <w:vAlign w:val="center"/>
          </w:tcPr>
          <w:p w14:paraId="71D34F0C">
            <w:pPr>
              <w:pStyle w:val="181"/>
              <w:rPr>
                <w:rFonts w:ascii="Times New Roman"/>
              </w:rPr>
            </w:pPr>
            <w:r>
              <w:rPr>
                <w:rFonts w:ascii="Times New Roman"/>
              </w:rPr>
              <w:t>空揉</w:t>
            </w:r>
          </w:p>
        </w:tc>
        <w:tc>
          <w:tcPr>
            <w:tcW w:w="1336" w:type="dxa"/>
            <w:vMerge w:val="continue"/>
            <w:tcBorders>
              <w:bottom w:val="single" w:color="auto" w:sz="8" w:space="0"/>
            </w:tcBorders>
            <w:vAlign w:val="center"/>
          </w:tcPr>
          <w:p w14:paraId="528C80D6">
            <w:pPr>
              <w:pStyle w:val="181"/>
              <w:rPr>
                <w:rFonts w:ascii="Times New Roman"/>
              </w:rPr>
            </w:pPr>
          </w:p>
        </w:tc>
      </w:tr>
      <w:tr w14:paraId="22F96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3" w:type="dxa"/>
            <w:tcBorders>
              <w:top w:val="single" w:color="auto" w:sz="8" w:space="0"/>
            </w:tcBorders>
            <w:vAlign w:val="center"/>
          </w:tcPr>
          <w:p w14:paraId="59E91F61">
            <w:pPr>
              <w:pStyle w:val="181"/>
              <w:rPr>
                <w:rFonts w:ascii="Times New Roman"/>
              </w:rPr>
            </w:pPr>
            <w:r>
              <w:rPr>
                <w:rFonts w:ascii="Times New Roman"/>
              </w:rPr>
              <w:t>特级</w:t>
            </w:r>
          </w:p>
        </w:tc>
        <w:tc>
          <w:tcPr>
            <w:tcW w:w="1333" w:type="dxa"/>
            <w:tcBorders>
              <w:top w:val="single" w:color="auto" w:sz="8" w:space="0"/>
            </w:tcBorders>
          </w:tcPr>
          <w:p w14:paraId="6A905340">
            <w:pPr>
              <w:pStyle w:val="181"/>
              <w:rPr>
                <w:rFonts w:ascii="Times New Roman"/>
              </w:rPr>
            </w:pPr>
            <w:r>
              <w:rPr>
                <w:rFonts w:ascii="Times New Roman"/>
              </w:rPr>
              <w:t>10～15</w:t>
            </w:r>
          </w:p>
        </w:tc>
        <w:tc>
          <w:tcPr>
            <w:tcW w:w="1333" w:type="dxa"/>
            <w:tcBorders>
              <w:top w:val="single" w:color="auto" w:sz="8" w:space="0"/>
            </w:tcBorders>
          </w:tcPr>
          <w:p w14:paraId="72DA620F">
            <w:pPr>
              <w:pStyle w:val="181"/>
              <w:rPr>
                <w:rFonts w:ascii="Times New Roman"/>
              </w:rPr>
            </w:pPr>
            <w:r>
              <w:rPr>
                <w:rFonts w:ascii="Times New Roman"/>
              </w:rPr>
              <w:t>15</w:t>
            </w:r>
          </w:p>
        </w:tc>
        <w:tc>
          <w:tcPr>
            <w:tcW w:w="1333" w:type="dxa"/>
            <w:tcBorders>
              <w:top w:val="single" w:color="auto" w:sz="8" w:space="0"/>
            </w:tcBorders>
          </w:tcPr>
          <w:p w14:paraId="75174049">
            <w:pPr>
              <w:pStyle w:val="181"/>
              <w:rPr>
                <w:rFonts w:ascii="Times New Roman"/>
              </w:rPr>
            </w:pPr>
            <w:r>
              <w:rPr>
                <w:rFonts w:ascii="Times New Roman"/>
              </w:rPr>
              <w:t>10～15</w:t>
            </w:r>
          </w:p>
        </w:tc>
        <w:tc>
          <w:tcPr>
            <w:tcW w:w="1333" w:type="dxa"/>
            <w:tcBorders>
              <w:top w:val="single" w:color="auto" w:sz="8" w:space="0"/>
            </w:tcBorders>
          </w:tcPr>
          <w:p w14:paraId="355B3B5D">
            <w:pPr>
              <w:pStyle w:val="181"/>
              <w:rPr>
                <w:rFonts w:ascii="Times New Roman"/>
              </w:rPr>
            </w:pPr>
            <w:r>
              <w:rPr>
                <w:rFonts w:ascii="Times New Roman"/>
              </w:rPr>
              <w:t>5</w:t>
            </w:r>
          </w:p>
        </w:tc>
        <w:tc>
          <w:tcPr>
            <w:tcW w:w="1333" w:type="dxa"/>
            <w:tcBorders>
              <w:top w:val="single" w:color="auto" w:sz="8" w:space="0"/>
            </w:tcBorders>
            <w:vAlign w:val="center"/>
          </w:tcPr>
          <w:p w14:paraId="5F65A57A">
            <w:pPr>
              <w:pStyle w:val="181"/>
              <w:rPr>
                <w:rFonts w:ascii="Times New Roman"/>
              </w:rPr>
            </w:pPr>
            <w:r>
              <w:rPr>
                <w:rFonts w:ascii="Times New Roman"/>
              </w:rPr>
              <w:t>10</w:t>
            </w:r>
          </w:p>
        </w:tc>
        <w:tc>
          <w:tcPr>
            <w:tcW w:w="1336" w:type="dxa"/>
            <w:tcBorders>
              <w:top w:val="single" w:color="auto" w:sz="8" w:space="0"/>
            </w:tcBorders>
            <w:vAlign w:val="center"/>
          </w:tcPr>
          <w:p w14:paraId="598A1FF9">
            <w:pPr>
              <w:pStyle w:val="181"/>
              <w:rPr>
                <w:rFonts w:ascii="Times New Roman"/>
              </w:rPr>
            </w:pPr>
            <w:r>
              <w:rPr>
                <w:rFonts w:ascii="Times New Roman"/>
              </w:rPr>
              <w:t>60</w:t>
            </w:r>
          </w:p>
        </w:tc>
      </w:tr>
      <w:tr w14:paraId="736E7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3" w:type="dxa"/>
            <w:vAlign w:val="center"/>
          </w:tcPr>
          <w:p w14:paraId="5502985E">
            <w:pPr>
              <w:pStyle w:val="181"/>
              <w:rPr>
                <w:rFonts w:ascii="Times New Roman"/>
              </w:rPr>
            </w:pPr>
            <w:r>
              <w:rPr>
                <w:rFonts w:ascii="Times New Roman"/>
              </w:rPr>
              <w:t>一级</w:t>
            </w:r>
          </w:p>
        </w:tc>
        <w:tc>
          <w:tcPr>
            <w:tcW w:w="1333" w:type="dxa"/>
          </w:tcPr>
          <w:p w14:paraId="6DA97B13">
            <w:pPr>
              <w:pStyle w:val="181"/>
              <w:rPr>
                <w:rFonts w:ascii="Times New Roman"/>
              </w:rPr>
            </w:pPr>
            <w:r>
              <w:rPr>
                <w:rFonts w:ascii="Times New Roman"/>
              </w:rPr>
              <w:t>15～20</w:t>
            </w:r>
          </w:p>
        </w:tc>
        <w:tc>
          <w:tcPr>
            <w:tcW w:w="1333" w:type="dxa"/>
          </w:tcPr>
          <w:p w14:paraId="352EB7A1">
            <w:pPr>
              <w:pStyle w:val="181"/>
              <w:rPr>
                <w:rFonts w:ascii="Times New Roman"/>
              </w:rPr>
            </w:pPr>
            <w:r>
              <w:rPr>
                <w:rFonts w:ascii="Times New Roman"/>
              </w:rPr>
              <w:t>10～15</w:t>
            </w:r>
          </w:p>
        </w:tc>
        <w:tc>
          <w:tcPr>
            <w:tcW w:w="1333" w:type="dxa"/>
          </w:tcPr>
          <w:p w14:paraId="59890020">
            <w:pPr>
              <w:pStyle w:val="181"/>
              <w:rPr>
                <w:rFonts w:ascii="Times New Roman"/>
              </w:rPr>
            </w:pPr>
            <w:r>
              <w:rPr>
                <w:rFonts w:ascii="Times New Roman"/>
              </w:rPr>
              <w:t>10～15</w:t>
            </w:r>
          </w:p>
        </w:tc>
        <w:tc>
          <w:tcPr>
            <w:tcW w:w="1333" w:type="dxa"/>
          </w:tcPr>
          <w:p w14:paraId="2DD8727C">
            <w:pPr>
              <w:pStyle w:val="181"/>
              <w:rPr>
                <w:rFonts w:ascii="Times New Roman"/>
              </w:rPr>
            </w:pPr>
            <w:r>
              <w:rPr>
                <w:rFonts w:ascii="Times New Roman"/>
              </w:rPr>
              <w:t>10</w:t>
            </w:r>
          </w:p>
        </w:tc>
        <w:tc>
          <w:tcPr>
            <w:tcW w:w="1333" w:type="dxa"/>
            <w:vAlign w:val="center"/>
          </w:tcPr>
          <w:p w14:paraId="5F9C3613">
            <w:pPr>
              <w:pStyle w:val="181"/>
              <w:rPr>
                <w:rFonts w:ascii="Times New Roman"/>
              </w:rPr>
            </w:pPr>
            <w:r>
              <w:rPr>
                <w:rFonts w:ascii="Times New Roman"/>
              </w:rPr>
              <w:t>10</w:t>
            </w:r>
          </w:p>
        </w:tc>
        <w:tc>
          <w:tcPr>
            <w:tcW w:w="1336" w:type="dxa"/>
            <w:vAlign w:val="center"/>
          </w:tcPr>
          <w:p w14:paraId="06D34E46">
            <w:pPr>
              <w:pStyle w:val="181"/>
              <w:rPr>
                <w:rFonts w:ascii="Times New Roman"/>
              </w:rPr>
            </w:pPr>
            <w:r>
              <w:rPr>
                <w:rFonts w:ascii="Times New Roman"/>
              </w:rPr>
              <w:t>60</w:t>
            </w:r>
          </w:p>
        </w:tc>
      </w:tr>
      <w:tr w14:paraId="40313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33" w:type="dxa"/>
            <w:vAlign w:val="center"/>
          </w:tcPr>
          <w:p w14:paraId="6F3A09DE">
            <w:pPr>
              <w:pStyle w:val="181"/>
              <w:rPr>
                <w:rFonts w:ascii="Times New Roman"/>
              </w:rPr>
            </w:pPr>
            <w:r>
              <w:rPr>
                <w:rFonts w:ascii="Times New Roman"/>
              </w:rPr>
              <w:t>二级</w:t>
            </w:r>
          </w:p>
        </w:tc>
        <w:tc>
          <w:tcPr>
            <w:tcW w:w="1333" w:type="dxa"/>
          </w:tcPr>
          <w:p w14:paraId="22831F48">
            <w:pPr>
              <w:pStyle w:val="181"/>
              <w:rPr>
                <w:rFonts w:ascii="Times New Roman"/>
              </w:rPr>
            </w:pPr>
            <w:r>
              <w:rPr>
                <w:rFonts w:ascii="Times New Roman"/>
              </w:rPr>
              <w:t>20～30</w:t>
            </w:r>
          </w:p>
        </w:tc>
        <w:tc>
          <w:tcPr>
            <w:tcW w:w="1333" w:type="dxa"/>
          </w:tcPr>
          <w:p w14:paraId="0856AF41">
            <w:pPr>
              <w:pStyle w:val="181"/>
              <w:rPr>
                <w:rFonts w:ascii="Times New Roman"/>
              </w:rPr>
            </w:pPr>
            <w:r>
              <w:rPr>
                <w:rFonts w:ascii="Times New Roman"/>
              </w:rPr>
              <w:t>15～20</w:t>
            </w:r>
          </w:p>
        </w:tc>
        <w:tc>
          <w:tcPr>
            <w:tcW w:w="1333" w:type="dxa"/>
          </w:tcPr>
          <w:p w14:paraId="3CAFC750">
            <w:pPr>
              <w:pStyle w:val="181"/>
              <w:rPr>
                <w:rFonts w:ascii="Times New Roman"/>
              </w:rPr>
            </w:pPr>
            <w:r>
              <w:rPr>
                <w:rFonts w:ascii="Times New Roman"/>
              </w:rPr>
              <w:t>20</w:t>
            </w:r>
          </w:p>
        </w:tc>
        <w:tc>
          <w:tcPr>
            <w:tcW w:w="1333" w:type="dxa"/>
          </w:tcPr>
          <w:p w14:paraId="55F52D12">
            <w:pPr>
              <w:pStyle w:val="181"/>
              <w:rPr>
                <w:rFonts w:ascii="Times New Roman"/>
              </w:rPr>
            </w:pPr>
            <w:r>
              <w:rPr>
                <w:rFonts w:ascii="Times New Roman"/>
              </w:rPr>
              <w:t>1</w:t>
            </w:r>
            <w:r>
              <w:rPr>
                <w:rFonts w:hint="eastAsia" w:ascii="Times New Roman"/>
                <w:lang w:val="en-US" w:eastAsia="zh-CN"/>
              </w:rPr>
              <w:t xml:space="preserve"> </w:t>
            </w:r>
            <w:r>
              <w:rPr>
                <w:rFonts w:ascii="Times New Roman"/>
              </w:rPr>
              <w:t>5</w:t>
            </w:r>
          </w:p>
        </w:tc>
        <w:tc>
          <w:tcPr>
            <w:tcW w:w="1333" w:type="dxa"/>
            <w:vAlign w:val="center"/>
          </w:tcPr>
          <w:p w14:paraId="20996A15">
            <w:pPr>
              <w:pStyle w:val="181"/>
              <w:rPr>
                <w:rFonts w:ascii="Times New Roman"/>
              </w:rPr>
            </w:pPr>
            <w:r>
              <w:rPr>
                <w:rFonts w:ascii="Times New Roman"/>
              </w:rPr>
              <w:t>15</w:t>
            </w:r>
          </w:p>
        </w:tc>
        <w:tc>
          <w:tcPr>
            <w:tcW w:w="1336" w:type="dxa"/>
            <w:vAlign w:val="center"/>
          </w:tcPr>
          <w:p w14:paraId="388778C7">
            <w:pPr>
              <w:pStyle w:val="181"/>
              <w:rPr>
                <w:rFonts w:ascii="Times New Roman"/>
              </w:rPr>
            </w:pPr>
            <w:r>
              <w:rPr>
                <w:rFonts w:ascii="Times New Roman"/>
              </w:rPr>
              <w:t>90</w:t>
            </w:r>
          </w:p>
        </w:tc>
      </w:tr>
    </w:tbl>
    <w:p w14:paraId="1F27D675">
      <w:pPr>
        <w:pStyle w:val="108"/>
        <w:spacing w:before="120" w:after="120"/>
      </w:pPr>
      <w:r>
        <w:rPr>
          <w:rFonts w:hint="eastAsia"/>
        </w:rPr>
        <w:t>发酵</w:t>
      </w:r>
    </w:p>
    <w:p w14:paraId="47E4AEF6">
      <w:pPr>
        <w:ind w:firstLine="420" w:firstLineChars="200"/>
        <w:rPr>
          <w:rFonts w:ascii="Times New Roman" w:hAnsi="Times New Roman"/>
        </w:rPr>
      </w:pPr>
      <w:r>
        <w:rPr>
          <w:rFonts w:ascii="Times New Roman" w:hAnsi="Times New Roman"/>
          <w:kern w:val="0"/>
          <w:szCs w:val="20"/>
        </w:rPr>
        <w:t>发酵方式及工艺参数见表3。</w:t>
      </w:r>
    </w:p>
    <w:p w14:paraId="585576A5">
      <w:pPr>
        <w:tabs>
          <w:tab w:val="left" w:pos="2430"/>
        </w:tabs>
        <w:jc w:val="center"/>
        <w:rPr>
          <w:rFonts w:ascii="Times New Roman" w:hAnsi="Times New Roman" w:eastAsia="黑体"/>
          <w:kern w:val="21"/>
          <w:szCs w:val="20"/>
        </w:rPr>
      </w:pPr>
      <w:r>
        <w:rPr>
          <w:rFonts w:hint="eastAsia" w:ascii="黑体" w:hAnsi="黑体" w:eastAsia="黑体" w:cs="黑体"/>
          <w:kern w:val="21"/>
          <w:szCs w:val="20"/>
        </w:rPr>
        <w:t>表</w:t>
      </w:r>
      <w:r>
        <w:rPr>
          <w:rFonts w:ascii="Times New Roman" w:hAnsi="Times New Roman" w:eastAsia="黑体"/>
          <w:kern w:val="21"/>
          <w:szCs w:val="20"/>
        </w:rPr>
        <w:t xml:space="preserve">3 </w:t>
      </w:r>
      <w:r>
        <w:rPr>
          <w:rFonts w:hint="eastAsia" w:ascii="Times New Roman" w:hAnsi="Times New Roman" w:eastAsia="黑体"/>
          <w:kern w:val="21"/>
          <w:szCs w:val="20"/>
        </w:rPr>
        <w:t>不同发酵方式及工艺参数</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969"/>
        <w:gridCol w:w="4241"/>
      </w:tblGrid>
      <w:tr w14:paraId="4C223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124" w:type="dxa"/>
            <w:tcBorders>
              <w:top w:val="single" w:color="auto" w:sz="8" w:space="0"/>
            </w:tcBorders>
            <w:vAlign w:val="center"/>
          </w:tcPr>
          <w:p w14:paraId="61B56E8F">
            <w:pPr>
              <w:pStyle w:val="181"/>
              <w:rPr>
                <w:rFonts w:ascii="Times New Roman"/>
              </w:rPr>
            </w:pPr>
            <w:bookmarkStart w:id="52" w:name="_Hlk205803550"/>
            <w:r>
              <w:rPr>
                <w:rFonts w:ascii="Times New Roman"/>
              </w:rPr>
              <w:t>工艺参数</w:t>
            </w:r>
          </w:p>
        </w:tc>
        <w:tc>
          <w:tcPr>
            <w:tcW w:w="8210" w:type="dxa"/>
            <w:gridSpan w:val="2"/>
            <w:tcBorders>
              <w:top w:val="single" w:color="auto" w:sz="8" w:space="0"/>
            </w:tcBorders>
            <w:vAlign w:val="center"/>
          </w:tcPr>
          <w:p w14:paraId="085F53E5">
            <w:pPr>
              <w:pStyle w:val="181"/>
              <w:rPr>
                <w:rFonts w:ascii="Times New Roman"/>
              </w:rPr>
            </w:pPr>
            <w:r>
              <w:rPr>
                <w:rFonts w:ascii="Times New Roman"/>
              </w:rPr>
              <w:t>发酵方法</w:t>
            </w:r>
          </w:p>
        </w:tc>
      </w:tr>
      <w:tr w14:paraId="1124E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2BE4B92A">
            <w:pPr>
              <w:pStyle w:val="181"/>
              <w:rPr>
                <w:rFonts w:ascii="Times New Roman"/>
              </w:rPr>
            </w:pPr>
            <w:r>
              <w:rPr>
                <w:rFonts w:ascii="Times New Roman"/>
              </w:rPr>
              <w:t>温度</w:t>
            </w:r>
          </w:p>
        </w:tc>
        <w:tc>
          <w:tcPr>
            <w:tcW w:w="3969" w:type="dxa"/>
            <w:tcBorders>
              <w:top w:val="single" w:color="auto" w:sz="8" w:space="0"/>
            </w:tcBorders>
          </w:tcPr>
          <w:p w14:paraId="00A048B8">
            <w:pPr>
              <w:pStyle w:val="181"/>
              <w:rPr>
                <w:rFonts w:ascii="Times New Roman"/>
              </w:rPr>
            </w:pPr>
            <w:r>
              <w:rPr>
                <w:rFonts w:ascii="Times New Roman"/>
              </w:rPr>
              <w:t>环境温度25 ℃～30 ℃，叶温≤35 ℃</w:t>
            </w:r>
          </w:p>
        </w:tc>
        <w:tc>
          <w:tcPr>
            <w:tcW w:w="4241" w:type="dxa"/>
            <w:tcBorders>
              <w:top w:val="single" w:color="auto" w:sz="8" w:space="0"/>
            </w:tcBorders>
            <w:vAlign w:val="center"/>
          </w:tcPr>
          <w:p w14:paraId="7C16C8DE">
            <w:pPr>
              <w:pStyle w:val="181"/>
              <w:rPr>
                <w:rFonts w:ascii="Times New Roman"/>
              </w:rPr>
            </w:pPr>
            <w:r>
              <w:rPr>
                <w:rFonts w:ascii="Times New Roman"/>
              </w:rPr>
              <w:t>境温度25 ℃～30 ℃，叶温≤35 ℃</w:t>
            </w:r>
          </w:p>
        </w:tc>
      </w:tr>
      <w:tr w14:paraId="510AC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F13FAB0">
            <w:pPr>
              <w:pStyle w:val="181"/>
              <w:rPr>
                <w:rFonts w:ascii="Times New Roman"/>
              </w:rPr>
            </w:pPr>
            <w:r>
              <w:rPr>
                <w:rFonts w:ascii="Times New Roman"/>
              </w:rPr>
              <w:t>湿度</w:t>
            </w:r>
          </w:p>
        </w:tc>
        <w:tc>
          <w:tcPr>
            <w:tcW w:w="3969" w:type="dxa"/>
          </w:tcPr>
          <w:p w14:paraId="4C850602">
            <w:pPr>
              <w:pStyle w:val="181"/>
              <w:rPr>
                <w:rFonts w:ascii="Times New Roman"/>
              </w:rPr>
            </w:pPr>
            <w:r>
              <w:rPr>
                <w:rFonts w:ascii="Times New Roman"/>
              </w:rPr>
              <w:t>相对湿度≥90％，喷雾增湿</w:t>
            </w:r>
          </w:p>
        </w:tc>
        <w:tc>
          <w:tcPr>
            <w:tcW w:w="4241" w:type="dxa"/>
            <w:vAlign w:val="center"/>
          </w:tcPr>
          <w:p w14:paraId="2547DD8A">
            <w:pPr>
              <w:pStyle w:val="181"/>
              <w:rPr>
                <w:rFonts w:ascii="Times New Roman"/>
              </w:rPr>
            </w:pPr>
            <w:r>
              <w:rPr>
                <w:rFonts w:ascii="Times New Roman"/>
              </w:rPr>
              <w:t>相对湿度≥90％，喷雾增湿</w:t>
            </w:r>
          </w:p>
        </w:tc>
      </w:tr>
      <w:tr w14:paraId="2CE4F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6AF35C0">
            <w:pPr>
              <w:pStyle w:val="181"/>
              <w:rPr>
                <w:rFonts w:ascii="Times New Roman"/>
              </w:rPr>
            </w:pPr>
            <w:r>
              <w:rPr>
                <w:rFonts w:ascii="Times New Roman"/>
              </w:rPr>
              <w:t>通氧</w:t>
            </w:r>
          </w:p>
        </w:tc>
        <w:tc>
          <w:tcPr>
            <w:tcW w:w="3969" w:type="dxa"/>
          </w:tcPr>
          <w:p w14:paraId="2AADE071">
            <w:pPr>
              <w:pStyle w:val="181"/>
              <w:rPr>
                <w:rFonts w:ascii="Times New Roman"/>
              </w:rPr>
            </w:pPr>
            <w:r>
              <w:rPr>
                <w:rFonts w:ascii="Times New Roman"/>
              </w:rPr>
              <w:t>每1h翻拌1次，保持空气流通</w:t>
            </w:r>
          </w:p>
        </w:tc>
        <w:tc>
          <w:tcPr>
            <w:tcW w:w="4241" w:type="dxa"/>
            <w:vAlign w:val="center"/>
          </w:tcPr>
          <w:p w14:paraId="5E458AA6">
            <w:pPr>
              <w:pStyle w:val="181"/>
              <w:rPr>
                <w:rFonts w:ascii="Times New Roman"/>
              </w:rPr>
            </w:pPr>
            <w:r>
              <w:rPr>
                <w:rFonts w:ascii="Times New Roman"/>
              </w:rPr>
              <w:t>每30 min通风5 min</w:t>
            </w:r>
          </w:p>
        </w:tc>
      </w:tr>
      <w:tr w14:paraId="700FE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1124" w:type="dxa"/>
            <w:vAlign w:val="center"/>
          </w:tcPr>
          <w:p w14:paraId="66C69C1B">
            <w:pPr>
              <w:pStyle w:val="181"/>
              <w:rPr>
                <w:rFonts w:ascii="Times New Roman"/>
              </w:rPr>
            </w:pPr>
            <w:r>
              <w:rPr>
                <w:rFonts w:ascii="Times New Roman"/>
              </w:rPr>
              <w:t>摊叶</w:t>
            </w:r>
          </w:p>
        </w:tc>
        <w:tc>
          <w:tcPr>
            <w:tcW w:w="8210" w:type="dxa"/>
            <w:gridSpan w:val="2"/>
          </w:tcPr>
          <w:p w14:paraId="6D83B050">
            <w:pPr>
              <w:pStyle w:val="181"/>
              <w:rPr>
                <w:rFonts w:ascii="Times New Roman"/>
              </w:rPr>
            </w:pPr>
            <w:r>
              <w:rPr>
                <w:rFonts w:ascii="Times New Roman"/>
              </w:rPr>
              <w:t>8 cm～12 cm，嫩叶薄摊，老叶厚摊，叶层厚薄要均匀，不应紧压</w:t>
            </w:r>
          </w:p>
        </w:tc>
      </w:tr>
      <w:tr w14:paraId="06CBB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C78CDC3">
            <w:pPr>
              <w:pStyle w:val="181"/>
              <w:rPr>
                <w:rFonts w:ascii="Times New Roman"/>
              </w:rPr>
            </w:pPr>
            <w:r>
              <w:rPr>
                <w:rFonts w:ascii="Times New Roman"/>
              </w:rPr>
              <w:t>时间</w:t>
            </w:r>
          </w:p>
        </w:tc>
        <w:tc>
          <w:tcPr>
            <w:tcW w:w="8210" w:type="dxa"/>
            <w:gridSpan w:val="2"/>
          </w:tcPr>
          <w:p w14:paraId="7E93CA7A">
            <w:pPr>
              <w:pStyle w:val="181"/>
              <w:rPr>
                <w:rFonts w:ascii="Times New Roman"/>
              </w:rPr>
            </w:pPr>
            <w:r>
              <w:rPr>
                <w:rFonts w:ascii="Times New Roman"/>
              </w:rPr>
              <w:t>3h～6h</w:t>
            </w:r>
          </w:p>
        </w:tc>
      </w:tr>
      <w:tr w14:paraId="36EDE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4F7BFB4A">
            <w:pPr>
              <w:pStyle w:val="181"/>
              <w:rPr>
                <w:rFonts w:ascii="Times New Roman"/>
              </w:rPr>
            </w:pPr>
            <w:r>
              <w:rPr>
                <w:rFonts w:ascii="Times New Roman"/>
              </w:rPr>
              <w:t>程度</w:t>
            </w:r>
          </w:p>
        </w:tc>
        <w:tc>
          <w:tcPr>
            <w:tcW w:w="8210" w:type="dxa"/>
            <w:gridSpan w:val="2"/>
          </w:tcPr>
          <w:p w14:paraId="6264250A">
            <w:pPr>
              <w:pStyle w:val="181"/>
              <w:tabs>
                <w:tab w:val="left" w:pos="3270"/>
              </w:tabs>
              <w:rPr>
                <w:rFonts w:ascii="Times New Roman"/>
              </w:rPr>
            </w:pPr>
            <w:r>
              <w:rPr>
                <w:rFonts w:ascii="Times New Roman"/>
              </w:rPr>
              <w:t xml:space="preserve"> 80％以上芽叶转古铜色，青气退，显清香、花香或甜香</w:t>
            </w:r>
          </w:p>
        </w:tc>
      </w:tr>
      <w:bookmarkEnd w:id="52"/>
    </w:tbl>
    <w:p w14:paraId="1A1B9B85">
      <w:pPr>
        <w:pStyle w:val="108"/>
        <w:spacing w:before="120" w:after="120"/>
      </w:pPr>
      <w:r>
        <w:rPr>
          <w:rFonts w:hint="eastAsia"/>
        </w:rPr>
        <w:t>烘干</w:t>
      </w:r>
    </w:p>
    <w:p w14:paraId="3FACFEF8">
      <w:pPr>
        <w:pStyle w:val="107"/>
        <w:numPr>
          <w:ilvl w:val="0"/>
          <w:numId w:val="0"/>
        </w:numPr>
        <w:spacing w:before="240" w:after="240"/>
      </w:pPr>
      <w:r>
        <w:rPr>
          <w:rFonts w:hint="eastAsia"/>
        </w:rPr>
        <w:t>7.6</w:t>
      </w:r>
      <w:r>
        <w:rPr>
          <w:rFonts w:hint="eastAsia"/>
          <w:sz w:val="22"/>
          <w:szCs w:val="21"/>
        </w:rPr>
        <w:t>.1</w:t>
      </w:r>
      <w:r>
        <w:rPr>
          <w:rFonts w:hint="eastAsia"/>
        </w:rPr>
        <w:t>毛火</w:t>
      </w:r>
    </w:p>
    <w:p w14:paraId="4A770B70">
      <w:pPr>
        <w:pStyle w:val="59"/>
        <w:ind w:firstLine="420"/>
        <w:rPr>
          <w:rFonts w:ascii="Times New Roman"/>
        </w:rPr>
      </w:pPr>
      <w:r>
        <w:rPr>
          <w:rFonts w:ascii="Times New Roman"/>
        </w:rPr>
        <w:t>烘干机温度115</w:t>
      </w:r>
      <w:bookmarkStart w:id="53" w:name="_Hlk194913341"/>
      <w:r>
        <w:rPr>
          <w:rFonts w:ascii="Times New Roman"/>
        </w:rPr>
        <w:t xml:space="preserve"> ℃～</w:t>
      </w:r>
      <w:bookmarkEnd w:id="53"/>
      <w:r>
        <w:rPr>
          <w:rFonts w:ascii="Times New Roman"/>
        </w:rPr>
        <w:t>125 ℃，摊叶厚度1 cm～2 cm，时间15 min～20 min，至含水率20％～25％，条索收紧，刺手感强，及时摊凉。</w:t>
      </w:r>
    </w:p>
    <w:p w14:paraId="702496C6">
      <w:pPr>
        <w:pStyle w:val="107"/>
        <w:numPr>
          <w:ilvl w:val="0"/>
          <w:numId w:val="0"/>
        </w:numPr>
        <w:spacing w:before="240" w:after="240"/>
      </w:pPr>
      <w:r>
        <w:rPr>
          <w:rFonts w:hint="eastAsia"/>
        </w:rPr>
        <w:t>7.6.2足火</w:t>
      </w:r>
    </w:p>
    <w:p w14:paraId="31E33D36">
      <w:pPr>
        <w:pStyle w:val="59"/>
        <w:ind w:firstLine="420"/>
        <w:rPr>
          <w:rFonts w:ascii="Times New Roman"/>
        </w:rPr>
      </w:pPr>
      <w:r>
        <w:rPr>
          <w:rFonts w:ascii="Times New Roman"/>
        </w:rPr>
        <w:t>温度85 ℃～95 ℃，摊叶厚度3 cm～5 cm，时间120 min～180 min，至含水率＜6％，梗脆易断，手捻成粉。</w:t>
      </w:r>
    </w:p>
    <w:p w14:paraId="4AE907CD">
      <w:pPr>
        <w:pStyle w:val="107"/>
        <w:numPr>
          <w:ilvl w:val="0"/>
          <w:numId w:val="0"/>
        </w:numPr>
        <w:spacing w:before="240" w:after="240"/>
      </w:pPr>
      <w:bookmarkStart w:id="54" w:name="_Hlk205804610"/>
      <w:r>
        <w:rPr>
          <w:rFonts w:hint="eastAsia"/>
        </w:rPr>
        <w:t>7.6.3提香</w:t>
      </w:r>
    </w:p>
    <w:bookmarkEnd w:id="54"/>
    <w:p w14:paraId="6A5C0628">
      <w:pPr>
        <w:pStyle w:val="59"/>
        <w:ind w:firstLine="420"/>
        <w:rPr>
          <w:rFonts w:ascii="Times New Roman"/>
        </w:rPr>
      </w:pPr>
      <w:r>
        <w:rPr>
          <w:rFonts w:ascii="Times New Roman"/>
        </w:rPr>
        <w:t>温度95 ℃～115 ℃。时间20 min～50 min，根据原料嫩度调整，提升甜香。</w:t>
      </w:r>
    </w:p>
    <w:p w14:paraId="07D30685">
      <w:pPr>
        <w:pStyle w:val="107"/>
        <w:spacing w:before="240" w:after="240"/>
      </w:pPr>
      <w:r>
        <w:rPr>
          <w:rFonts w:hint="eastAsia"/>
        </w:rPr>
        <w:t>毛茶审评</w:t>
      </w:r>
    </w:p>
    <w:p w14:paraId="33A25FFF">
      <w:pPr>
        <w:pStyle w:val="59"/>
        <w:ind w:firstLine="420"/>
      </w:pPr>
      <w:r>
        <w:rPr>
          <w:rFonts w:ascii="Times New Roman"/>
        </w:rPr>
        <w:t>按GB/T 23776进行感官审评（外形、汤色、香气、滋味、叶底），并检测水分（≤6％）、灰分、水浸出物等理化指标。合格毛茶进入精制环节，不合格则复火或返工。</w:t>
      </w:r>
    </w:p>
    <w:p w14:paraId="18870751">
      <w:pPr>
        <w:pStyle w:val="107"/>
        <w:spacing w:before="240" w:after="240"/>
      </w:pPr>
      <w:r>
        <w:rPr>
          <w:rFonts w:hint="eastAsia"/>
        </w:rPr>
        <w:t>精制</w:t>
      </w:r>
    </w:p>
    <w:p w14:paraId="487F7167">
      <w:pPr>
        <w:pStyle w:val="108"/>
        <w:spacing w:before="120" w:after="120"/>
      </w:pPr>
      <w:r>
        <w:rPr>
          <w:rFonts w:hint="eastAsia"/>
        </w:rPr>
        <w:t>筛分拣剔</w:t>
      </w:r>
    </w:p>
    <w:p w14:paraId="209F98BF">
      <w:pPr>
        <w:pStyle w:val="59"/>
        <w:ind w:firstLine="420"/>
      </w:pPr>
      <w:r>
        <w:rPr>
          <w:rFonts w:hint="eastAsia"/>
        </w:rPr>
        <w:t>用拣梗机、色选机去筋梗，风选机去黄片，圆筛机分长短，抖筛机分粗细，确保规格匀整。</w:t>
      </w:r>
    </w:p>
    <w:p w14:paraId="303931DE">
      <w:pPr>
        <w:pStyle w:val="108"/>
        <w:spacing w:before="120" w:after="120"/>
      </w:pPr>
      <w:r>
        <w:rPr>
          <w:rFonts w:hint="eastAsia"/>
        </w:rPr>
        <w:t>拼配均匀</w:t>
      </w:r>
    </w:p>
    <w:p w14:paraId="52870C42">
      <w:pPr>
        <w:pStyle w:val="59"/>
        <w:ind w:firstLine="420"/>
      </w:pPr>
      <w:r>
        <w:rPr>
          <w:rFonts w:hint="eastAsia"/>
        </w:rPr>
        <w:t>按成品茶品质要求拼配，保证批次质量一致。</w:t>
      </w:r>
    </w:p>
    <w:p w14:paraId="44CA72C7">
      <w:pPr>
        <w:pStyle w:val="107"/>
        <w:spacing w:before="240" w:after="240"/>
      </w:pPr>
      <w:r>
        <w:rPr>
          <w:rFonts w:hint="eastAsia"/>
        </w:rPr>
        <w:t>质量管理</w:t>
      </w:r>
    </w:p>
    <w:p w14:paraId="69A81C08">
      <w:pPr>
        <w:pStyle w:val="108"/>
        <w:spacing w:before="120" w:after="120"/>
      </w:pPr>
      <w:r>
        <w:rPr>
          <w:rFonts w:hint="eastAsia"/>
        </w:rPr>
        <w:t>关键控制</w:t>
      </w:r>
    </w:p>
    <w:p w14:paraId="04B9E501">
      <w:pPr>
        <w:pStyle w:val="59"/>
        <w:ind w:firstLine="420"/>
      </w:pPr>
      <w:r>
        <w:rPr>
          <w:rFonts w:hint="eastAsia"/>
        </w:rPr>
        <w:t>对萎凋、揉捻、发酵、干燥等关键工序制定操作规程和检验方法，记录执行情况。</w:t>
      </w:r>
    </w:p>
    <w:p w14:paraId="1C7CD6D2">
      <w:pPr>
        <w:pStyle w:val="108"/>
        <w:spacing w:before="120" w:after="120"/>
      </w:pPr>
      <w:r>
        <w:rPr>
          <w:rFonts w:hint="eastAsia"/>
        </w:rPr>
        <w:t>档案管理</w:t>
      </w:r>
    </w:p>
    <w:p w14:paraId="09C17848">
      <w:pPr>
        <w:pStyle w:val="59"/>
        <w:ind w:firstLine="420"/>
      </w:pPr>
      <w:r>
        <w:rPr>
          <w:rFonts w:hint="eastAsia"/>
        </w:rPr>
        <w:t>建立原料采购、加工、贮存、运输、销售的完整档案，每批产品编制唯一批号，追溯至终端销售。</w:t>
      </w:r>
    </w:p>
    <w:p w14:paraId="6648D80D">
      <w:pPr>
        <w:pStyle w:val="107"/>
        <w:spacing w:before="240" w:after="240"/>
      </w:pPr>
      <w:r>
        <w:rPr>
          <w:rFonts w:hint="eastAsia"/>
        </w:rPr>
        <w:t>标志、标签、包装、运输与贮存</w:t>
      </w:r>
    </w:p>
    <w:p w14:paraId="3621B156">
      <w:pPr>
        <w:pStyle w:val="108"/>
        <w:spacing w:before="120" w:after="120"/>
      </w:pPr>
      <w:r>
        <w:rPr>
          <w:rFonts w:hint="eastAsia"/>
        </w:rPr>
        <w:t>标志与标签</w:t>
      </w:r>
    </w:p>
    <w:p w14:paraId="4ECD06D4">
      <w:pPr>
        <w:pStyle w:val="107"/>
        <w:numPr>
          <w:ilvl w:val="0"/>
          <w:numId w:val="0"/>
        </w:numPr>
        <w:spacing w:before="240" w:after="240"/>
      </w:pPr>
      <w:r>
        <w:rPr>
          <w:rFonts w:hint="eastAsia"/>
        </w:rPr>
        <w:t>11.1.1毛茶标签</w:t>
      </w:r>
    </w:p>
    <w:p w14:paraId="0F345D3D">
      <w:pPr>
        <w:pStyle w:val="59"/>
        <w:ind w:firstLine="420"/>
      </w:pPr>
      <w:r>
        <w:rPr>
          <w:rFonts w:hint="eastAsia"/>
        </w:rPr>
        <w:t>标注产地、加工日期、等级、数量、批号等信息。</w:t>
      </w:r>
    </w:p>
    <w:p w14:paraId="0A6649DE">
      <w:pPr>
        <w:pStyle w:val="107"/>
        <w:numPr>
          <w:ilvl w:val="0"/>
          <w:numId w:val="0"/>
        </w:numPr>
        <w:spacing w:before="240" w:after="240"/>
      </w:pPr>
      <w:r>
        <w:rPr>
          <w:rFonts w:hint="eastAsia"/>
        </w:rPr>
        <w:t>11.1.2毛茶标签</w:t>
      </w:r>
    </w:p>
    <w:p w14:paraId="69562265">
      <w:pPr>
        <w:pStyle w:val="59"/>
        <w:ind w:firstLine="420"/>
        <w:rPr>
          <w:rFonts w:ascii="Times New Roman"/>
        </w:rPr>
      </w:pPr>
      <w:r>
        <w:rPr>
          <w:rFonts w:ascii="Times New Roman"/>
        </w:rPr>
        <w:t>符合GB 7718和GB 14881，标明产品名称、原料、执行标准、生产日期、保质期、贮存条件等。</w:t>
      </w:r>
    </w:p>
    <w:p w14:paraId="506A1016">
      <w:pPr>
        <w:pStyle w:val="108"/>
        <w:spacing w:before="120" w:after="120"/>
      </w:pPr>
      <w:r>
        <w:rPr>
          <w:rFonts w:hint="eastAsia"/>
        </w:rPr>
        <w:t>包装</w:t>
      </w:r>
    </w:p>
    <w:p w14:paraId="3144585E">
      <w:pPr>
        <w:pStyle w:val="59"/>
        <w:ind w:firstLine="420"/>
        <w:rPr>
          <w:rFonts w:ascii="Times New Roman"/>
        </w:rPr>
      </w:pPr>
      <w:r>
        <w:rPr>
          <w:rFonts w:ascii="Times New Roman"/>
        </w:rPr>
        <w:t>符合GH/T 1070，采用防潮、避光、无异味材料，包装储运图示标志符合GB/T 191。</w:t>
      </w:r>
    </w:p>
    <w:p w14:paraId="3951F9CC">
      <w:pPr>
        <w:pStyle w:val="108"/>
        <w:spacing w:before="120" w:after="120"/>
      </w:pPr>
      <w:r>
        <w:rPr>
          <w:rFonts w:hint="eastAsia"/>
        </w:rPr>
        <w:t>运输</w:t>
      </w:r>
    </w:p>
    <w:p w14:paraId="381BBEC1">
      <w:pPr>
        <w:pStyle w:val="59"/>
        <w:ind w:firstLine="420"/>
      </w:pPr>
      <w:r>
        <w:rPr>
          <w:rFonts w:hint="eastAsia"/>
        </w:rPr>
        <w:t>运输工具应清洁、干燥、无异味，防雨、防潮、防晒，不应与有毒有害物品混运。</w:t>
      </w:r>
    </w:p>
    <w:p w14:paraId="38A8F3C9">
      <w:pPr>
        <w:pStyle w:val="108"/>
        <w:spacing w:before="120" w:after="120"/>
      </w:pPr>
      <w:r>
        <w:rPr>
          <w:rFonts w:hint="eastAsia"/>
        </w:rPr>
        <w:t>贮存</w:t>
      </w:r>
    </w:p>
    <w:p w14:paraId="4C9E043F">
      <w:pPr>
        <w:pStyle w:val="59"/>
        <w:ind w:firstLine="420"/>
        <w:rPr>
          <w:rFonts w:ascii="Times New Roman"/>
        </w:rPr>
      </w:pPr>
      <w:r>
        <w:rPr>
          <w:rFonts w:ascii="Times New Roman"/>
        </w:rPr>
        <w:t>毛茶、半成品、成品分开放置，贮存条件符合GB/T 30375，温度≤25 ℃，相对湿度≤ 60％，远离异味源，定期检查品质变化。</w:t>
      </w:r>
    </w:p>
    <w:bookmarkEnd w:id="22"/>
    <w:bookmarkEnd w:id="45"/>
    <w:p w14:paraId="1B791F25">
      <w:pPr>
        <w:pStyle w:val="59"/>
        <w:ind w:firstLine="0" w:firstLineChars="0"/>
        <w:jc w:val="center"/>
      </w:pPr>
      <w:bookmarkStart w:id="55" w:name="BookMark8"/>
      <w:r>
        <w:rPr>
          <w:rFonts w:hint="eastAsia"/>
        </w:rPr>
        <w:drawing>
          <wp:inline distT="0" distB="0" distL="0" distR="0">
            <wp:extent cx="1485900" cy="317500"/>
            <wp:effectExtent l="0" t="0" r="0" b="6350"/>
            <wp:docPr id="1668271412" name="图片 2"/>
            <wp:cNvGraphicFramePr/>
            <a:graphic xmlns:a="http://schemas.openxmlformats.org/drawingml/2006/main">
              <a:graphicData uri="http://schemas.openxmlformats.org/drawingml/2006/picture">
                <pic:pic xmlns:pic="http://schemas.openxmlformats.org/drawingml/2006/picture">
                  <pic:nvPicPr>
                    <pic:cNvPr id="1668271412" name="图片 2"/>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DE07">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EC59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A564">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4F17">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0D6F">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69969">
    <w:pPr>
      <w:pStyle w:val="64"/>
      <w:rPr>
        <w:rFonts w:hint="eastAsia"/>
      </w:rPr>
    </w:pPr>
    <w:r>
      <w:fldChar w:fldCharType="begin"/>
    </w:r>
    <w:r>
      <w:instrText xml:space="preserve"> STYLEREF  标准文件_文件编号  \* MERGEFORMAT </w:instrText>
    </w:r>
    <w:r>
      <w:fldChar w:fldCharType="separate"/>
    </w:r>
    <w:r>
      <w:t>T/GXTC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9976">
    <w:pPr>
      <w:pStyle w:val="19"/>
      <w:jc w:val="right"/>
    </w:pPr>
    <w:r>
      <w:fldChar w:fldCharType="begin"/>
    </w:r>
    <w:r>
      <w:instrText xml:space="preserve"> STYLEREF  标准文件_文件编号  \* MERGEFORMAT </w:instrText>
    </w:r>
    <w:r>
      <w:fldChar w:fldCharType="separate"/>
    </w:r>
    <w:r>
      <w:t>T/GXTC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3261"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1A"/>
    <w:rsid w:val="0000040A"/>
    <w:rsid w:val="00000A94"/>
    <w:rsid w:val="00001972"/>
    <w:rsid w:val="00001D9A"/>
    <w:rsid w:val="00002A6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3B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246F"/>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E2E"/>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3B7"/>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B8E"/>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9E4"/>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4BA3"/>
    <w:rsid w:val="0047583F"/>
    <w:rsid w:val="00475DE8"/>
    <w:rsid w:val="00481C44"/>
    <w:rsid w:val="00484936"/>
    <w:rsid w:val="00485C89"/>
    <w:rsid w:val="00486BE3"/>
    <w:rsid w:val="004905E4"/>
    <w:rsid w:val="00490A89"/>
    <w:rsid w:val="00490AB4"/>
    <w:rsid w:val="00492F02"/>
    <w:rsid w:val="0049381A"/>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86C"/>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686"/>
    <w:rsid w:val="00587ADD"/>
    <w:rsid w:val="00592771"/>
    <w:rsid w:val="00593A49"/>
    <w:rsid w:val="00596160"/>
    <w:rsid w:val="005966E2"/>
    <w:rsid w:val="00597007"/>
    <w:rsid w:val="005A0966"/>
    <w:rsid w:val="005A11B7"/>
    <w:rsid w:val="005A260B"/>
    <w:rsid w:val="005A4A1B"/>
    <w:rsid w:val="005A58F7"/>
    <w:rsid w:val="005A7830"/>
    <w:rsid w:val="005A7FCE"/>
    <w:rsid w:val="005B051F"/>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4EF4"/>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08C"/>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CE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5FA9"/>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11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4C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D6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D2B"/>
    <w:rsid w:val="00C103E5"/>
    <w:rsid w:val="00C13319"/>
    <w:rsid w:val="00C13EE9"/>
    <w:rsid w:val="00C21540"/>
    <w:rsid w:val="00C21906"/>
    <w:rsid w:val="00C21BFA"/>
    <w:rsid w:val="00C24C8D"/>
    <w:rsid w:val="00C25FE2"/>
    <w:rsid w:val="00C26B53"/>
    <w:rsid w:val="00C279B2"/>
    <w:rsid w:val="00C33E50"/>
    <w:rsid w:val="00C34C20"/>
    <w:rsid w:val="00C35A3E"/>
    <w:rsid w:val="00C41A14"/>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4F18"/>
    <w:rsid w:val="00D06AB1"/>
    <w:rsid w:val="00D06FC1"/>
    <w:rsid w:val="00D072ED"/>
    <w:rsid w:val="00D07A16"/>
    <w:rsid w:val="00D1067E"/>
    <w:rsid w:val="00D10F50"/>
    <w:rsid w:val="00D11272"/>
    <w:rsid w:val="00D126F5"/>
    <w:rsid w:val="00D1489E"/>
    <w:rsid w:val="00D20737"/>
    <w:rsid w:val="00D21E81"/>
    <w:rsid w:val="00D223DE"/>
    <w:rsid w:val="00D25E37"/>
    <w:rsid w:val="00D26111"/>
    <w:rsid w:val="00D2661A"/>
    <w:rsid w:val="00D27582"/>
    <w:rsid w:val="00D27EC4"/>
    <w:rsid w:val="00D32719"/>
    <w:rsid w:val="00D33333"/>
    <w:rsid w:val="00D352A2"/>
    <w:rsid w:val="00D4162B"/>
    <w:rsid w:val="00D4514F"/>
    <w:rsid w:val="00D451E2"/>
    <w:rsid w:val="00D45E89"/>
    <w:rsid w:val="00D45E8D"/>
    <w:rsid w:val="00D466AE"/>
    <w:rsid w:val="00D4734F"/>
    <w:rsid w:val="00D50190"/>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9FD"/>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231"/>
    <w:rsid w:val="00DE0A4B"/>
    <w:rsid w:val="00DE2410"/>
    <w:rsid w:val="00DE2939"/>
    <w:rsid w:val="00DE6E81"/>
    <w:rsid w:val="00DE703F"/>
    <w:rsid w:val="00DE7595"/>
    <w:rsid w:val="00DF1961"/>
    <w:rsid w:val="00DF21A8"/>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4B0"/>
    <w:rsid w:val="00E906C2"/>
    <w:rsid w:val="00E9311F"/>
    <w:rsid w:val="00E934D1"/>
    <w:rsid w:val="00E94AF0"/>
    <w:rsid w:val="00E95D13"/>
    <w:rsid w:val="00E95DD3"/>
    <w:rsid w:val="00E969D5"/>
    <w:rsid w:val="00EA3F4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CAE"/>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790"/>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EFB"/>
    <w:rsid w:val="00FF5B99"/>
    <w:rsid w:val="00FF730C"/>
    <w:rsid w:val="00FF73F4"/>
    <w:rsid w:val="00FF7CE4"/>
    <w:rsid w:val="00FF7E39"/>
    <w:rsid w:val="0A5550A3"/>
    <w:rsid w:val="18C775CB"/>
    <w:rsid w:val="1CA37422"/>
    <w:rsid w:val="2050497A"/>
    <w:rsid w:val="2F3408A4"/>
    <w:rsid w:val="457A77DD"/>
    <w:rsid w:val="533D13D1"/>
    <w:rsid w:val="57841A87"/>
    <w:rsid w:val="6E06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4">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0"/>
    <w:link w:val="13"/>
    <w:qFormat/>
    <w:uiPriority w:val="99"/>
    <w:rPr>
      <w:kern w:val="2"/>
      <w:sz w:val="21"/>
      <w:szCs w:val="21"/>
    </w:rPr>
  </w:style>
  <w:style w:type="character" w:customStyle="1" w:styleId="236">
    <w:name w:val="批注主题 字符"/>
    <w:basedOn w:val="235"/>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0F22382FC7A45999F6698C73AFCBE3D"/>
        <w:style w:val=""/>
        <w:category>
          <w:name w:val="常规"/>
          <w:gallery w:val="placeholder"/>
        </w:category>
        <w:types>
          <w:type w:val="bbPlcHdr"/>
        </w:types>
        <w:behaviors>
          <w:behavior w:val="content"/>
        </w:behaviors>
        <w:description w:val=""/>
        <w:guid w:val="{AAEA5885-BA3A-4C62-A977-03FB50FD6A2D}"/>
      </w:docPartPr>
      <w:docPartBody>
        <w:p w14:paraId="7FC98E0B">
          <w:pPr>
            <w:pStyle w:val="5"/>
            <w:rPr>
              <w:rFonts w:hint="eastAsia"/>
            </w:rPr>
          </w:pPr>
          <w:r>
            <w:rPr>
              <w:rStyle w:val="4"/>
              <w:rFonts w:hint="eastAsia"/>
            </w:rPr>
            <w:t>单击或点击此处输入文字。</w:t>
          </w:r>
        </w:p>
      </w:docPartBody>
    </w:docPart>
    <w:docPart>
      <w:docPartPr>
        <w:name w:val="8006994B32D94B10829A838E1C261A7A"/>
        <w:style w:val=""/>
        <w:category>
          <w:name w:val="常规"/>
          <w:gallery w:val="placeholder"/>
        </w:category>
        <w:types>
          <w:type w:val="bbPlcHdr"/>
        </w:types>
        <w:behaviors>
          <w:behavior w:val="content"/>
        </w:behaviors>
        <w:description w:val=""/>
        <w:guid w:val="{E55F3F8A-FD0F-44D7-8B39-4264C0C60E56}"/>
      </w:docPartPr>
      <w:docPartBody>
        <w:p w14:paraId="4D83820C">
          <w:pPr>
            <w:pStyle w:val="6"/>
            <w:rPr>
              <w:rFonts w:hint="eastAsia"/>
            </w:rPr>
          </w:pPr>
          <w:r>
            <w:rPr>
              <w:rStyle w:val="4"/>
              <w:rFonts w:hint="eastAsia"/>
            </w:rPr>
            <w:t>选择一项。</w:t>
          </w:r>
        </w:p>
      </w:docPartBody>
    </w:docPart>
    <w:docPart>
      <w:docPartPr>
        <w:name w:val="66869450E7E94E22BC53AC986D221C6F"/>
        <w:style w:val=""/>
        <w:category>
          <w:name w:val="常规"/>
          <w:gallery w:val="placeholder"/>
        </w:category>
        <w:types>
          <w:type w:val="bbPlcHdr"/>
        </w:types>
        <w:behaviors>
          <w:behavior w:val="content"/>
        </w:behaviors>
        <w:description w:val=""/>
        <w:guid w:val="{3D4ABF53-12ED-4FD1-B832-99A5FD61E45A}"/>
      </w:docPartPr>
      <w:docPartBody>
        <w:p w14:paraId="7490539B">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07"/>
    <w:rsid w:val="00143F07"/>
    <w:rsid w:val="002503B7"/>
    <w:rsid w:val="006A2D08"/>
    <w:rsid w:val="00762BEA"/>
    <w:rsid w:val="007B5FA9"/>
    <w:rsid w:val="0084454E"/>
    <w:rsid w:val="00B2445C"/>
    <w:rsid w:val="00B81AD6"/>
    <w:rsid w:val="00CA1622"/>
    <w:rsid w:val="00E904B0"/>
    <w:rsid w:val="00EF4CAE"/>
    <w:rsid w:val="00FF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0F22382FC7A45999F6698C73AFCBE3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006994B32D94B10829A838E1C261A7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6869450E7E94E22BC53AC986D221C6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2781</Words>
  <Characters>3192</Characters>
  <Lines>162</Lines>
  <Paragraphs>207</Paragraphs>
  <TotalTime>1151</TotalTime>
  <ScaleCrop>false</ScaleCrop>
  <LinksUpToDate>false</LinksUpToDate>
  <CharactersWithSpaces>3401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2025-09-16T08:25:00Z</dcterms:created>
  <dc:creator>HW</dc:creator>
  <dc:description>&lt;config cover="true" show_menu="true" version="1.0.0" doctype="SDKXY"&gt;_x000d_
&lt;/config&gt;</dc:description>
  <cp:lastModifiedBy>ljx</cp:lastModifiedBy>
  <cp:lastPrinted>2021-02-02T08:22:00Z</cp:lastPrinted>
  <dcterms:modified xsi:type="dcterms:W3CDTF">2025-09-26T08:22:31Z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430F5C4320394405842E63867456B42E_13</vt:lpwstr>
  </property>
  <property fmtid="{D5CDD505-2E9C-101B-9397-08002B2CF9AE}" pid="16" name="KSOTemplateDocerSaveRecord">
    <vt:lpwstr>eyJoZGlkIjoiMzYwYTQyMmJhYzc1Mzk3MzE1NGY1MGU3MjNlZDZjNmIiLCJ1c2VySWQiOiI3MDY1NDIzOTAifQ==</vt:lpwstr>
  </property>
</Properties>
</file>