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02BE9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74EB973">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3657B16">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67.120.30</w:t>
            </w:r>
            <w:r>
              <w:rPr>
                <w:rFonts w:ascii="黑体" w:hAnsi="黑体" w:eastAsia="黑体"/>
                <w:sz w:val="21"/>
                <w:szCs w:val="21"/>
              </w:rPr>
              <w:fldChar w:fldCharType="end"/>
            </w:r>
            <w:bookmarkEnd w:id="0"/>
          </w:p>
        </w:tc>
      </w:tr>
      <w:tr w14:paraId="4A0C8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22E809E">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755816C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9B51B7E">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HNBX</w:t>
                  </w:r>
                  <w:r>
                    <w:fldChar w:fldCharType="end"/>
                  </w:r>
                  <w:bookmarkEnd w:id="1"/>
                </w:p>
              </w:tc>
            </w:tr>
          </w:tbl>
          <w:p w14:paraId="5FA8D767">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X 22</w:t>
            </w:r>
            <w:r>
              <w:rPr>
                <w:rFonts w:ascii="黑体" w:hAnsi="黑体" w:eastAsia="黑体"/>
                <w:sz w:val="21"/>
                <w:szCs w:val="21"/>
              </w:rPr>
              <w:fldChar w:fldCharType="end"/>
            </w:r>
            <w:bookmarkEnd w:id="2"/>
          </w:p>
        </w:tc>
      </w:tr>
    </w:tbl>
    <w:p w14:paraId="29D442EA">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海南省</w:t>
      </w:r>
      <w:r>
        <w:rPr>
          <w:rFonts w:ascii="黑体" w:eastAsia="黑体"/>
          <w:b w:val="0"/>
          <w:w w:val="100"/>
          <w:sz w:val="48"/>
        </w:rPr>
        <w:t>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1984AD55">
      <w:pPr>
        <w:pStyle w:val="195"/>
        <w:framePr/>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HNBX</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2025</w:t>
      </w:r>
      <w:r>
        <w:fldChar w:fldCharType="end"/>
      </w:r>
      <w:bookmarkEnd w:id="7"/>
    </w:p>
    <w:p w14:paraId="533AF63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21DDB78C">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EA97181">
      <w:pPr>
        <w:pStyle w:val="50"/>
        <w:framePr w:w="9639" w:h="6976" w:hRule="exact" w:hSpace="0" w:vSpace="0" w:wrap="around" w:hAnchor="page" w:y="6408"/>
        <w:jc w:val="center"/>
        <w:rPr>
          <w:rFonts w:ascii="黑体" w:hAnsi="黑体" w:eastAsia="黑体"/>
          <w:b w:val="0"/>
          <w:bCs w:val="0"/>
          <w:w w:val="100"/>
        </w:rPr>
      </w:pPr>
    </w:p>
    <w:p w14:paraId="15C11688">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无抗海南巴沙鱼</w:t>
      </w:r>
      <w:r>
        <w:fldChar w:fldCharType="end"/>
      </w:r>
      <w:bookmarkEnd w:id="9"/>
    </w:p>
    <w:p w14:paraId="30FEF022">
      <w:pPr>
        <w:framePr w:w="9639" w:h="6974" w:hRule="exact" w:wrap="around" w:vAnchor="page" w:hAnchor="page" w:x="1419" w:y="6408" w:anchorLock="1"/>
        <w:ind w:left="-1418"/>
      </w:pPr>
    </w:p>
    <w:p w14:paraId="2055F9E0">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点击此处添加标准名称的英文译名</w:t>
      </w:r>
      <w:r>
        <w:rPr>
          <w:rFonts w:eastAsia="黑体"/>
          <w:szCs w:val="28"/>
        </w:rPr>
        <w:fldChar w:fldCharType="end"/>
      </w:r>
      <w:bookmarkEnd w:id="10"/>
    </w:p>
    <w:p w14:paraId="506548F6">
      <w:pPr>
        <w:framePr w:w="9639" w:h="6974" w:hRule="exact" w:wrap="around" w:vAnchor="page" w:hAnchor="page" w:x="1419" w:y="6408" w:anchorLock="1"/>
        <w:spacing w:line="760" w:lineRule="exact"/>
        <w:ind w:left="-1418"/>
      </w:pPr>
    </w:p>
    <w:p w14:paraId="76C79B2A">
      <w:pPr>
        <w:pStyle w:val="125"/>
        <w:framePr w:w="9639" w:h="6974" w:hRule="exact" w:wrap="around" w:vAnchor="page" w:hAnchor="page" w:x="1419" w:y="6408" w:anchorLock="1"/>
        <w:textAlignment w:val="bottom"/>
        <w:rPr>
          <w:rFonts w:eastAsia="黑体"/>
          <w:szCs w:val="28"/>
        </w:rPr>
      </w:pPr>
    </w:p>
    <w:p w14:paraId="7493B369">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495FF20E">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5143E4AA">
      <w:pPr>
        <w:pStyle w:val="193"/>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14:paraId="78C11339">
      <w:pPr>
        <w:pStyle w:val="194"/>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14:paraId="649D796A">
      <w:pPr>
        <w:pStyle w:val="15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fldChar w:fldCharType="separate"/>
      </w:r>
      <w:r>
        <w:rPr>
          <w:rFonts w:hint="eastAsia" w:hAnsi="黑体"/>
          <w:w w:val="100"/>
          <w:sz w:val="28"/>
        </w:rPr>
        <w:t>海南省</w:t>
      </w:r>
      <w:r>
        <w:rPr>
          <w:rFonts w:hAnsi="黑体"/>
          <w:w w:val="100"/>
          <w:sz w:val="28"/>
        </w:rPr>
        <w:t>标准化协会</w:t>
      </w:r>
      <w:r>
        <w:rPr>
          <w:rFonts w:hAnsi="黑体"/>
          <w:w w:val="100"/>
          <w:sz w:val="28"/>
        </w:rPr>
        <w:fldChar w:fldCharType="end"/>
      </w:r>
      <w:bookmarkEnd w:id="19"/>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4AE974EF">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6A514CF">
      <w:pPr>
        <w:pStyle w:val="89"/>
        <w:spacing w:after="360"/>
      </w:pPr>
      <w:bookmarkStart w:id="20" w:name="BookMark2"/>
      <w:r>
        <w:rPr>
          <w:spacing w:val="320"/>
        </w:rPr>
        <w:t>前</w:t>
      </w:r>
      <w:r>
        <w:t>言</w:t>
      </w:r>
    </w:p>
    <w:p w14:paraId="01602225">
      <w:pPr>
        <w:pStyle w:val="56"/>
        <w:ind w:firstLine="420"/>
      </w:pPr>
      <w:r>
        <w:rPr>
          <w:rFonts w:hint="eastAsia"/>
        </w:rPr>
        <w:t>本文件按照GB/T 1.1—2020《标准化工作导则</w:t>
      </w:r>
      <w:r>
        <w:t xml:space="preserve">  </w:t>
      </w:r>
      <w:r>
        <w:rPr>
          <w:rFonts w:hint="eastAsia"/>
        </w:rPr>
        <w:t>第1部分：标准化文件的结构和起草规则》的规定起草。</w:t>
      </w:r>
    </w:p>
    <w:p w14:paraId="20D0EE9A">
      <w:pPr>
        <w:pStyle w:val="56"/>
        <w:ind w:firstLine="420"/>
      </w:pPr>
      <w:r>
        <w:rPr>
          <w:rFonts w:hint="eastAsia" w:hAnsi="宋体"/>
          <w:szCs w:val="24"/>
        </w:rPr>
        <w:t>请注意本文件的某些内容可能涉及专利。本文件的发布机构不承担识别专利的责任。</w:t>
      </w:r>
    </w:p>
    <w:p w14:paraId="7136EF4C">
      <w:pPr>
        <w:pStyle w:val="56"/>
        <w:ind w:firstLine="420"/>
      </w:pPr>
      <w:r>
        <w:rPr>
          <w:rFonts w:hint="eastAsia"/>
        </w:rPr>
        <w:t>本文件由海南省检验检测研究院提出。</w:t>
      </w:r>
    </w:p>
    <w:p w14:paraId="68469490">
      <w:pPr>
        <w:pStyle w:val="56"/>
        <w:ind w:firstLine="420"/>
      </w:pPr>
      <w:r>
        <w:rPr>
          <w:rFonts w:hint="eastAsia"/>
        </w:rPr>
        <w:t>本文件由海南省标准化协会归口。</w:t>
      </w:r>
    </w:p>
    <w:p w14:paraId="04766844">
      <w:pPr>
        <w:pStyle w:val="56"/>
        <w:ind w:firstLine="420"/>
      </w:pPr>
      <w:r>
        <w:rPr>
          <w:rFonts w:hint="eastAsia"/>
        </w:rPr>
        <w:t>本文件起草单位：海南省检验检测研究院、澄迈县市场监督管理局、海南省标准化协会</w:t>
      </w:r>
    </w:p>
    <w:p w14:paraId="69D4B4F8">
      <w:pPr>
        <w:pStyle w:val="56"/>
        <w:ind w:firstLine="420"/>
      </w:pPr>
      <w:r>
        <w:rPr>
          <w:rFonts w:hint="eastAsia"/>
        </w:rPr>
        <w:t>本文件主要起草人：</w:t>
      </w:r>
    </w:p>
    <w:p w14:paraId="26FE3253">
      <w:pPr>
        <w:pStyle w:val="56"/>
        <w:ind w:firstLine="420"/>
      </w:pPr>
    </w:p>
    <w:p w14:paraId="5A61E3DA">
      <w:pPr>
        <w:pStyle w:val="56"/>
        <w:ind w:firstLine="420"/>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p>
    <w:bookmarkEnd w:id="20"/>
    <w:p w14:paraId="0EA0A5A2">
      <w:pPr>
        <w:spacing w:line="20" w:lineRule="exact"/>
        <w:jc w:val="center"/>
        <w:rPr>
          <w:rFonts w:ascii="黑体" w:hAnsi="黑体" w:eastAsia="黑体"/>
          <w:sz w:val="32"/>
          <w:szCs w:val="32"/>
        </w:rPr>
      </w:pPr>
      <w:bookmarkStart w:id="21" w:name="BookMark4"/>
    </w:p>
    <w:p w14:paraId="3F8A1962">
      <w:pPr>
        <w:spacing w:line="20" w:lineRule="exact"/>
        <w:jc w:val="center"/>
        <w:rPr>
          <w:rFonts w:ascii="黑体" w:hAnsi="黑体" w:eastAsia="黑体"/>
          <w:sz w:val="32"/>
          <w:szCs w:val="32"/>
        </w:rPr>
      </w:pPr>
    </w:p>
    <w:sdt>
      <w:sdtPr>
        <w:tag w:val="NEW_STAND_NAME"/>
        <w:id w:val="595910757"/>
        <w:lock w:val="sdtLocked"/>
        <w:placeholder>
          <w:docPart w:val="41695A327DB8482CBDA2788DDF6F069E"/>
        </w:placeholder>
      </w:sdtPr>
      <w:sdtContent>
        <w:p w14:paraId="676FE1D9">
          <w:pPr>
            <w:pStyle w:val="177"/>
            <w:spacing w:before="2" w:beforeLines="1" w:after="528" w:afterLines="220"/>
          </w:pPr>
          <w:bookmarkStart w:id="22" w:name="NEW_STAND_NAME"/>
          <w:r>
            <w:rPr>
              <w:rFonts w:hint="eastAsia"/>
            </w:rPr>
            <w:t>无抗海南巴沙鱼</w:t>
          </w:r>
        </w:p>
      </w:sdtContent>
    </w:sdt>
    <w:bookmarkEnd w:id="22"/>
    <w:p w14:paraId="28608A2F">
      <w:pPr>
        <w:pStyle w:val="104"/>
        <w:spacing w:before="240" w:after="240"/>
      </w:pPr>
      <w:bookmarkStart w:id="23" w:name="_Toc26718930"/>
      <w:bookmarkStart w:id="24" w:name="_Toc26986771"/>
      <w:bookmarkStart w:id="25" w:name="_Toc17233333"/>
      <w:bookmarkStart w:id="26" w:name="_Toc26986530"/>
      <w:bookmarkStart w:id="27" w:name="_Toc17233325"/>
      <w:bookmarkStart w:id="28" w:name="_Toc24884218"/>
      <w:bookmarkStart w:id="29" w:name="_Toc24884211"/>
      <w:bookmarkStart w:id="30" w:name="_Toc26648465"/>
      <w:bookmarkStart w:id="31" w:name="_Toc97192964"/>
      <w:r>
        <w:rPr>
          <w:rFonts w:hint="eastAsia"/>
        </w:rPr>
        <w:t>范围</w:t>
      </w:r>
      <w:bookmarkEnd w:id="23"/>
      <w:bookmarkEnd w:id="24"/>
      <w:bookmarkEnd w:id="25"/>
      <w:bookmarkEnd w:id="26"/>
      <w:bookmarkEnd w:id="27"/>
      <w:bookmarkEnd w:id="28"/>
      <w:bookmarkEnd w:id="29"/>
      <w:bookmarkEnd w:id="30"/>
      <w:bookmarkEnd w:id="31"/>
    </w:p>
    <w:p w14:paraId="76B99CD9">
      <w:pPr>
        <w:pStyle w:val="56"/>
        <w:ind w:firstLine="420"/>
      </w:pPr>
      <w:bookmarkStart w:id="32" w:name="_Toc24884219"/>
      <w:bookmarkStart w:id="33" w:name="_Toc26648466"/>
      <w:bookmarkStart w:id="34" w:name="_Toc17233334"/>
      <w:bookmarkStart w:id="35" w:name="_Toc24884212"/>
      <w:bookmarkStart w:id="36" w:name="_Toc17233326"/>
      <w:r>
        <w:rPr>
          <w:rFonts w:hint="eastAsia"/>
        </w:rPr>
        <w:t>本文件规定了无抗海南巴沙鱼的术语和定义、养殖环境、养殖管理、质量要求、检验规则、标签标志、包装、运输与贮存等内容。</w:t>
      </w:r>
    </w:p>
    <w:p w14:paraId="21A057F6">
      <w:pPr>
        <w:pStyle w:val="56"/>
        <w:ind w:firstLine="420"/>
      </w:pPr>
      <w:r>
        <w:rPr>
          <w:rFonts w:hint="eastAsia"/>
        </w:rPr>
        <w:t>本文件适用于海南省区域内无抗巴沙鱼的养殖、加工及流通环节。</w:t>
      </w:r>
    </w:p>
    <w:p w14:paraId="3C49E82B">
      <w:pPr>
        <w:pStyle w:val="104"/>
        <w:spacing w:before="240" w:after="240"/>
      </w:pPr>
      <w:bookmarkStart w:id="37" w:name="_Toc97192965"/>
      <w:bookmarkStart w:id="38" w:name="_Toc26718931"/>
      <w:bookmarkStart w:id="39" w:name="_Toc26986531"/>
      <w:bookmarkStart w:id="40" w:name="_Toc26986772"/>
      <w:r>
        <w:rPr>
          <w:rFonts w:hint="eastAsia"/>
        </w:rPr>
        <w:t>规范性引用文件</w:t>
      </w:r>
      <w:bookmarkEnd w:id="32"/>
      <w:bookmarkEnd w:id="33"/>
      <w:bookmarkEnd w:id="34"/>
      <w:bookmarkEnd w:id="35"/>
      <w:bookmarkEnd w:id="36"/>
      <w:bookmarkEnd w:id="37"/>
      <w:bookmarkEnd w:id="38"/>
      <w:bookmarkEnd w:id="39"/>
      <w:bookmarkEnd w:id="40"/>
    </w:p>
    <w:sdt>
      <w:sdtPr>
        <w:rPr>
          <w:rFonts w:hint="eastAsia"/>
        </w:rPr>
        <w:id w:val="715848253"/>
        <w:placeholder>
          <w:docPart w:val="90A131535CA24E62ADE9D003E08EBF7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2488B58D">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70C0C2D">
      <w:pPr>
        <w:pStyle w:val="56"/>
        <w:ind w:firstLine="420"/>
      </w:pPr>
      <w:r>
        <w:t>GB/T 191</w:t>
      </w:r>
      <w:r>
        <w:rPr>
          <w:rFonts w:hint="eastAsia"/>
        </w:rPr>
        <w:t xml:space="preserve"> </w:t>
      </w:r>
      <w:r>
        <w:t>包装储运图示标志</w:t>
      </w:r>
    </w:p>
    <w:p w14:paraId="41C57252">
      <w:pPr>
        <w:pStyle w:val="56"/>
        <w:ind w:firstLine="420"/>
      </w:pPr>
      <w:r>
        <w:rPr>
          <w:rFonts w:hint="eastAsia"/>
        </w:rPr>
        <w:t>GB 2733  食品安全国家标准 鲜、冻动物性水产品</w:t>
      </w:r>
    </w:p>
    <w:p w14:paraId="60CB00CB">
      <w:pPr>
        <w:pStyle w:val="56"/>
        <w:ind w:firstLine="420"/>
      </w:pPr>
      <w:r>
        <w:rPr>
          <w:rFonts w:hint="eastAsia"/>
        </w:rPr>
        <w:t>GB</w:t>
      </w:r>
      <w:r>
        <w:t xml:space="preserve"> 2762  </w:t>
      </w:r>
      <w:r>
        <w:rPr>
          <w:shd w:val="clear" w:color="auto" w:fill="FFFFFF"/>
        </w:rPr>
        <w:t>食品安全国家标准 食品中污染物限量</w:t>
      </w:r>
    </w:p>
    <w:p w14:paraId="2979DEAE">
      <w:pPr>
        <w:pStyle w:val="56"/>
        <w:ind w:firstLine="420"/>
      </w:pPr>
      <w:r>
        <w:rPr>
          <w:rFonts w:hint="eastAsia"/>
        </w:rPr>
        <w:t>GB 2763  食品安全国家标准 食品中农药最大残留限量</w:t>
      </w:r>
    </w:p>
    <w:p w14:paraId="4E62F896">
      <w:pPr>
        <w:pStyle w:val="56"/>
        <w:ind w:firstLine="420"/>
      </w:pPr>
      <w:r>
        <w:rPr>
          <w:rFonts w:hint="eastAsia"/>
        </w:rPr>
        <w:t>GB 4806.7  食品安全国家标准 食品接触用塑料材料及制品</w:t>
      </w:r>
    </w:p>
    <w:p w14:paraId="2064E69C">
      <w:pPr>
        <w:pStyle w:val="56"/>
        <w:ind w:firstLine="420"/>
      </w:pPr>
      <w:r>
        <w:rPr>
          <w:rFonts w:hint="eastAsia"/>
        </w:rPr>
        <w:t>GB 5009.3  食品安全国家标准 食品中水分的测定</w:t>
      </w:r>
    </w:p>
    <w:p w14:paraId="5B4B61FC">
      <w:pPr>
        <w:pStyle w:val="56"/>
        <w:ind w:firstLine="420"/>
      </w:pPr>
      <w:r>
        <w:rPr>
          <w:rFonts w:hint="eastAsia"/>
        </w:rPr>
        <w:t>GB 5009.5  食品安全国家标准 食品中蛋白质的测定</w:t>
      </w:r>
    </w:p>
    <w:p w14:paraId="062620D9">
      <w:pPr>
        <w:pStyle w:val="56"/>
        <w:ind w:firstLine="420"/>
      </w:pPr>
      <w:r>
        <w:rPr>
          <w:rFonts w:hint="eastAsia"/>
        </w:rPr>
        <w:t>GB 5009.6 食品安全国家标准 食品中脂肪的测定</w:t>
      </w:r>
    </w:p>
    <w:p w14:paraId="04238665">
      <w:pPr>
        <w:pStyle w:val="56"/>
        <w:ind w:firstLine="420"/>
      </w:pPr>
      <w:r>
        <w:rPr>
          <w:rFonts w:hint="eastAsia"/>
        </w:rPr>
        <w:t>GB 5009.228 食品安全国家标准 食品中挥发性盐基氮的测定</w:t>
      </w:r>
    </w:p>
    <w:p w14:paraId="2F4311A3">
      <w:pPr>
        <w:pStyle w:val="56"/>
        <w:ind w:firstLine="420"/>
      </w:pPr>
      <w:r>
        <w:t>GB 5749  生活饮用水卫生标准</w:t>
      </w:r>
    </w:p>
    <w:p w14:paraId="5F2A893B">
      <w:pPr>
        <w:pStyle w:val="56"/>
        <w:ind w:firstLine="420"/>
      </w:pPr>
      <w:r>
        <w:rPr>
          <w:rFonts w:hint="eastAsia"/>
        </w:rPr>
        <w:t>GB/T 6543 运输包装用单瓦楞纸箱和双瓦楞纸箱</w:t>
      </w:r>
    </w:p>
    <w:p w14:paraId="3F250A7B">
      <w:pPr>
        <w:pStyle w:val="56"/>
        <w:ind w:firstLine="420"/>
      </w:pPr>
      <w:r>
        <w:rPr>
          <w:rFonts w:hint="eastAsia"/>
        </w:rPr>
        <w:t>GB 7718 食品安全国家标准 预包装食品标签通则</w:t>
      </w:r>
    </w:p>
    <w:p w14:paraId="2AA0C72B">
      <w:pPr>
        <w:pStyle w:val="56"/>
        <w:ind w:firstLine="420"/>
      </w:pPr>
      <w:r>
        <w:rPr>
          <w:rFonts w:hint="eastAsia"/>
        </w:rPr>
        <w:t>GB 11607  渔业水质标准</w:t>
      </w:r>
    </w:p>
    <w:p w14:paraId="691ACED4">
      <w:pPr>
        <w:pStyle w:val="56"/>
        <w:ind w:firstLine="420"/>
      </w:pPr>
      <w:r>
        <w:rPr>
          <w:rFonts w:hint="eastAsia"/>
        </w:rPr>
        <w:t>GB 14881 食品安全国家标准 食品生产通用卫生规范</w:t>
      </w:r>
    </w:p>
    <w:p w14:paraId="7621B949">
      <w:pPr>
        <w:pStyle w:val="56"/>
        <w:ind w:firstLine="420"/>
      </w:pPr>
      <w:r>
        <w:rPr>
          <w:rFonts w:hint="eastAsia"/>
        </w:rPr>
        <w:fldChar w:fldCharType="begin"/>
      </w:r>
      <w:r>
        <w:rPr>
          <w:rFonts w:hint="eastAsia"/>
        </w:rPr>
        <w:instrText xml:space="preserve"> HYPERLINK "https://std.samr.gov.cn/gb/search/gbDetailed?id=2AD027063915091BE06397BE0A0A2D62" \t "https://std.samr.gov.cn/search/_blank" </w:instrText>
      </w:r>
      <w:r>
        <w:rPr>
          <w:rFonts w:hint="eastAsia"/>
        </w:rPr>
        <w:fldChar w:fldCharType="separate"/>
      </w:r>
      <w:r>
        <w:rPr>
          <w:rFonts w:hint="eastAsia"/>
        </w:rPr>
        <w:t>GB/T 18109 冻鱼</w:t>
      </w:r>
      <w:r>
        <w:rPr>
          <w:rFonts w:hint="eastAsia"/>
        </w:rPr>
        <w:fldChar w:fldCharType="end"/>
      </w:r>
    </w:p>
    <w:p w14:paraId="58D0091B">
      <w:pPr>
        <w:pStyle w:val="56"/>
        <w:ind w:firstLine="420"/>
      </w:pPr>
      <w:r>
        <w:rPr>
          <w:rFonts w:hint="eastAsia"/>
        </w:rPr>
        <w:t>GB 20941 食品安全国家标准 水产制品生产卫生规范</w:t>
      </w:r>
    </w:p>
    <w:p w14:paraId="1AD6379D">
      <w:pPr>
        <w:pStyle w:val="56"/>
        <w:ind w:firstLine="420"/>
      </w:pPr>
      <w:r>
        <w:rPr>
          <w:rFonts w:hint="eastAsia"/>
        </w:rPr>
        <w:t xml:space="preserve">GB 20850 </w:t>
      </w:r>
      <w:r>
        <w:t>食品安全国家标准 预包装食品营养标签通则</w:t>
      </w:r>
    </w:p>
    <w:p w14:paraId="3817ED08">
      <w:pPr>
        <w:pStyle w:val="56"/>
        <w:ind w:firstLine="420"/>
      </w:pPr>
      <w:r>
        <w:rPr>
          <w:rFonts w:hint="eastAsia"/>
        </w:rPr>
        <w:t>GB/T 22919.8  水产配合饲料 第8部分：巴沙鱼配合饲料</w:t>
      </w:r>
    </w:p>
    <w:p w14:paraId="2E1218F9">
      <w:pPr>
        <w:pStyle w:val="56"/>
        <w:ind w:firstLine="420"/>
      </w:pPr>
      <w:r>
        <w:rPr>
          <w:rFonts w:hint="eastAsia"/>
        </w:rPr>
        <w:t xml:space="preserve">GB/T 30891 水产品抽样规范 </w:t>
      </w:r>
    </w:p>
    <w:p w14:paraId="26D19A24">
      <w:pPr>
        <w:pStyle w:val="56"/>
        <w:ind w:firstLine="420"/>
      </w:pPr>
      <w:r>
        <w:rPr>
          <w:rFonts w:hint="eastAsia"/>
        </w:rPr>
        <w:t>GB/T 36193 水产品加工术语</w:t>
      </w:r>
    </w:p>
    <w:p w14:paraId="2F358D59">
      <w:pPr>
        <w:pStyle w:val="56"/>
        <w:ind w:firstLine="420"/>
      </w:pPr>
      <w:r>
        <w:rPr>
          <w:rFonts w:hint="eastAsia"/>
        </w:rPr>
        <w:t>GB/T 45061 冻鱼片</w:t>
      </w:r>
    </w:p>
    <w:p w14:paraId="7D4E278F">
      <w:pPr>
        <w:pStyle w:val="56"/>
        <w:ind w:firstLine="420"/>
      </w:pPr>
      <w:r>
        <w:rPr>
          <w:rFonts w:hint="eastAsia"/>
        </w:rPr>
        <w:t>NY/T 3474  卵形鲳鲹配合饲料</w:t>
      </w:r>
    </w:p>
    <w:p w14:paraId="4E165423">
      <w:pPr>
        <w:pStyle w:val="56"/>
        <w:ind w:firstLine="420"/>
      </w:pPr>
      <w:r>
        <w:rPr>
          <w:rFonts w:hint="eastAsia"/>
        </w:rPr>
        <w:t>SC/T 1077  渔用配合饲料通用技术要求</w:t>
      </w:r>
    </w:p>
    <w:p w14:paraId="0A92E833">
      <w:pPr>
        <w:pStyle w:val="56"/>
        <w:ind w:firstLine="420"/>
      </w:pPr>
      <w:r>
        <w:rPr>
          <w:rFonts w:hint="eastAsia"/>
        </w:rPr>
        <w:t>SC/T 3035 水产品包装、标识通则</w:t>
      </w:r>
    </w:p>
    <w:p w14:paraId="4873EDCA">
      <w:pPr>
        <w:pStyle w:val="56"/>
        <w:ind w:firstLine="420"/>
      </w:pPr>
      <w:r>
        <w:rPr>
          <w:rFonts w:hint="eastAsia"/>
        </w:rPr>
        <w:t>JJF 1070  定量包装商品净含量计量检验规则</w:t>
      </w:r>
    </w:p>
    <w:p w14:paraId="7ED05DE9">
      <w:pPr>
        <w:pStyle w:val="56"/>
        <w:ind w:firstLine="420"/>
      </w:pPr>
    </w:p>
    <w:p w14:paraId="22914673">
      <w:pPr>
        <w:pStyle w:val="104"/>
        <w:spacing w:before="240" w:after="240"/>
      </w:pPr>
      <w:bookmarkStart w:id="41" w:name="_Toc97192966"/>
      <w:r>
        <w:rPr>
          <w:rFonts w:hint="eastAsia"/>
          <w:szCs w:val="21"/>
        </w:rPr>
        <w:t>术语和定义</w:t>
      </w:r>
      <w:bookmarkEnd w:id="41"/>
    </w:p>
    <w:p w14:paraId="40253189">
      <w:pPr>
        <w:pStyle w:val="56"/>
        <w:ind w:firstLine="420"/>
      </w:pPr>
      <w:bookmarkStart w:id="42" w:name="_Toc26986532"/>
      <w:bookmarkEnd w:id="42"/>
      <w:r>
        <w:rPr>
          <w:rFonts w:hint="eastAsia"/>
        </w:rPr>
        <w:t xml:space="preserve">GB/T 36193 </w:t>
      </w:r>
      <w:sdt>
        <w:sdtPr>
          <w:id w:val="-1909835108"/>
          <w:placeholder>
            <w:docPart w:val="4038D02D3FDA4233BD79A5D60E80842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r>
            <w:t>界定的以及下列术语和定义适用于本文件。</w:t>
          </w:r>
        </w:sdtContent>
      </w:sdt>
    </w:p>
    <w:p w14:paraId="1918AAA0">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无抗养殖</w:t>
      </w:r>
    </w:p>
    <w:p w14:paraId="77269A91">
      <w:pPr>
        <w:pStyle w:val="56"/>
        <w:ind w:firstLine="420"/>
        <w:rPr>
          <w:kern w:val="2"/>
          <w:szCs w:val="21"/>
        </w:rPr>
      </w:pPr>
      <w:r>
        <w:rPr>
          <w:rFonts w:hint="eastAsia"/>
        </w:rPr>
        <w:t>养殖过程中全程不使用抗生素类药物进行疾病预防或治疗，通过生物防控、水质调控及科学饲喂等手段替代抗生素的养殖模式。</w:t>
      </w:r>
    </w:p>
    <w:p w14:paraId="3574FF39">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海南巴沙鱼</w:t>
      </w:r>
    </w:p>
    <w:p w14:paraId="082AE205">
      <w:pPr>
        <w:pStyle w:val="56"/>
        <w:ind w:firstLine="420"/>
      </w:pPr>
      <w:r>
        <w:rPr>
          <w:rFonts w:hint="eastAsia"/>
        </w:rPr>
        <w:t>在海南省海域或标准化养殖基地内养殖的巴沙鱼。</w:t>
      </w:r>
    </w:p>
    <w:p w14:paraId="1B324A2C">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亲鱼</w:t>
      </w:r>
    </w:p>
    <w:p w14:paraId="50441607">
      <w:pPr>
        <w:pStyle w:val="56"/>
        <w:ind w:firstLine="420"/>
      </w:pPr>
      <w:r>
        <w:rPr>
          <w:rFonts w:hint="eastAsia"/>
        </w:rPr>
        <w:t>用于繁殖苗种的成体巴沙鱼。</w:t>
      </w:r>
    </w:p>
    <w:p w14:paraId="69FCFA20">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生物防控</w:t>
      </w:r>
    </w:p>
    <w:p w14:paraId="4C4723FB">
      <w:pPr>
        <w:pStyle w:val="56"/>
        <w:ind w:firstLine="420"/>
      </w:pPr>
      <w:r>
        <w:rPr>
          <w:rFonts w:hint="eastAsia"/>
        </w:rPr>
        <w:t>通过水质管理、生态调控等手段预防病害发生。</w:t>
      </w:r>
    </w:p>
    <w:p w14:paraId="3767649E">
      <w:pPr>
        <w:pStyle w:val="223"/>
        <w:ind w:left="420" w:hanging="420" w:hangingChars="200"/>
        <w:rPr>
          <w:rFonts w:ascii="黑体" w:hAnsi="黑体" w:eastAsia="黑体"/>
        </w:rPr>
      </w:pPr>
      <w:r>
        <w:rPr>
          <w:rFonts w:ascii="黑体" w:hAnsi="黑体" w:eastAsia="黑体"/>
        </w:rPr>
        <w:br w:type="textWrapping"/>
      </w:r>
      <w:r>
        <w:rPr>
          <w:rFonts w:ascii="黑体" w:hAnsi="黑体" w:eastAsia="黑体"/>
        </w:rPr>
        <w:t>无抗海南巴沙鱼</w:t>
      </w:r>
    </w:p>
    <w:p w14:paraId="691F4696">
      <w:pPr>
        <w:pStyle w:val="56"/>
        <w:ind w:firstLine="420"/>
        <w:rPr>
          <w:rFonts w:hint="eastAsia"/>
        </w:rPr>
      </w:pPr>
      <w:r>
        <w:rPr>
          <w:rFonts w:hint="eastAsia"/>
        </w:rPr>
        <w:t>经无抗养殖、检验检疫 、加工生产的鲜（冻）海南巴沙鱼。</w:t>
      </w:r>
    </w:p>
    <w:p w14:paraId="4FF94E24">
      <w:pPr>
        <w:pStyle w:val="104"/>
        <w:spacing w:before="240" w:after="240"/>
        <w:rPr>
          <w:kern w:val="2"/>
          <w:szCs w:val="21"/>
        </w:rPr>
      </w:pPr>
      <w:r>
        <w:rPr>
          <w:rFonts w:hint="eastAsia"/>
        </w:rPr>
        <w:t>质量要求</w:t>
      </w:r>
    </w:p>
    <w:p w14:paraId="19BAC4D3">
      <w:pPr>
        <w:pStyle w:val="105"/>
        <w:spacing w:before="120" w:after="120"/>
      </w:pPr>
      <w:r>
        <w:rPr>
          <w:rFonts w:hint="eastAsia"/>
        </w:rPr>
        <w:t>原料要求</w:t>
      </w:r>
    </w:p>
    <w:p w14:paraId="76526D2D">
      <w:pPr>
        <w:pStyle w:val="165"/>
      </w:pPr>
      <w:r>
        <w:rPr>
          <w:rFonts w:hint="eastAsia"/>
        </w:rPr>
        <w:t>无抗海南巴沙鱼苗种来源应优先选择省级以上良种原种场，健康无畸形，具有检疫合格证明，无抗生素使用记录。</w:t>
      </w:r>
    </w:p>
    <w:p w14:paraId="4315012D">
      <w:pPr>
        <w:pStyle w:val="165"/>
      </w:pPr>
      <w:r>
        <w:rPr>
          <w:rFonts w:hint="eastAsia"/>
        </w:rPr>
        <w:t>饲料符合GB/T 22919.8 及SC/T 1077的要求，粗蛋白≥40%，脂肪≤10%。</w:t>
      </w:r>
    </w:p>
    <w:p w14:paraId="358AFF8A">
      <w:pPr>
        <w:pStyle w:val="165"/>
      </w:pPr>
      <w:r>
        <w:t>应无抗养殖，</w:t>
      </w:r>
      <w:r>
        <w:rPr>
          <w:rFonts w:hint="eastAsia"/>
        </w:rPr>
        <w:t>饲养过程禁止添加抗生素、激素类物质，使用微生物制剂替代。</w:t>
      </w:r>
    </w:p>
    <w:p w14:paraId="3E7FCF94">
      <w:pPr>
        <w:pStyle w:val="165"/>
      </w:pPr>
      <w:r>
        <w:rPr>
          <w:rFonts w:hint="eastAsia"/>
        </w:rPr>
        <w:t>病害防控以生物防控为主，采用益生菌调水、免疫增强剂拌饵等措施。</w:t>
      </w:r>
    </w:p>
    <w:p w14:paraId="6F4CE603">
      <w:pPr>
        <w:pStyle w:val="165"/>
      </w:pPr>
      <w:r>
        <w:rPr>
          <w:rFonts w:hint="eastAsia"/>
        </w:rPr>
        <w:t>发现病鱼立即隔离，使用农业农村部批准的非抗生素类渔药。</w:t>
      </w:r>
    </w:p>
    <w:p w14:paraId="7B05387F">
      <w:pPr>
        <w:pStyle w:val="105"/>
        <w:spacing w:before="120" w:after="120"/>
      </w:pPr>
      <w:r>
        <w:rPr>
          <w:rFonts w:hint="eastAsia"/>
        </w:rPr>
        <w:t>感官要求</w:t>
      </w:r>
    </w:p>
    <w:p w14:paraId="5F6486A3">
      <w:pPr>
        <w:pStyle w:val="56"/>
        <w:ind w:firstLine="420"/>
      </w:pPr>
      <w:r>
        <w:t>应</w:t>
      </w:r>
      <w:r>
        <w:rPr>
          <w:rFonts w:hint="eastAsia"/>
        </w:rPr>
        <w:t>符合表1的规定。</w:t>
      </w:r>
    </w:p>
    <w:p w14:paraId="7968BDA8">
      <w:pPr>
        <w:pStyle w:val="112"/>
        <w:spacing w:before="120" w:after="120"/>
      </w:pPr>
      <w:r>
        <w:rPr>
          <w:rFonts w:hint="eastAsia"/>
        </w:rPr>
        <w:t>感官要求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98"/>
        <w:gridCol w:w="2538"/>
        <w:gridCol w:w="2362"/>
        <w:gridCol w:w="2091"/>
      </w:tblGrid>
      <w:tr w14:paraId="303233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298" w:type="dxa"/>
            <w:vMerge w:val="restart"/>
            <w:tcBorders>
              <w:top w:val="single" w:color="auto" w:sz="8" w:space="0"/>
            </w:tcBorders>
            <w:shd w:val="clear" w:color="auto" w:fill="auto"/>
            <w:vAlign w:val="center"/>
          </w:tcPr>
          <w:p w14:paraId="3764DC0F">
            <w:pPr>
              <w:pStyle w:val="178"/>
            </w:pPr>
            <w:r>
              <w:rPr>
                <w:rFonts w:hint="eastAsia"/>
              </w:rPr>
              <w:t>项目</w:t>
            </w:r>
          </w:p>
        </w:tc>
        <w:tc>
          <w:tcPr>
            <w:tcW w:w="6991" w:type="dxa"/>
            <w:gridSpan w:val="3"/>
            <w:tcBorders>
              <w:top w:val="single" w:color="auto" w:sz="8" w:space="0"/>
              <w:bottom w:val="single" w:color="auto" w:sz="8" w:space="0"/>
            </w:tcBorders>
            <w:shd w:val="clear" w:color="auto" w:fill="auto"/>
            <w:vAlign w:val="center"/>
          </w:tcPr>
          <w:p w14:paraId="23452AD1">
            <w:pPr>
              <w:pStyle w:val="178"/>
            </w:pPr>
            <w:r>
              <w:rPr>
                <w:rFonts w:hint="eastAsia"/>
              </w:rPr>
              <w:t>要求</w:t>
            </w:r>
          </w:p>
        </w:tc>
      </w:tr>
      <w:tr w14:paraId="1F0F18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98" w:type="dxa"/>
            <w:vMerge w:val="continue"/>
            <w:shd w:val="clear" w:color="auto" w:fill="auto"/>
            <w:vAlign w:val="center"/>
          </w:tcPr>
          <w:p w14:paraId="3C2773BB">
            <w:pPr>
              <w:pStyle w:val="178"/>
            </w:pPr>
          </w:p>
        </w:tc>
        <w:tc>
          <w:tcPr>
            <w:tcW w:w="2538" w:type="dxa"/>
            <w:tcBorders>
              <w:top w:val="single" w:color="auto" w:sz="8" w:space="0"/>
            </w:tcBorders>
            <w:shd w:val="clear" w:color="auto" w:fill="auto"/>
            <w:vAlign w:val="center"/>
          </w:tcPr>
          <w:p w14:paraId="5579D49F">
            <w:pPr>
              <w:pStyle w:val="178"/>
            </w:pPr>
            <w:r>
              <w:rPr>
                <w:rFonts w:hint="eastAsia"/>
              </w:rPr>
              <w:t>活鱼</w:t>
            </w:r>
          </w:p>
        </w:tc>
        <w:tc>
          <w:tcPr>
            <w:tcW w:w="2362" w:type="dxa"/>
            <w:tcBorders>
              <w:top w:val="single" w:color="auto" w:sz="8" w:space="0"/>
            </w:tcBorders>
            <w:shd w:val="clear" w:color="auto" w:fill="auto"/>
            <w:vAlign w:val="center"/>
          </w:tcPr>
          <w:p w14:paraId="283C76FC">
            <w:pPr>
              <w:pStyle w:val="178"/>
            </w:pPr>
            <w:r>
              <w:rPr>
                <w:rFonts w:hint="eastAsia"/>
              </w:rPr>
              <w:t>鲜鱼</w:t>
            </w:r>
          </w:p>
        </w:tc>
        <w:tc>
          <w:tcPr>
            <w:tcW w:w="2091" w:type="dxa"/>
            <w:tcBorders>
              <w:top w:val="single" w:color="auto" w:sz="8" w:space="0"/>
            </w:tcBorders>
            <w:shd w:val="clear" w:color="auto" w:fill="auto"/>
            <w:vAlign w:val="center"/>
          </w:tcPr>
          <w:p w14:paraId="653663E0">
            <w:pPr>
              <w:pStyle w:val="178"/>
            </w:pPr>
            <w:r>
              <w:rPr>
                <w:rFonts w:hint="eastAsia"/>
              </w:rPr>
              <w:t>冻鱼</w:t>
            </w:r>
          </w:p>
        </w:tc>
      </w:tr>
      <w:tr w14:paraId="4090AA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11" w:hRule="atLeast"/>
          <w:jc w:val="center"/>
        </w:trPr>
        <w:tc>
          <w:tcPr>
            <w:tcW w:w="2298" w:type="dxa"/>
            <w:shd w:val="clear" w:color="auto" w:fill="auto"/>
            <w:vAlign w:val="center"/>
          </w:tcPr>
          <w:p w14:paraId="1131E99B">
            <w:pPr>
              <w:pStyle w:val="178"/>
            </w:pPr>
            <w:r>
              <w:rPr>
                <w:rFonts w:hint="eastAsia"/>
              </w:rPr>
              <w:t>常规</w:t>
            </w:r>
          </w:p>
        </w:tc>
        <w:tc>
          <w:tcPr>
            <w:tcW w:w="2538" w:type="dxa"/>
            <w:shd w:val="clear" w:color="auto" w:fill="auto"/>
            <w:vAlign w:val="center"/>
          </w:tcPr>
          <w:p w14:paraId="414EF259">
            <w:pPr>
              <w:pStyle w:val="178"/>
              <w:jc w:val="left"/>
            </w:pPr>
            <w:r>
              <w:rPr>
                <w:rFonts w:hint="eastAsia"/>
              </w:rPr>
              <w:t>鱼体健康，体态匀称，游动活泼，无鱼病症状；具有巴沙鱼固有的色泽和光泽，无异味：体表完整。</w:t>
            </w:r>
          </w:p>
        </w:tc>
        <w:tc>
          <w:tcPr>
            <w:tcW w:w="2362" w:type="dxa"/>
            <w:shd w:val="clear" w:color="auto" w:fill="auto"/>
            <w:vAlign w:val="center"/>
          </w:tcPr>
          <w:p w14:paraId="69D15109">
            <w:pPr>
              <w:pStyle w:val="178"/>
              <w:jc w:val="left"/>
            </w:pPr>
            <w:r>
              <w:rPr>
                <w:rFonts w:hint="eastAsia"/>
              </w:rPr>
              <w:t>鲜鱼的外观、眼球、腮、肌肉、气味、杂志等要求应符合GB/T 18108中表1优级的要求。</w:t>
            </w:r>
          </w:p>
        </w:tc>
        <w:tc>
          <w:tcPr>
            <w:tcW w:w="2091" w:type="dxa"/>
            <w:shd w:val="clear" w:color="auto" w:fill="auto"/>
            <w:vAlign w:val="center"/>
          </w:tcPr>
          <w:p w14:paraId="74649507">
            <w:pPr>
              <w:pStyle w:val="178"/>
              <w:jc w:val="left"/>
            </w:pPr>
            <w:r>
              <w:rPr>
                <w:rFonts w:hint="eastAsia"/>
              </w:rPr>
              <w:t>冻品和解冻后感官要求（除蒸煮后品质）应符合GB/T 18109的4.4的要求.</w:t>
            </w:r>
          </w:p>
        </w:tc>
      </w:tr>
      <w:tr w14:paraId="1AB4B1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98" w:type="dxa"/>
            <w:shd w:val="clear" w:color="auto" w:fill="auto"/>
            <w:vAlign w:val="center"/>
          </w:tcPr>
          <w:p w14:paraId="6557BF20">
            <w:pPr>
              <w:pStyle w:val="178"/>
            </w:pPr>
            <w:r>
              <w:rPr>
                <w:rFonts w:hint="eastAsia"/>
              </w:rPr>
              <w:t>蒸煮后品质</w:t>
            </w:r>
          </w:p>
        </w:tc>
        <w:tc>
          <w:tcPr>
            <w:tcW w:w="2538" w:type="dxa"/>
            <w:shd w:val="clear" w:color="auto" w:fill="auto"/>
            <w:vAlign w:val="center"/>
          </w:tcPr>
          <w:p w14:paraId="71AAA244">
            <w:pPr>
              <w:pStyle w:val="178"/>
              <w:jc w:val="both"/>
            </w:pPr>
          </w:p>
        </w:tc>
        <w:tc>
          <w:tcPr>
            <w:tcW w:w="2362" w:type="dxa"/>
            <w:shd w:val="clear" w:color="auto" w:fill="auto"/>
            <w:vAlign w:val="center"/>
          </w:tcPr>
          <w:p w14:paraId="329F39CA">
            <w:pPr>
              <w:pStyle w:val="178"/>
              <w:jc w:val="both"/>
            </w:pPr>
            <w:r>
              <w:rPr>
                <w:rFonts w:hint="eastAsia"/>
              </w:rPr>
              <w:t>应符合GB/T 18108-2024中表1优级的要求</w:t>
            </w:r>
          </w:p>
        </w:tc>
        <w:tc>
          <w:tcPr>
            <w:tcW w:w="2091" w:type="dxa"/>
            <w:shd w:val="clear" w:color="auto" w:fill="auto"/>
            <w:vAlign w:val="center"/>
          </w:tcPr>
          <w:p w14:paraId="6E75D8EB">
            <w:pPr>
              <w:pStyle w:val="178"/>
              <w:jc w:val="both"/>
            </w:pPr>
            <w:r>
              <w:rPr>
                <w:rFonts w:hint="eastAsia"/>
              </w:rPr>
              <w:t>解冻后产品应符合GB/T 18109表1要求（冻品不适用）</w:t>
            </w:r>
          </w:p>
        </w:tc>
      </w:tr>
    </w:tbl>
    <w:p w14:paraId="3EB5D7C8">
      <w:pPr>
        <w:pStyle w:val="105"/>
        <w:spacing w:before="120" w:after="120"/>
      </w:pPr>
      <w:r>
        <w:rPr>
          <w:rFonts w:hint="eastAsia"/>
        </w:rPr>
        <w:t>理化指标</w:t>
      </w:r>
    </w:p>
    <w:p w14:paraId="1B6BED92">
      <w:pPr>
        <w:pStyle w:val="56"/>
        <w:ind w:firstLine="420"/>
      </w:pPr>
      <w:r>
        <w:t>应</w:t>
      </w:r>
      <w:r>
        <w:rPr>
          <w:rFonts w:hint="eastAsia"/>
        </w:rPr>
        <w:t>符合表2的规定。</w:t>
      </w:r>
    </w:p>
    <w:p w14:paraId="768E28C0">
      <w:pPr>
        <w:pStyle w:val="112"/>
        <w:spacing w:before="120" w:after="120"/>
      </w:pPr>
      <w:r>
        <w:rPr>
          <w:rFonts w:hint="eastAsia"/>
        </w:rPr>
        <w:t>理化要求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486"/>
        <w:gridCol w:w="2437"/>
        <w:gridCol w:w="2275"/>
        <w:gridCol w:w="2091"/>
      </w:tblGrid>
      <w:tr w14:paraId="7349C7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486" w:type="dxa"/>
            <w:vMerge w:val="restart"/>
            <w:tcBorders>
              <w:top w:val="single" w:color="auto" w:sz="8" w:space="0"/>
            </w:tcBorders>
            <w:shd w:val="clear" w:color="auto" w:fill="auto"/>
            <w:vAlign w:val="center"/>
          </w:tcPr>
          <w:p w14:paraId="2E5DA9DA">
            <w:pPr>
              <w:pStyle w:val="178"/>
            </w:pPr>
            <w:r>
              <w:rPr>
                <w:rFonts w:hint="eastAsia"/>
              </w:rPr>
              <w:t>项目</w:t>
            </w:r>
          </w:p>
        </w:tc>
        <w:tc>
          <w:tcPr>
            <w:tcW w:w="6803" w:type="dxa"/>
            <w:gridSpan w:val="3"/>
            <w:tcBorders>
              <w:top w:val="single" w:color="auto" w:sz="8" w:space="0"/>
              <w:bottom w:val="single" w:color="auto" w:sz="8" w:space="0"/>
            </w:tcBorders>
            <w:shd w:val="clear" w:color="auto" w:fill="auto"/>
            <w:vAlign w:val="center"/>
          </w:tcPr>
          <w:p w14:paraId="7F1109A7">
            <w:pPr>
              <w:pStyle w:val="178"/>
            </w:pPr>
            <w:r>
              <w:rPr>
                <w:rFonts w:hint="eastAsia"/>
              </w:rPr>
              <w:t>要求</w:t>
            </w:r>
          </w:p>
        </w:tc>
      </w:tr>
      <w:tr w14:paraId="76D906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86" w:type="dxa"/>
            <w:vMerge w:val="continue"/>
            <w:shd w:val="clear" w:color="auto" w:fill="auto"/>
            <w:vAlign w:val="center"/>
          </w:tcPr>
          <w:p w14:paraId="4FCADB53">
            <w:pPr>
              <w:pStyle w:val="178"/>
            </w:pPr>
          </w:p>
        </w:tc>
        <w:tc>
          <w:tcPr>
            <w:tcW w:w="2437" w:type="dxa"/>
            <w:tcBorders>
              <w:top w:val="single" w:color="auto" w:sz="8" w:space="0"/>
            </w:tcBorders>
            <w:shd w:val="clear" w:color="auto" w:fill="auto"/>
            <w:vAlign w:val="center"/>
          </w:tcPr>
          <w:p w14:paraId="5ED1B1AF">
            <w:pPr>
              <w:pStyle w:val="178"/>
            </w:pPr>
            <w:r>
              <w:rPr>
                <w:rFonts w:hint="eastAsia"/>
              </w:rPr>
              <w:t>活鱼</w:t>
            </w:r>
          </w:p>
        </w:tc>
        <w:tc>
          <w:tcPr>
            <w:tcW w:w="2275" w:type="dxa"/>
            <w:tcBorders>
              <w:top w:val="single" w:color="auto" w:sz="8" w:space="0"/>
            </w:tcBorders>
            <w:shd w:val="clear" w:color="auto" w:fill="auto"/>
            <w:vAlign w:val="center"/>
          </w:tcPr>
          <w:p w14:paraId="24F6ABBE">
            <w:pPr>
              <w:pStyle w:val="178"/>
            </w:pPr>
            <w:r>
              <w:rPr>
                <w:rFonts w:hint="eastAsia"/>
              </w:rPr>
              <w:t>鲜鱼</w:t>
            </w:r>
          </w:p>
        </w:tc>
        <w:tc>
          <w:tcPr>
            <w:tcW w:w="2091" w:type="dxa"/>
            <w:tcBorders>
              <w:top w:val="single" w:color="auto" w:sz="8" w:space="0"/>
            </w:tcBorders>
            <w:shd w:val="clear" w:color="auto" w:fill="auto"/>
            <w:vAlign w:val="center"/>
          </w:tcPr>
          <w:p w14:paraId="5874CD20">
            <w:pPr>
              <w:pStyle w:val="178"/>
            </w:pPr>
            <w:r>
              <w:rPr>
                <w:rFonts w:hint="eastAsia"/>
              </w:rPr>
              <w:t>冻鱼</w:t>
            </w:r>
          </w:p>
        </w:tc>
      </w:tr>
      <w:tr w14:paraId="61B255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11" w:hRule="atLeast"/>
          <w:jc w:val="center"/>
        </w:trPr>
        <w:tc>
          <w:tcPr>
            <w:tcW w:w="2486" w:type="dxa"/>
            <w:shd w:val="clear" w:color="auto" w:fill="auto"/>
            <w:vAlign w:val="center"/>
          </w:tcPr>
          <w:p w14:paraId="46449434">
            <w:pPr>
              <w:pStyle w:val="178"/>
            </w:pPr>
            <w:r>
              <w:rPr>
                <w:rFonts w:hint="eastAsia"/>
              </w:rPr>
              <w:t>冻品中心温度／℃</w:t>
            </w:r>
          </w:p>
        </w:tc>
        <w:tc>
          <w:tcPr>
            <w:tcW w:w="2437" w:type="dxa"/>
            <w:shd w:val="clear" w:color="auto" w:fill="auto"/>
            <w:vAlign w:val="center"/>
          </w:tcPr>
          <w:p w14:paraId="283AE8DC">
            <w:pPr>
              <w:pStyle w:val="178"/>
            </w:pPr>
            <w:r>
              <w:rPr>
                <w:rFonts w:hint="eastAsia"/>
              </w:rPr>
              <w:t>/</w:t>
            </w:r>
          </w:p>
        </w:tc>
        <w:tc>
          <w:tcPr>
            <w:tcW w:w="2275" w:type="dxa"/>
            <w:shd w:val="clear" w:color="auto" w:fill="auto"/>
            <w:vAlign w:val="center"/>
          </w:tcPr>
          <w:p w14:paraId="58C73A83">
            <w:pPr>
              <w:pStyle w:val="178"/>
            </w:pPr>
            <w:r>
              <w:rPr>
                <w:rFonts w:hint="eastAsia"/>
              </w:rPr>
              <w:t>/</w:t>
            </w:r>
          </w:p>
        </w:tc>
        <w:tc>
          <w:tcPr>
            <w:tcW w:w="2091" w:type="dxa"/>
            <w:shd w:val="clear" w:color="auto" w:fill="auto"/>
            <w:vAlign w:val="center"/>
          </w:tcPr>
          <w:p w14:paraId="61229321">
            <w:pPr>
              <w:pStyle w:val="178"/>
            </w:pPr>
            <w:r>
              <w:rPr>
                <w:rFonts w:hint="eastAsia"/>
              </w:rPr>
              <w:t>≤-18</w:t>
            </w:r>
          </w:p>
        </w:tc>
      </w:tr>
      <w:tr w14:paraId="537FE0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86" w:type="dxa"/>
            <w:shd w:val="clear" w:color="auto" w:fill="auto"/>
            <w:vAlign w:val="center"/>
          </w:tcPr>
          <w:p w14:paraId="4484ECF2">
            <w:pPr>
              <w:pStyle w:val="178"/>
            </w:pPr>
            <w:r>
              <w:rPr>
                <w:rFonts w:hint="eastAsia"/>
              </w:rPr>
              <w:t>水分／%</w:t>
            </w:r>
          </w:p>
        </w:tc>
        <w:tc>
          <w:tcPr>
            <w:tcW w:w="2437" w:type="dxa"/>
            <w:shd w:val="clear" w:color="auto" w:fill="auto"/>
            <w:vAlign w:val="center"/>
          </w:tcPr>
          <w:p w14:paraId="1E710D44">
            <w:pPr>
              <w:pStyle w:val="178"/>
            </w:pPr>
            <w:r>
              <w:rPr>
                <w:rFonts w:hint="eastAsia"/>
              </w:rPr>
              <w:t>/</w:t>
            </w:r>
          </w:p>
        </w:tc>
        <w:tc>
          <w:tcPr>
            <w:tcW w:w="2275" w:type="dxa"/>
            <w:shd w:val="clear" w:color="auto" w:fill="auto"/>
            <w:vAlign w:val="center"/>
          </w:tcPr>
          <w:p w14:paraId="6E0A5DAA">
            <w:pPr>
              <w:pStyle w:val="178"/>
            </w:pPr>
            <w:r>
              <w:rPr>
                <w:rFonts w:hint="eastAsia"/>
              </w:rPr>
              <w:t>/</w:t>
            </w:r>
          </w:p>
        </w:tc>
        <w:tc>
          <w:tcPr>
            <w:tcW w:w="2091" w:type="dxa"/>
            <w:shd w:val="clear" w:color="auto" w:fill="auto"/>
            <w:vAlign w:val="center"/>
          </w:tcPr>
          <w:p w14:paraId="4777350C">
            <w:pPr>
              <w:pStyle w:val="178"/>
            </w:pPr>
            <w:r>
              <w:rPr>
                <w:rFonts w:hint="eastAsia"/>
              </w:rPr>
              <w:t>≤86</w:t>
            </w:r>
          </w:p>
        </w:tc>
      </w:tr>
      <w:tr w14:paraId="2591EA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86" w:type="dxa"/>
            <w:shd w:val="clear" w:color="auto" w:fill="auto"/>
            <w:vAlign w:val="center"/>
          </w:tcPr>
          <w:p w14:paraId="5C3F61E9">
            <w:pPr>
              <w:pStyle w:val="178"/>
            </w:pPr>
            <w:r>
              <w:rPr>
                <w:rFonts w:hint="eastAsia"/>
              </w:rPr>
              <w:t>挥发性盐基氮／(mg/100g)</w:t>
            </w:r>
          </w:p>
        </w:tc>
        <w:tc>
          <w:tcPr>
            <w:tcW w:w="2437" w:type="dxa"/>
            <w:shd w:val="clear" w:color="auto" w:fill="auto"/>
            <w:vAlign w:val="center"/>
          </w:tcPr>
          <w:p w14:paraId="73B7416E">
            <w:pPr>
              <w:pStyle w:val="178"/>
            </w:pPr>
            <w:r>
              <w:rPr>
                <w:rFonts w:hint="eastAsia"/>
              </w:rPr>
              <w:t>/</w:t>
            </w:r>
          </w:p>
        </w:tc>
        <w:tc>
          <w:tcPr>
            <w:tcW w:w="2275" w:type="dxa"/>
            <w:shd w:val="clear" w:color="auto" w:fill="auto"/>
            <w:vAlign w:val="center"/>
          </w:tcPr>
          <w:p w14:paraId="20CF355C">
            <w:pPr>
              <w:pStyle w:val="178"/>
            </w:pPr>
            <w:r>
              <w:rPr>
                <w:rFonts w:hint="eastAsia"/>
              </w:rPr>
              <w:t>≤30</w:t>
            </w:r>
          </w:p>
        </w:tc>
        <w:tc>
          <w:tcPr>
            <w:tcW w:w="2091" w:type="dxa"/>
            <w:shd w:val="clear" w:color="auto" w:fill="auto"/>
            <w:vAlign w:val="center"/>
          </w:tcPr>
          <w:p w14:paraId="61521DC4">
            <w:pPr>
              <w:pStyle w:val="178"/>
            </w:pPr>
            <w:r>
              <w:rPr>
                <w:rFonts w:hint="eastAsia"/>
              </w:rPr>
              <w:t>≤30</w:t>
            </w:r>
          </w:p>
        </w:tc>
      </w:tr>
      <w:tr w14:paraId="136575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86" w:type="dxa"/>
            <w:shd w:val="clear" w:color="auto" w:fill="auto"/>
            <w:vAlign w:val="center"/>
          </w:tcPr>
          <w:p w14:paraId="61924C29">
            <w:pPr>
              <w:pStyle w:val="178"/>
            </w:pPr>
            <w:r>
              <w:rPr>
                <w:rFonts w:hint="eastAsia"/>
              </w:rPr>
              <w:t>组氨／(mg/100g)</w:t>
            </w:r>
          </w:p>
        </w:tc>
        <w:tc>
          <w:tcPr>
            <w:tcW w:w="2437" w:type="dxa"/>
            <w:shd w:val="clear" w:color="auto" w:fill="auto"/>
            <w:vAlign w:val="center"/>
          </w:tcPr>
          <w:p w14:paraId="7A37C0E1">
            <w:pPr>
              <w:pStyle w:val="178"/>
            </w:pPr>
            <w:r>
              <w:rPr>
                <w:rFonts w:hint="eastAsia"/>
              </w:rPr>
              <w:t>/</w:t>
            </w:r>
          </w:p>
        </w:tc>
        <w:tc>
          <w:tcPr>
            <w:tcW w:w="2275" w:type="dxa"/>
            <w:shd w:val="clear" w:color="auto" w:fill="auto"/>
            <w:vAlign w:val="center"/>
          </w:tcPr>
          <w:p w14:paraId="5F7B16B2">
            <w:pPr>
              <w:pStyle w:val="178"/>
            </w:pPr>
            <w:r>
              <w:rPr>
                <w:rFonts w:hint="eastAsia"/>
              </w:rPr>
              <w:t>≤20</w:t>
            </w:r>
          </w:p>
        </w:tc>
        <w:tc>
          <w:tcPr>
            <w:tcW w:w="2091" w:type="dxa"/>
            <w:shd w:val="clear" w:color="auto" w:fill="auto"/>
            <w:vAlign w:val="center"/>
          </w:tcPr>
          <w:p w14:paraId="1B47065E">
            <w:pPr>
              <w:pStyle w:val="178"/>
            </w:pPr>
            <w:r>
              <w:rPr>
                <w:rFonts w:hint="eastAsia"/>
              </w:rPr>
              <w:t>≤20</w:t>
            </w:r>
          </w:p>
        </w:tc>
      </w:tr>
    </w:tbl>
    <w:p w14:paraId="6FC4BF3D">
      <w:pPr>
        <w:pStyle w:val="56"/>
        <w:ind w:firstLine="420"/>
      </w:pPr>
    </w:p>
    <w:p w14:paraId="270DCD69">
      <w:pPr>
        <w:pStyle w:val="105"/>
        <w:spacing w:before="120" w:after="120"/>
      </w:pPr>
      <w:r>
        <w:rPr>
          <w:rFonts w:hint="eastAsia"/>
        </w:rPr>
        <w:t>安全指标</w:t>
      </w:r>
    </w:p>
    <w:p w14:paraId="1FC82E4B">
      <w:pPr>
        <w:pStyle w:val="56"/>
        <w:ind w:firstLine="420"/>
      </w:pPr>
      <w:r>
        <w:rPr>
          <w:rFonts w:hint="eastAsia"/>
        </w:rPr>
        <w:t>应符合 GB</w:t>
      </w:r>
      <w:r>
        <w:t xml:space="preserve"> 2762、</w:t>
      </w:r>
      <w:r>
        <w:rPr>
          <w:rFonts w:hint="eastAsia"/>
        </w:rPr>
        <w:t>GB</w:t>
      </w:r>
      <w:r>
        <w:t xml:space="preserve"> 2763</w:t>
      </w:r>
      <w:r>
        <w:rPr>
          <w:rFonts w:hint="eastAsia"/>
        </w:rPr>
        <w:t>及农业农村部公告第</w:t>
      </w:r>
      <w:r>
        <w:rPr>
          <w:rFonts w:hint="eastAsia" w:cs="Calibri"/>
        </w:rPr>
        <w:t>250</w:t>
      </w:r>
      <w:r>
        <w:rPr>
          <w:rFonts w:hint="eastAsia"/>
        </w:rPr>
        <w:t>号的规定。</w:t>
      </w:r>
    </w:p>
    <w:p w14:paraId="08B3AA92">
      <w:pPr>
        <w:pStyle w:val="105"/>
        <w:spacing w:before="120" w:after="120"/>
      </w:pPr>
      <w:r>
        <w:rPr>
          <w:rFonts w:hint="eastAsia"/>
        </w:rPr>
        <w:t>净含量</w:t>
      </w:r>
    </w:p>
    <w:p w14:paraId="1147CE02">
      <w:pPr>
        <w:pStyle w:val="56"/>
        <w:ind w:firstLine="420"/>
      </w:pPr>
      <w:r>
        <w:rPr>
          <w:rFonts w:hint="eastAsia"/>
        </w:rPr>
        <w:t>净含量要求参照国家市场监督管理总局令第7</w:t>
      </w:r>
      <w:r>
        <w:t>0号</w:t>
      </w:r>
      <w:r>
        <w:rPr>
          <w:rFonts w:hint="eastAsia"/>
        </w:rPr>
        <w:t>，并按照JJF 1070规定的方法检验。</w:t>
      </w:r>
    </w:p>
    <w:p w14:paraId="7CAE11AB">
      <w:pPr>
        <w:pStyle w:val="104"/>
        <w:spacing w:before="240" w:after="240"/>
      </w:pPr>
      <w:r>
        <w:rPr>
          <w:rFonts w:hint="eastAsia"/>
        </w:rPr>
        <w:t>检验规则</w:t>
      </w:r>
    </w:p>
    <w:p w14:paraId="5EE796CC">
      <w:pPr>
        <w:pStyle w:val="105"/>
        <w:spacing w:before="120" w:after="120"/>
      </w:pPr>
      <w:r>
        <w:rPr>
          <w:rFonts w:hint="eastAsia"/>
        </w:rPr>
        <w:t>原料检验</w:t>
      </w:r>
    </w:p>
    <w:p w14:paraId="363B8DE6">
      <w:pPr>
        <w:pStyle w:val="56"/>
        <w:ind w:firstLine="420"/>
      </w:pPr>
      <w:r>
        <w:rPr>
          <w:rFonts w:hint="eastAsia"/>
        </w:rPr>
        <w:t>原辅料入库需经检验合格或获取产品检验合格证明后方可入库。</w:t>
      </w:r>
    </w:p>
    <w:p w14:paraId="2CEA9CC8">
      <w:pPr>
        <w:pStyle w:val="105"/>
        <w:spacing w:before="120" w:after="120"/>
      </w:pPr>
      <w:r>
        <w:rPr>
          <w:rFonts w:hint="eastAsia"/>
        </w:rPr>
        <w:t>组批规则</w:t>
      </w:r>
    </w:p>
    <w:p w14:paraId="6FFBA183">
      <w:pPr>
        <w:pStyle w:val="56"/>
        <w:ind w:firstLine="420"/>
      </w:pPr>
      <w:r>
        <w:rPr>
          <w:rFonts w:hint="eastAsia"/>
        </w:rPr>
        <w:t>原活鱼、鲜鱼以同一网箱或同一养殖场中养殖条件基本相同的鱼为同一检验批。预包装冻鱼在原料及生产条件基本相同的情况下，同一天或同一班组生产的产品为一批。</w:t>
      </w:r>
    </w:p>
    <w:p w14:paraId="3D208944">
      <w:pPr>
        <w:pStyle w:val="105"/>
        <w:spacing w:before="120" w:after="120"/>
      </w:pPr>
      <w:r>
        <w:rPr>
          <w:rFonts w:hint="eastAsia"/>
        </w:rPr>
        <w:t>出厂检验</w:t>
      </w:r>
    </w:p>
    <w:p w14:paraId="20C75936">
      <w:pPr>
        <w:pStyle w:val="165"/>
      </w:pPr>
      <w:r>
        <w:rPr>
          <w:rFonts w:hint="eastAsia"/>
        </w:rPr>
        <w:t>活鱼、鲜鱼每批产品应由公司质量部门进行出货检验。检验项目为感官检验，检验合格后方可出货。</w:t>
      </w:r>
    </w:p>
    <w:p w14:paraId="0821CD89">
      <w:pPr>
        <w:pStyle w:val="165"/>
      </w:pPr>
      <w:r>
        <w:rPr>
          <w:rFonts w:hint="eastAsia"/>
        </w:rPr>
        <w:t>预包装冻鱼每批产品应由生产单位质量检验部门进行出厂检验，检验项目为感官、净含量冻品中心温度，检验合格后方可出厂。</w:t>
      </w:r>
    </w:p>
    <w:p w14:paraId="4AB3BF90">
      <w:pPr>
        <w:pStyle w:val="105"/>
        <w:spacing w:before="120" w:after="120"/>
      </w:pPr>
      <w:r>
        <w:rPr>
          <w:rFonts w:hint="eastAsia"/>
        </w:rPr>
        <w:t>型式检验</w:t>
      </w:r>
    </w:p>
    <w:p w14:paraId="750ECDE2">
      <w:pPr>
        <w:pStyle w:val="56"/>
        <w:ind w:firstLine="420"/>
      </w:pPr>
      <w:r>
        <w:rPr>
          <w:rFonts w:hint="eastAsia"/>
        </w:rPr>
        <w:t>在下列情况之一时，应对全部质量指标进行检验：</w:t>
      </w:r>
    </w:p>
    <w:p w14:paraId="7DFC0CC5">
      <w:pPr>
        <w:pStyle w:val="132"/>
        <w:rPr>
          <w:rFonts w:hAnsi="宋体"/>
          <w:szCs w:val="21"/>
        </w:rPr>
      </w:pPr>
      <w:r>
        <w:rPr>
          <w:rFonts w:hint="eastAsia" w:hAnsi="宋体"/>
          <w:szCs w:val="21"/>
        </w:rPr>
        <w:t>长期停产，恢复生产时；</w:t>
      </w:r>
    </w:p>
    <w:p w14:paraId="4D7B45AA">
      <w:pPr>
        <w:pStyle w:val="132"/>
        <w:rPr>
          <w:rFonts w:hAnsi="宋体"/>
          <w:szCs w:val="21"/>
        </w:rPr>
      </w:pPr>
      <w:r>
        <w:rPr>
          <w:rFonts w:hint="eastAsia" w:hAnsi="宋体"/>
          <w:szCs w:val="21"/>
        </w:rPr>
        <w:t>原料变化或改变主要生产工艺，可能影响产品质量时；</w:t>
      </w:r>
    </w:p>
    <w:p w14:paraId="4C145C06">
      <w:pPr>
        <w:pStyle w:val="132"/>
        <w:rPr>
          <w:rFonts w:hAnsi="宋体"/>
          <w:szCs w:val="21"/>
        </w:rPr>
      </w:pPr>
      <w:r>
        <w:rPr>
          <w:rFonts w:hint="eastAsia" w:hAnsi="宋体"/>
          <w:szCs w:val="21"/>
        </w:rPr>
        <w:t>加工原料来源或生长环境发生变化时；</w:t>
      </w:r>
    </w:p>
    <w:p w14:paraId="4E9403AB">
      <w:pPr>
        <w:pStyle w:val="132"/>
        <w:rPr>
          <w:rFonts w:hAnsi="宋体"/>
          <w:szCs w:val="21"/>
        </w:rPr>
      </w:pPr>
      <w:r>
        <w:rPr>
          <w:rFonts w:hint="eastAsia" w:hAnsi="宋体"/>
          <w:szCs w:val="21"/>
        </w:rPr>
        <w:t>国家质量监督机构提出进行型式检验要求时：</w:t>
      </w:r>
    </w:p>
    <w:p w14:paraId="6431582A">
      <w:pPr>
        <w:pStyle w:val="132"/>
        <w:rPr>
          <w:rFonts w:hAnsi="宋体"/>
          <w:szCs w:val="21"/>
        </w:rPr>
      </w:pPr>
      <w:r>
        <w:rPr>
          <w:rFonts w:hint="eastAsia" w:hAnsi="宋体"/>
          <w:szCs w:val="21"/>
        </w:rPr>
        <w:t>出厂检验与上次型式检验有大差异时；</w:t>
      </w:r>
    </w:p>
    <w:p w14:paraId="4E7720EF">
      <w:pPr>
        <w:pStyle w:val="132"/>
      </w:pPr>
      <w:r>
        <w:rPr>
          <w:rFonts w:hint="eastAsia" w:hAnsi="宋体"/>
          <w:szCs w:val="21"/>
        </w:rPr>
        <w:t>正常生产时，每年至少一次的周期性检验。</w:t>
      </w:r>
    </w:p>
    <w:p w14:paraId="7EDD609F">
      <w:pPr>
        <w:pStyle w:val="132"/>
        <w:numPr>
          <w:ilvl w:val="0"/>
          <w:numId w:val="0"/>
        </w:numPr>
        <w:ind w:left="425"/>
        <w:rPr>
          <w:sz w:val="18"/>
          <w:szCs w:val="18"/>
        </w:rPr>
      </w:pPr>
      <w:r>
        <w:rPr>
          <w:rFonts w:hint="eastAsia" w:hAnsi="宋体"/>
          <w:sz w:val="18"/>
          <w:szCs w:val="18"/>
        </w:rPr>
        <w:t>注：本条仅适用于预包装产品。</w:t>
      </w:r>
    </w:p>
    <w:p w14:paraId="7830B1E9">
      <w:pPr>
        <w:pStyle w:val="105"/>
        <w:spacing w:before="120" w:after="120"/>
      </w:pPr>
      <w:r>
        <w:rPr>
          <w:rFonts w:hint="eastAsia"/>
        </w:rPr>
        <w:t>抽样规则</w:t>
      </w:r>
    </w:p>
    <w:p w14:paraId="117C9459">
      <w:pPr>
        <w:pStyle w:val="165"/>
      </w:pPr>
      <w:r>
        <w:rPr>
          <w:rFonts w:hint="eastAsia"/>
        </w:rPr>
        <w:t>水产品抽样按照GB/T 30891的要求执行。</w:t>
      </w:r>
    </w:p>
    <w:p w14:paraId="7797C956">
      <w:pPr>
        <w:pStyle w:val="165"/>
      </w:pPr>
      <w:r>
        <w:rPr>
          <w:rFonts w:hint="eastAsia"/>
        </w:rPr>
        <w:t>活鱼：同一养殖池或网箱为一批，随机抽取至少</w:t>
      </w:r>
      <w:r>
        <w:t>1</w:t>
      </w:r>
      <w:r>
        <w:rPr>
          <w:rFonts w:hint="eastAsia"/>
        </w:rPr>
        <w:t>kg，现场进行感官检查及快速检测。</w:t>
      </w:r>
    </w:p>
    <w:p w14:paraId="58A17C8A">
      <w:pPr>
        <w:pStyle w:val="165"/>
      </w:pPr>
      <w:r>
        <w:rPr>
          <w:rFonts w:hint="eastAsia"/>
        </w:rPr>
        <w:t>冰鲜/冷冻鱼：同一批次（≤5吨）按GB/T 30891执行，抽取</w:t>
      </w:r>
      <w:r>
        <w:t>1</w:t>
      </w:r>
      <w:r>
        <w:rPr>
          <w:rFonts w:hint="eastAsia"/>
        </w:rPr>
        <w:t xml:space="preserve"> kg样品，分割后密封冷藏（≤4℃）或冷冻（≤-18℃）保存。</w:t>
      </w:r>
    </w:p>
    <w:p w14:paraId="709D4EEC">
      <w:pPr>
        <w:pStyle w:val="165"/>
      </w:pPr>
      <w:r>
        <w:rPr>
          <w:rFonts w:hint="eastAsia"/>
        </w:rPr>
        <w:t>检测样本留存：检验后剩余样品应保存至保质期结束后30天。</w:t>
      </w:r>
    </w:p>
    <w:p w14:paraId="7A811CF2">
      <w:pPr>
        <w:pStyle w:val="105"/>
        <w:spacing w:before="120" w:after="120"/>
      </w:pPr>
      <w:r>
        <w:rPr>
          <w:rFonts w:hint="eastAsia"/>
        </w:rPr>
        <w:t>判定规则</w:t>
      </w:r>
    </w:p>
    <w:p w14:paraId="18B06868">
      <w:pPr>
        <w:pStyle w:val="165"/>
      </w:pPr>
      <w:r>
        <w:rPr>
          <w:rFonts w:hint="eastAsia"/>
        </w:rPr>
        <w:t>检验项目全部合格，判定该批次产品合格。</w:t>
      </w:r>
    </w:p>
    <w:p w14:paraId="5AF15F71">
      <w:pPr>
        <w:pStyle w:val="165"/>
      </w:pPr>
      <w:r>
        <w:rPr>
          <w:rFonts w:hint="eastAsia"/>
        </w:rPr>
        <w:t>若兽药残留、重金属等安全指标任一项不合格，直接判定该批次不合格，不得复检。</w:t>
      </w:r>
    </w:p>
    <w:p w14:paraId="7FB577B4">
      <w:pPr>
        <w:pStyle w:val="165"/>
      </w:pPr>
      <w:r>
        <w:rPr>
          <w:rFonts w:hint="eastAsia"/>
        </w:rPr>
        <w:t>感官、包装等非安全指标不合格时，允许加倍抽样复检1次，复检合格则判定合格。</w:t>
      </w:r>
    </w:p>
    <w:p w14:paraId="381EABA3">
      <w:pPr>
        <w:pStyle w:val="105"/>
        <w:spacing w:before="120" w:after="120"/>
      </w:pPr>
      <w:r>
        <w:rPr>
          <w:rFonts w:hint="eastAsia"/>
        </w:rPr>
        <w:t>复检规则</w:t>
      </w:r>
    </w:p>
    <w:p w14:paraId="2B627F2C">
      <w:pPr>
        <w:pStyle w:val="165"/>
      </w:pPr>
      <w:r>
        <w:rPr>
          <w:rFonts w:hint="eastAsia"/>
        </w:rPr>
        <w:t>仅对初次检验不合格的非安全指标项目进行复检。</w:t>
      </w:r>
    </w:p>
    <w:p w14:paraId="1F2B2066">
      <w:pPr>
        <w:pStyle w:val="165"/>
      </w:pPr>
      <w:r>
        <w:rPr>
          <w:rFonts w:hint="eastAsia"/>
        </w:rPr>
        <w:t>复检结果以最终检测报告为准，复检仍不合格则判定该批次产品不得以“无抗”名义销售。</w:t>
      </w:r>
    </w:p>
    <w:p w14:paraId="7CCBA5D7">
      <w:pPr>
        <w:pStyle w:val="104"/>
        <w:spacing w:before="240" w:after="240"/>
      </w:pPr>
      <w:r>
        <w:rPr>
          <w:rFonts w:hint="eastAsia"/>
        </w:rPr>
        <w:t>标签、标志</w:t>
      </w:r>
    </w:p>
    <w:p w14:paraId="0A08072F">
      <w:pPr>
        <w:pStyle w:val="162"/>
      </w:pPr>
      <w:r>
        <w:rPr>
          <w:rFonts w:hint="eastAsia"/>
        </w:rPr>
        <w:t>包装或产品标签</w:t>
      </w:r>
      <w:r>
        <w:rPr>
          <w:rFonts w:hint="eastAsia"/>
          <w:lang w:val="en-US" w:eastAsia="zh-CN"/>
        </w:rPr>
        <w:t>上</w:t>
      </w:r>
      <w:r>
        <w:rPr>
          <w:rFonts w:hint="eastAsia"/>
        </w:rPr>
        <w:t>注明“无抗海南巴沙鱼”、养殖基地名称、</w:t>
      </w:r>
      <w:r>
        <w:rPr>
          <w:rFonts w:hint="eastAsia"/>
          <w:lang w:val="en-US" w:eastAsia="zh-CN"/>
        </w:rPr>
        <w:t>出厂</w:t>
      </w:r>
      <w:r>
        <w:rPr>
          <w:rFonts w:hint="eastAsia"/>
        </w:rPr>
        <w:t>日期</w:t>
      </w:r>
      <w:r>
        <w:rPr>
          <w:rFonts w:hint="eastAsia"/>
          <w:lang w:val="en-US" w:eastAsia="zh-CN"/>
        </w:rPr>
        <w:t>或出围日期</w:t>
      </w:r>
      <w:r>
        <w:rPr>
          <w:rFonts w:hint="eastAsia"/>
        </w:rPr>
        <w:t>、保质期。</w:t>
      </w:r>
    </w:p>
    <w:p w14:paraId="5ED2147D">
      <w:pPr>
        <w:pStyle w:val="162"/>
      </w:pPr>
      <w:r>
        <w:rPr>
          <w:rFonts w:hint="eastAsia"/>
        </w:rPr>
        <w:t>通过认证的产品可使用“无抗”标识，二维码追溯系统链接至养殖记录。</w:t>
      </w:r>
    </w:p>
    <w:p w14:paraId="319D4B70">
      <w:pPr>
        <w:pStyle w:val="162"/>
      </w:pPr>
      <w:r>
        <w:rPr>
          <w:rFonts w:hint="eastAsia"/>
        </w:rPr>
        <w:t>预包装产品标签应符合GB 7718及SC/T 3035 的规定，标签内容包括：产品名称、商标、原料品种、生产者或经销者的名称、地址、生产日期、贮藏条件、保质期等。如果是去骨（或去刺）鱼片应在标签上注明。</w:t>
      </w:r>
    </w:p>
    <w:p w14:paraId="46C8924C">
      <w:pPr>
        <w:pStyle w:val="162"/>
      </w:pPr>
      <w:r>
        <w:rPr>
          <w:rFonts w:hint="eastAsia"/>
        </w:rPr>
        <w:t>营养标签应符合GB 20850的规定。</w:t>
      </w:r>
    </w:p>
    <w:p w14:paraId="1D324D37">
      <w:pPr>
        <w:pStyle w:val="162"/>
      </w:pPr>
      <w:r>
        <w:rPr>
          <w:rFonts w:hint="eastAsia"/>
        </w:rPr>
        <w:t>包装贮运图示标志应符合GB/T 191的规定。</w:t>
      </w:r>
    </w:p>
    <w:p w14:paraId="56544D78">
      <w:pPr>
        <w:pStyle w:val="104"/>
        <w:spacing w:before="240" w:after="240"/>
      </w:pPr>
      <w:r>
        <w:rPr>
          <w:rFonts w:hint="eastAsia"/>
        </w:rPr>
        <w:t>包装</w:t>
      </w:r>
    </w:p>
    <w:p w14:paraId="212DD6F7">
      <w:pPr>
        <w:pStyle w:val="162"/>
      </w:pPr>
      <w:bookmarkStart w:id="44" w:name="_GoBack"/>
      <w:bookmarkEnd w:id="44"/>
      <w:r>
        <w:rPr>
          <w:rFonts w:hint="eastAsia"/>
        </w:rPr>
        <w:t>鲜鱼装箱时不宜过满，防止鱼体被挤压，宜层冰层鱼，加封顶冰，保持鱼体温度在0℃~4℃之间。</w:t>
      </w:r>
    </w:p>
    <w:p w14:paraId="7C774FA3">
      <w:pPr>
        <w:pStyle w:val="162"/>
      </w:pPr>
      <w:r>
        <w:rPr>
          <w:rFonts w:hint="eastAsia" w:hAnsi="宋体"/>
          <w:szCs w:val="21"/>
        </w:rPr>
        <w:t>包装所用材料应洁净、无毒、无异味、坚固，</w:t>
      </w:r>
      <w:r>
        <w:rPr>
          <w:rFonts w:hint="eastAsia"/>
        </w:rPr>
        <w:t>符合GB 4806.7的规定。</w:t>
      </w:r>
    </w:p>
    <w:p w14:paraId="08BF497F">
      <w:pPr>
        <w:pStyle w:val="162"/>
      </w:pPr>
      <w:r>
        <w:rPr>
          <w:rFonts w:hint="eastAsia" w:hAnsi="宋体"/>
          <w:szCs w:val="21"/>
        </w:rPr>
        <w:t>产品包装应严密、无破损和污染现象，产品包装内应有合格证</w:t>
      </w:r>
      <w:r>
        <w:rPr>
          <w:rFonts w:hint="eastAsia"/>
        </w:rPr>
        <w:t>。</w:t>
      </w:r>
    </w:p>
    <w:p w14:paraId="7183B4EF">
      <w:pPr>
        <w:pStyle w:val="104"/>
        <w:spacing w:before="240" w:after="240"/>
      </w:pPr>
      <w:r>
        <w:rPr>
          <w:rFonts w:hint="eastAsia"/>
        </w:rPr>
        <w:t>运输、贮存</w:t>
      </w:r>
    </w:p>
    <w:p w14:paraId="12FD62CC">
      <w:pPr>
        <w:pStyle w:val="105"/>
        <w:spacing w:before="120" w:after="120"/>
      </w:pPr>
      <w:r>
        <w:rPr>
          <w:rFonts w:hint="eastAsia"/>
        </w:rPr>
        <w:t>运输</w:t>
      </w:r>
    </w:p>
    <w:p w14:paraId="13A0E448">
      <w:pPr>
        <w:pStyle w:val="165"/>
      </w:pPr>
      <w:r>
        <w:rPr>
          <w:rFonts w:hint="eastAsia"/>
        </w:rPr>
        <w:t>运输工具应清洁卫生、无异味，不应接触有腐蚀性的物质和有害物质。</w:t>
      </w:r>
    </w:p>
    <w:p w14:paraId="7B1E8E38">
      <w:pPr>
        <w:pStyle w:val="165"/>
      </w:pPr>
      <w:r>
        <w:rPr>
          <w:rFonts w:hint="eastAsia"/>
        </w:rPr>
        <w:t>运输过程中应防止日晒、虫害、有害物质的污染和其他损害，避免挤压与碰撞。</w:t>
      </w:r>
    </w:p>
    <w:p w14:paraId="79040C75">
      <w:pPr>
        <w:pStyle w:val="165"/>
      </w:pPr>
      <w:r>
        <w:rPr>
          <w:rFonts w:hint="eastAsia"/>
        </w:rPr>
        <w:t>活鱼的暂养运输水应符合 GB 11607的规定；鲜鱼在运输过程中厢体温度不应高于 10℃；冻鱼应用冷藏或保温车船运输，运输过程中厢体温度不应高于﹣15℃。</w:t>
      </w:r>
    </w:p>
    <w:p w14:paraId="55FA6DE1">
      <w:pPr>
        <w:pStyle w:val="105"/>
        <w:spacing w:before="120" w:after="120"/>
      </w:pPr>
      <w:r>
        <w:rPr>
          <w:rFonts w:hint="eastAsia"/>
        </w:rPr>
        <w:t>贮存</w:t>
      </w:r>
    </w:p>
    <w:p w14:paraId="3DB29417">
      <w:pPr>
        <w:pStyle w:val="165"/>
      </w:pPr>
      <w:r>
        <w:rPr>
          <w:rFonts w:hint="eastAsia"/>
        </w:rPr>
        <w:t>活鱼暂养用水应符合GB 11607的规定。</w:t>
      </w:r>
    </w:p>
    <w:p w14:paraId="7EDCE6EC">
      <w:pPr>
        <w:pStyle w:val="165"/>
      </w:pPr>
      <w:r>
        <w:rPr>
          <w:rFonts w:hint="eastAsia"/>
        </w:rPr>
        <w:t>活鱼使用水车运输。</w:t>
      </w:r>
    </w:p>
    <w:p w14:paraId="33958CFA">
      <w:pPr>
        <w:pStyle w:val="165"/>
      </w:pPr>
      <w:r>
        <w:rPr>
          <w:rFonts w:hint="eastAsia"/>
        </w:rPr>
        <w:t>鲜鱼应贮存在阴凉处，防止日晒、虫害、有害物质的污染和其他损害。冷藏时应保持产品温度在0℃～4℃之间。</w:t>
      </w:r>
    </w:p>
    <w:p w14:paraId="22DF27DC">
      <w:pPr>
        <w:pStyle w:val="165"/>
      </w:pPr>
      <w:r>
        <w:rPr>
          <w:rFonts w:hint="eastAsia"/>
        </w:rPr>
        <w:t>冻鱼应贮存在-18℃或更低的温度下，禁止与有毒、有害、有异味的物品同库贮存。不同规格、批次的冻鱼应分别堆垛，并用垫板垫起，与地面距离不少于 10cm，与墙壁距离不少于 30cm，堆放高度以纸箱受压不变形为宜。</w:t>
      </w:r>
    </w:p>
    <w:bookmarkEnd w:id="21"/>
    <w:p w14:paraId="6E90BA1B">
      <w:pPr>
        <w:pStyle w:val="162"/>
        <w:numPr>
          <w:ilvl w:val="0"/>
          <w:numId w:val="0"/>
        </w:numPr>
        <w:jc w:val="center"/>
      </w:pPr>
      <w:bookmarkStart w:id="43" w:name="BookMark8"/>
      <w:r>
        <w:rPr>
          <w:rFonts w:hint="eastAsia"/>
        </w:rP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3"/>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E4157">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BEFFD">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61F62">
    <w:pPr>
      <w:pStyle w:val="52"/>
    </w:pPr>
    <w:r>
      <w:fldChar w:fldCharType="begin"/>
    </w:r>
    <w:r>
      <w:instrText xml:space="preserve">PAGE   \* MERGEFORMAT</w:instrText>
    </w:r>
    <w:r>
      <w:fldChar w:fldCharType="separate"/>
    </w:r>
    <w:r>
      <w:rPr>
        <w:lang w:val="zh-CN"/>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ED10E">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68A44">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B0BD8">
    <w:pPr>
      <w:pStyle w:val="61"/>
    </w:pPr>
    <w:r>
      <w:fldChar w:fldCharType="begin"/>
    </w:r>
    <w:r>
      <w:instrText xml:space="preserve"> STYLEREF  标准文件_文件编号  \* MERGEFORMAT </w:instrText>
    </w:r>
    <w:r>
      <w:fldChar w:fldCharType="separate"/>
    </w:r>
    <w:r>
      <w:t>T/HNBX XXXX—2025</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0D147">
    <w:pPr>
      <w:pStyle w:val="18"/>
      <w:jc w:val="right"/>
    </w:pPr>
    <w:r>
      <w:fldChar w:fldCharType="begin"/>
    </w:r>
    <w:r>
      <w:instrText xml:space="preserve"> STYLEREF  标准文件_文件编号  \* MERGEFORMAT </w:instrText>
    </w:r>
    <w:r>
      <w:fldChar w:fldCharType="separate"/>
    </w:r>
    <w:r>
      <w:t>T/HNBX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1134"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documentProtection w:edit="forms" w:enforcement="1" w:cryptProviderType="rsaAES" w:cryptAlgorithmClass="hash" w:cryptAlgorithmType="typeAny" w:cryptAlgorithmSid="14" w:cryptSpinCount="100000" w:hash="p0N9j4EhmEQrn0sgNmcmFcbYSsjO8DNOotLw6JMwSZDNCcYx2CR7qCPnoDgEsHOPt7i4dRECT3ev3/UIdngNzw==" w:salt="KLYPsHJTQbJDty5ipU8afw=="/>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36EE8"/>
    <w:rsid w:val="0004249A"/>
    <w:rsid w:val="00043282"/>
    <w:rsid w:val="00044286"/>
    <w:rsid w:val="00047F28"/>
    <w:rsid w:val="000503AA"/>
    <w:rsid w:val="00050472"/>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1BB5"/>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09CD"/>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1E4C"/>
    <w:rsid w:val="00172A27"/>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350C"/>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18D8"/>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096"/>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5371"/>
    <w:rsid w:val="005479DA"/>
    <w:rsid w:val="00547BCC"/>
    <w:rsid w:val="0055013B"/>
    <w:rsid w:val="00551F6F"/>
    <w:rsid w:val="00555044"/>
    <w:rsid w:val="00561475"/>
    <w:rsid w:val="00562308"/>
    <w:rsid w:val="0056487B"/>
    <w:rsid w:val="00564FB9"/>
    <w:rsid w:val="00573D9E"/>
    <w:rsid w:val="0057767C"/>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1ACD"/>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A04"/>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1E68"/>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5325"/>
    <w:rsid w:val="009D6BCA"/>
    <w:rsid w:val="009E0F62"/>
    <w:rsid w:val="009E2352"/>
    <w:rsid w:val="009E4284"/>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C6E50"/>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C04"/>
    <w:rsid w:val="00D25E37"/>
    <w:rsid w:val="00D2661A"/>
    <w:rsid w:val="00D27582"/>
    <w:rsid w:val="00D27EC4"/>
    <w:rsid w:val="00D32719"/>
    <w:rsid w:val="00D33333"/>
    <w:rsid w:val="00D352A2"/>
    <w:rsid w:val="00D4162B"/>
    <w:rsid w:val="00D437D3"/>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280"/>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478C"/>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82"/>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62BD"/>
    <w:rsid w:val="00FE7E79"/>
    <w:rsid w:val="00FF3E7D"/>
    <w:rsid w:val="00FF5B99"/>
    <w:rsid w:val="00FF730C"/>
    <w:rsid w:val="00FF73F4"/>
    <w:rsid w:val="00FF7CE4"/>
    <w:rsid w:val="00FF7E39"/>
    <w:rsid w:val="04FC2181"/>
    <w:rsid w:val="09423021"/>
    <w:rsid w:val="0D8C68F1"/>
    <w:rsid w:val="113B4A52"/>
    <w:rsid w:val="118328C8"/>
    <w:rsid w:val="1229111C"/>
    <w:rsid w:val="12C35B0C"/>
    <w:rsid w:val="145E79B1"/>
    <w:rsid w:val="161F0A58"/>
    <w:rsid w:val="18B060BE"/>
    <w:rsid w:val="23050980"/>
    <w:rsid w:val="23234270"/>
    <w:rsid w:val="2D6F0886"/>
    <w:rsid w:val="303D2473"/>
    <w:rsid w:val="3091694F"/>
    <w:rsid w:val="344F3315"/>
    <w:rsid w:val="3794070C"/>
    <w:rsid w:val="38BA08B0"/>
    <w:rsid w:val="39E87DA6"/>
    <w:rsid w:val="3A767A79"/>
    <w:rsid w:val="401044A7"/>
    <w:rsid w:val="402D26E7"/>
    <w:rsid w:val="40BA6517"/>
    <w:rsid w:val="43462E94"/>
    <w:rsid w:val="464F2048"/>
    <w:rsid w:val="4B7F5290"/>
    <w:rsid w:val="4CB8016E"/>
    <w:rsid w:val="5260027E"/>
    <w:rsid w:val="54856CBC"/>
    <w:rsid w:val="5D4F4FA5"/>
    <w:rsid w:val="67562897"/>
    <w:rsid w:val="6D932351"/>
    <w:rsid w:val="6DBB17B1"/>
    <w:rsid w:val="712B3516"/>
    <w:rsid w:val="759E1951"/>
    <w:rsid w:val="764D3434"/>
    <w:rsid w:val="76672B63"/>
    <w:rsid w:val="77582A5D"/>
    <w:rsid w:val="77690779"/>
    <w:rsid w:val="781B21F8"/>
    <w:rsid w:val="7B3B5BBB"/>
    <w:rsid w:val="7D7C7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basedOn w:val="28"/>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2"/>
    <w:qFormat/>
    <w:uiPriority w:val="0"/>
    <w:rPr>
      <w:b/>
      <w:bCs/>
      <w:kern w:val="44"/>
      <w:sz w:val="44"/>
      <w:szCs w:val="44"/>
    </w:rPr>
  </w:style>
  <w:style w:type="character" w:customStyle="1" w:styleId="35">
    <w:name w:val="标题 2 Char"/>
    <w:link w:val="3"/>
    <w:qFormat/>
    <w:uiPriority w:val="0"/>
    <w:rPr>
      <w:rFonts w:ascii="Arial" w:hAnsi="Arial" w:eastAsia="黑体"/>
      <w:b/>
      <w:bCs/>
      <w:kern w:val="2"/>
      <w:sz w:val="32"/>
      <w:szCs w:val="32"/>
    </w:rPr>
  </w:style>
  <w:style w:type="character" w:customStyle="1" w:styleId="36">
    <w:name w:val="标题 3 Char"/>
    <w:link w:val="4"/>
    <w:qFormat/>
    <w:uiPriority w:val="0"/>
    <w:rPr>
      <w:b/>
      <w:bCs/>
      <w:kern w:val="2"/>
      <w:sz w:val="32"/>
      <w:szCs w:val="32"/>
    </w:rPr>
  </w:style>
  <w:style w:type="character" w:customStyle="1" w:styleId="37">
    <w:name w:val="标题 4 Char"/>
    <w:link w:val="5"/>
    <w:qFormat/>
    <w:uiPriority w:val="0"/>
    <w:rPr>
      <w:rFonts w:ascii="Arial" w:hAnsi="Arial" w:eastAsia="黑体"/>
      <w:b/>
      <w:bCs/>
      <w:kern w:val="2"/>
      <w:sz w:val="28"/>
      <w:szCs w:val="28"/>
    </w:rPr>
  </w:style>
  <w:style w:type="character" w:customStyle="1" w:styleId="38">
    <w:name w:val="标题 5 Char"/>
    <w:link w:val="6"/>
    <w:qFormat/>
    <w:uiPriority w:val="0"/>
    <w:rPr>
      <w:b/>
      <w:bCs/>
      <w:kern w:val="2"/>
      <w:sz w:val="28"/>
      <w:szCs w:val="28"/>
    </w:rPr>
  </w:style>
  <w:style w:type="character" w:customStyle="1" w:styleId="39">
    <w:name w:val="标题 6 Char"/>
    <w:link w:val="7"/>
    <w:qFormat/>
    <w:uiPriority w:val="0"/>
    <w:rPr>
      <w:rFonts w:ascii="Arial" w:hAnsi="Arial" w:eastAsia="黑体"/>
      <w:b/>
      <w:bCs/>
      <w:kern w:val="2"/>
      <w:sz w:val="24"/>
      <w:szCs w:val="24"/>
    </w:rPr>
  </w:style>
  <w:style w:type="character" w:customStyle="1" w:styleId="40">
    <w:name w:val="标题 7 Char"/>
    <w:link w:val="8"/>
    <w:qFormat/>
    <w:uiPriority w:val="0"/>
    <w:rPr>
      <w:b/>
      <w:bCs/>
      <w:kern w:val="2"/>
      <w:sz w:val="24"/>
      <w:szCs w:val="24"/>
    </w:rPr>
  </w:style>
  <w:style w:type="character" w:customStyle="1" w:styleId="41">
    <w:name w:val="标题 8 Char"/>
    <w:link w:val="9"/>
    <w:qFormat/>
    <w:uiPriority w:val="0"/>
    <w:rPr>
      <w:rFonts w:ascii="Arial" w:hAnsi="Arial" w:eastAsia="黑体"/>
      <w:kern w:val="2"/>
      <w:sz w:val="24"/>
      <w:szCs w:val="24"/>
    </w:rPr>
  </w:style>
  <w:style w:type="character" w:customStyle="1" w:styleId="42">
    <w:name w:val="标题 9 Char"/>
    <w:link w:val="10"/>
    <w:qFormat/>
    <w:uiPriority w:val="0"/>
    <w:rPr>
      <w:rFonts w:ascii="Arial" w:hAnsi="Arial" w:eastAsia="黑体"/>
      <w:kern w:val="2"/>
      <w:sz w:val="21"/>
      <w:szCs w:val="21"/>
    </w:rPr>
  </w:style>
  <w:style w:type="character" w:customStyle="1" w:styleId="43">
    <w:name w:val="页眉 Char"/>
    <w:link w:val="18"/>
    <w:qFormat/>
    <w:uiPriority w:val="99"/>
    <w:rPr>
      <w:kern w:val="2"/>
      <w:sz w:val="18"/>
      <w:szCs w:val="18"/>
    </w:rPr>
  </w:style>
  <w:style w:type="character" w:customStyle="1" w:styleId="44">
    <w:name w:val="页脚 Char"/>
    <w:link w:val="17"/>
    <w:qFormat/>
    <w:uiPriority w:val="99"/>
    <w:rPr>
      <w:rFonts w:ascii="宋体"/>
      <w:kern w:val="2"/>
      <w:sz w:val="18"/>
      <w:szCs w:val="18"/>
    </w:rPr>
  </w:style>
  <w:style w:type="character" w:customStyle="1" w:styleId="45">
    <w:name w:val="批注框文本 Char"/>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kern w:val="2"/>
      <w:sz w:val="21"/>
      <w:szCs w:val="21"/>
    </w:rPr>
  </w:style>
  <w:style w:type="character" w:customStyle="1" w:styleId="48">
    <w:name w:val="标题 Char"/>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ind w:left="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jpe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1695A327DB8482CBDA2788DDF6F069E"/>
        <w:style w:val=""/>
        <w:category>
          <w:name w:val="常规"/>
          <w:gallery w:val="placeholder"/>
        </w:category>
        <w:types>
          <w:type w:val="bbPlcHdr"/>
        </w:types>
        <w:behaviors>
          <w:behavior w:val="content"/>
        </w:behaviors>
        <w:description w:val=""/>
        <w:guid w:val="{09789A70-9340-4D35-8B6B-236276AECD13}"/>
      </w:docPartPr>
      <w:docPartBody>
        <w:p w14:paraId="1B983D42">
          <w:pPr>
            <w:pStyle w:val="5"/>
          </w:pPr>
          <w:r>
            <w:rPr>
              <w:rStyle w:val="4"/>
              <w:rFonts w:hint="eastAsia"/>
            </w:rPr>
            <w:t>单击或点击此处输入文字。</w:t>
          </w:r>
        </w:p>
      </w:docPartBody>
    </w:docPart>
    <w:docPart>
      <w:docPartPr>
        <w:name w:val="90A131535CA24E62ADE9D003E08EBF7E"/>
        <w:style w:val=""/>
        <w:category>
          <w:name w:val="常规"/>
          <w:gallery w:val="placeholder"/>
        </w:category>
        <w:types>
          <w:type w:val="bbPlcHdr"/>
        </w:types>
        <w:behaviors>
          <w:behavior w:val="content"/>
        </w:behaviors>
        <w:description w:val=""/>
        <w:guid w:val="{7DE050E7-7B77-44A6-97A7-F1F498DC080C}"/>
      </w:docPartPr>
      <w:docPartBody>
        <w:p w14:paraId="66416474">
          <w:pPr>
            <w:pStyle w:val="6"/>
          </w:pPr>
          <w:r>
            <w:rPr>
              <w:rStyle w:val="4"/>
              <w:rFonts w:hint="eastAsia"/>
            </w:rPr>
            <w:t>选择一项。</w:t>
          </w:r>
        </w:p>
      </w:docPartBody>
    </w:docPart>
    <w:docPart>
      <w:docPartPr>
        <w:name w:val="4038D02D3FDA4233BD79A5D60E80842C"/>
        <w:style w:val=""/>
        <w:category>
          <w:name w:val="常规"/>
          <w:gallery w:val="placeholder"/>
        </w:category>
        <w:types>
          <w:type w:val="bbPlcHdr"/>
        </w:types>
        <w:behaviors>
          <w:behavior w:val="content"/>
        </w:behaviors>
        <w:description w:val=""/>
        <w:guid w:val="{31BB0E38-C0FD-44A0-8C6D-DA7EC262370B}"/>
      </w:docPartPr>
      <w:docPartBody>
        <w:p w14:paraId="19AB8321">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355"/>
    <w:rsid w:val="00151355"/>
    <w:rsid w:val="00373D29"/>
    <w:rsid w:val="0039347D"/>
    <w:rsid w:val="00451F64"/>
    <w:rsid w:val="0064203E"/>
    <w:rsid w:val="00D90C55"/>
    <w:rsid w:val="00E94753"/>
    <w:rsid w:val="00F20BF5"/>
    <w:rsid w:val="00F63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41695A327DB8482CBDA2788DDF6F069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90A131535CA24E62ADE9D003E08EBF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4038D02D3FDA4233BD79A5D60E80842C"/>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6</Pages>
  <Words>2768</Words>
  <Characters>3138</Characters>
  <Lines>27</Lines>
  <Paragraphs>7</Paragraphs>
  <TotalTime>0</TotalTime>
  <ScaleCrop>false</ScaleCrop>
  <LinksUpToDate>false</LinksUpToDate>
  <CharactersWithSpaces>3257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2025-09-29T02:58:00Z</dcterms:created>
  <dc:creator>ASUS</dc:creator>
  <dc:description>&lt;config cover="true" show_menu="true" version="1.0.0" doctype="SDKXY"&gt;_x000d_
&lt;/config&gt;</dc:description>
  <cp:lastModifiedBy>bangbo1314</cp:lastModifiedBy>
  <cp:lastPrinted>2021-02-02T08:22:00Z</cp:lastPrinted>
  <dcterms:modified xsi:type="dcterms:W3CDTF">2025-09-29T04:15:22Z</dcterms:modified>
  <dc:title>团体标准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eyJoZGlkIjoiODU1M2MzYjNhYWRjNmY2MzJlYzFmNDYzZGU2OTFkZjgiLCJ1c2VySWQiOiI0MzIzMTU4ODgifQ==</vt:lpwstr>
  </property>
  <property fmtid="{D5CDD505-2E9C-101B-9397-08002B2CF9AE}" pid="15" name="KSOProductBuildVer">
    <vt:lpwstr>2052-12.1.0.22529</vt:lpwstr>
  </property>
  <property fmtid="{D5CDD505-2E9C-101B-9397-08002B2CF9AE}" pid="16" name="ICV">
    <vt:lpwstr>63B4DB3AC8384CFA91E965B68E5A7831_12</vt:lpwstr>
  </property>
</Properties>
</file>