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olor w:val="000000" w:themeColor="text1"/>
          <w:sz w:val="32"/>
          <w:szCs w:val="32"/>
          <w14:textFill>
            <w14:solidFill>
              <w14:schemeClr w14:val="tx1"/>
            </w14:solidFill>
          </w14:textFill>
        </w:rPr>
      </w:pPr>
    </w:p>
    <w:p>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p>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p>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p>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p>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p>
      <w:pPr>
        <w:spacing w:line="540" w:lineRule="exact"/>
        <w:jc w:val="center"/>
        <w:rPr>
          <w:rFonts w:hint="eastAsia"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w:t>
      </w:r>
      <w:r>
        <w:rPr>
          <w:rFonts w:hint="eastAsia" w:ascii="方正小标宋简体" w:hAnsi="黑体" w:eastAsia="方正小标宋简体"/>
          <w:color w:val="000000" w:themeColor="text1"/>
          <w:sz w:val="44"/>
          <w:szCs w:val="44"/>
          <w:lang w:eastAsia="zh-CN"/>
          <w14:textFill>
            <w14:solidFill>
              <w14:schemeClr w14:val="tx1"/>
            </w14:solidFill>
          </w14:textFill>
        </w:rPr>
        <w:t>预制菜</w:t>
      </w:r>
      <w:r>
        <w:rPr>
          <w:rFonts w:hint="eastAsia" w:ascii="方正小标宋简体" w:hAnsi="黑体" w:eastAsia="方正小标宋简体"/>
          <w:color w:val="000000" w:themeColor="text1"/>
          <w:sz w:val="44"/>
          <w:szCs w:val="44"/>
          <w:lang w:val="en-US" w:eastAsia="zh-CN"/>
          <w14:textFill>
            <w14:solidFill>
              <w14:schemeClr w14:val="tx1"/>
            </w14:solidFill>
          </w14:textFill>
        </w:rPr>
        <w:t xml:space="preserve"> </w:t>
      </w:r>
      <w:r>
        <w:rPr>
          <w:rFonts w:hint="eastAsia" w:ascii="方正小标宋简体" w:hAnsi="黑体" w:eastAsia="方正小标宋简体"/>
          <w:color w:val="000000" w:themeColor="text1"/>
          <w:sz w:val="44"/>
          <w:szCs w:val="44"/>
          <w:lang w:eastAsia="zh-CN"/>
          <w14:textFill>
            <w14:solidFill>
              <w14:schemeClr w14:val="tx1"/>
            </w14:solidFill>
          </w14:textFill>
        </w:rPr>
        <w:t>松鼠海鲈鱼</w:t>
      </w:r>
      <w:r>
        <w:rPr>
          <w:rFonts w:hint="eastAsia" w:ascii="方正小标宋简体" w:hAnsi="黑体" w:eastAsia="方正小标宋简体"/>
          <w:color w:val="000000" w:themeColor="text1"/>
          <w:sz w:val="44"/>
          <w:szCs w:val="44"/>
          <w14:textFill>
            <w14:solidFill>
              <w14:schemeClr w14:val="tx1"/>
            </w14:solidFill>
          </w14:textFill>
        </w:rPr>
        <w:t>（征求意见稿）》</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编制说明</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标准起草组</w:t>
      </w:r>
    </w:p>
    <w:p>
      <w:pPr>
        <w:spacing w:line="54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二〇二五年</w:t>
      </w:r>
      <w:r>
        <w:rPr>
          <w:rFonts w:hint="eastAsia" w:ascii="黑体" w:hAnsi="黑体" w:eastAsia="黑体"/>
          <w:color w:val="000000" w:themeColor="text1"/>
          <w:sz w:val="32"/>
          <w:szCs w:val="32"/>
          <w:lang w:eastAsia="zh-CN"/>
          <w14:textFill>
            <w14:solidFill>
              <w14:schemeClr w14:val="tx1"/>
            </w14:solidFill>
          </w14:textFill>
        </w:rPr>
        <w:t>九</w:t>
      </w:r>
      <w:r>
        <w:rPr>
          <w:rFonts w:hint="eastAsia" w:ascii="黑体" w:hAnsi="黑体" w:eastAsia="黑体"/>
          <w:color w:val="000000" w:themeColor="text1"/>
          <w:sz w:val="32"/>
          <w:szCs w:val="32"/>
          <w14:textFill>
            <w14:solidFill>
              <w14:schemeClr w14:val="tx1"/>
            </w14:solidFill>
          </w14:textFill>
        </w:rPr>
        <w:t>月</w:t>
      </w:r>
    </w:p>
    <w:p>
      <w:pPr>
        <w:widowControl/>
        <w:spacing w:line="540" w:lineRule="exact"/>
        <w:jc w:val="center"/>
        <w:rPr>
          <w:rStyle w:val="12"/>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pPr>
        <w:widowControl/>
        <w:spacing w:line="540" w:lineRule="exact"/>
        <w:jc w:val="center"/>
        <w:rPr>
          <w:rStyle w:val="12"/>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Style w:val="12"/>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w:t>
      </w:r>
      <w:r>
        <w:rPr>
          <w:rFonts w:hint="eastAsia" w:ascii="方正小标宋简体" w:hAnsi="黑体" w:eastAsia="方正小标宋简体"/>
          <w:color w:val="000000" w:themeColor="text1"/>
          <w:sz w:val="44"/>
          <w:szCs w:val="44"/>
          <w:lang w:eastAsia="zh-CN"/>
          <w14:textFill>
            <w14:solidFill>
              <w14:schemeClr w14:val="tx1"/>
            </w14:solidFill>
          </w14:textFill>
        </w:rPr>
        <w:t>预制菜</w:t>
      </w:r>
      <w:r>
        <w:rPr>
          <w:rFonts w:hint="eastAsia" w:ascii="方正小标宋简体" w:hAnsi="黑体" w:eastAsia="方正小标宋简体"/>
          <w:color w:val="000000" w:themeColor="text1"/>
          <w:sz w:val="44"/>
          <w:szCs w:val="44"/>
          <w:lang w:val="en-US" w:eastAsia="zh-CN"/>
          <w14:textFill>
            <w14:solidFill>
              <w14:schemeClr w14:val="tx1"/>
            </w14:solidFill>
          </w14:textFill>
        </w:rPr>
        <w:t xml:space="preserve"> </w:t>
      </w:r>
      <w:r>
        <w:rPr>
          <w:rStyle w:val="12"/>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松鼠海鲈鱼</w:t>
      </w:r>
      <w:r>
        <w:rPr>
          <w:rStyle w:val="12"/>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（征求意见稿）》</w:t>
      </w:r>
    </w:p>
    <w:p>
      <w:pPr>
        <w:widowControl/>
        <w:spacing w:line="540" w:lineRule="exact"/>
        <w:jc w:val="center"/>
        <w:rPr>
          <w:rStyle w:val="12"/>
          <w:rFonts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Style w:val="12"/>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编制说明</w:t>
      </w:r>
    </w:p>
    <w:p>
      <w:pPr>
        <w:widowControl/>
        <w:spacing w:line="540" w:lineRule="exact"/>
        <w:jc w:val="center"/>
        <w:rPr>
          <w:rStyle w:val="12"/>
          <w:rFonts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pPr>
        <w:widowControl/>
        <w:adjustRightInd w:val="0"/>
        <w:snapToGrid w:val="0"/>
        <w:spacing w:before="0" w:beforeLines="0" w:after="0" w:afterLines="0"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一、任务来源</w:t>
      </w:r>
    </w:p>
    <w:p>
      <w:pPr>
        <w:widowControl/>
        <w:adjustRightInd w:val="0"/>
        <w:snapToGrid w:val="0"/>
        <w:spacing w:before="0" w:beforeLines="0" w:after="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w:t>
      </w:r>
      <w:r>
        <w:rPr>
          <w:rFonts w:hint="eastAsia" w:ascii="仿宋_GB2312" w:hAnsi="仿宋_GB2312" w:eastAsia="仿宋_GB2312" w:cs="仿宋_GB2312"/>
          <w:color w:val="000000" w:themeColor="text1"/>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sz w:val="32"/>
          <w:szCs w:val="32"/>
          <w14:textFill>
            <w14:solidFill>
              <w14:schemeClr w14:val="tx1"/>
            </w14:solidFill>
          </w14:textFill>
        </w:rPr>
        <w:t>来源于</w:t>
      </w:r>
      <w:r>
        <w:rPr>
          <w:rFonts w:hint="eastAsia" w:ascii="仿宋_GB2312" w:hAnsi="仿宋_GB2312" w:eastAsia="仿宋_GB2312" w:cs="仿宋_GB2312"/>
          <w:color w:val="000000" w:themeColor="text1"/>
          <w:sz w:val="32"/>
          <w:szCs w:val="32"/>
          <w:highlight w:val="none"/>
          <w14:textFill>
            <w14:solidFill>
              <w14:schemeClr w14:val="tx1"/>
            </w14:solidFill>
          </w14:textFill>
        </w:rPr>
        <w:t>珠海市标准化协会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立项的</w:t>
      </w:r>
      <w:r>
        <w:rPr>
          <w:rFonts w:hint="eastAsia" w:ascii="仿宋_GB2312" w:hAnsi="仿宋_GB2312" w:eastAsia="仿宋_GB2312" w:cs="仿宋_GB2312"/>
          <w:color w:val="000000" w:themeColor="text1"/>
          <w:sz w:val="32"/>
          <w:szCs w:val="32"/>
          <w:highlight w:val="none"/>
          <w14:textFill>
            <w14:solidFill>
              <w14:schemeClr w14:val="tx1"/>
            </w14:solidFill>
          </w14:textFill>
        </w:rPr>
        <w:t>标准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协</w:t>
      </w:r>
      <w:r>
        <w:rPr>
          <w:rFonts w:hint="eastAsia" w:ascii="仿宋_GB2312" w:hAnsi="仿宋_GB2312" w:eastAsia="仿宋_GB2312" w:cs="仿宋_GB2312"/>
          <w:color w:val="000000" w:themeColor="text1"/>
          <w:sz w:val="32"/>
          <w:szCs w:val="32"/>
          <w:lang w:eastAsia="zh-CN"/>
          <w14:textFill>
            <w14:solidFill>
              <w14:schemeClr w14:val="tx1"/>
            </w14:solidFill>
          </w14:textFill>
        </w:rPr>
        <w:t>会相关要求</w:t>
      </w:r>
      <w:r>
        <w:rPr>
          <w:rFonts w:hint="eastAsia" w:ascii="仿宋_GB2312" w:hAnsi="仿宋_GB2312" w:eastAsia="仿宋_GB2312" w:cs="仿宋_GB2312"/>
          <w:color w:val="000000" w:themeColor="text1"/>
          <w:sz w:val="32"/>
          <w:szCs w:val="32"/>
          <w14:textFill>
            <w14:solidFill>
              <w14:schemeClr w14:val="tx1"/>
            </w14:solidFill>
          </w14:textFill>
        </w:rPr>
        <w:t>，并依据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kern w:val="2"/>
          <w:sz w:val="32"/>
          <w:szCs w:val="32"/>
          <w:highlight w:val="none"/>
          <w:lang w:val="en-US" w:eastAsia="zh-CN" w:bidi="ar-SA"/>
        </w:rPr>
        <w:t>中华人民共和国标准化法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《团体标准管理规定》，制定本标准《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预制菜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松鼠海鲈鱼</w:t>
      </w:r>
      <w:r>
        <w:rPr>
          <w:rFonts w:hint="eastAsia" w:ascii="仿宋_GB2312" w:hAnsi="仿宋_GB2312" w:eastAsia="仿宋_GB2312" w:cs="仿宋_GB2312"/>
          <w:color w:val="000000" w:themeColor="text1"/>
          <w:sz w:val="32"/>
          <w:szCs w:val="32"/>
          <w14:textFill>
            <w14:solidFill>
              <w14:schemeClr w14:val="tx1"/>
            </w14:solidFill>
          </w14:textFill>
        </w:rPr>
        <w:t>》。</w:t>
      </w:r>
    </w:p>
    <w:p>
      <w:pPr>
        <w:widowControl/>
        <w:adjustRightInd w:val="0"/>
        <w:snapToGrid w:val="0"/>
        <w:spacing w:before="0" w:beforeLines="0" w:after="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本标准由</w:t>
      </w:r>
      <w:r>
        <w:rPr>
          <w:rFonts w:hint="eastAsia" w:ascii="仿宋_GB2312" w:hAnsi="仿宋_GB2312" w:eastAsia="仿宋_GB2312" w:cs="仿宋_GB2312"/>
          <w:color w:val="000000" w:themeColor="text1"/>
          <w:sz w:val="32"/>
          <w:szCs w:val="32"/>
          <w:lang w:eastAsia="zh-CN"/>
          <w14:textFill>
            <w14:solidFill>
              <w14:schemeClr w14:val="tx1"/>
            </w14:solidFill>
          </w14:textFill>
        </w:rPr>
        <w:t>广东省标准化研究院</w:t>
      </w:r>
      <w:r>
        <w:rPr>
          <w:rFonts w:hint="eastAsia" w:ascii="仿宋_GB2312" w:hAnsi="仿宋_GB2312" w:eastAsia="仿宋_GB2312" w:cs="仿宋_GB2312"/>
          <w:color w:val="000000" w:themeColor="text1"/>
          <w:sz w:val="32"/>
          <w:szCs w:val="32"/>
          <w14:textFill>
            <w14:solidFill>
              <w14:schemeClr w14:val="tx1"/>
            </w14:solidFill>
          </w14:textFill>
        </w:rPr>
        <w:t>提出并组织相关单位起草。</w:t>
      </w:r>
    </w:p>
    <w:p>
      <w:pPr>
        <w:widowControl/>
        <w:adjustRightInd w:val="0"/>
        <w:snapToGrid w:val="0"/>
        <w:spacing w:before="0" w:beforeLines="0" w:after="0" w:afterLines="0"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二、制定标准的必要性和目的</w:t>
      </w:r>
    </w:p>
    <w:p>
      <w:pPr>
        <w:spacing w:beforeLines="0" w:afterLines="0" w:line="360" w:lineRule="auto"/>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（一）制定标准的必要性</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近年来，国家和地方政府高度重视预制菜产业发展。国家层面，2024年3月市场监督管理总局等六部门联合发布《关于加强预制菜食品安全监管促进产业高质量发展的通知》（国市监食生发〔2024〕27号），明确了预制菜范围并强调标准体系建设的重要性。省级层面，广东省政府出台《加快推进广东预制菜产业高质量发展十条措施》(粤府办〔2022〕10 号)，为全省预制菜产业发展指明方向。市级层面，珠海市人民政府办公室印发《加快推进珠海市预制菜产业高质量发展若干措施》(珠府办〔2022〕14号)，明确提出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推动预制菜全产业链标准体系建设，鼓励企业、社会团体制定一批企业标准、团体标准、地方标准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，并特别强调要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深耕白蕉海鲈等珠海特色农产品，加强品牌宣传推广，树立一批知名的预制菜品牌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。该政策为松鼠海鲈鱼预制菜团体标准的制定提供了直接政策支持，符合珠海市打造</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质量安全、绿色健康、优势明显的预制菜特色产业高地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的战略目标。</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珠海斗门区是全国最大的海鲈养殖与加工产区，2011年获得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中国海鲈之乡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称号，2019年珠海被授予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中国海鲈之都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称号，2022年10月更是通过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中国海鲈预制菜之都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评审。2021年，珠海海鲈鱼产量达15.6万吨，位居全国首位，产业规模优势明显。制定团体标准是实施珠海市预制菜产业发展战略的重要抓手，对于实现资源整合与产业升级具有至关重要的意义。通过标准化引导，能够解决当前预制菜行业存在的产品质量参差不齐、生产工艺不规范、口味复原度不佳等问题。标准制定将进一步提升白蕉海鲈产品的附加值和品牌影响力，推动珠海预制菜产业从量的增长向质的提升转变，实现产业结构优化和价值链升级。</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预制菜行业作为食品工业新兴门类，近年来呈现爆发式增长态势。据统计，2023年中国预制菜行业市场规模已达4850亿元，其中水产预制菜市场规模达1595亿元，预计到2026年将分别增长至7490亿元和2576亿元。然而，行业快速发展也带来了标准缺失和监管滞后的问题。目前市场上预制菜产品质量良莠不齐，存在使用劣质食材、生产不规范、添加剂滥用等情况。特别是水产品预制菜，由于原料特性，对加工技术、保鲜工艺和冷链运输要求更高，急需通过标准化手段规范生产过程，保障产品质量与安全。</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松鼠海鲈鱼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作为传统中式菜肴，制作工艺复杂，家庭和餐饮企业难以完美还原其独特口味和造型。开发预制化松鼠海鲈鱼产品，能够满足消费者对便捷性和口味还原度的双重需求。通过团体标准制定，可以规范产品原料要求、加工工艺、质量指标和包装储运条件，确保产品口感和风味的一致性，提升消费者体验，从而扩大市场接受度。</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为进一步改善产业现状，《</w:t>
      </w:r>
      <w:r>
        <w:rPr>
          <w:rFonts w:hint="eastAsia" w:ascii="仿宋_GB2312" w:hAnsi="仿宋_GB2312" w:eastAsia="仿宋_GB2312" w:cs="仿宋_GB2312"/>
          <w:color w:val="000000" w:themeColor="text1"/>
          <w:sz w:val="32"/>
          <w:szCs w:val="32"/>
          <w:lang w:eastAsia="zh-CN"/>
          <w14:textFill>
            <w14:solidFill>
              <w14:schemeClr w14:val="tx1"/>
            </w14:solidFill>
          </w14:textFill>
        </w:rPr>
        <w:t>预制菜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松鼠海鲈鱼</w:t>
      </w:r>
      <w:r>
        <w:rPr>
          <w:rFonts w:hint="eastAsia" w:ascii="仿宋_GB2312" w:hAnsi="仿宋_GB2312" w:eastAsia="仿宋_GB2312" w:cs="仿宋_GB2312"/>
          <w:color w:val="000000" w:themeColor="text1"/>
          <w:sz w:val="32"/>
          <w:szCs w:val="32"/>
          <w14:textFill>
            <w14:solidFill>
              <w14:schemeClr w14:val="tx1"/>
            </w14:solidFill>
          </w14:textFill>
        </w:rPr>
        <w:t>》团体标准的制定与实施具有重要现实意义。该标准可为</w:t>
      </w:r>
      <w:r>
        <w:rPr>
          <w:rFonts w:hint="eastAsia" w:ascii="仿宋_GB2312" w:hAnsi="仿宋_GB2312" w:eastAsia="仿宋_GB2312" w:cs="仿宋_GB2312"/>
          <w:color w:val="000000" w:themeColor="text1"/>
          <w:sz w:val="32"/>
          <w:szCs w:val="32"/>
          <w:lang w:eastAsia="zh-CN"/>
          <w14:textFill>
            <w14:solidFill>
              <w14:schemeClr w14:val="tx1"/>
            </w14:solidFill>
          </w14:textFill>
        </w:rPr>
        <w:t>松鼠海鲈鱼</w:t>
      </w:r>
      <w:r>
        <w:rPr>
          <w:rFonts w:hint="eastAsia" w:ascii="仿宋_GB2312" w:hAnsi="仿宋_GB2312" w:eastAsia="仿宋_GB2312" w:cs="仿宋_GB2312"/>
          <w:color w:val="000000" w:themeColor="text1"/>
          <w:sz w:val="32"/>
          <w:szCs w:val="32"/>
          <w14:textFill>
            <w14:solidFill>
              <w14:schemeClr w14:val="tx1"/>
            </w14:solidFill>
          </w14:textFill>
        </w:rPr>
        <w:t>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和销售</w:t>
      </w:r>
      <w:r>
        <w:rPr>
          <w:rFonts w:hint="eastAsia" w:ascii="仿宋_GB2312" w:hAnsi="仿宋_GB2312" w:eastAsia="仿宋_GB2312" w:cs="仿宋_GB2312"/>
          <w:color w:val="000000" w:themeColor="text1"/>
          <w:sz w:val="32"/>
          <w:szCs w:val="32"/>
          <w14:textFill>
            <w14:solidFill>
              <w14:schemeClr w14:val="tx1"/>
            </w14:solidFill>
          </w14:textFill>
        </w:rPr>
        <w:t>提供参考依据，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完善海鲈标准体系</w:t>
      </w:r>
      <w:r>
        <w:rPr>
          <w:rFonts w:hint="eastAsia" w:ascii="仿宋_GB2312" w:hAnsi="仿宋_GB2312" w:eastAsia="仿宋_GB2312" w:cs="仿宋_GB2312"/>
          <w:color w:val="000000" w:themeColor="text1"/>
          <w:sz w:val="32"/>
          <w:szCs w:val="32"/>
          <w14:textFill>
            <w14:solidFill>
              <w14:schemeClr w14:val="tx1"/>
            </w14:solidFill>
          </w14:textFill>
        </w:rPr>
        <w:t>。通过规范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产品</w:t>
      </w:r>
      <w:r>
        <w:rPr>
          <w:rFonts w:hint="eastAsia" w:ascii="仿宋_GB2312" w:hAnsi="仿宋_GB2312" w:eastAsia="仿宋_GB2312" w:cs="仿宋_GB2312"/>
          <w:color w:val="000000" w:themeColor="text1"/>
          <w:sz w:val="32"/>
          <w:szCs w:val="32"/>
          <w14:textFill>
            <w14:solidFill>
              <w14:schemeClr w14:val="tx1"/>
            </w14:solidFill>
          </w14:textFill>
        </w:rPr>
        <w:t>技术要求、检验规则、标签标志、包装、运输与贮存等关键</w:t>
      </w:r>
      <w:r>
        <w:rPr>
          <w:rFonts w:hint="eastAsia" w:ascii="仿宋_GB2312" w:hAnsi="仿宋_GB2312" w:eastAsia="仿宋_GB2312" w:cs="仿宋_GB2312"/>
          <w:color w:val="000000" w:themeColor="text1"/>
          <w:sz w:val="32"/>
          <w:szCs w:val="32"/>
          <w:lang w:eastAsia="zh-CN"/>
          <w14:textFill>
            <w14:solidFill>
              <w14:schemeClr w14:val="tx1"/>
            </w14:solidFill>
          </w14:textFill>
        </w:rPr>
        <w:t>内容</w:t>
      </w:r>
      <w:r>
        <w:rPr>
          <w:rFonts w:hint="eastAsia" w:ascii="仿宋_GB2312" w:hAnsi="仿宋_GB2312" w:eastAsia="仿宋_GB2312" w:cs="仿宋_GB2312"/>
          <w:color w:val="000000" w:themeColor="text1"/>
          <w:sz w:val="32"/>
          <w:szCs w:val="32"/>
          <w14:textFill>
            <w14:solidFill>
              <w14:schemeClr w14:val="tx1"/>
            </w14:solidFill>
          </w14:textFill>
        </w:rPr>
        <w:t>，有效提升产品安全性及品质稳定性，切实保障消费者权益。该标准的推广应用将</w:t>
      </w:r>
      <w:r>
        <w:rPr>
          <w:rFonts w:hint="eastAsia" w:ascii="仿宋_GB2312" w:hAnsi="仿宋_GB2312" w:eastAsia="仿宋_GB2312" w:cs="仿宋_GB2312"/>
          <w:color w:val="000000" w:themeColor="text1"/>
          <w:sz w:val="32"/>
          <w:szCs w:val="32"/>
          <w:lang w:eastAsia="zh-CN"/>
          <w14:textFill>
            <w14:solidFill>
              <w14:schemeClr w14:val="tx1"/>
            </w14:solidFill>
          </w14:textFill>
        </w:rPr>
        <w:t>有助于提</w:t>
      </w:r>
      <w:r>
        <w:rPr>
          <w:rFonts w:hint="eastAsia" w:ascii="仿宋_GB2312" w:hAnsi="仿宋_GB2312" w:eastAsia="仿宋_GB2312" w:cs="仿宋_GB2312"/>
          <w:color w:val="000000" w:themeColor="text1"/>
          <w:sz w:val="32"/>
          <w:szCs w:val="32"/>
          <w14:textFill>
            <w14:solidFill>
              <w14:schemeClr w14:val="tx1"/>
            </w14:solidFill>
          </w14:textFill>
        </w:rPr>
        <w:t>升珠海预制菜产业核心竞争力及区域品牌价值。</w:t>
      </w:r>
    </w:p>
    <w:p>
      <w:pPr>
        <w:spacing w:beforeLines="0" w:afterLines="0" w:line="360" w:lineRule="auto"/>
        <w:ind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（二）制定标准的目的</w:t>
      </w:r>
    </w:p>
    <w:p>
      <w:pPr>
        <w:widowControl/>
        <w:numPr>
          <w:ilvl w:val="-1"/>
          <w:numId w:val="0"/>
        </w:numPr>
        <w:adjustRightInd w:val="0"/>
        <w:snapToGrid w:val="0"/>
        <w:spacing w:beforeLines="0" w:afterLines="0" w:line="360" w:lineRule="auto"/>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目前，预制菜行业虽已有部分标准出台，但针对松鼠海鲈鱼这一特色品类的标准仍属空白。《预制菜 松鼠海鲈鱼》团体标准的制定，能解决以下市场痛点问题：</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一是解决产品质量参差不齐的问题。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目前，由于缺乏统一标准，不同企业生产的松鼠海鲈鱼预制菜在原料选择、工艺参数、风味口感等方面差异较大。一些企业为降低成本，可能使用品质较差的原料或简化生产工艺，导致产品品质下降。</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二是化解食品安全隐患。</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食品安全是预制菜行业的重中之重，也是消费者最为关注的问题。标准通过制定严格的检验方法和检验规则，对产品进行抽检检验。</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三是改善标签标识不规范导致的信息不对称问题。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当前，一些预制菜产品的标签存在信息缺失、标注模糊等问题，消费者难以了解产品的真实情况。</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四是规范包装、贮存和运输环节，减少物流损耗。</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松鼠海鲈鱼预制菜对包装、贮存和运输条件有着较高的要求，若处理不当易导致产品变质，影响品质。</w:t>
      </w:r>
    </w:p>
    <w:p>
      <w:pPr>
        <w:widowControl/>
        <w:adjustRightInd w:val="0"/>
        <w:snapToGrid w:val="0"/>
        <w:spacing w:before="0" w:beforeLines="0" w:after="0" w:afterLines="0"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三、名称和范围</w:t>
      </w:r>
    </w:p>
    <w:p>
      <w:pPr>
        <w:spacing w:beforeLines="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本标准名称为《</w:t>
      </w:r>
      <w:r>
        <w:rPr>
          <w:rFonts w:hint="eastAsia" w:ascii="仿宋_GB2312" w:hAnsi="仿宋_GB2312" w:eastAsia="仿宋_GB2312" w:cs="仿宋_GB2312"/>
          <w:color w:val="000000" w:themeColor="text1"/>
          <w:sz w:val="32"/>
          <w:szCs w:val="32"/>
          <w:lang w:eastAsia="zh-CN"/>
          <w14:textFill>
            <w14:solidFill>
              <w14:schemeClr w14:val="tx1"/>
            </w14:solidFill>
          </w14:textFill>
        </w:rPr>
        <w:t>预制菜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松鼠海鲈鱼</w:t>
      </w:r>
      <w:r>
        <w:rPr>
          <w:rFonts w:ascii="仿宋_GB2312" w:hAnsi="仿宋_GB2312" w:eastAsia="仿宋_GB2312" w:cs="仿宋_GB2312"/>
          <w:color w:val="000000" w:themeColor="text1"/>
          <w:sz w:val="32"/>
          <w:szCs w:val="32"/>
          <w14:textFill>
            <w14:solidFill>
              <w14:schemeClr w14:val="tx1"/>
            </w14:solidFill>
          </w14:textFill>
        </w:rPr>
        <w:t>》。</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本</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kern w:val="2"/>
          <w:sz w:val="32"/>
          <w:szCs w:val="32"/>
          <w14:textFill>
            <w14:solidFill>
              <w14:schemeClr w14:val="tx1"/>
            </w14:solidFill>
          </w14:textFill>
        </w:rPr>
        <w:t>规定了预制菜</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松鼠</w:t>
      </w:r>
      <w:r>
        <w:rPr>
          <w:rFonts w:hint="eastAsia" w:ascii="仿宋_GB2312" w:hAnsi="仿宋_GB2312" w:eastAsia="仿宋_GB2312" w:cs="仿宋_GB2312"/>
          <w:color w:val="000000" w:themeColor="text1"/>
          <w:kern w:val="2"/>
          <w:sz w:val="32"/>
          <w:szCs w:val="32"/>
          <w14:textFill>
            <w14:solidFill>
              <w14:schemeClr w14:val="tx1"/>
            </w14:solidFill>
          </w14:textFill>
        </w:rPr>
        <w:t>海鲈鱼的技术要求、检验规则、标签标志、包装、运输与贮存等要求，描述了相应的检验方法，并界定了相应的术语和定义。</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本文件适用于预制菜</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松鼠</w:t>
      </w:r>
      <w:r>
        <w:rPr>
          <w:rFonts w:hint="eastAsia" w:ascii="仿宋_GB2312" w:hAnsi="仿宋_GB2312" w:eastAsia="仿宋_GB2312" w:cs="仿宋_GB2312"/>
          <w:color w:val="000000" w:themeColor="text1"/>
          <w:kern w:val="2"/>
          <w:sz w:val="32"/>
          <w:szCs w:val="32"/>
          <w14:textFill>
            <w14:solidFill>
              <w14:schemeClr w14:val="tx1"/>
            </w14:solidFill>
          </w14:textFill>
        </w:rPr>
        <w:t>海鲈鱼的生产和销售。</w:t>
      </w:r>
    </w:p>
    <w:p>
      <w:pPr>
        <w:widowControl/>
        <w:adjustRightInd w:val="0"/>
        <w:snapToGrid w:val="0"/>
        <w:spacing w:before="0" w:beforeLines="0" w:after="0" w:afterLines="0"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四、标准编制原则</w:t>
      </w:r>
    </w:p>
    <w:p>
      <w:pPr>
        <w:keepNext w:val="0"/>
        <w:keepLines w:val="0"/>
        <w:pageBreakBefore w:val="0"/>
        <w:numPr>
          <w:ilvl w:val="0"/>
          <w:numId w:val="0"/>
        </w:numPr>
        <w:shd w:val="clear"/>
        <w:kinsoku/>
        <w:wordWrap/>
        <w:overflowPunct/>
        <w:topLinePunct w:val="0"/>
        <w:autoSpaceDE/>
        <w:autoSpaceDN/>
        <w:bidi w:val="0"/>
        <w:adjustRightInd/>
        <w:snapToGrid/>
        <w:spacing w:beforeLines="0" w:beforeAutospacing="0" w:afterLines="0" w:afterAutospacing="0" w:line="360" w:lineRule="auto"/>
        <w:ind w:leftChars="0"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标准符合《中华人民共和国标准化法》，以及国家标准化管理委员会、民政部发布的《团体标准管理规定》，标准在编制过程中，主要遵循了科学性、可操作性、规范性的原则。具体如下：</w:t>
      </w:r>
    </w:p>
    <w:p>
      <w:pPr>
        <w:keepNext w:val="0"/>
        <w:keepLines w:val="0"/>
        <w:pageBreakBefore w:val="0"/>
        <w:widowControl/>
        <w:suppressLineNumbers w:val="0"/>
        <w:shd w:val="clear"/>
        <w:kinsoku/>
        <w:wordWrap/>
        <w:overflowPunct/>
        <w:topLinePunct w:val="0"/>
        <w:autoSpaceDE/>
        <w:autoSpaceDN/>
        <w:bidi w:val="0"/>
        <w:adjustRightInd/>
        <w:snapToGrid/>
        <w:spacing w:beforeLines="0" w:afterLines="0" w:line="360" w:lineRule="auto"/>
        <w:ind w:leftChars="0" w:firstLine="640" w:firstLineChars="200"/>
        <w:jc w:val="left"/>
        <w:textAlignment w:val="auto"/>
        <w:rPr>
          <w:rFonts w:hint="eastAsia" w:ascii="仿宋_GB2312" w:hAnsi="仿宋_GB2312" w:cs="仿宋_GB2312"/>
          <w:color w:val="auto"/>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bidi="ar-SA"/>
        </w:rPr>
        <w:t>1</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科学性。</w:t>
      </w:r>
      <w:r>
        <w:rPr>
          <w:rFonts w:hint="eastAsia" w:ascii="仿宋_GB2312" w:hAnsi="仿宋_GB2312" w:eastAsia="仿宋_GB2312" w:cs="仿宋_GB2312"/>
          <w:color w:val="auto"/>
          <w:kern w:val="2"/>
          <w:sz w:val="32"/>
          <w:szCs w:val="32"/>
          <w:highlight w:val="none"/>
          <w:lang w:val="en-US" w:eastAsia="zh-CN" w:bidi="ar-SA"/>
        </w:rPr>
        <w:t>标准的关键核心要素在于预制菜松鼠海鲈鱼的产品质量控制、标签标识和运输贮存等环节，结合</w:t>
      </w:r>
      <w:r>
        <w:rPr>
          <w:rFonts w:hint="eastAsia" w:ascii="仿宋_GB2312" w:hAnsi="仿宋_GB2312" w:eastAsia="仿宋_GB2312" w:cs="仿宋_GB2312"/>
          <w:color w:val="000000" w:themeColor="text1"/>
          <w:sz w:val="32"/>
          <w:szCs w:val="32"/>
          <w:lang w:eastAsia="zh-CN"/>
          <w14:textFill>
            <w14:solidFill>
              <w14:schemeClr w14:val="tx1"/>
            </w14:solidFill>
          </w14:textFill>
        </w:rPr>
        <w:t>鱼类预制菜</w:t>
      </w:r>
      <w:r>
        <w:rPr>
          <w:rFonts w:hint="eastAsia" w:ascii="仿宋_GB2312" w:hAnsi="仿宋_GB2312" w:eastAsia="仿宋_GB2312" w:cs="仿宋_GB2312"/>
          <w:color w:val="auto"/>
          <w:kern w:val="2"/>
          <w:sz w:val="32"/>
          <w:szCs w:val="32"/>
          <w:highlight w:val="none"/>
          <w:lang w:val="en-US" w:eastAsia="zh-CN" w:bidi="ar-SA"/>
        </w:rPr>
        <w:t xml:space="preserve">产品的情况，选取最科学、最可行的理化指标作为技术要求。 </w:t>
      </w:r>
    </w:p>
    <w:p>
      <w:pPr>
        <w:keepNext w:val="0"/>
        <w:keepLines w:val="0"/>
        <w:pageBreakBefore w:val="0"/>
        <w:widowControl/>
        <w:suppressLineNumbers w:val="0"/>
        <w:shd w:val="clear"/>
        <w:kinsoku/>
        <w:wordWrap/>
        <w:overflowPunct/>
        <w:topLinePunct w:val="0"/>
        <w:autoSpaceDE/>
        <w:autoSpaceDN/>
        <w:bidi w:val="0"/>
        <w:adjustRightInd/>
        <w:snapToGrid/>
        <w:spacing w:beforeLines="0" w:afterLines="0" w:line="360" w:lineRule="auto"/>
        <w:ind w:leftChars="0" w:firstLine="640" w:firstLineChars="200"/>
        <w:jc w:val="left"/>
        <w:textAlignment w:val="auto"/>
        <w:rPr>
          <w:rFonts w:hint="eastAsia" w:ascii="仿宋_GB2312" w:hAnsi="仿宋_GB2312" w:cs="仿宋_GB2312"/>
          <w:color w:val="auto"/>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bidi="ar-SA"/>
        </w:rPr>
        <w:t>2</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可操作性。</w:t>
      </w:r>
      <w:r>
        <w:rPr>
          <w:rFonts w:hint="eastAsia" w:ascii="仿宋_GB2312" w:hAnsi="仿宋_GB2312" w:eastAsia="仿宋_GB2312" w:cs="仿宋_GB2312"/>
          <w:color w:val="auto"/>
          <w:kern w:val="2"/>
          <w:sz w:val="32"/>
          <w:szCs w:val="32"/>
          <w:highlight w:val="none"/>
          <w:lang w:val="en-US" w:eastAsia="zh-CN" w:bidi="ar-SA"/>
        </w:rPr>
        <w:t>标准规定了《预制菜 松鼠海鲈鱼》的术语</w:t>
      </w:r>
      <w:r>
        <w:rPr>
          <w:rFonts w:hint="eastAsia" w:ascii="仿宋_GB2312" w:hAnsi="仿宋_GB2312" w:cs="仿宋_GB2312"/>
          <w:color w:val="auto"/>
          <w:kern w:val="2"/>
          <w:sz w:val="32"/>
          <w:szCs w:val="32"/>
          <w:highlight w:val="none"/>
          <w:lang w:val="en-US" w:eastAsia="zh-CN" w:bidi="ar-SA"/>
        </w:rPr>
        <w:t>和</w:t>
      </w:r>
      <w:r>
        <w:rPr>
          <w:rFonts w:hint="eastAsia" w:ascii="仿宋_GB2312" w:hAnsi="仿宋_GB2312" w:eastAsia="仿宋_GB2312" w:cs="仿宋_GB2312"/>
          <w:color w:val="auto"/>
          <w:kern w:val="2"/>
          <w:sz w:val="32"/>
          <w:szCs w:val="32"/>
          <w:highlight w:val="none"/>
          <w:lang w:val="en-US" w:eastAsia="zh-CN" w:bidi="ar-SA"/>
        </w:rPr>
        <w:t xml:space="preserve">定义、基本要求、生产工艺、技术要求、检验方法、包装与标签、贮存与运输、追溯与召回，标准语言表达力求准确、精炼，条理清晰。 </w:t>
      </w:r>
    </w:p>
    <w:p>
      <w:pPr>
        <w:keepNext w:val="0"/>
        <w:keepLines w:val="0"/>
        <w:pageBreakBefore w:val="0"/>
        <w:widowControl/>
        <w:suppressLineNumbers w:val="0"/>
        <w:shd w:val="clear"/>
        <w:kinsoku/>
        <w:wordWrap/>
        <w:overflowPunct/>
        <w:topLinePunct w:val="0"/>
        <w:autoSpaceDE/>
        <w:autoSpaceDN/>
        <w:bidi w:val="0"/>
        <w:adjustRightInd/>
        <w:snapToGrid/>
        <w:spacing w:beforeLines="0" w:afterLines="0" w:line="360" w:lineRule="auto"/>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bidi="ar-SA"/>
        </w:rPr>
        <w:t>3</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规范性。</w:t>
      </w:r>
      <w:r>
        <w:rPr>
          <w:rFonts w:hint="eastAsia" w:ascii="仿宋_GB2312" w:hAnsi="仿宋_GB2312" w:eastAsia="仿宋_GB2312" w:cs="仿宋_GB2312"/>
          <w:color w:val="auto"/>
          <w:kern w:val="2"/>
          <w:sz w:val="32"/>
          <w:szCs w:val="32"/>
          <w:highlight w:val="none"/>
          <w:lang w:val="en-US" w:eastAsia="zh-CN" w:bidi="ar-SA"/>
        </w:rPr>
        <w:t>编写格式符合</w:t>
      </w:r>
      <w:r>
        <w:rPr>
          <w:rFonts w:hint="eastAsia" w:ascii="Times New Roman" w:hAnsi="Times New Roman" w:eastAsia="仿宋_GB2312" w:cs="仿宋_GB2312"/>
          <w:color w:val="auto"/>
          <w:kern w:val="2"/>
          <w:sz w:val="32"/>
          <w:szCs w:val="32"/>
          <w:highlight w:val="none"/>
          <w:lang w:val="en-US" w:eastAsia="zh-CN" w:bidi="ar-SA"/>
        </w:rPr>
        <w:t>GB</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T</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2020</w:t>
      </w:r>
      <w:r>
        <w:rPr>
          <w:rFonts w:hint="eastAsia" w:ascii="仿宋_GB2312" w:hAnsi="仿宋_GB2312" w:eastAsia="仿宋_GB2312" w:cs="仿宋_GB2312"/>
          <w:color w:val="auto"/>
          <w:kern w:val="2"/>
          <w:sz w:val="32"/>
          <w:szCs w:val="32"/>
          <w:highlight w:val="none"/>
          <w:lang w:val="en-US" w:eastAsia="zh-CN" w:bidi="ar-SA"/>
        </w:rPr>
        <w:t>《标准化工作导则</w:t>
      </w:r>
      <w:r>
        <w:rPr>
          <w:rFonts w:hint="eastAsia" w:ascii="仿宋_GB2312" w:hAnsi="仿宋_GB2312" w:cs="仿宋_GB2312"/>
          <w:color w:val="auto"/>
          <w:kern w:val="2"/>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第</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部分：标准化文件的结构和起草规则》的要求。</w:t>
      </w:r>
    </w:p>
    <w:p>
      <w:pPr>
        <w:widowControl/>
        <w:adjustRightInd w:val="0"/>
        <w:snapToGrid w:val="0"/>
        <w:spacing w:before="0" w:beforeLines="0" w:after="0" w:afterLines="0"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五、标准主要研制过程</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0" w:name="OLE_LINK4"/>
      <w:r>
        <w:rPr>
          <w:rFonts w:hint="eastAsia" w:ascii="仿宋_GB2312" w:hAnsi="仿宋_GB2312" w:eastAsia="仿宋_GB2312" w:cs="仿宋_GB2312"/>
          <w:color w:val="000000" w:themeColor="text1"/>
          <w:sz w:val="32"/>
          <w:szCs w:val="32"/>
          <w14:textFill>
            <w14:solidFill>
              <w14:schemeClr w14:val="tx1"/>
            </w14:solidFill>
          </w14:textFill>
        </w:rPr>
        <w:t>本标准在立项</w:t>
      </w:r>
      <w:r>
        <w:rPr>
          <w:rFonts w:hint="eastAsia" w:ascii="仿宋_GB2312" w:hAnsi="仿宋_GB2312" w:eastAsia="仿宋_GB2312" w:cs="仿宋_GB2312"/>
          <w:color w:val="000000" w:themeColor="text1"/>
          <w:sz w:val="32"/>
          <w:szCs w:val="32"/>
          <w:lang w:eastAsia="zh-CN"/>
          <w14:textFill>
            <w14:solidFill>
              <w14:schemeClr w14:val="tx1"/>
            </w14:solidFill>
          </w14:textFill>
        </w:rPr>
        <w:t>筹备阶段</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起草组</w:t>
      </w:r>
      <w:r>
        <w:rPr>
          <w:rFonts w:hint="eastAsia" w:ascii="仿宋_GB2312" w:hAnsi="仿宋_GB2312" w:eastAsia="仿宋_GB2312" w:cs="仿宋_GB2312"/>
          <w:color w:val="000000" w:themeColor="text1"/>
          <w:sz w:val="32"/>
          <w:szCs w:val="32"/>
          <w14:textFill>
            <w14:solidFill>
              <w14:schemeClr w14:val="tx1"/>
            </w14:solidFill>
          </w14:textFill>
        </w:rPr>
        <w:t>先后赴</w:t>
      </w:r>
      <w:bookmarkStart w:id="1" w:name="OLE_LINK2"/>
      <w:r>
        <w:rPr>
          <w:rFonts w:hint="eastAsia" w:ascii="仿宋_GB2312" w:hAnsi="仿宋_GB2312" w:eastAsia="仿宋_GB2312" w:cs="仿宋_GB2312"/>
          <w:color w:val="000000" w:themeColor="text1"/>
          <w:sz w:val="32"/>
          <w:szCs w:val="32"/>
          <w14:textFill>
            <w14:solidFill>
              <w14:schemeClr w14:val="tx1"/>
            </w14:solidFill>
          </w14:textFill>
        </w:rPr>
        <w:t>珠海海川农业有限公司、珠海市祺海水产科技有限公司、广东省海鲈协会、珠海强竞供应链管理集团有限公司、白蕉镇灯笼村</w:t>
      </w:r>
      <w:bookmarkEnd w:id="1"/>
      <w:r>
        <w:rPr>
          <w:rFonts w:hint="eastAsia" w:ascii="仿宋_GB2312" w:hAnsi="仿宋_GB2312" w:eastAsia="仿宋_GB2312" w:cs="仿宋_GB2312"/>
          <w:color w:val="000000" w:themeColor="text1"/>
          <w:sz w:val="32"/>
          <w:szCs w:val="32"/>
          <w14:textFill>
            <w14:solidFill>
              <w14:schemeClr w14:val="tx1"/>
            </w14:solidFill>
          </w14:textFill>
        </w:rPr>
        <w:t>等重点企业、养殖基地进行了</w:t>
      </w:r>
      <w:r>
        <w:rPr>
          <w:rFonts w:hint="eastAsia" w:ascii="仿宋_GB2312" w:hAnsi="仿宋_GB2312" w:eastAsia="仿宋_GB2312" w:cs="仿宋_GB2312"/>
          <w:color w:val="000000" w:themeColor="text1"/>
          <w:sz w:val="32"/>
          <w:szCs w:val="32"/>
          <w:lang w:eastAsia="zh-CN"/>
          <w14:textFill>
            <w14:solidFill>
              <w14:schemeClr w14:val="tx1"/>
            </w14:solidFill>
          </w14:textFill>
        </w:rPr>
        <w:t>实地</w:t>
      </w:r>
      <w:r>
        <w:rPr>
          <w:rFonts w:hint="eastAsia" w:ascii="仿宋_GB2312" w:hAnsi="仿宋_GB2312" w:eastAsia="仿宋_GB2312" w:cs="仿宋_GB2312"/>
          <w:color w:val="000000" w:themeColor="text1"/>
          <w:sz w:val="32"/>
          <w:szCs w:val="32"/>
          <w14:textFill>
            <w14:solidFill>
              <w14:schemeClr w14:val="tx1"/>
            </w14:solidFill>
          </w14:textFill>
        </w:rPr>
        <w:t>调研</w:t>
      </w:r>
      <w:r>
        <w:rPr>
          <w:rFonts w:hint="eastAsia" w:ascii="仿宋_GB2312" w:hAnsi="仿宋_GB2312" w:eastAsia="仿宋_GB2312" w:cs="仿宋_GB2312"/>
          <w:color w:val="000000" w:themeColor="text1"/>
          <w:sz w:val="32"/>
          <w:szCs w:val="32"/>
          <w:lang w:eastAsia="zh-CN"/>
          <w14:textFill>
            <w14:solidFill>
              <w14:schemeClr w14:val="tx1"/>
            </w14:solidFill>
          </w14:textFill>
        </w:rPr>
        <w:t>。通过文献研究、现场调研、数据采集相结合的方式，在立项论证与标准编制期间召开多轮专项研讨会议确定标准名称框架体系及关键技术指标。标准研制过程主要分为以下阶段：</w:t>
      </w:r>
    </w:p>
    <w:p>
      <w:pPr>
        <w:spacing w:beforeLines="0" w:afterLines="0" w:line="360" w:lineRule="auto"/>
        <w:ind w:firstLine="640" w:firstLineChars="200"/>
        <w:rPr>
          <w:rFonts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（一）项目预研</w:t>
      </w:r>
    </w:p>
    <w:p>
      <w:pPr>
        <w:widowControl/>
        <w:adjustRightInd w:val="0"/>
        <w:snapToGrid w:val="0"/>
        <w:spacing w:before="0" w:beforeLines="0" w:after="0" w:afterLines="0" w:line="360" w:lineRule="auto"/>
        <w:ind w:firstLine="640" w:firstLineChars="200"/>
        <w:rPr>
          <w:rFonts w:ascii="仿宋_GB2312" w:hAnsi="仿宋_GB2312" w:eastAsia="仿宋_GB2312" w:cs="仿宋_GB2312"/>
          <w:strike/>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起草组</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eastAsia="zh-CN"/>
          <w14:textFill>
            <w14:solidFill>
              <w14:schemeClr w14:val="tx1"/>
            </w14:solidFill>
          </w14:textFill>
        </w:rPr>
        <w:t>斗门区</w:t>
      </w:r>
      <w:r>
        <w:rPr>
          <w:rFonts w:hint="eastAsia" w:ascii="仿宋_GB2312" w:hAnsi="仿宋_GB2312" w:eastAsia="仿宋_GB2312" w:cs="仿宋_GB2312"/>
          <w:color w:val="000000" w:themeColor="text1"/>
          <w:sz w:val="32"/>
          <w:szCs w:val="32"/>
          <w14:textFill>
            <w14:solidFill>
              <w14:schemeClr w14:val="tx1"/>
            </w14:solidFill>
          </w14:textFill>
        </w:rPr>
        <w:t>有关主管部门的指导和支持下，赴</w:t>
      </w:r>
      <w:r>
        <w:rPr>
          <w:rFonts w:hint="eastAsia" w:ascii="仿宋_GB2312" w:hAnsi="仿宋_GB2312" w:eastAsia="仿宋_GB2312" w:cs="仿宋_GB2312"/>
          <w:color w:val="000000" w:themeColor="text1"/>
          <w:sz w:val="32"/>
          <w:szCs w:val="32"/>
          <w:lang w:eastAsia="zh-CN"/>
          <w14:textFill>
            <w14:solidFill>
              <w14:schemeClr w14:val="tx1"/>
            </w14:solidFill>
          </w14:textFill>
        </w:rPr>
        <w:t>斗门区</w:t>
      </w:r>
      <w:r>
        <w:rPr>
          <w:rFonts w:hint="eastAsia" w:ascii="仿宋_GB2312" w:hAnsi="仿宋_GB2312" w:eastAsia="仿宋_GB2312" w:cs="仿宋_GB2312"/>
          <w:color w:val="000000" w:themeColor="text1"/>
          <w:sz w:val="32"/>
          <w:szCs w:val="32"/>
          <w14:textFill>
            <w14:solidFill>
              <w14:schemeClr w14:val="tx1"/>
            </w14:solidFill>
          </w14:textFill>
        </w:rPr>
        <w:t>重点企业就</w:t>
      </w:r>
      <w:r>
        <w:rPr>
          <w:rFonts w:hint="eastAsia" w:ascii="仿宋_GB2312" w:hAnsi="仿宋_GB2312" w:eastAsia="仿宋_GB2312" w:cs="仿宋_GB2312"/>
          <w:color w:val="000000" w:themeColor="text1"/>
          <w:sz w:val="32"/>
          <w:szCs w:val="32"/>
          <w:lang w:eastAsia="zh-CN"/>
          <w14:textFill>
            <w14:solidFill>
              <w14:schemeClr w14:val="tx1"/>
            </w14:solidFill>
          </w14:textFill>
        </w:rPr>
        <w:t>海鲈鱼</w:t>
      </w:r>
      <w:r>
        <w:rPr>
          <w:rFonts w:hint="eastAsia" w:ascii="仿宋_GB2312" w:hAnsi="仿宋_GB2312" w:eastAsia="仿宋_GB2312" w:cs="仿宋_GB2312"/>
          <w:color w:val="000000" w:themeColor="text1"/>
          <w:sz w:val="32"/>
          <w:szCs w:val="32"/>
          <w14:textFill>
            <w14:solidFill>
              <w14:schemeClr w14:val="tx1"/>
            </w14:solidFill>
          </w14:textFill>
        </w:rPr>
        <w:t>养殖、加工、销售等开展实地调研。</w:t>
      </w:r>
    </w:p>
    <w:p>
      <w:pPr>
        <w:spacing w:beforeLines="0" w:afterLines="0" w:line="360" w:lineRule="auto"/>
        <w:ind w:firstLine="640" w:firstLineChars="200"/>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（二）成立标准</w:t>
      </w:r>
      <w:r>
        <w:rPr>
          <w:rFonts w:hint="eastAsia" w:ascii="楷体" w:hAnsi="楷体" w:eastAsia="楷体" w:cs="仿宋_GB2312"/>
          <w:color w:val="000000" w:themeColor="text1"/>
          <w:sz w:val="32"/>
          <w:szCs w:val="32"/>
          <w:lang w:eastAsia="zh-CN"/>
          <w14:textFill>
            <w14:solidFill>
              <w14:schemeClr w14:val="tx1"/>
            </w14:solidFill>
          </w14:textFill>
        </w:rPr>
        <w:t>起草</w:t>
      </w:r>
      <w:r>
        <w:rPr>
          <w:rFonts w:hint="eastAsia" w:ascii="楷体" w:hAnsi="楷体" w:eastAsia="楷体" w:cs="仿宋_GB2312"/>
          <w:color w:val="000000" w:themeColor="text1"/>
          <w:sz w:val="32"/>
          <w:szCs w:val="32"/>
          <w14:textFill>
            <w14:solidFill>
              <w14:schemeClr w14:val="tx1"/>
            </w14:solidFill>
          </w14:textFill>
        </w:rPr>
        <w:t>组</w:t>
      </w:r>
      <w:r>
        <w:rPr>
          <w:rFonts w:hint="eastAsia" w:ascii="楷体" w:hAnsi="楷体" w:eastAsia="楷体" w:cs="仿宋_GB2312"/>
          <w:color w:val="000000" w:themeColor="text1"/>
          <w:sz w:val="32"/>
          <w:szCs w:val="32"/>
          <w:lang w:eastAsia="zh-CN"/>
          <w14:textFill>
            <w14:solidFill>
              <w14:schemeClr w14:val="tx1"/>
            </w14:solidFill>
          </w14:textFill>
        </w:rPr>
        <w:t>，建立工作机制</w:t>
      </w:r>
    </w:p>
    <w:p>
      <w:pPr>
        <w:widowControl/>
        <w:adjustRightInd w:val="0"/>
        <w:snapToGrid w:val="0"/>
        <w:spacing w:before="0" w:beforeLines="0" w:after="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月，广东省</w:t>
      </w:r>
      <w:r>
        <w:rPr>
          <w:rFonts w:hint="eastAsia" w:ascii="仿宋_GB2312" w:hAnsi="仿宋_GB2312" w:eastAsia="仿宋_GB2312" w:cs="仿宋_GB2312"/>
          <w:color w:val="000000" w:themeColor="text1"/>
          <w:sz w:val="32"/>
          <w:szCs w:val="32"/>
          <w:lang w:eastAsia="zh-CN"/>
          <w14:textFill>
            <w14:solidFill>
              <w14:schemeClr w14:val="tx1"/>
            </w14:solidFill>
          </w14:textFill>
        </w:rPr>
        <w:t>标准化研究院联合</w:t>
      </w:r>
      <w:r>
        <w:rPr>
          <w:rFonts w:hint="eastAsia" w:ascii="仿宋_GB2312" w:hAnsi="仿宋_GB2312" w:eastAsia="仿宋_GB2312" w:cs="仿宋_GB2312"/>
          <w:color w:val="000000" w:themeColor="text1"/>
          <w:sz w:val="32"/>
          <w:szCs w:val="32"/>
          <w14:textFill>
            <w14:solidFill>
              <w14:schemeClr w14:val="tx1"/>
            </w14:solidFill>
          </w14:textFill>
        </w:rPr>
        <w:t>广东堂威食品有限公司、珠海市祺海水产科技有限公司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、珠海壹条鱼食品科技有限公司</w:t>
      </w:r>
      <w:r>
        <w:rPr>
          <w:rFonts w:hint="eastAsia" w:ascii="仿宋_GB2312" w:hAnsi="仿宋_GB2312" w:eastAsia="仿宋_GB2312" w:cs="仿宋_GB2312"/>
          <w:color w:val="000000" w:themeColor="text1"/>
          <w:sz w:val="32"/>
          <w:szCs w:val="32"/>
          <w14:textFill>
            <w14:solidFill>
              <w14:schemeClr w14:val="tx1"/>
            </w14:solidFill>
          </w14:textFill>
        </w:rPr>
        <w:t>等单位共同成立了标准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w:t>
      </w:r>
      <w:r>
        <w:rPr>
          <w:rFonts w:hint="eastAsia" w:ascii="仿宋_GB2312" w:hAnsi="仿宋_GB2312" w:eastAsia="仿宋_GB2312" w:cs="仿宋_GB2312"/>
          <w:color w:val="000000" w:themeColor="text1"/>
          <w:sz w:val="32"/>
          <w:szCs w:val="32"/>
          <w14:textFill>
            <w14:solidFill>
              <w14:schemeClr w14:val="tx1"/>
            </w14:solidFill>
          </w14:textFill>
        </w:rPr>
        <w:t>组，制定</w:t>
      </w:r>
      <w:r>
        <w:rPr>
          <w:rFonts w:hint="eastAsia" w:ascii="仿宋_GB2312" w:hAnsi="仿宋_GB2312" w:eastAsia="仿宋_GB2312" w:cs="仿宋_GB2312"/>
          <w:color w:val="000000" w:themeColor="text1"/>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sz w:val="32"/>
          <w:szCs w:val="32"/>
          <w14:textFill>
            <w14:solidFill>
              <w14:schemeClr w14:val="tx1"/>
            </w14:solidFill>
          </w14:textFill>
        </w:rPr>
        <w:t>任务书及工作计划，</w:t>
      </w:r>
      <w:r>
        <w:rPr>
          <w:rFonts w:hint="eastAsia" w:ascii="仿宋_GB2312" w:hAnsi="仿宋_GB2312" w:eastAsia="仿宋_GB2312" w:cs="仿宋_GB2312"/>
          <w:color w:val="000000" w:themeColor="text1"/>
          <w:sz w:val="32"/>
          <w:szCs w:val="32"/>
          <w:lang w:eastAsia="zh-CN"/>
          <w14:textFill>
            <w14:solidFill>
              <w14:schemeClr w14:val="tx1"/>
            </w14:solidFill>
          </w14:textFill>
        </w:rPr>
        <w:t>明确相关要求</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beforeLines="0" w:afterLines="0" w:line="360" w:lineRule="auto"/>
        <w:ind w:firstLine="640" w:firstLineChars="200"/>
        <w:rPr>
          <w:rFonts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（三）</w:t>
      </w:r>
      <w:r>
        <w:rPr>
          <w:rFonts w:hint="eastAsia" w:ascii="楷体" w:hAnsi="楷体" w:eastAsia="楷体" w:cs="仿宋_GB2312"/>
          <w:color w:val="000000" w:themeColor="text1"/>
          <w:sz w:val="32"/>
          <w:szCs w:val="32"/>
          <w:lang w:eastAsia="zh-CN"/>
          <w14:textFill>
            <w14:solidFill>
              <w14:schemeClr w14:val="tx1"/>
            </w14:solidFill>
          </w14:textFill>
        </w:rPr>
        <w:t>资料收集与实地调研</w:t>
      </w:r>
    </w:p>
    <w:p>
      <w:pPr>
        <w:pStyle w:val="4"/>
        <w:keepNext w:val="0"/>
        <w:keepLines w:val="0"/>
        <w:pageBreakBefore w:val="0"/>
        <w:widowControl w:val="0"/>
        <w:numPr>
          <w:ilvl w:val="-1"/>
          <w:numId w:val="0"/>
        </w:numPr>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初，</w:t>
      </w:r>
      <w:r>
        <w:rPr>
          <w:rFonts w:hint="eastAsia" w:ascii="仿宋_GB2312" w:hAnsi="仿宋_GB2312" w:eastAsia="仿宋_GB2312" w:cs="仿宋_GB2312"/>
          <w:color w:val="000000" w:themeColor="text1"/>
          <w:sz w:val="32"/>
          <w:szCs w:val="32"/>
          <w14:textFill>
            <w14:solidFill>
              <w14:schemeClr w14:val="tx1"/>
            </w14:solidFill>
          </w14:textFill>
        </w:rPr>
        <w:t>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w:t>
      </w:r>
      <w:r>
        <w:rPr>
          <w:rFonts w:hint="eastAsia" w:ascii="仿宋_GB2312" w:hAnsi="仿宋_GB2312" w:eastAsia="仿宋_GB2312" w:cs="仿宋_GB2312"/>
          <w:color w:val="000000" w:themeColor="text1"/>
          <w:sz w:val="32"/>
          <w:szCs w:val="32"/>
          <w14:textFill>
            <w14:solidFill>
              <w14:schemeClr w14:val="tx1"/>
            </w14:solidFill>
          </w14:textFill>
        </w:rPr>
        <w:t>组根据标准制定</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14:textFill>
            <w14:solidFill>
              <w14:schemeClr w14:val="tx1"/>
            </w14:solidFill>
          </w14:textFill>
        </w:rPr>
        <w:t>要求，开展标准相关资料收集和整理，检索了有关的</w:t>
      </w:r>
      <w:r>
        <w:rPr>
          <w:rFonts w:hint="eastAsia" w:ascii="仿宋_GB2312" w:hAnsi="仿宋_GB2312" w:eastAsia="仿宋_GB2312" w:cs="仿宋_GB2312"/>
          <w:color w:val="000000" w:themeColor="text1"/>
          <w:sz w:val="32"/>
          <w:szCs w:val="32"/>
          <w:lang w:eastAsia="zh-CN"/>
          <w14:textFill>
            <w14:solidFill>
              <w14:schemeClr w14:val="tx1"/>
            </w14:solidFill>
          </w14:textFill>
        </w:rPr>
        <w:t>鱼类预制菜的</w:t>
      </w:r>
      <w:r>
        <w:rPr>
          <w:rFonts w:hint="eastAsia" w:ascii="仿宋_GB2312" w:hAnsi="仿宋_GB2312" w:eastAsia="仿宋_GB2312" w:cs="仿宋_GB2312"/>
          <w:color w:val="000000" w:themeColor="text1"/>
          <w:sz w:val="32"/>
          <w:szCs w:val="32"/>
          <w14:textFill>
            <w14:solidFill>
              <w14:schemeClr w14:val="tx1"/>
            </w14:solidFill>
          </w14:textFill>
        </w:rPr>
        <w:t>国家标准、行业标准及地方标准，并对这些标准和资料进行了</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w:t>
      </w:r>
      <w:r>
        <w:rPr>
          <w:rFonts w:hint="eastAsia" w:ascii="仿宋_GB2312" w:hAnsi="仿宋_GB2312" w:eastAsia="仿宋_GB2312" w:cs="仿宋_GB2312"/>
          <w:color w:val="000000" w:themeColor="text1"/>
          <w:sz w:val="32"/>
          <w:szCs w:val="32"/>
          <w14:textFill>
            <w14:solidFill>
              <w14:schemeClr w14:val="tx1"/>
            </w14:solidFill>
          </w14:textFill>
        </w:rPr>
        <w:t>分析。</w:t>
      </w:r>
    </w:p>
    <w:p>
      <w:pPr>
        <w:pStyle w:val="4"/>
        <w:keepNext w:val="0"/>
        <w:keepLines w:val="0"/>
        <w:pageBreakBefore w:val="0"/>
        <w:widowControl w:val="0"/>
        <w:numPr>
          <w:ilvl w:val="-1"/>
          <w:numId w:val="0"/>
        </w:numPr>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中旬，先后前往</w:t>
      </w:r>
      <w:r>
        <w:rPr>
          <w:rFonts w:hint="eastAsia" w:ascii="仿宋_GB2312" w:hAnsi="仿宋_GB2312" w:eastAsia="仿宋_GB2312" w:cs="仿宋_GB2312"/>
          <w:color w:val="000000" w:themeColor="text1"/>
          <w:sz w:val="32"/>
          <w:szCs w:val="32"/>
          <w14:textFill>
            <w14:solidFill>
              <w14:schemeClr w14:val="tx1"/>
            </w14:solidFill>
          </w14:textFill>
        </w:rPr>
        <w:t>广东堂威食品有限公司、珠海市祺海水产科技有限公司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、珠海壹条鱼食品科技有限公司等</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单位进</w:t>
      </w:r>
      <w:r>
        <w:rPr>
          <w:rFonts w:hint="eastAsia" w:ascii="仿宋_GB2312" w:hAnsi="仿宋_GB2312" w:eastAsia="仿宋_GB2312" w:cs="仿宋_GB2312"/>
          <w:color w:val="auto"/>
          <w:kern w:val="2"/>
          <w:sz w:val="32"/>
          <w:szCs w:val="32"/>
          <w:highlight w:val="none"/>
          <w:lang w:val="en-US" w:eastAsia="zh-CN" w:bidi="ar-SA"/>
        </w:rPr>
        <w:t>行线下沟通</w:t>
      </w:r>
      <w:r>
        <w:rPr>
          <w:rFonts w:hint="eastAsia" w:ascii="仿宋_GB2312" w:hAnsi="仿宋_GB2312" w:cs="仿宋_GB2312"/>
          <w:color w:val="auto"/>
          <w:kern w:val="2"/>
          <w:sz w:val="32"/>
          <w:szCs w:val="32"/>
          <w:highlight w:val="none"/>
          <w:lang w:val="en-US" w:eastAsia="zh-CN" w:bidi="ar-SA"/>
        </w:rPr>
        <w:t>交流</w:t>
      </w:r>
      <w:r>
        <w:rPr>
          <w:rFonts w:hint="eastAsia" w:ascii="仿宋_GB2312" w:hAnsi="仿宋_GB2312" w:eastAsia="仿宋_GB2312" w:cs="仿宋_GB2312"/>
          <w:color w:val="auto"/>
          <w:kern w:val="2"/>
          <w:sz w:val="32"/>
          <w:szCs w:val="32"/>
          <w:highlight w:val="none"/>
          <w:lang w:val="en-US" w:eastAsia="zh-CN" w:bidi="ar-SA"/>
        </w:rPr>
        <w:t>，深入了解</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到松鼠海鲈鱼的</w:t>
      </w:r>
      <w:r>
        <w:rPr>
          <w:rFonts w:hint="eastAsia" w:ascii="仿宋_GB2312" w:hAnsi="仿宋_GB2312" w:eastAsia="仿宋_GB2312" w:cs="仿宋_GB2312"/>
          <w:color w:val="auto"/>
          <w:kern w:val="2"/>
          <w:sz w:val="32"/>
          <w:szCs w:val="32"/>
          <w:highlight w:val="none"/>
          <w:lang w:val="en-US" w:eastAsia="zh-CN" w:bidi="ar-SA"/>
        </w:rPr>
        <w:t>生产情况，</w:t>
      </w:r>
      <w:r>
        <w:rPr>
          <w:rFonts w:hint="eastAsia" w:ascii="仿宋_GB2312" w:hAnsi="仿宋_GB2312" w:eastAsia="仿宋_GB2312" w:cs="仿宋_GB2312"/>
          <w:color w:val="000000" w:themeColor="text1"/>
          <w:sz w:val="32"/>
          <w:szCs w:val="32"/>
          <w14:textFill>
            <w14:solidFill>
              <w14:schemeClr w14:val="tx1"/>
            </w14:solidFill>
          </w14:textFill>
        </w:rPr>
        <w:t>在严格执行国家相关规定的基础上结合珠海本地</w:t>
      </w:r>
      <w:r>
        <w:rPr>
          <w:rFonts w:hint="eastAsia" w:ascii="仿宋_GB2312" w:hAnsi="仿宋_GB2312" w:eastAsia="仿宋_GB2312" w:cs="仿宋_GB2312"/>
          <w:color w:val="000000" w:themeColor="text1"/>
          <w:sz w:val="32"/>
          <w:szCs w:val="32"/>
          <w:lang w:eastAsia="zh-CN"/>
          <w14:textFill>
            <w14:solidFill>
              <w14:schemeClr w14:val="tx1"/>
            </w14:solidFill>
          </w14:textFill>
        </w:rPr>
        <w:t>海鲈鱼加工</w:t>
      </w:r>
      <w:r>
        <w:rPr>
          <w:rFonts w:hint="eastAsia" w:ascii="仿宋_GB2312" w:hAnsi="仿宋_GB2312" w:eastAsia="仿宋_GB2312" w:cs="仿宋_GB2312"/>
          <w:color w:val="000000" w:themeColor="text1"/>
          <w:sz w:val="32"/>
          <w:szCs w:val="32"/>
          <w14:textFill>
            <w14:solidFill>
              <w14:schemeClr w14:val="tx1"/>
            </w14:solidFill>
          </w14:textFill>
        </w:rPr>
        <w:t>现状和实际需求，明确标准化对象及适用范围。</w:t>
      </w:r>
    </w:p>
    <w:p>
      <w:pPr>
        <w:spacing w:beforeLines="0" w:afterLines="0" w:line="360" w:lineRule="auto"/>
        <w:ind w:firstLine="640" w:firstLineChars="200"/>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w:t>
      </w:r>
      <w:r>
        <w:rPr>
          <w:rFonts w:hint="eastAsia" w:ascii="楷体" w:hAnsi="楷体" w:eastAsia="楷体" w:cs="仿宋_GB2312"/>
          <w:color w:val="000000" w:themeColor="text1"/>
          <w:sz w:val="32"/>
          <w:szCs w:val="32"/>
          <w:lang w:eastAsia="zh-CN"/>
          <w14:textFill>
            <w14:solidFill>
              <w14:schemeClr w14:val="tx1"/>
            </w14:solidFill>
          </w14:textFill>
        </w:rPr>
        <w:t>四</w:t>
      </w:r>
      <w:r>
        <w:rPr>
          <w:rFonts w:hint="eastAsia" w:ascii="楷体" w:hAnsi="楷体" w:eastAsia="楷体" w:cs="仿宋_GB2312"/>
          <w:color w:val="000000" w:themeColor="text1"/>
          <w:sz w:val="32"/>
          <w:szCs w:val="32"/>
          <w14:textFill>
            <w14:solidFill>
              <w14:schemeClr w14:val="tx1"/>
            </w14:solidFill>
          </w14:textFill>
        </w:rPr>
        <w:t>）标准</w:t>
      </w:r>
      <w:r>
        <w:rPr>
          <w:rFonts w:hint="eastAsia" w:ascii="楷体" w:hAnsi="楷体" w:eastAsia="楷体" w:cs="仿宋_GB2312"/>
          <w:color w:val="000000" w:themeColor="text1"/>
          <w:sz w:val="32"/>
          <w:szCs w:val="32"/>
          <w:lang w:eastAsia="zh-CN"/>
          <w14:textFill>
            <w14:solidFill>
              <w14:schemeClr w14:val="tx1"/>
            </w14:solidFill>
          </w14:textFill>
        </w:rPr>
        <w:t>编制</w:t>
      </w:r>
    </w:p>
    <w:p>
      <w:pPr>
        <w:widowControl/>
        <w:adjustRightInd w:val="0"/>
        <w:snapToGrid w:val="0"/>
        <w:spacing w:before="0" w:beforeLines="0" w:after="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w:t>
      </w:r>
      <w:r>
        <w:rPr>
          <w:rFonts w:hint="eastAsia" w:ascii="仿宋_GB2312" w:hAnsi="仿宋_GB2312" w:eastAsia="仿宋_GB2312" w:cs="仿宋_GB2312"/>
          <w:color w:val="000000" w:themeColor="text1"/>
          <w:sz w:val="32"/>
          <w:szCs w:val="32"/>
          <w14:textFill>
            <w14:solidFill>
              <w14:schemeClr w14:val="tx1"/>
            </w14:solidFill>
          </w14:textFill>
        </w:rPr>
        <w:t>组根据已确定的标准框架及大纲开展标准编写，形成标准讨论稿1稿。</w:t>
      </w:r>
    </w:p>
    <w:p>
      <w:pPr>
        <w:widowControl/>
        <w:adjustRightInd w:val="0"/>
        <w:snapToGrid w:val="0"/>
        <w:spacing w:before="0" w:beforeLines="0" w:after="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w:t>
      </w:r>
      <w:r>
        <w:rPr>
          <w:rFonts w:hint="eastAsia" w:ascii="仿宋_GB2312" w:hAnsi="仿宋_GB2312" w:eastAsia="仿宋_GB2312" w:cs="仿宋_GB2312"/>
          <w:color w:val="000000" w:themeColor="text1"/>
          <w:sz w:val="32"/>
          <w:szCs w:val="32"/>
          <w14:textFill>
            <w14:solidFill>
              <w14:schemeClr w14:val="tx1"/>
            </w14:solidFill>
          </w14:textFill>
        </w:rPr>
        <w:t>组针对标准讨论稿1稿中主要技术内容进行多次研讨，对标准中部分技术内容的表述进行讨论和确定，形成标准讨论稿2稿。</w:t>
      </w:r>
    </w:p>
    <w:p>
      <w:pPr>
        <w:spacing w:beforeLines="0" w:afterLines="0" w:line="360" w:lineRule="auto"/>
        <w:ind w:firstLine="640" w:firstLineChars="200"/>
        <w:rPr>
          <w:rFonts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w:t>
      </w:r>
      <w:r>
        <w:rPr>
          <w:rFonts w:hint="eastAsia" w:ascii="楷体" w:hAnsi="楷体" w:eastAsia="楷体" w:cs="仿宋_GB2312"/>
          <w:color w:val="000000" w:themeColor="text1"/>
          <w:sz w:val="32"/>
          <w:szCs w:val="32"/>
          <w:lang w:eastAsia="zh-CN"/>
          <w14:textFill>
            <w14:solidFill>
              <w14:schemeClr w14:val="tx1"/>
            </w14:solidFill>
          </w14:textFill>
        </w:rPr>
        <w:t>五</w:t>
      </w:r>
      <w:r>
        <w:rPr>
          <w:rFonts w:hint="eastAsia" w:ascii="楷体" w:hAnsi="楷体" w:eastAsia="楷体" w:cs="仿宋_GB2312"/>
          <w:color w:val="000000" w:themeColor="text1"/>
          <w:sz w:val="32"/>
          <w:szCs w:val="32"/>
          <w14:textFill>
            <w14:solidFill>
              <w14:schemeClr w14:val="tx1"/>
            </w14:solidFill>
          </w14:textFill>
        </w:rPr>
        <w:t>）形成征求意见稿</w:t>
      </w:r>
    </w:p>
    <w:p>
      <w:pPr>
        <w:spacing w:beforeLines="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w:t>
      </w:r>
      <w:r>
        <w:rPr>
          <w:rFonts w:hint="eastAsia" w:ascii="仿宋_GB2312" w:hAnsi="仿宋_GB2312" w:eastAsia="仿宋_GB2312" w:cs="仿宋_GB2312"/>
          <w:color w:val="000000" w:themeColor="text1"/>
          <w:sz w:val="32"/>
          <w:szCs w:val="32"/>
          <w14:textFill>
            <w14:solidFill>
              <w14:schemeClr w14:val="tx1"/>
            </w14:solidFill>
          </w14:textFill>
        </w:rPr>
        <w:t>组</w:t>
      </w:r>
      <w:r>
        <w:rPr>
          <w:rFonts w:hint="eastAsia" w:ascii="仿宋_GB2312" w:hAnsi="仿宋_GB2312" w:eastAsia="仿宋_GB2312" w:cs="仿宋_GB2312"/>
          <w:color w:val="000000" w:themeColor="text1"/>
          <w:sz w:val="32"/>
          <w:szCs w:val="32"/>
          <w:lang w:eastAsia="zh-CN"/>
          <w14:textFill>
            <w14:solidFill>
              <w14:schemeClr w14:val="tx1"/>
            </w14:solidFill>
          </w14:textFill>
        </w:rPr>
        <w:t>征集专家和企业的意见和建议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进行逐条讨论，根据提出</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内容进行修改，形成团体标准《速冻调制海鲈鱼生产技术规范》征求意见稿。</w:t>
      </w:r>
    </w:p>
    <w:bookmarkEnd w:id="0"/>
    <w:p>
      <w:pPr>
        <w:widowControl/>
        <w:adjustRightInd w:val="0"/>
        <w:snapToGrid w:val="0"/>
        <w:spacing w:before="0" w:beforeLines="0" w:after="0" w:afterLines="0" w:line="360" w:lineRule="auto"/>
        <w:ind w:firstLine="640" w:firstLineChars="200"/>
        <w:rPr>
          <w:rFonts w:hint="eastAsia" w:ascii="楷体" w:hAnsi="楷体" w:eastAsia="楷体"/>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六、标准主要内容</w:t>
      </w:r>
    </w:p>
    <w:p>
      <w:pPr>
        <w:spacing w:beforeLines="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本标准主要内容构成为：</w:t>
      </w:r>
    </w:p>
    <w:p>
      <w:pPr>
        <w:spacing w:beforeLines="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本标准首先对相关术语和定义进行明确，</w:t>
      </w:r>
      <w:r>
        <w:rPr>
          <w:rFonts w:hint="eastAsia" w:ascii="仿宋_GB2312" w:hAnsi="仿宋_GB2312" w:eastAsia="仿宋_GB2312" w:cs="仿宋_GB2312"/>
          <w:color w:val="000000" w:themeColor="text1"/>
          <w:sz w:val="32"/>
          <w:szCs w:val="32"/>
          <w:lang w:eastAsia="zh-CN"/>
          <w14:textFill>
            <w14:solidFill>
              <w14:schemeClr w14:val="tx1"/>
            </w14:solidFill>
          </w14:textFill>
        </w:rPr>
        <w:t>对技术要求、包装与标签、贮存与运输等</w:t>
      </w:r>
      <w:r>
        <w:rPr>
          <w:rFonts w:hint="eastAsia" w:ascii="仿宋_GB2312" w:hAnsi="仿宋_GB2312" w:eastAsia="仿宋_GB2312" w:cs="仿宋_GB2312"/>
          <w:color w:val="000000" w:themeColor="text1"/>
          <w:sz w:val="32"/>
          <w:szCs w:val="32"/>
          <w14:textFill>
            <w14:solidFill>
              <w14:schemeClr w14:val="tx1"/>
            </w14:solidFill>
          </w14:textFill>
        </w:rPr>
        <w:t>不同环节明确了相关要求。</w:t>
      </w:r>
    </w:p>
    <w:p>
      <w:pPr>
        <w:spacing w:beforeLines="0" w:afterLines="0" w:line="360" w:lineRule="auto"/>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（一）范围</w:t>
      </w:r>
    </w:p>
    <w:p>
      <w:pPr>
        <w:pStyle w:val="18"/>
        <w:ind w:firstLine="42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本</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kern w:val="2"/>
          <w:sz w:val="32"/>
          <w:szCs w:val="32"/>
          <w14:textFill>
            <w14:solidFill>
              <w14:schemeClr w14:val="tx1"/>
            </w14:solidFill>
          </w14:textFill>
        </w:rPr>
        <w:t>规定了</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预制菜松鼠海鲈鱼</w:t>
      </w:r>
      <w:r>
        <w:rPr>
          <w:rFonts w:hint="eastAsia" w:ascii="仿宋_GB2312" w:hAnsi="仿宋_GB2312" w:eastAsia="仿宋_GB2312" w:cs="仿宋_GB2312"/>
          <w:color w:val="000000" w:themeColor="text1"/>
          <w:kern w:val="2"/>
          <w:sz w:val="32"/>
          <w:szCs w:val="32"/>
          <w14:textFill>
            <w14:solidFill>
              <w14:schemeClr w14:val="tx1"/>
            </w14:solidFill>
          </w14:textFill>
        </w:rPr>
        <w:t>的技术要求、</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检验规则、标签标志、包装、</w:t>
      </w:r>
      <w:r>
        <w:rPr>
          <w:rFonts w:hint="eastAsia" w:ascii="仿宋_GB2312" w:hAnsi="仿宋_GB2312" w:eastAsia="仿宋_GB2312" w:cs="仿宋_GB2312"/>
          <w:color w:val="000000" w:themeColor="text1"/>
          <w:kern w:val="2"/>
          <w:sz w:val="32"/>
          <w:szCs w:val="32"/>
          <w14:textFill>
            <w14:solidFill>
              <w14:schemeClr w14:val="tx1"/>
            </w14:solidFill>
          </w14:textFill>
        </w:rPr>
        <w:t>运输与贮存等要求，描述了相应的</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检验</w:t>
      </w:r>
      <w:r>
        <w:rPr>
          <w:rFonts w:hint="eastAsia" w:ascii="仿宋_GB2312" w:hAnsi="仿宋_GB2312" w:eastAsia="仿宋_GB2312" w:cs="仿宋_GB2312"/>
          <w:color w:val="000000" w:themeColor="text1"/>
          <w:kern w:val="2"/>
          <w:sz w:val="32"/>
          <w:szCs w:val="32"/>
          <w14:textFill>
            <w14:solidFill>
              <w14:schemeClr w14:val="tx1"/>
            </w14:solidFill>
          </w14:textFill>
        </w:rPr>
        <w:t>方法，并界定了相应的术语和定义。</w:t>
      </w:r>
    </w:p>
    <w:p>
      <w:pPr>
        <w:pStyle w:val="18"/>
        <w:ind w:firstLine="42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本</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kern w:val="2"/>
          <w:sz w:val="32"/>
          <w:szCs w:val="32"/>
          <w14:textFill>
            <w14:solidFill>
              <w14:schemeClr w14:val="tx1"/>
            </w14:solidFill>
          </w14:textFill>
        </w:rPr>
        <w:t>适用于预制菜</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松鼠</w:t>
      </w:r>
      <w:r>
        <w:rPr>
          <w:rFonts w:hint="eastAsia" w:ascii="仿宋_GB2312" w:hAnsi="仿宋_GB2312" w:eastAsia="仿宋_GB2312" w:cs="仿宋_GB2312"/>
          <w:color w:val="000000" w:themeColor="text1"/>
          <w:kern w:val="2"/>
          <w:sz w:val="32"/>
          <w:szCs w:val="32"/>
          <w14:textFill>
            <w14:solidFill>
              <w14:schemeClr w14:val="tx1"/>
            </w14:solidFill>
          </w14:textFill>
        </w:rPr>
        <w:t>海鲈鱼</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的生产和销售</w:t>
      </w:r>
      <w:r>
        <w:rPr>
          <w:rFonts w:ascii="仿宋_GB2312" w:hAnsi="仿宋_GB2312" w:eastAsia="仿宋_GB2312" w:cs="仿宋_GB2312"/>
          <w:color w:val="000000" w:themeColor="text1"/>
          <w:kern w:val="2"/>
          <w:sz w:val="32"/>
          <w:szCs w:val="32"/>
          <w14:textFill>
            <w14:solidFill>
              <w14:schemeClr w14:val="tx1"/>
            </w14:solidFill>
          </w14:textFill>
        </w:rPr>
        <w:t>。</w:t>
      </w:r>
    </w:p>
    <w:p>
      <w:pPr>
        <w:spacing w:beforeLines="0" w:afterLines="0" w:line="360" w:lineRule="auto"/>
        <w:ind w:firstLine="640" w:firstLineChars="200"/>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（二）规范性引用文件</w:t>
      </w:r>
    </w:p>
    <w:p>
      <w:pPr>
        <w:pStyle w:val="16"/>
        <w:spacing w:beforeLines="0" w:afterLines="0" w:line="360" w:lineRule="auto"/>
        <w:ind w:firstLine="640" w:firstLineChars="0"/>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lang w:val="en-US" w:eastAsia="zh-CN"/>
          <w14:textFill>
            <w14:solidFill>
              <w14:schemeClr w14:val="tx1"/>
            </w14:solidFill>
          </w14:textFill>
        </w:rPr>
        <w:t>GB/T 191  包装储运图示标志</w:t>
      </w:r>
    </w:p>
    <w:p>
      <w:pPr>
        <w:pStyle w:val="16"/>
        <w:spacing w:beforeLines="0" w:afterLines="0" w:line="360" w:lineRule="auto"/>
        <w:ind w:firstLine="640"/>
        <w:rPr>
          <w:rFonts w:hint="eastAsia" w:ascii="仿宋_GB2312" w:eastAsia="仿宋_GB2312"/>
          <w:color w:val="000000" w:themeColor="text1"/>
          <w:kern w:val="2"/>
          <w:sz w:val="32"/>
          <w:szCs w:val="32"/>
          <w:lang w:eastAsia="zh-CN"/>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GB 276</w:t>
      </w:r>
      <w:r>
        <w:rPr>
          <w:rFonts w:hint="eastAsia" w:ascii="仿宋_GB2312" w:eastAsia="仿宋_GB2312"/>
          <w:color w:val="000000" w:themeColor="text1"/>
          <w:kern w:val="2"/>
          <w:sz w:val="32"/>
          <w:szCs w:val="32"/>
          <w:lang w:val="en-US" w:eastAsia="zh-CN"/>
          <w14:textFill>
            <w14:solidFill>
              <w14:schemeClr w14:val="tx1"/>
            </w14:solidFill>
          </w14:textFill>
        </w:rPr>
        <w:t>0  食品安全国家标准  食品添加剂使用标准</w:t>
      </w:r>
    </w:p>
    <w:p>
      <w:pPr>
        <w:pStyle w:val="16"/>
        <w:spacing w:beforeLines="0" w:afterLines="0" w:line="360" w:lineRule="auto"/>
        <w:ind w:firstLine="640"/>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GB 2733</w:t>
      </w:r>
      <w:r>
        <w:rPr>
          <w:rFonts w:hint="eastAsia" w:ascii="仿宋_GB2312" w:eastAsia="仿宋_GB2312"/>
          <w:color w:val="000000" w:themeColor="text1"/>
          <w:kern w:val="2"/>
          <w:sz w:val="32"/>
          <w:szCs w:val="32"/>
          <w:lang w:val="en-US" w:eastAsia="zh-CN"/>
          <w14:textFill>
            <w14:solidFill>
              <w14:schemeClr w14:val="tx1"/>
            </w14:solidFill>
          </w14:textFill>
        </w:rPr>
        <w:t xml:space="preserve">  </w:t>
      </w:r>
      <w:r>
        <w:rPr>
          <w:rFonts w:hint="eastAsia" w:ascii="仿宋_GB2312" w:eastAsia="仿宋_GB2312"/>
          <w:color w:val="000000" w:themeColor="text1"/>
          <w:kern w:val="2"/>
          <w:sz w:val="32"/>
          <w:szCs w:val="32"/>
          <w14:textFill>
            <w14:solidFill>
              <w14:schemeClr w14:val="tx1"/>
            </w14:solidFill>
          </w14:textFill>
        </w:rPr>
        <w:t>食品安全国家标准</w:t>
      </w:r>
      <w:r>
        <w:rPr>
          <w:rFonts w:hint="eastAsia" w:ascii="仿宋_GB2312" w:eastAsia="仿宋_GB2312"/>
          <w:color w:val="000000" w:themeColor="text1"/>
          <w:kern w:val="2"/>
          <w:sz w:val="32"/>
          <w:szCs w:val="32"/>
          <w:lang w:val="en-US" w:eastAsia="zh-CN"/>
          <w14:textFill>
            <w14:solidFill>
              <w14:schemeClr w14:val="tx1"/>
            </w14:solidFill>
          </w14:textFill>
        </w:rPr>
        <w:t xml:space="preserve">  </w:t>
      </w:r>
      <w:r>
        <w:rPr>
          <w:rFonts w:hint="eastAsia" w:ascii="仿宋_GB2312" w:eastAsia="仿宋_GB2312"/>
          <w:color w:val="000000" w:themeColor="text1"/>
          <w:kern w:val="2"/>
          <w:sz w:val="32"/>
          <w:szCs w:val="32"/>
          <w14:textFill>
            <w14:solidFill>
              <w14:schemeClr w14:val="tx1"/>
            </w14:solidFill>
          </w14:textFill>
        </w:rPr>
        <w:t>鲜、冻动物性水产品</w:t>
      </w:r>
    </w:p>
    <w:p>
      <w:pPr>
        <w:pStyle w:val="16"/>
        <w:spacing w:beforeLines="0" w:afterLines="0" w:line="360" w:lineRule="auto"/>
        <w:ind w:firstLine="640"/>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GB 2762  食品安全国家标准  食品中污染物限量</w:t>
      </w:r>
    </w:p>
    <w:p>
      <w:pPr>
        <w:pStyle w:val="16"/>
        <w:spacing w:beforeLines="0" w:afterLines="0" w:line="360" w:lineRule="auto"/>
        <w:ind w:firstLine="640"/>
        <w:rPr>
          <w:rFonts w:hint="eastAsia" w:ascii="仿宋_GB2312" w:hAnsi="Calibri" w:eastAsia="仿宋_GB2312"/>
          <w:color w:val="000000" w:themeColor="text1"/>
          <w:kern w:val="2"/>
          <w:sz w:val="32"/>
          <w:szCs w:val="32"/>
          <w:lang w:val="en-US" w:eastAsia="zh-CN"/>
          <w14:textFill>
            <w14:solidFill>
              <w14:schemeClr w14:val="tx1"/>
            </w14:solidFill>
          </w14:textFill>
        </w:rPr>
      </w:pPr>
      <w:r>
        <w:rPr>
          <w:rFonts w:hint="eastAsia" w:ascii="仿宋_GB2312" w:hAnsi="Calibri" w:eastAsia="仿宋_GB2312"/>
          <w:color w:val="000000" w:themeColor="text1"/>
          <w:kern w:val="2"/>
          <w:sz w:val="32"/>
          <w:szCs w:val="32"/>
          <w:lang w:val="en-US" w:eastAsia="zh-CN"/>
          <w14:textFill>
            <w14:solidFill>
              <w14:schemeClr w14:val="tx1"/>
            </w14:solidFill>
          </w14:textFill>
        </w:rPr>
        <w:t>GB 5009.3  食品安全国家标准  食品中水分的测定</w:t>
      </w:r>
    </w:p>
    <w:p>
      <w:pPr>
        <w:pStyle w:val="16"/>
        <w:spacing w:beforeLines="0" w:afterLines="0" w:line="360" w:lineRule="auto"/>
        <w:ind w:firstLine="640" w:firstLineChars="0"/>
        <w:rPr>
          <w:rFonts w:hint="eastAsia" w:ascii="仿宋_GB2312" w:hAnsi="Calibri" w:eastAsia="仿宋_GB2312"/>
          <w:color w:val="000000" w:themeColor="text1"/>
          <w:kern w:val="2"/>
          <w:sz w:val="32"/>
          <w:szCs w:val="32"/>
          <w:lang w:val="en-US" w:eastAsia="zh-CN"/>
          <w14:textFill>
            <w14:solidFill>
              <w14:schemeClr w14:val="tx1"/>
            </w14:solidFill>
          </w14:textFill>
        </w:rPr>
      </w:pPr>
      <w:r>
        <w:rPr>
          <w:rFonts w:hint="eastAsia" w:ascii="仿宋_GB2312" w:hAnsi="Calibri" w:eastAsia="仿宋_GB2312"/>
          <w:color w:val="000000" w:themeColor="text1"/>
          <w:kern w:val="2"/>
          <w:sz w:val="32"/>
          <w:szCs w:val="32"/>
          <w:lang w:val="en-US" w:eastAsia="zh-CN"/>
          <w14:textFill>
            <w14:solidFill>
              <w14:schemeClr w14:val="tx1"/>
            </w14:solidFill>
          </w14:textFill>
        </w:rPr>
        <w:t>GB 5009.5  食品安全国家标准  食品中蛋白质的测定</w:t>
      </w:r>
    </w:p>
    <w:p>
      <w:pPr>
        <w:pStyle w:val="16"/>
        <w:spacing w:beforeLines="0" w:afterLines="0" w:line="360" w:lineRule="auto"/>
        <w:ind w:left="0" w:leftChars="0" w:firstLine="640" w:firstLineChars="0"/>
        <w:rPr>
          <w:rFonts w:hint="eastAsia" w:ascii="仿宋_GB2312" w:eastAsia="仿宋_GB2312"/>
          <w:color w:val="000000" w:themeColor="text1"/>
          <w:kern w:val="2"/>
          <w:sz w:val="32"/>
          <w:szCs w:val="32"/>
          <w:lang w:val="en-US" w:eastAsia="zh-CN"/>
          <w14:textFill>
            <w14:solidFill>
              <w14:schemeClr w14:val="tx1"/>
            </w14:solidFill>
          </w14:textFill>
        </w:rPr>
      </w:pPr>
      <w:r>
        <w:rPr>
          <w:rFonts w:hint="eastAsia" w:ascii="仿宋_GB2312" w:hAnsi="Calibri" w:eastAsia="仿宋_GB2312"/>
          <w:color w:val="000000" w:themeColor="text1"/>
          <w:kern w:val="2"/>
          <w:sz w:val="32"/>
          <w:szCs w:val="32"/>
          <w:lang w:val="en-US" w:eastAsia="zh-CN"/>
          <w14:textFill>
            <w14:solidFill>
              <w14:schemeClr w14:val="tx1"/>
            </w14:solidFill>
          </w14:textFill>
        </w:rPr>
        <w:t>GB 5009.6  食品安全国家标准  食品中脂肪的测定</w:t>
      </w:r>
    </w:p>
    <w:p>
      <w:pPr>
        <w:pStyle w:val="16"/>
        <w:spacing w:beforeLines="0" w:afterLines="0" w:line="360" w:lineRule="auto"/>
        <w:ind w:left="0" w:leftChars="0" w:firstLine="640" w:firstLineChars="0"/>
        <w:rPr>
          <w:rFonts w:hint="eastAsia" w:ascii="仿宋_GB2312" w:hAnsi="Calibri" w:eastAsia="仿宋_GB2312"/>
          <w:color w:val="000000" w:themeColor="text1"/>
          <w:kern w:val="2"/>
          <w:sz w:val="32"/>
          <w:szCs w:val="32"/>
          <w:lang w:val="en-US" w:eastAsia="zh-CN"/>
          <w14:textFill>
            <w14:solidFill>
              <w14:schemeClr w14:val="tx1"/>
            </w14:solidFill>
          </w14:textFill>
        </w:rPr>
      </w:pPr>
      <w:r>
        <w:rPr>
          <w:rFonts w:hint="eastAsia" w:ascii="仿宋_GB2312" w:hAnsi="Calibri" w:eastAsia="仿宋_GB2312"/>
          <w:color w:val="000000" w:themeColor="text1"/>
          <w:kern w:val="2"/>
          <w:sz w:val="32"/>
          <w:szCs w:val="32"/>
          <w:lang w:val="en-US" w:eastAsia="zh-CN"/>
          <w14:textFill>
            <w14:solidFill>
              <w14:schemeClr w14:val="tx1"/>
            </w14:solidFill>
          </w14:textFill>
        </w:rPr>
        <w:t>GB 5009.208  食品安全国家标准  食品中</w:t>
      </w:r>
      <w:r>
        <w:rPr>
          <w:rFonts w:hint="eastAsia" w:ascii="仿宋_GB2312" w:hAnsi="Calibri" w:eastAsia="仿宋_GB2312" w:cs="Calibri"/>
          <w:i w:val="0"/>
          <w:iCs w:val="0"/>
          <w:caps w:val="0"/>
          <w:color w:val="000000" w:themeColor="text1"/>
          <w:spacing w:val="0"/>
          <w:kern w:val="2"/>
          <w:sz w:val="32"/>
          <w:szCs w:val="32"/>
          <w:shd w:val="clear"/>
          <w14:textFill>
            <w14:solidFill>
              <w14:schemeClr w14:val="tx1"/>
            </w14:solidFill>
          </w14:textFill>
        </w:rPr>
        <w:t>生物胺</w:t>
      </w:r>
      <w:r>
        <w:rPr>
          <w:rFonts w:hint="eastAsia" w:ascii="仿宋_GB2312" w:hAnsi="Calibri" w:eastAsia="仿宋_GB2312"/>
          <w:color w:val="000000" w:themeColor="text1"/>
          <w:kern w:val="2"/>
          <w:sz w:val="32"/>
          <w:szCs w:val="32"/>
          <w:lang w:val="en-US" w:eastAsia="zh-CN"/>
          <w14:textFill>
            <w14:solidFill>
              <w14:schemeClr w14:val="tx1"/>
            </w14:solidFill>
          </w14:textFill>
        </w:rPr>
        <w:t>的测定</w:t>
      </w:r>
    </w:p>
    <w:p>
      <w:pPr>
        <w:pStyle w:val="16"/>
        <w:spacing w:beforeLines="0" w:afterLines="0" w:line="360" w:lineRule="auto"/>
        <w:ind w:left="0" w:leftChars="0" w:firstLine="640" w:firstLineChars="0"/>
        <w:rPr>
          <w:rFonts w:hint="eastAsia" w:ascii="仿宋_GB2312" w:hAnsi="Calibri" w:eastAsia="仿宋_GB2312"/>
          <w:color w:val="000000" w:themeColor="text1"/>
          <w:kern w:val="2"/>
          <w:sz w:val="32"/>
          <w:szCs w:val="32"/>
          <w:lang w:val="en-US" w:eastAsia="zh-CN"/>
          <w14:textFill>
            <w14:solidFill>
              <w14:schemeClr w14:val="tx1"/>
            </w14:solidFill>
          </w14:textFill>
        </w:rPr>
      </w:pPr>
      <w:r>
        <w:rPr>
          <w:rFonts w:hint="eastAsia" w:ascii="仿宋_GB2312" w:hAnsi="Calibri" w:eastAsia="仿宋_GB2312"/>
          <w:color w:val="000000" w:themeColor="text1"/>
          <w:kern w:val="2"/>
          <w:sz w:val="32"/>
          <w:szCs w:val="32"/>
          <w:lang w:val="en-US" w:eastAsia="zh-CN"/>
          <w14:textFill>
            <w14:solidFill>
              <w14:schemeClr w14:val="tx1"/>
            </w14:solidFill>
          </w14:textFill>
        </w:rPr>
        <w:t>GB 5009.2</w:t>
      </w:r>
      <w:r>
        <w:rPr>
          <w:rFonts w:hint="eastAsia" w:ascii="仿宋_GB2312" w:eastAsia="仿宋_GB2312"/>
          <w:color w:val="000000" w:themeColor="text1"/>
          <w:kern w:val="2"/>
          <w:sz w:val="32"/>
          <w:szCs w:val="32"/>
          <w:lang w:val="en-US" w:eastAsia="zh-CN"/>
          <w14:textFill>
            <w14:solidFill>
              <w14:schemeClr w14:val="tx1"/>
            </w14:solidFill>
          </w14:textFill>
        </w:rPr>
        <w:t>2</w:t>
      </w:r>
      <w:r>
        <w:rPr>
          <w:rFonts w:hint="eastAsia" w:ascii="仿宋_GB2312" w:hAnsi="Calibri" w:eastAsia="仿宋_GB2312"/>
          <w:color w:val="000000" w:themeColor="text1"/>
          <w:kern w:val="2"/>
          <w:sz w:val="32"/>
          <w:szCs w:val="32"/>
          <w:lang w:val="en-US" w:eastAsia="zh-CN"/>
          <w14:textFill>
            <w14:solidFill>
              <w14:schemeClr w14:val="tx1"/>
            </w14:solidFill>
          </w14:textFill>
        </w:rPr>
        <w:t>8  食品安全国家标准  食品中挥发性盐基氮的测定</w:t>
      </w:r>
    </w:p>
    <w:p>
      <w:pPr>
        <w:pStyle w:val="16"/>
        <w:spacing w:beforeLines="0" w:afterLines="0" w:line="360" w:lineRule="auto"/>
        <w:ind w:left="0" w:leftChars="0" w:firstLine="640" w:firstLineChars="0"/>
        <w:rPr>
          <w:rFonts w:hint="eastAsia" w:ascii="仿宋_GB2312" w:hAnsi="Calibri" w:eastAsia="仿宋_GB2312"/>
          <w:color w:val="000000" w:themeColor="text1"/>
          <w:kern w:val="2"/>
          <w:sz w:val="32"/>
          <w:szCs w:val="32"/>
          <w:lang w:val="en-US" w:eastAsia="zh-CN"/>
          <w14:textFill>
            <w14:solidFill>
              <w14:schemeClr w14:val="tx1"/>
            </w14:solidFill>
          </w14:textFill>
        </w:rPr>
      </w:pPr>
      <w:r>
        <w:rPr>
          <w:rFonts w:hint="eastAsia" w:ascii="仿宋_GB2312" w:hAnsi="Calibri" w:eastAsia="仿宋_GB2312"/>
          <w:color w:val="000000" w:themeColor="text1"/>
          <w:kern w:val="2"/>
          <w:sz w:val="32"/>
          <w:szCs w:val="32"/>
          <w:lang w:val="en-US" w:eastAsia="zh-CN"/>
          <w14:textFill>
            <w14:solidFill>
              <w14:schemeClr w14:val="tx1"/>
            </w14:solidFill>
          </w14:textFill>
        </w:rPr>
        <w:t>GB 7718  食品安全国家标准  预包装食品标签通则</w:t>
      </w:r>
    </w:p>
    <w:p>
      <w:pPr>
        <w:pStyle w:val="16"/>
        <w:spacing w:beforeLines="0" w:afterLines="0" w:line="360" w:lineRule="auto"/>
        <w:ind w:firstLine="640"/>
        <w:rPr>
          <w:rFonts w:hint="eastAsia" w:ascii="仿宋_GB2312" w:eastAsia="仿宋_GB2312"/>
          <w:color w:val="000000" w:themeColor="text1"/>
          <w:kern w:val="2"/>
          <w:sz w:val="32"/>
          <w:szCs w:val="32"/>
          <w:lang w:val="en-US" w:eastAsia="zh-CN"/>
          <w14:textFill>
            <w14:solidFill>
              <w14:schemeClr w14:val="tx1"/>
            </w14:solidFill>
          </w14:textFill>
        </w:rPr>
      </w:pPr>
      <w:r>
        <w:rPr>
          <w:rFonts w:hint="eastAsia" w:ascii="仿宋_GB2312" w:eastAsia="仿宋_GB2312"/>
          <w:color w:val="000000" w:themeColor="text1"/>
          <w:kern w:val="2"/>
          <w:sz w:val="32"/>
          <w:szCs w:val="32"/>
          <w:lang w:val="en-US" w:eastAsia="zh-CN"/>
          <w14:textFill>
            <w14:solidFill>
              <w14:schemeClr w14:val="tx1"/>
            </w14:solidFill>
          </w14:textFill>
        </w:rPr>
        <w:t>GB 28050  食品安全国家标准  预包装食品营养标签通则</w:t>
      </w:r>
    </w:p>
    <w:p>
      <w:pPr>
        <w:pStyle w:val="16"/>
        <w:spacing w:beforeLines="0" w:afterLines="0" w:line="360" w:lineRule="auto"/>
        <w:ind w:firstLine="640"/>
        <w:rPr>
          <w:rFonts w:hint="eastAsia" w:ascii="仿宋_GB2312" w:eastAsia="仿宋_GB2312"/>
          <w:color w:val="000000" w:themeColor="text1"/>
          <w:kern w:val="2"/>
          <w:sz w:val="32"/>
          <w:szCs w:val="32"/>
          <w:lang w:val="en-US" w:eastAsia="zh-CN"/>
          <w14:textFill>
            <w14:solidFill>
              <w14:schemeClr w14:val="tx1"/>
            </w14:solidFill>
          </w14:textFill>
        </w:rPr>
      </w:pPr>
      <w:r>
        <w:rPr>
          <w:rFonts w:hint="eastAsia" w:ascii="仿宋_GB2312" w:eastAsia="仿宋_GB2312"/>
          <w:color w:val="000000" w:themeColor="text1"/>
          <w:kern w:val="2"/>
          <w:sz w:val="32"/>
          <w:szCs w:val="32"/>
          <w:lang w:val="en-US" w:eastAsia="zh-CN"/>
          <w14:textFill>
            <w14:solidFill>
              <w14:schemeClr w14:val="tx1"/>
            </w14:solidFill>
          </w14:textFill>
        </w:rPr>
        <w:t>GB 29921  食品安全国家标准  预包装食品中致病菌限量</w:t>
      </w:r>
    </w:p>
    <w:p>
      <w:pPr>
        <w:pStyle w:val="16"/>
        <w:spacing w:beforeLines="0" w:afterLines="0" w:line="360" w:lineRule="auto"/>
        <w:ind w:firstLine="640" w:firstLineChars="0"/>
        <w:rPr>
          <w:rFonts w:hint="eastAsia" w:ascii="仿宋_GB2312" w:eastAsia="仿宋_GB2312"/>
          <w:color w:val="000000" w:themeColor="text1"/>
          <w:kern w:val="2"/>
          <w:sz w:val="32"/>
          <w:szCs w:val="32"/>
          <w:lang w:val="en-US" w:eastAsia="zh-CN"/>
          <w14:textFill>
            <w14:solidFill>
              <w14:schemeClr w14:val="tx1"/>
            </w14:solidFill>
          </w14:textFill>
        </w:rPr>
      </w:pPr>
      <w:r>
        <w:rPr>
          <w:rFonts w:hint="eastAsia" w:ascii="仿宋_GB2312" w:eastAsia="仿宋_GB2312"/>
          <w:color w:val="000000" w:themeColor="text1"/>
          <w:kern w:val="2"/>
          <w:sz w:val="32"/>
          <w:szCs w:val="32"/>
          <w:lang w:val="en-US" w:eastAsia="zh-CN"/>
          <w14:textFill>
            <w14:solidFill>
              <w14:schemeClr w14:val="tx1"/>
            </w14:solidFill>
          </w14:textFill>
        </w:rPr>
        <w:t>GB/T 30642  食品抽样检验通用导则</w:t>
      </w:r>
    </w:p>
    <w:p>
      <w:pPr>
        <w:pStyle w:val="16"/>
        <w:spacing w:beforeLines="0" w:afterLines="0" w:line="360" w:lineRule="auto"/>
        <w:ind w:firstLine="640"/>
        <w:rPr>
          <w:rFonts w:hint="eastAsia" w:ascii="仿宋_GB2312" w:eastAsia="仿宋_GB2312"/>
          <w:color w:val="000000" w:themeColor="text1"/>
          <w:kern w:val="2"/>
          <w:sz w:val="32"/>
          <w:szCs w:val="32"/>
          <w:lang w:val="en-US" w:eastAsia="zh-CN"/>
          <w14:textFill>
            <w14:solidFill>
              <w14:schemeClr w14:val="tx1"/>
            </w14:solidFill>
          </w14:textFill>
        </w:rPr>
      </w:pPr>
      <w:r>
        <w:rPr>
          <w:rFonts w:hint="eastAsia" w:ascii="仿宋_GB2312" w:eastAsia="仿宋_GB2312"/>
          <w:color w:val="000000" w:themeColor="text1"/>
          <w:kern w:val="2"/>
          <w:sz w:val="32"/>
          <w:szCs w:val="32"/>
          <w:lang w:val="en-US" w:eastAsia="zh-CN"/>
          <w14:textFill>
            <w14:solidFill>
              <w14:schemeClr w14:val="tx1"/>
            </w14:solidFill>
          </w14:textFill>
        </w:rPr>
        <w:t>GB 31644  食品安全国家标准　复合调味料</w:t>
      </w:r>
    </w:p>
    <w:p>
      <w:pPr>
        <w:pStyle w:val="16"/>
        <w:spacing w:beforeLines="0" w:afterLines="0" w:line="360" w:lineRule="auto"/>
        <w:ind w:firstLine="640"/>
        <w:rPr>
          <w:rFonts w:hint="eastAsia" w:ascii="仿宋_GB2312" w:eastAsia="仿宋_GB2312"/>
          <w:color w:val="000000" w:themeColor="text1"/>
          <w:kern w:val="2"/>
          <w:sz w:val="32"/>
          <w:szCs w:val="32"/>
          <w:lang w:val="en-US" w:eastAsia="zh-CN"/>
          <w14:textFill>
            <w14:solidFill>
              <w14:schemeClr w14:val="tx1"/>
            </w14:solidFill>
          </w14:textFill>
        </w:rPr>
      </w:pPr>
      <w:r>
        <w:rPr>
          <w:rFonts w:hint="eastAsia" w:ascii="仿宋_GB2312" w:eastAsia="仿宋_GB2312"/>
          <w:color w:val="000000" w:themeColor="text1"/>
          <w:kern w:val="2"/>
          <w:sz w:val="32"/>
          <w:szCs w:val="32"/>
          <w:lang w:val="en-US" w:eastAsia="zh-CN"/>
          <w14:textFill>
            <w14:solidFill>
              <w14:schemeClr w14:val="tx1"/>
            </w14:solidFill>
          </w14:textFill>
        </w:rPr>
        <w:t>GB/T 39947  食品包装选择及设计</w:t>
      </w:r>
    </w:p>
    <w:p>
      <w:pPr>
        <w:pStyle w:val="16"/>
        <w:spacing w:beforeLines="0" w:afterLines="0" w:line="360" w:lineRule="auto"/>
        <w:ind w:firstLine="640"/>
        <w:rPr>
          <w:rFonts w:hint="eastAsia" w:ascii="仿宋_GB2312" w:eastAsia="仿宋_GB2312"/>
          <w:color w:val="000000" w:themeColor="text1"/>
          <w:kern w:val="2"/>
          <w:sz w:val="32"/>
          <w:szCs w:val="32"/>
          <w:lang w:val="en-US" w:eastAsia="zh-CN"/>
          <w14:textFill>
            <w14:solidFill>
              <w14:schemeClr w14:val="tx1"/>
            </w14:solidFill>
          </w14:textFill>
        </w:rPr>
      </w:pPr>
      <w:r>
        <w:rPr>
          <w:rFonts w:hint="eastAsia" w:ascii="仿宋_GB2312" w:eastAsia="仿宋_GB2312"/>
          <w:color w:val="000000" w:themeColor="text1"/>
          <w:kern w:val="2"/>
          <w:sz w:val="32"/>
          <w:szCs w:val="32"/>
          <w:lang w:val="en-US" w:eastAsia="zh-CN"/>
          <w14:textFill>
            <w14:solidFill>
              <w14:schemeClr w14:val="tx1"/>
            </w14:solidFill>
          </w14:textFill>
        </w:rPr>
        <w:t>SC/T 3054  冷冻水产品冰衣限量</w:t>
      </w:r>
    </w:p>
    <w:p>
      <w:pPr>
        <w:pStyle w:val="16"/>
        <w:spacing w:beforeLines="0" w:afterLines="0" w:line="360" w:lineRule="auto"/>
        <w:ind w:firstLine="640"/>
        <w:rPr>
          <w:rFonts w:hint="eastAsia" w:ascii="仿宋_GB2312" w:eastAsia="仿宋_GB2312"/>
          <w:color w:val="000000" w:themeColor="text1"/>
          <w:kern w:val="2"/>
          <w:sz w:val="32"/>
          <w:szCs w:val="32"/>
          <w:lang w:val="en-US" w:eastAsia="zh-CN"/>
          <w14:textFill>
            <w14:solidFill>
              <w14:schemeClr w14:val="tx1"/>
            </w14:solidFill>
          </w14:textFill>
        </w:rPr>
      </w:pPr>
      <w:r>
        <w:rPr>
          <w:rFonts w:hint="eastAsia" w:ascii="仿宋_GB2312" w:eastAsia="仿宋_GB2312"/>
          <w:color w:val="000000" w:themeColor="text1"/>
          <w:kern w:val="2"/>
          <w:sz w:val="32"/>
          <w:szCs w:val="32"/>
          <w:lang w:val="en-US" w:eastAsia="zh-CN"/>
          <w14:textFill>
            <w14:solidFill>
              <w14:schemeClr w14:val="tx1"/>
            </w14:solidFill>
          </w14:textFill>
        </w:rPr>
        <w:t>JJF 1070  定量包装商品净含量计量检验规则</w:t>
      </w:r>
    </w:p>
    <w:p>
      <w:pPr>
        <w:spacing w:beforeLines="0" w:afterLines="0" w:line="360" w:lineRule="auto"/>
        <w:ind w:firstLine="640" w:firstLineChars="200"/>
        <w:rPr>
          <w:rFonts w:ascii="楷体" w:hAnsi="楷体" w:eastAsia="楷体" w:cs="楷体"/>
          <w:color w:val="000000" w:themeColor="text1"/>
          <w:kern w:val="0"/>
          <w:sz w:val="32"/>
          <w:szCs w:val="32"/>
          <w14:textFill>
            <w14:solidFill>
              <w14:schemeClr w14:val="tx1"/>
            </w14:solidFill>
          </w14:textFill>
        </w:rPr>
      </w:pPr>
      <w:bookmarkStart w:id="2" w:name="OLE_LINK12"/>
      <w:r>
        <w:rPr>
          <w:rFonts w:hint="eastAsia" w:ascii="楷体" w:hAnsi="楷体" w:eastAsia="楷体" w:cs="楷体"/>
          <w:color w:val="000000" w:themeColor="text1"/>
          <w:kern w:val="0"/>
          <w:sz w:val="32"/>
          <w:szCs w:val="32"/>
          <w14:textFill>
            <w14:solidFill>
              <w14:schemeClr w14:val="tx1"/>
            </w14:solidFill>
          </w14:textFill>
        </w:rPr>
        <w:t>（三）术语和定义</w:t>
      </w:r>
    </w:p>
    <w:p>
      <w:pPr>
        <w:pStyle w:val="16"/>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本章给出了</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预制菜松鼠海鲈鱼</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的术语和定义</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以海鲈鱼为原料，不添加防腐剂，经前处理、调制、包装、速冻等工序制成，配以调味料包，熟制后方可食用的预包装菜肴产品</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，着重强调不添加防腐剂。</w:t>
      </w:r>
    </w:p>
    <w:p>
      <w:pPr>
        <w:spacing w:beforeLines="0" w:afterLines="0" w:line="360" w:lineRule="auto"/>
        <w:ind w:firstLine="640" w:firstLineChars="200"/>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（四）</w:t>
      </w:r>
      <w:r>
        <w:rPr>
          <w:rFonts w:hint="eastAsia" w:ascii="楷体" w:hAnsi="楷体" w:eastAsia="楷体" w:cs="楷体"/>
          <w:color w:val="000000" w:themeColor="text1"/>
          <w:kern w:val="0"/>
          <w:sz w:val="32"/>
          <w:szCs w:val="32"/>
          <w:lang w:eastAsia="zh-CN"/>
          <w14:textFill>
            <w14:solidFill>
              <w14:schemeClr w14:val="tx1"/>
            </w14:solidFill>
          </w14:textFill>
        </w:rPr>
        <w:t>技术</w:t>
      </w:r>
      <w:r>
        <w:rPr>
          <w:rFonts w:hint="eastAsia" w:ascii="楷体" w:hAnsi="楷体" w:eastAsia="楷体" w:cs="楷体"/>
          <w:color w:val="000000" w:themeColor="text1"/>
          <w:kern w:val="0"/>
          <w:sz w:val="32"/>
          <w:szCs w:val="32"/>
          <w14:textFill>
            <w14:solidFill>
              <w14:schemeClr w14:val="tx1"/>
            </w14:solidFill>
          </w14:textFill>
        </w:rPr>
        <w:t>要求</w:t>
      </w:r>
    </w:p>
    <w:p>
      <w:pPr>
        <w:pStyle w:val="16"/>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在本章</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包括原辅料要求、产品感官要求、理化指标、安全指标和净含量。标准参考DB4404/T  2《地理标志产品 白蕉海鲈》、GB 2733 《食品安全国家标准 鲜、冻动物性水产品》、GB/T 18109《冻鱼》、NY/T 842《绿色食品 鱼》、NY/T 2976《绿色食品 冷藏、速冻调制水产品》、SB/T 10379 《速冻调制食品》、SC/T 3116《冻淡水鱼片》等文件的技术要求。</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结合企业生产情况，</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产品主料</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选取水分、</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蛋白质、脂肪、组胺、挥发性盐基氮、冰衣含量</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作为理化指标，这些指标能反映产品新鲜程度、营养成分、实际</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产品重量</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，便于对</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产品</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生产质量的管</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控</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w:t>
      </w:r>
    </w:p>
    <w:p>
      <w:pPr>
        <w:spacing w:beforeLines="0" w:afterLines="0" w:line="360" w:lineRule="auto"/>
        <w:ind w:firstLine="640" w:firstLineChars="200"/>
        <w:rPr>
          <w:rFonts w:hint="eastAsia" w:ascii="楷体" w:hAnsi="楷体" w:eastAsia="楷体" w:cs="楷体"/>
          <w:color w:val="000000" w:themeColor="text1"/>
          <w:kern w:val="0"/>
          <w:sz w:val="32"/>
          <w:szCs w:val="32"/>
          <w:lang w:eastAsia="zh-CN"/>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（五）</w:t>
      </w:r>
      <w:r>
        <w:rPr>
          <w:rFonts w:hint="eastAsia" w:ascii="楷体" w:hAnsi="楷体" w:eastAsia="楷体" w:cs="楷体"/>
          <w:color w:val="000000" w:themeColor="text1"/>
          <w:kern w:val="0"/>
          <w:sz w:val="32"/>
          <w:szCs w:val="32"/>
          <w:lang w:eastAsia="zh-CN"/>
          <w14:textFill>
            <w14:solidFill>
              <w14:schemeClr w14:val="tx1"/>
            </w14:solidFill>
          </w14:textFill>
        </w:rPr>
        <w:t>检验方法</w:t>
      </w:r>
    </w:p>
    <w:p>
      <w:pPr>
        <w:pStyle w:val="16"/>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本章</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结合检测机构、企业的意见和建议，整理第4章</w:t>
      </w:r>
      <w:bookmarkStart w:id="9" w:name="_GoBack"/>
      <w:bookmarkEnd w:id="9"/>
      <w:r>
        <w:rPr>
          <w:rFonts w:hint="eastAsia" w:ascii="仿宋_GB2312" w:eastAsia="仿宋_GB2312" w:cs="Calibri"/>
          <w:color w:val="000000" w:themeColor="text1"/>
          <w:kern w:val="2"/>
          <w:sz w:val="32"/>
          <w:szCs w:val="32"/>
          <w:lang w:val="en-US" w:eastAsia="zh-CN" w:bidi="ar-SA"/>
          <w14:textFill>
            <w14:solidFill>
              <w14:schemeClr w14:val="tx1"/>
            </w14:solidFill>
          </w14:textFill>
        </w:rPr>
        <w:t>相对应的食品安全国家标准、国家标准、行业标准等常见检测方法。</w:t>
      </w:r>
    </w:p>
    <w:p>
      <w:pPr>
        <w:spacing w:beforeLines="0" w:afterLines="0" w:line="360" w:lineRule="auto"/>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六</w:t>
      </w: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检验规则</w:t>
      </w:r>
    </w:p>
    <w:p>
      <w:pPr>
        <w:pStyle w:val="3"/>
        <w:autoSpaceDE/>
        <w:autoSpaceDN/>
        <w:spacing w:beforeLines="0" w:afterLines="0" w:line="360" w:lineRule="auto"/>
        <w:ind w:firstLine="640" w:firstLineChars="200"/>
        <w:jc w:val="left"/>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本章</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依据</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w:t>
      </w:r>
      <w:bookmarkStart w:id="3" w:name="OLE_LINK20"/>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速冻食品生产许可证审查细则</w:t>
      </w:r>
      <w:bookmarkEnd w:id="3"/>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（2006 版）》《</w:t>
      </w:r>
      <w:bookmarkStart w:id="4" w:name="OLE_LINK21"/>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其他水产加工品生产许可证审查细则（2006 版）</w:t>
      </w:r>
      <w:bookmarkEnd w:id="4"/>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等文件，标准对</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组批、抽样、出厂检验、型式检验、判定规则进行相应的规定</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w:t>
      </w:r>
    </w:p>
    <w:p>
      <w:pPr>
        <w:tabs>
          <w:tab w:val="center" w:pos="4201"/>
          <w:tab w:val="right" w:leader="dot" w:pos="9298"/>
        </w:tabs>
        <w:spacing w:beforeLines="0" w:afterLines="0" w:line="360" w:lineRule="auto"/>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七</w:t>
      </w: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标签标识</w:t>
      </w:r>
    </w:p>
    <w:p>
      <w:pPr>
        <w:pStyle w:val="16"/>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eastAsia="仿宋_GB2312" w:cs="Calibri"/>
          <w:color w:val="000000" w:themeColor="text1"/>
          <w:kern w:val="2"/>
          <w:sz w:val="32"/>
          <w:szCs w:val="32"/>
          <w:lang w:val="en-US" w:eastAsia="zh-CN" w:bidi="ar-SA"/>
          <w14:textFill>
            <w14:solidFill>
              <w14:schemeClr w14:val="tx1"/>
            </w14:solidFill>
          </w14:textFill>
        </w:rPr>
        <w:t>标签标识应符合</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 xml:space="preserve"> GB 7718《食品安全国家标准 预包装食品标签通则》、GB 28050《食品安全国家标准 预包装食品营养标签通则》</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GB/T 191</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《包装储运图示标志》</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等标准。</w:t>
      </w:r>
    </w:p>
    <w:p>
      <w:pPr>
        <w:numPr>
          <w:ilvl w:val="0"/>
          <w:numId w:val="2"/>
        </w:numPr>
        <w:tabs>
          <w:tab w:val="center" w:pos="4201"/>
          <w:tab w:val="right" w:leader="dot" w:pos="9298"/>
        </w:tabs>
        <w:spacing w:beforeLines="0" w:afterLines="0" w:line="360" w:lineRule="auto"/>
        <w:ind w:firstLine="640" w:firstLineChars="200"/>
        <w:rPr>
          <w:rFonts w:hint="eastAsia" w:ascii="楷体" w:hAnsi="楷体" w:eastAsia="楷体" w:cs="楷体"/>
          <w:color w:val="000000" w:themeColor="text1"/>
          <w:kern w:val="0"/>
          <w:sz w:val="32"/>
          <w:szCs w:val="32"/>
          <w:lang w:eastAsia="zh-CN"/>
          <w14:textFill>
            <w14:solidFill>
              <w14:schemeClr w14:val="tx1"/>
            </w14:solidFill>
          </w14:textFill>
        </w:rPr>
      </w:pPr>
      <w:r>
        <w:rPr>
          <w:rFonts w:hint="eastAsia" w:ascii="楷体" w:hAnsi="楷体" w:eastAsia="楷体" w:cs="楷体"/>
          <w:color w:val="000000" w:themeColor="text1"/>
          <w:kern w:val="0"/>
          <w:sz w:val="32"/>
          <w:szCs w:val="32"/>
          <w:lang w:eastAsia="zh-CN"/>
          <w14:textFill>
            <w14:solidFill>
              <w14:schemeClr w14:val="tx1"/>
            </w14:solidFill>
          </w14:textFill>
        </w:rPr>
        <w:t>包装</w:t>
      </w:r>
    </w:p>
    <w:p>
      <w:pPr>
        <w:pStyle w:val="2"/>
        <w:numPr>
          <w:ilvl w:val="-1"/>
          <w:numId w:val="0"/>
        </w:numPr>
        <w:spacing w:before="0" w:after="0" w:line="360" w:lineRule="auto"/>
        <w:ind w:firstLine="640" w:firstLineChars="200"/>
        <w:rPr>
          <w:rFonts w:hint="default" w:ascii="仿宋_GB2312" w:hAnsi="Calibri" w:eastAsia="仿宋_GB2312" w:cs="Calibri"/>
          <w:b w:val="0"/>
          <w:color w:val="000000" w:themeColor="text1"/>
          <w:sz w:val="32"/>
          <w:szCs w:val="32"/>
          <w:lang w:eastAsia="zh-CN"/>
          <w14:textFill>
            <w14:solidFill>
              <w14:schemeClr w14:val="tx1"/>
            </w14:solidFill>
          </w14:textFill>
        </w:rPr>
      </w:pPr>
      <w:r>
        <w:rPr>
          <w:rFonts w:hint="default" w:ascii="仿宋_GB2312" w:hAnsi="Calibri" w:eastAsia="仿宋_GB2312" w:cs="Calibri"/>
          <w:b w:val="0"/>
          <w:color w:val="000000" w:themeColor="text1"/>
          <w:sz w:val="32"/>
          <w:szCs w:val="32"/>
          <w:lang w:eastAsia="zh-CN"/>
          <w14:textFill>
            <w14:solidFill>
              <w14:schemeClr w14:val="tx1"/>
            </w14:solidFill>
          </w14:textFill>
        </w:rPr>
        <w:t>包装应符合GB/T 39947</w:t>
      </w:r>
      <w:r>
        <w:rPr>
          <w:rFonts w:hint="eastAsia" w:ascii="仿宋_GB2312" w:hAnsi="Calibri" w:eastAsia="仿宋_GB2312" w:cs="Calibri"/>
          <w:b w:val="0"/>
          <w:color w:val="000000" w:themeColor="text1"/>
          <w:sz w:val="32"/>
          <w:szCs w:val="32"/>
          <w:lang w:eastAsia="zh-CN"/>
          <w14:textFill>
            <w14:solidFill>
              <w14:schemeClr w14:val="tx1"/>
            </w14:solidFill>
          </w14:textFill>
        </w:rPr>
        <w:t>《食品包装选择及设计》</w:t>
      </w:r>
      <w:r>
        <w:rPr>
          <w:rFonts w:hint="default" w:ascii="仿宋_GB2312" w:hAnsi="Calibri" w:eastAsia="仿宋_GB2312" w:cs="Calibri"/>
          <w:b w:val="0"/>
          <w:color w:val="000000" w:themeColor="text1"/>
          <w:sz w:val="32"/>
          <w:szCs w:val="32"/>
          <w:lang w:eastAsia="zh-CN"/>
          <w14:textFill>
            <w14:solidFill>
              <w14:schemeClr w14:val="tx1"/>
            </w14:solidFill>
          </w14:textFill>
        </w:rPr>
        <w:t xml:space="preserve">的规定。 </w:t>
      </w:r>
    </w:p>
    <w:p>
      <w:pPr>
        <w:tabs>
          <w:tab w:val="center" w:pos="4201"/>
          <w:tab w:val="right" w:leader="dot" w:pos="9298"/>
        </w:tabs>
        <w:spacing w:beforeLines="0" w:afterLines="0" w:line="360" w:lineRule="auto"/>
        <w:ind w:firstLine="640" w:firstLineChars="200"/>
        <w:rPr>
          <w:rFonts w:hint="eastAsia" w:ascii="仿宋_GB2312" w:eastAsia="仿宋_GB2312"/>
          <w:color w:val="000000" w:themeColor="text1"/>
          <w:sz w:val="32"/>
          <w:szCs w:val="32"/>
          <w:lang w:eastAsia="zh-CN"/>
          <w14:textFill>
            <w14:solidFill>
              <w14:schemeClr w14:val="tx1"/>
            </w14:solidFill>
          </w14:textFill>
        </w:rPr>
      </w:pPr>
      <w:bookmarkStart w:id="5" w:name="OLE_LINK3"/>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九</w:t>
      </w: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贮存与运输</w:t>
      </w:r>
    </w:p>
    <w:bookmarkEnd w:id="5"/>
    <w:p>
      <w:pPr>
        <w:pStyle w:val="16"/>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本章</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依据</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GB/T 31080《水产品冷链物流服务规范》、GB 20941《食品安全国家标准 水产制品生产卫生规范》</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等</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文件</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，对产品贮存和运输条件进行相应规定，包括标识管理、产品放置距离、存储温度等。</w:t>
      </w:r>
    </w:p>
    <w:bookmarkEnd w:id="2"/>
    <w:p>
      <w:pPr>
        <w:spacing w:beforeLines="0" w:afterLines="0" w:line="360" w:lineRule="auto"/>
        <w:ind w:firstLine="640" w:firstLineChars="200"/>
        <w:rPr>
          <w:rFonts w:ascii="楷体" w:hAnsi="楷体" w:eastAsia="楷体" w:cs="楷体"/>
          <w:color w:val="000000" w:themeColor="text1"/>
          <w:kern w:val="0"/>
          <w:sz w:val="32"/>
          <w:szCs w:val="32"/>
          <w14:textFill>
            <w14:solidFill>
              <w14:schemeClr w14:val="tx1"/>
            </w14:solidFill>
          </w14:textFill>
        </w:rPr>
      </w:pPr>
      <w:r>
        <w:rPr>
          <w:rFonts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十</w:t>
      </w:r>
      <w:r>
        <w:rPr>
          <w:rFonts w:ascii="楷体" w:hAnsi="楷体" w:eastAsia="楷体" w:cs="楷体"/>
          <w:color w:val="000000" w:themeColor="text1"/>
          <w:kern w:val="0"/>
          <w:sz w:val="32"/>
          <w:szCs w:val="32"/>
          <w14:textFill>
            <w14:solidFill>
              <w14:schemeClr w14:val="tx1"/>
            </w14:solidFill>
          </w14:textFill>
        </w:rPr>
        <w:t>）参考文献</w:t>
      </w:r>
    </w:p>
    <w:p>
      <w:pPr>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本标准起草过程中参考的文件有：</w:t>
      </w:r>
    </w:p>
    <w:p>
      <w:pPr>
        <w:pStyle w:val="18"/>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bookmarkStart w:id="6" w:name="OLE_LINK6"/>
      <w:bookmarkStart w:id="7" w:name="OLE_LINK7"/>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10136 《食品安全国家标准 动物性水产制品》</w:t>
      </w:r>
    </w:p>
    <w:p>
      <w:pPr>
        <w:pStyle w:val="18"/>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GB/T 24616 《冷藏、冷冻食品物流包装、标志、运输和储存》</w:t>
      </w:r>
    </w:p>
    <w:p>
      <w:pPr>
        <w:pStyle w:val="18"/>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SB/T 10379 《速冻调制食品》</w:t>
      </w:r>
    </w:p>
    <w:p>
      <w:pPr>
        <w:pStyle w:val="18"/>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中华人民共和国农业农村部公告第250号</w:t>
      </w:r>
    </w:p>
    <w:bookmarkEnd w:id="6"/>
    <w:bookmarkEnd w:id="7"/>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七、标准作为强制性标准或推荐性标准的建议</w:t>
      </w:r>
    </w:p>
    <w:p>
      <w:pPr>
        <w:pStyle w:val="18"/>
        <w:spacing w:beforeLines="0" w:afterLines="0" w:line="360" w:lineRule="auto"/>
        <w:ind w:firstLine="640" w:firstLineChars="20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bookmarkStart w:id="8" w:name="OLE_LINK22"/>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本标准属于产品类标准，建议作为推荐性标准予以发布。本标准的实施有助于规范松鼠海鲈鱼的生产和质量管理，提高产品的质量水平，促进海鲈鱼产业的规范化、可持续发展。</w:t>
      </w:r>
      <w:bookmarkEnd w:id="8"/>
    </w:p>
    <w:p>
      <w:pPr>
        <w:spacing w:beforeLines="0" w:afterLines="0" w:line="360" w:lineRule="auto"/>
        <w:ind w:firstLine="640" w:firstLineChars="200"/>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八、废止现行有关标准的建议</w:t>
      </w:r>
    </w:p>
    <w:p>
      <w:pPr>
        <w:spacing w:beforeLines="0" w:afterLines="0" w:line="360" w:lineRule="auto"/>
        <w:ind w:left="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九、重大意见分歧的处理经过和依据</w:t>
      </w:r>
    </w:p>
    <w:p>
      <w:pPr>
        <w:spacing w:beforeLines="0" w:afterLines="0" w:line="360" w:lineRule="auto"/>
        <w:ind w:left="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十、采标情况。（包括采用国际标准的形式、主要内容以及与国际同类标准水平的对比情况）</w:t>
      </w:r>
    </w:p>
    <w:p>
      <w:pPr>
        <w:spacing w:beforeLines="0" w:afterLines="0" w:line="360" w:lineRule="auto"/>
        <w:ind w:left="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十一、与现行法律、法规和强制性国家标准的关系</w:t>
      </w:r>
    </w:p>
    <w:p>
      <w:pPr>
        <w:pStyle w:val="3"/>
        <w:keepNext w:val="0"/>
        <w:keepLines w:val="0"/>
        <w:pageBreakBefore w:val="0"/>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1.与现行法律法规的关系</w:t>
      </w:r>
    </w:p>
    <w:p>
      <w:pPr>
        <w:pStyle w:val="3"/>
        <w:keepNext w:val="0"/>
        <w:keepLines w:val="0"/>
        <w:pageBreakBefore w:val="0"/>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与我国有关法律法规和其他标准相互协调，无矛盾抵触。本标准依据《食品安全法》《食品安全法实施条例》法律法规要求制定，贯彻落实《中共中央国务院关于深化改革加强食品安全工作的意见》《广东省市场监管现代化“十四五”规划》等文件的有关要求。</w:t>
      </w:r>
    </w:p>
    <w:p>
      <w:pPr>
        <w:pStyle w:val="3"/>
        <w:keepNext w:val="0"/>
        <w:keepLines w:val="0"/>
        <w:pageBreakBefore w:val="0"/>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2.与食品安全国家标准的关系</w:t>
      </w:r>
    </w:p>
    <w:p>
      <w:pPr>
        <w:pStyle w:val="3"/>
        <w:keepNext w:val="0"/>
        <w:keepLines w:val="0"/>
        <w:pageBreakBefore w:val="0"/>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本标准食品各项指标均满足或严于食品安全国家标准GB 2760《食品安全国家标准 食品添加剂使用标准》、GB 2761《食品安全国家标准 食品中真菌毒素限量》、GB 2762《食品安全国家标准 食品中污染物限量》、GB 29921《食品安全国家标准 预包装食品中致病菌限量》、GB 2733《食品安全国家标准 鲜、冻动物性水产品》等。</w:t>
      </w:r>
    </w:p>
    <w:p>
      <w:pPr>
        <w:spacing w:beforeLines="0" w:afterLines="0" w:line="36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本标准的制定符合相关的法律法规的要求，并在现有的法律法规和相关标准的基础上予以细化，更具有操作性。</w:t>
      </w:r>
    </w:p>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十二、宣贯及实施建议</w:t>
      </w:r>
    </w:p>
    <w:p>
      <w:pPr>
        <w:spacing w:beforeLines="0" w:afterLines="0" w:line="36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1.召开标准发布会、宣讲会，加强标准宣贯培训，同时通过网络宣传等多渠道进行宣传推广，使相关企业尽快熟悉、了解、掌握和应用本标准，促进企业按照标准要求落实生产，规范和提升自身生产管理水平。</w:t>
      </w:r>
    </w:p>
    <w:p>
      <w:pPr>
        <w:spacing w:beforeLines="0" w:afterLines="0" w:line="36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2.通过相关行业协会，向行业宣贯本标准，呼吁企业主动学习、遵守本标准，最终形成行业默认规则。 </w:t>
      </w:r>
    </w:p>
    <w:p>
      <w:pPr>
        <w:spacing w:beforeLines="0" w:afterLines="0" w:line="36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3.在实践应用中不断总结经验，为标准复审收集相关应用情况。</w:t>
      </w:r>
    </w:p>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十三、其他应予说明的事项</w:t>
      </w:r>
    </w:p>
    <w:p>
      <w:pPr>
        <w:spacing w:beforeLines="0" w:afterLines="0" w:line="360" w:lineRule="auto"/>
        <w:ind w:left="0" w:firstLine="640" w:firstLineChars="200"/>
        <w:rPr>
          <w:rFonts w:hint="eastAsia" w:ascii="仿宋_GB2312" w:hAnsi="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无。</w:t>
      </w:r>
    </w:p>
    <w:p>
      <w:pPr>
        <w:spacing w:beforeLines="0" w:afterLines="0" w:line="360" w:lineRule="auto"/>
        <w:ind w:firstLine="640" w:firstLineChars="200"/>
        <w:rPr>
          <w:rFonts w:hint="eastAsia" w:ascii="仿宋_GB2312" w:eastAsia="仿宋_GB2312" w:cs="Calibri"/>
          <w:color w:val="000000" w:themeColor="text1"/>
          <w:kern w:val="0"/>
          <w:sz w:val="32"/>
          <w:szCs w:val="32"/>
          <w14:textFill>
            <w14:solidFill>
              <w14:schemeClr w14:val="tx1"/>
            </w14:solidFill>
          </w14:textFill>
        </w:rPr>
      </w:pPr>
      <w:r>
        <w:rPr>
          <w:rFonts w:hint="eastAsia" w:ascii="仿宋_GB2312" w:eastAsia="仿宋_GB2312" w:cs="Calibri"/>
          <w:color w:val="000000" w:themeColor="text1"/>
          <w:kern w:val="0"/>
          <w:sz w:val="32"/>
          <w:szCs w:val="32"/>
          <w14:textFill>
            <w14:solidFill>
              <w14:schemeClr w14:val="tx1"/>
            </w14:solidFill>
          </w14:textFill>
        </w:rPr>
        <w:t xml:space="preserve">       </w:t>
      </w:r>
    </w:p>
    <w:sectPr>
      <w:footerReference r:id="rId3" w:type="default"/>
      <w:pgSz w:w="12240" w:h="15840"/>
      <w:pgMar w:top="2041" w:right="1531" w:bottom="2041" w:left="153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023F62-463D-4F4B-9B51-A793F9C7D8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98B90B1-46AC-4640-9281-732398125D98}"/>
  </w:font>
  <w:font w:name="方正小标宋简体">
    <w:panose1 w:val="02000000000000000000"/>
    <w:charset w:val="86"/>
    <w:family w:val="script"/>
    <w:pitch w:val="default"/>
    <w:sig w:usb0="00000001" w:usb1="08000000" w:usb2="00000000" w:usb3="00000000" w:csb0="00040000" w:csb1="00000000"/>
    <w:embedRegular r:id="rId3" w:fontKey="{2F53F761-C8F2-4B0F-BF27-3B4BA60C7B57}"/>
  </w:font>
  <w:font w:name="仿宋_GB2312">
    <w:panose1 w:val="02010609030101010101"/>
    <w:charset w:val="86"/>
    <w:family w:val="auto"/>
    <w:pitch w:val="default"/>
    <w:sig w:usb0="00000001" w:usb1="080E0000" w:usb2="00000000" w:usb3="00000000" w:csb0="00040000" w:csb1="00000000"/>
    <w:embedRegular r:id="rId4" w:fontKey="{87FD4820-69A9-4362-A828-EB9860E3029A}"/>
  </w:font>
  <w:font w:name="楷体">
    <w:panose1 w:val="02010609060101010101"/>
    <w:charset w:val="86"/>
    <w:family w:val="modern"/>
    <w:pitch w:val="default"/>
    <w:sig w:usb0="800002BF" w:usb1="38CF7CFA" w:usb2="00000016" w:usb3="00000000" w:csb0="00040001" w:csb1="00000000"/>
    <w:embedRegular r:id="rId5" w:fontKey="{62827AA8-9E24-4B6B-8AA7-06F1111CFC7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132901"/>
      <w:docPartObj>
        <w:docPartGallery w:val="autotext"/>
      </w:docPartObj>
    </w:sdtPr>
    <w:sdtContent>
      <w:p>
        <w:pPr>
          <w:pStyle w:val="5"/>
          <w:jc w:val="center"/>
        </w:pPr>
        <w:r>
          <w:fldChar w:fldCharType="begin"/>
        </w:r>
        <w:r>
          <w:instrText xml:space="preserve">PAGE   \* MERGEFORMAT</w:instrText>
        </w:r>
        <w:r>
          <w:fldChar w:fldCharType="separate"/>
        </w:r>
        <w:r>
          <w:rPr>
            <w:lang w:val="zh-CN"/>
          </w:rPr>
          <w:t>9</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7C3DE"/>
    <w:multiLevelType w:val="singleLevel"/>
    <w:tmpl w:val="D327C3DE"/>
    <w:lvl w:ilvl="0" w:tentative="0">
      <w:start w:val="8"/>
      <w:numFmt w:val="chineseCounting"/>
      <w:suff w:val="nothing"/>
      <w:lvlText w:val="（%1）"/>
      <w:lvlJc w:val="left"/>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1"/>
      <w:suff w:val="nothing"/>
      <w:lvlText w:val="%1%2　"/>
      <w:lvlJc w:val="left"/>
      <w:pPr>
        <w:ind w:left="0" w:firstLine="0"/>
      </w:pPr>
      <w:rPr>
        <w:rFonts w:hint="eastAsia" w:ascii="黑体" w:eastAsia="黑体"/>
        <w:b w:val="0"/>
        <w:i w:val="0"/>
        <w:sz w:val="21"/>
      </w:rPr>
    </w:lvl>
    <w:lvl w:ilvl="2" w:tentative="0">
      <w:start w:val="1"/>
      <w:numFmt w:val="decimal"/>
      <w:pStyle w:val="2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02"/>
    <w:rsid w:val="00010D77"/>
    <w:rsid w:val="00084F03"/>
    <w:rsid w:val="000C0692"/>
    <w:rsid w:val="00154823"/>
    <w:rsid w:val="001B12CF"/>
    <w:rsid w:val="002135D6"/>
    <w:rsid w:val="00293F61"/>
    <w:rsid w:val="002D0952"/>
    <w:rsid w:val="00390393"/>
    <w:rsid w:val="00393151"/>
    <w:rsid w:val="003E55F3"/>
    <w:rsid w:val="004658EB"/>
    <w:rsid w:val="004B0877"/>
    <w:rsid w:val="004D7265"/>
    <w:rsid w:val="004E5987"/>
    <w:rsid w:val="00541301"/>
    <w:rsid w:val="00581C6F"/>
    <w:rsid w:val="005E0582"/>
    <w:rsid w:val="00622E33"/>
    <w:rsid w:val="006D18B3"/>
    <w:rsid w:val="006F5D57"/>
    <w:rsid w:val="007239D1"/>
    <w:rsid w:val="00736102"/>
    <w:rsid w:val="00741AEE"/>
    <w:rsid w:val="00746C87"/>
    <w:rsid w:val="007743A6"/>
    <w:rsid w:val="007A1379"/>
    <w:rsid w:val="007B1E93"/>
    <w:rsid w:val="007D3F1F"/>
    <w:rsid w:val="00863B8D"/>
    <w:rsid w:val="00874CE9"/>
    <w:rsid w:val="008978FD"/>
    <w:rsid w:val="008B2CDE"/>
    <w:rsid w:val="009418F9"/>
    <w:rsid w:val="00955E32"/>
    <w:rsid w:val="00997748"/>
    <w:rsid w:val="009A32F5"/>
    <w:rsid w:val="00A00F02"/>
    <w:rsid w:val="00A101BB"/>
    <w:rsid w:val="00A53CE1"/>
    <w:rsid w:val="00B03214"/>
    <w:rsid w:val="00B50079"/>
    <w:rsid w:val="00B62EA8"/>
    <w:rsid w:val="00BC1DFA"/>
    <w:rsid w:val="00BD27C5"/>
    <w:rsid w:val="00C36E40"/>
    <w:rsid w:val="00C57236"/>
    <w:rsid w:val="00CB7FE6"/>
    <w:rsid w:val="00D25D15"/>
    <w:rsid w:val="00DE144F"/>
    <w:rsid w:val="00E3134F"/>
    <w:rsid w:val="00E35757"/>
    <w:rsid w:val="00E5239E"/>
    <w:rsid w:val="00EB76F7"/>
    <w:rsid w:val="00EF62DA"/>
    <w:rsid w:val="00F4213C"/>
    <w:rsid w:val="00F815CA"/>
    <w:rsid w:val="00FB4F1D"/>
    <w:rsid w:val="08D97D1B"/>
    <w:rsid w:val="133F0A67"/>
    <w:rsid w:val="3CC13109"/>
    <w:rsid w:val="3DA728F9"/>
    <w:rsid w:val="3F360863"/>
    <w:rsid w:val="407D7710"/>
    <w:rsid w:val="51AC6FB7"/>
    <w:rsid w:val="54BF333F"/>
    <w:rsid w:val="65715D28"/>
    <w:rsid w:val="69B27458"/>
    <w:rsid w:val="6BF04F9C"/>
    <w:rsid w:val="6DB91A5F"/>
    <w:rsid w:val="75AF08FA"/>
    <w:rsid w:val="796F0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tLeast"/>
      <w:outlineLvl w:val="1"/>
    </w:pPr>
    <w:rPr>
      <w:rFonts w:ascii="Arial" w:hAnsi="Arial" w:eastAsia="黑体"/>
      <w:b/>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tabs>
        <w:tab w:val="left" w:pos="562"/>
        <w:tab w:val="left" w:pos="3372"/>
        <w:tab w:val="left" w:pos="3653"/>
      </w:tabs>
    </w:pPr>
  </w:style>
  <w:style w:type="paragraph" w:styleId="4">
    <w:name w:val="Plain Text"/>
    <w:basedOn w:val="1"/>
    <w:qFormat/>
    <w:uiPriority w:val="0"/>
    <w:rPr>
      <w:rFonts w:ascii="宋体" w:hAnsi="Courier New" w:eastAsia="宋体" w:cs="Times New Roman"/>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qFormat/>
    <w:uiPriority w:val="99"/>
    <w:pPr>
      <w:spacing w:before="100" w:beforeAutospacing="1" w:after="100" w:afterAutospacing="1"/>
      <w:ind w:left="200" w:leftChars="200"/>
    </w:pPr>
    <w:rPr>
      <w:rFonts w:cs="宋体"/>
      <w:szCs w:val="21"/>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FollowedHyperlink"/>
    <w:basedOn w:val="11"/>
    <w:qFormat/>
    <w:uiPriority w:val="0"/>
    <w:rPr>
      <w:color w:val="954F72"/>
      <w:u w:val="single"/>
    </w:rPr>
  </w:style>
  <w:style w:type="character" w:styleId="15">
    <w:name w:val="Hyperlink"/>
    <w:basedOn w:val="11"/>
    <w:qFormat/>
    <w:uiPriority w:val="0"/>
    <w:rPr>
      <w:color w:val="0000FF"/>
      <w:u w:val="single"/>
    </w:r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Calibri" w:eastAsia="宋体" w:cs="Calibri"/>
      <w:sz w:val="21"/>
      <w:lang w:val="en-US" w:eastAsia="zh-CN" w:bidi="ar-SA"/>
    </w:rPr>
  </w:style>
  <w:style w:type="character" w:customStyle="1" w:styleId="17">
    <w:name w:val="标准文件_段 Char"/>
    <w:basedOn w:val="11"/>
    <w:link w:val="18"/>
    <w:qFormat/>
    <w:uiPriority w:val="0"/>
    <w:rPr>
      <w:rFonts w:hint="eastAsia" w:ascii="宋体" w:hAnsi="Times New Roman" w:eastAsia="宋体" w:cs="宋体"/>
      <w:sz w:val="21"/>
    </w:rPr>
  </w:style>
  <w:style w:type="paragraph" w:customStyle="1" w:styleId="18">
    <w:name w:val="标准文件_段"/>
    <w:basedOn w:val="1"/>
    <w:link w:val="17"/>
    <w:qFormat/>
    <w:uiPriority w:val="0"/>
    <w:pPr>
      <w:widowControl/>
      <w:autoSpaceDE w:val="0"/>
      <w:autoSpaceDN w:val="0"/>
      <w:ind w:firstLine="200" w:firstLineChars="200"/>
    </w:pPr>
    <w:rPr>
      <w:rFonts w:hint="eastAsia" w:ascii="宋体" w:hAnsi="Times New Roman"/>
      <w:kern w:val="0"/>
      <w:szCs w:val="20"/>
    </w:rPr>
  </w:style>
  <w:style w:type="character" w:customStyle="1" w:styleId="19">
    <w:name w:val="页脚 字符"/>
    <w:basedOn w:val="11"/>
    <w:link w:val="5"/>
    <w:qFormat/>
    <w:uiPriority w:val="99"/>
    <w:rPr>
      <w:rFonts w:cs="Times New Roman"/>
      <w:kern w:val="2"/>
      <w:sz w:val="18"/>
      <w:szCs w:val="18"/>
    </w:rPr>
  </w:style>
  <w:style w:type="paragraph" w:customStyle="1" w:styleId="20">
    <w:name w:val="标准文件_一级条标题"/>
    <w:basedOn w:val="21"/>
    <w:next w:val="18"/>
    <w:qFormat/>
    <w:uiPriority w:val="0"/>
    <w:pPr>
      <w:numPr>
        <w:ilvl w:val="2"/>
      </w:numPr>
      <w:spacing w:before="50" w:beforeLines="50" w:after="50" w:afterLines="50"/>
      <w:outlineLvl w:val="1"/>
    </w:pPr>
  </w:style>
  <w:style w:type="paragraph" w:customStyle="1" w:styleId="21">
    <w:name w:val="标准文件_章标题"/>
    <w:next w:val="18"/>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22429-FC50-4F07-AFAE-780A3FFEC981}">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603</Words>
  <Characters>3443</Characters>
  <Lines>28</Lines>
  <Paragraphs>8</Paragraphs>
  <TotalTime>3</TotalTime>
  <ScaleCrop>false</ScaleCrop>
  <LinksUpToDate>false</LinksUpToDate>
  <CharactersWithSpaces>4038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hp01</dc:creator>
  <cp:lastModifiedBy>温</cp:lastModifiedBy>
  <dcterms:modified xsi:type="dcterms:W3CDTF">2025-09-25T08:36:16Z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eyJoZGlkIjoiZGRmMmJhZWJjYmFlMDlkOWZhMjk5NTRiZDAxODU3ODEiLCJ1c2VySWQiOiIyNDE0OTExNjUifQ==</vt:lpwstr>
  </property>
  <property fmtid="{D5CDD505-2E9C-101B-9397-08002B2CF9AE}" pid="4" name="ICV">
    <vt:lpwstr>5E17EE73928849F2A4670839635A3CC3_12</vt:lpwstr>
  </property>
</Properties>
</file>