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9686A">
      <w:pPr>
        <w:pStyle w:val="2"/>
        <w:ind w:left="0" w:leftChars="0" w:firstLine="0" w:firstLineChars="0"/>
        <w:rPr>
          <w:rFonts w:ascii="黑体" w:eastAsia="黑体"/>
          <w:sz w:val="28"/>
        </w:rPr>
      </w:pPr>
      <w:r>
        <w:rPr>
          <w:rFonts w:ascii="微软雅黑" w:eastAsia="微软雅黑"/>
        </w:rPr>
        <w:t>附件</w:t>
      </w:r>
      <w:r>
        <w:rPr>
          <w:rFonts w:hint="eastAsia" w:ascii="微软雅黑" w:eastAsia="微软雅黑"/>
          <w:lang w:val="en-US" w:eastAsia="zh-CN"/>
        </w:rPr>
        <w:t>2：</w:t>
      </w:r>
      <w:r>
        <w:rPr>
          <w:rFonts w:hint="eastAsia" w:ascii="Times New Roman" w:eastAsiaTheme="minorEastAsia"/>
          <w:sz w:val="28"/>
        </w:rPr>
        <w:t xml:space="preserve">CSOE </w:t>
      </w:r>
      <w:r>
        <w:rPr>
          <w:rFonts w:hint="eastAsia" w:ascii="黑体" w:eastAsia="黑体"/>
          <w:sz w:val="28"/>
        </w:rPr>
        <w:t>团体标准编制说明</w:t>
      </w:r>
    </w:p>
    <w:p w14:paraId="645E707B">
      <w:pPr>
        <w:pStyle w:val="5"/>
        <w:keepNext w:val="0"/>
        <w:keepLines w:val="0"/>
        <w:pageBreakBefore w:val="0"/>
        <w:widowControl w:val="0"/>
        <w:numPr>
          <w:ilvl w:val="0"/>
          <w:numId w:val="0"/>
        </w:numPr>
        <w:kinsoku/>
        <w:wordWrap/>
        <w:overflowPunct/>
        <w:topLinePunct w:val="0"/>
        <w:bidi w:val="0"/>
        <w:adjustRightInd/>
        <w:snapToGrid/>
        <w:spacing w:before="21" w:line="560" w:lineRule="exact"/>
        <w:ind w:right="994" w:rightChars="452" w:firstLine="562" w:firstLineChars="200"/>
        <w:textAlignment w:val="auto"/>
        <w:rPr>
          <w:rFonts w:hint="eastAsia"/>
          <w:b/>
          <w:bCs/>
          <w:sz w:val="28"/>
          <w:szCs w:val="28"/>
        </w:rPr>
      </w:pPr>
      <w:r>
        <w:rPr>
          <w:rFonts w:hint="eastAsia"/>
          <w:b/>
          <w:bCs/>
          <w:sz w:val="28"/>
          <w:szCs w:val="28"/>
          <w:lang w:val="en-US" w:eastAsia="zh-CN"/>
        </w:rPr>
        <w:t>一、</w:t>
      </w:r>
      <w:r>
        <w:rPr>
          <w:rFonts w:hint="eastAsia"/>
          <w:b/>
          <w:bCs/>
          <w:sz w:val="28"/>
          <w:szCs w:val="28"/>
        </w:rPr>
        <w:t>工作简况</w:t>
      </w:r>
    </w:p>
    <w:p w14:paraId="58342AA0">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21" w:line="560" w:lineRule="exact"/>
        <w:ind w:right="0" w:rightChars="0" w:firstLine="560" w:firstLineChars="200"/>
        <w:textAlignment w:val="auto"/>
        <w:rPr>
          <w:sz w:val="28"/>
          <w:szCs w:val="28"/>
        </w:rPr>
      </w:pPr>
      <w:r>
        <w:rPr>
          <w:rFonts w:hint="eastAsia"/>
          <w:sz w:val="28"/>
          <w:szCs w:val="28"/>
        </w:rPr>
        <w:t>本项团体标准由北京航天计量测试技术研究所负责起草，湖北三江航天红峰控制有限公司、哈尔滨工程大学、广东工业大学、北京理工大学、中国航发四川燃气涡轮研究院、北京品傲光电科技有限公司、北京信维科技股份有限公司参加起草。</w:t>
      </w:r>
    </w:p>
    <w:p w14:paraId="766652AD">
      <w:pPr>
        <w:pStyle w:val="5"/>
        <w:keepNext w:val="0"/>
        <w:keepLines w:val="0"/>
        <w:pageBreakBefore w:val="0"/>
        <w:widowControl w:val="0"/>
        <w:numPr>
          <w:ilvl w:val="0"/>
          <w:numId w:val="0"/>
        </w:numPr>
        <w:kinsoku/>
        <w:wordWrap/>
        <w:overflowPunct/>
        <w:topLinePunct w:val="0"/>
        <w:bidi w:val="0"/>
        <w:adjustRightInd/>
        <w:snapToGrid/>
        <w:spacing w:before="21" w:line="560" w:lineRule="exact"/>
        <w:ind w:right="994" w:rightChars="452" w:firstLine="562" w:firstLineChars="200"/>
        <w:textAlignment w:val="auto"/>
        <w:rPr>
          <w:rFonts w:hint="eastAsia"/>
          <w:sz w:val="28"/>
          <w:szCs w:val="28"/>
        </w:rPr>
      </w:pPr>
      <w:r>
        <w:rPr>
          <w:rFonts w:hint="eastAsia" w:cs="宋体"/>
          <w:b/>
          <w:bCs/>
          <w:sz w:val="28"/>
          <w:szCs w:val="28"/>
          <w:lang w:val="en-US" w:eastAsia="zh-CN"/>
        </w:rPr>
        <w:t>二、</w:t>
      </w:r>
      <w:r>
        <w:rPr>
          <w:rFonts w:hint="eastAsia" w:ascii="宋体" w:hAnsi="宋体" w:eastAsia="宋体" w:cs="宋体"/>
          <w:b/>
          <w:bCs/>
          <w:sz w:val="28"/>
          <w:szCs w:val="28"/>
        </w:rPr>
        <w:t>标准编制原则</w:t>
      </w:r>
      <w:r>
        <w:rPr>
          <w:rFonts w:hint="eastAsia"/>
          <w:sz w:val="28"/>
          <w:szCs w:val="28"/>
        </w:rPr>
        <w:t>；</w:t>
      </w:r>
    </w:p>
    <w:p w14:paraId="62EE843B">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21" w:line="560" w:lineRule="exact"/>
        <w:ind w:right="0" w:rightChars="0" w:firstLine="560" w:firstLineChars="200"/>
        <w:textAlignment w:val="auto"/>
        <w:rPr>
          <w:rFonts w:hint="eastAsia"/>
          <w:sz w:val="28"/>
          <w:szCs w:val="28"/>
        </w:rPr>
      </w:pPr>
      <w:r>
        <w:rPr>
          <w:rFonts w:hint="eastAsia"/>
          <w:sz w:val="28"/>
          <w:szCs w:val="28"/>
        </w:rPr>
        <w:t>本标准编制基本原则：以光纤位移传感器的前期应用为基础，依据GB/T 1.1-2020《标准化工作导则 第1部分：标准化文件的结构和起草规则》给出的起草，具有规范性；规定明确且无歧义的条款；清楚和准确；能被未参加标准编制的专业人员所理解；标准内容便于实施。</w:t>
      </w:r>
    </w:p>
    <w:p w14:paraId="7B021BBB">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三、标准主要内容的确定</w:t>
      </w:r>
    </w:p>
    <w:p w14:paraId="45FD2804">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21" w:line="560" w:lineRule="exact"/>
        <w:ind w:right="0" w:rightChars="0" w:firstLine="560" w:firstLineChars="200"/>
        <w:textAlignment w:val="auto"/>
        <w:rPr>
          <w:rFonts w:hint="eastAsia"/>
          <w:sz w:val="28"/>
          <w:szCs w:val="28"/>
        </w:rPr>
      </w:pPr>
      <w:r>
        <w:rPr>
          <w:rFonts w:hint="eastAsia"/>
          <w:sz w:val="28"/>
          <w:szCs w:val="28"/>
        </w:rPr>
        <w:t>本标准主要包括范围、规范性引用文件、术语和定义、计量特性、校准项目、校准方法等内容。现就标准中的相关内容、要求、技术指标做如下说明：</w:t>
      </w:r>
    </w:p>
    <w:p w14:paraId="639099D5">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21" w:line="560" w:lineRule="exact"/>
        <w:ind w:right="0" w:rightChars="0" w:firstLine="560" w:firstLineChars="200"/>
        <w:textAlignment w:val="auto"/>
        <w:rPr>
          <w:rFonts w:hint="eastAsia"/>
          <w:sz w:val="28"/>
          <w:szCs w:val="28"/>
        </w:rPr>
      </w:pPr>
      <w:r>
        <w:rPr>
          <w:rFonts w:hint="eastAsia"/>
          <w:sz w:val="28"/>
          <w:szCs w:val="28"/>
        </w:rPr>
        <w:t>（1）范围</w:t>
      </w:r>
    </w:p>
    <w:p w14:paraId="2CFF60CA">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21" w:line="560" w:lineRule="exact"/>
        <w:ind w:right="0" w:rightChars="0" w:firstLine="560" w:firstLineChars="200"/>
        <w:textAlignment w:val="auto"/>
        <w:rPr>
          <w:rFonts w:hint="eastAsia"/>
          <w:sz w:val="28"/>
          <w:szCs w:val="28"/>
        </w:rPr>
      </w:pPr>
      <w:r>
        <w:rPr>
          <w:rFonts w:hint="eastAsia"/>
          <w:sz w:val="28"/>
          <w:szCs w:val="28"/>
        </w:rPr>
        <w:t>本标准规定了光纤位移传感器的计量特性、校准条件、校准项目、校准方法、校准结果处理、复校时间间隔等。</w:t>
      </w:r>
    </w:p>
    <w:p w14:paraId="651D0337">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21" w:line="560" w:lineRule="exact"/>
        <w:ind w:right="0" w:rightChars="0" w:firstLine="560" w:firstLineChars="200"/>
        <w:textAlignment w:val="auto"/>
        <w:rPr>
          <w:rFonts w:hint="eastAsia"/>
          <w:sz w:val="28"/>
          <w:szCs w:val="28"/>
        </w:rPr>
      </w:pPr>
      <w:r>
        <w:rPr>
          <w:rFonts w:hint="eastAsia"/>
          <w:sz w:val="28"/>
          <w:szCs w:val="28"/>
        </w:rPr>
        <w:t>（2）规范性引用文件</w:t>
      </w:r>
    </w:p>
    <w:p w14:paraId="548814A1">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21" w:line="560" w:lineRule="exact"/>
        <w:ind w:right="0" w:rightChars="0" w:firstLine="560" w:firstLineChars="200"/>
        <w:textAlignment w:val="auto"/>
        <w:rPr>
          <w:rFonts w:hint="eastAsia"/>
          <w:sz w:val="28"/>
          <w:szCs w:val="28"/>
        </w:rPr>
      </w:pPr>
      <w:r>
        <w:rPr>
          <w:rFonts w:hint="eastAsia"/>
          <w:sz w:val="28"/>
          <w:szCs w:val="28"/>
        </w:rPr>
        <w:t>GB/T 18901.1、JJF 1001、JJF 1059.1文件中的条款通过本标准的引用而成为本标准的条款。</w:t>
      </w:r>
    </w:p>
    <w:p w14:paraId="4AFC0AC7">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21" w:line="560" w:lineRule="exact"/>
        <w:ind w:right="0" w:rightChars="0" w:firstLine="560" w:firstLineChars="200"/>
        <w:textAlignment w:val="auto"/>
        <w:rPr>
          <w:rFonts w:hint="eastAsia"/>
          <w:sz w:val="28"/>
          <w:szCs w:val="28"/>
        </w:rPr>
      </w:pPr>
      <w:r>
        <w:rPr>
          <w:rFonts w:hint="eastAsia"/>
          <w:sz w:val="28"/>
          <w:szCs w:val="28"/>
        </w:rPr>
        <w:t>（3）术语和定义</w:t>
      </w:r>
    </w:p>
    <w:p w14:paraId="24C84214">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21" w:line="560" w:lineRule="exact"/>
        <w:ind w:right="0" w:rightChars="0" w:firstLine="560" w:firstLineChars="200"/>
        <w:textAlignment w:val="auto"/>
        <w:rPr>
          <w:rFonts w:hint="eastAsia"/>
          <w:sz w:val="28"/>
          <w:szCs w:val="28"/>
        </w:rPr>
      </w:pPr>
      <w:r>
        <w:rPr>
          <w:rFonts w:hint="eastAsia"/>
          <w:sz w:val="28"/>
          <w:szCs w:val="28"/>
        </w:rPr>
        <w:t>针对准直探头和聚焦探头进行了定义。</w:t>
      </w:r>
    </w:p>
    <w:p w14:paraId="5D2579C6">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21" w:line="560" w:lineRule="exact"/>
        <w:ind w:right="0" w:rightChars="0" w:firstLine="560" w:firstLineChars="200"/>
        <w:textAlignment w:val="auto"/>
        <w:rPr>
          <w:rFonts w:hint="eastAsia"/>
          <w:sz w:val="28"/>
          <w:szCs w:val="28"/>
        </w:rPr>
      </w:pPr>
      <w:r>
        <w:rPr>
          <w:rFonts w:hint="eastAsia"/>
          <w:sz w:val="28"/>
          <w:szCs w:val="28"/>
        </w:rPr>
        <w:t>（4）概述</w:t>
      </w:r>
    </w:p>
    <w:p w14:paraId="00222132">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21" w:line="560" w:lineRule="exact"/>
        <w:ind w:right="0" w:rightChars="0" w:firstLine="560" w:firstLineChars="200"/>
        <w:textAlignment w:val="auto"/>
        <w:rPr>
          <w:rFonts w:hint="eastAsia"/>
          <w:sz w:val="28"/>
          <w:szCs w:val="28"/>
        </w:rPr>
      </w:pPr>
      <w:r>
        <w:rPr>
          <w:rFonts w:hint="eastAsia"/>
          <w:sz w:val="28"/>
          <w:szCs w:val="28"/>
        </w:rPr>
        <w:t>针对传感器的原理、结构及用途进行描述。</w:t>
      </w:r>
    </w:p>
    <w:p w14:paraId="00178888">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21" w:line="560" w:lineRule="exact"/>
        <w:ind w:right="0" w:rightChars="0" w:firstLine="560" w:firstLineChars="200"/>
        <w:textAlignment w:val="auto"/>
        <w:rPr>
          <w:rFonts w:hint="eastAsia"/>
          <w:sz w:val="28"/>
          <w:szCs w:val="28"/>
        </w:rPr>
      </w:pPr>
      <w:r>
        <w:rPr>
          <w:rFonts w:hint="eastAsia"/>
          <w:sz w:val="28"/>
          <w:szCs w:val="28"/>
        </w:rPr>
        <w:t>（5）计量特性</w:t>
      </w:r>
    </w:p>
    <w:p w14:paraId="5EC5ADF2">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21" w:line="560" w:lineRule="exact"/>
        <w:ind w:right="0" w:rightChars="0" w:firstLine="560" w:firstLineChars="200"/>
        <w:textAlignment w:val="auto"/>
        <w:rPr>
          <w:rFonts w:hint="eastAsia"/>
          <w:sz w:val="28"/>
          <w:szCs w:val="28"/>
        </w:rPr>
      </w:pPr>
      <w:r>
        <w:rPr>
          <w:rFonts w:hint="eastAsia"/>
          <w:sz w:val="28"/>
          <w:szCs w:val="28"/>
        </w:rPr>
        <w:t>针对传感器的重复性、漂移、示值误差指标进行规定，主要参照GBT18901.1-2019及其他相关标准的规定。</w:t>
      </w:r>
    </w:p>
    <w:p w14:paraId="711E8AC9">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21" w:line="560" w:lineRule="exact"/>
        <w:ind w:right="0" w:rightChars="0" w:firstLine="560" w:firstLineChars="200"/>
        <w:textAlignment w:val="auto"/>
        <w:rPr>
          <w:rFonts w:hint="eastAsia"/>
          <w:sz w:val="28"/>
          <w:szCs w:val="28"/>
        </w:rPr>
      </w:pPr>
      <w:r>
        <w:rPr>
          <w:rFonts w:hint="eastAsia"/>
          <w:sz w:val="28"/>
          <w:szCs w:val="28"/>
        </w:rPr>
        <w:t>（6）校准条件</w:t>
      </w:r>
    </w:p>
    <w:p w14:paraId="5B39E681">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21" w:line="560" w:lineRule="exact"/>
        <w:ind w:right="0" w:rightChars="0" w:firstLine="560" w:firstLineChars="200"/>
        <w:textAlignment w:val="auto"/>
        <w:rPr>
          <w:rFonts w:hint="eastAsia"/>
          <w:sz w:val="28"/>
          <w:szCs w:val="28"/>
        </w:rPr>
      </w:pPr>
      <w:r>
        <w:rPr>
          <w:rFonts w:hint="eastAsia"/>
          <w:sz w:val="28"/>
          <w:szCs w:val="28"/>
        </w:rPr>
        <w:t>环境温度、相对湿度及校准用设备主要参照GBT18901.1-2019及其他相关标准的规定。</w:t>
      </w:r>
    </w:p>
    <w:p w14:paraId="4497046C">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21" w:line="560" w:lineRule="exact"/>
        <w:ind w:right="0" w:rightChars="0" w:firstLine="560" w:firstLineChars="200"/>
        <w:textAlignment w:val="auto"/>
        <w:rPr>
          <w:rFonts w:hint="eastAsia"/>
          <w:sz w:val="28"/>
          <w:szCs w:val="28"/>
        </w:rPr>
      </w:pPr>
      <w:r>
        <w:rPr>
          <w:rFonts w:hint="eastAsia"/>
          <w:sz w:val="28"/>
          <w:szCs w:val="28"/>
        </w:rPr>
        <w:t>（7）校准项目</w:t>
      </w:r>
    </w:p>
    <w:p w14:paraId="2613F92D">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21" w:line="560" w:lineRule="exact"/>
        <w:ind w:right="0" w:rightChars="0" w:firstLine="560" w:firstLineChars="200"/>
        <w:textAlignment w:val="auto"/>
        <w:rPr>
          <w:rFonts w:hint="eastAsia"/>
          <w:sz w:val="28"/>
          <w:szCs w:val="28"/>
        </w:rPr>
      </w:pPr>
      <w:r>
        <w:rPr>
          <w:rFonts w:hint="eastAsia"/>
          <w:sz w:val="28"/>
          <w:szCs w:val="28"/>
        </w:rPr>
        <w:t>校准项目包括外观及功能检查、重复性、漂移、示值误差，主要参照GBT18901.1-2019及其他相关标准的规定。</w:t>
      </w:r>
    </w:p>
    <w:p w14:paraId="644D8D69">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21" w:line="560" w:lineRule="exact"/>
        <w:ind w:right="0" w:rightChars="0" w:firstLine="560" w:firstLineChars="200"/>
        <w:textAlignment w:val="auto"/>
        <w:rPr>
          <w:rFonts w:hint="eastAsia"/>
          <w:sz w:val="28"/>
          <w:szCs w:val="28"/>
        </w:rPr>
      </w:pPr>
      <w:r>
        <w:rPr>
          <w:rFonts w:hint="eastAsia"/>
          <w:sz w:val="28"/>
          <w:szCs w:val="28"/>
        </w:rPr>
        <w:t>（8）校准方法</w:t>
      </w:r>
    </w:p>
    <w:p w14:paraId="6A54D1F9">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21" w:line="560" w:lineRule="exact"/>
        <w:ind w:right="0" w:rightChars="0" w:firstLine="560" w:firstLineChars="200"/>
        <w:textAlignment w:val="auto"/>
        <w:rPr>
          <w:rFonts w:hint="eastAsia"/>
          <w:sz w:val="28"/>
          <w:szCs w:val="28"/>
        </w:rPr>
      </w:pPr>
      <w:r>
        <w:rPr>
          <w:rFonts w:hint="eastAsia"/>
          <w:sz w:val="28"/>
          <w:szCs w:val="28"/>
        </w:rPr>
        <w:t>主要采用目测方法观察传感器外观及功能，采用试验方法校准重复性、漂移及示值误差，相关结果应满足计量特性要求。</w:t>
      </w:r>
    </w:p>
    <w:p w14:paraId="47924EB1">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四、与国际、国外同类标准水平的对比情况</w:t>
      </w:r>
    </w:p>
    <w:p w14:paraId="4A3CC328">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21" w:line="560" w:lineRule="exact"/>
        <w:ind w:right="0" w:rightChars="0" w:firstLine="560" w:firstLineChars="200"/>
        <w:textAlignment w:val="auto"/>
        <w:rPr>
          <w:rFonts w:hint="eastAsia"/>
          <w:sz w:val="28"/>
          <w:szCs w:val="28"/>
        </w:rPr>
      </w:pPr>
      <w:r>
        <w:rPr>
          <w:rFonts w:hint="eastAsia"/>
          <w:sz w:val="28"/>
          <w:szCs w:val="28"/>
        </w:rPr>
        <w:t>国际标准化组织（ISO）和国际电工委员会（IEC）已发布多项相关标准，其中最具代表性的是IEC 61757-6-1:2024《Fibre optic sensors - Part 6-1: Displacement measurement - Displacement sensors based on fibre Bragg gratings》，该标准详细规范了光纤位移传感器的性能指标、测试方法和校准流程，为全球范围内的产品性能评价提供了统一依据。欧洲标准化委员会（CEN）也同步采纳了这一标准，推动了光纤位移传感器校准技术在欧洲区域的规范化应用。</w:t>
      </w:r>
    </w:p>
    <w:p w14:paraId="3A16536B">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21" w:line="560" w:lineRule="exact"/>
        <w:ind w:right="0" w:rightChars="0" w:firstLine="560" w:firstLineChars="200"/>
        <w:textAlignment w:val="auto"/>
        <w:rPr>
          <w:rFonts w:hint="eastAsia"/>
          <w:sz w:val="28"/>
          <w:szCs w:val="28"/>
        </w:rPr>
      </w:pPr>
      <w:r>
        <w:rPr>
          <w:rFonts w:hint="eastAsia"/>
          <w:sz w:val="28"/>
          <w:szCs w:val="28"/>
        </w:rPr>
        <w:t>国际标准针对基于光纤布拉格光栅的位移传感器，重点关注的特性包括：布拉格波长、光谱宽度、反射率等。与本申请标准中的光纤位移传感器所关注的特性不一致</w:t>
      </w:r>
      <w:bookmarkStart w:id="0" w:name="_GoBack"/>
      <w:bookmarkEnd w:id="0"/>
      <w:r>
        <w:rPr>
          <w:rFonts w:hint="eastAsia"/>
          <w:sz w:val="28"/>
          <w:szCs w:val="28"/>
        </w:rPr>
        <w:t>。</w:t>
      </w:r>
    </w:p>
    <w:p w14:paraId="2E33E440">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五、与国内相关标准的关系</w:t>
      </w:r>
    </w:p>
    <w:p w14:paraId="073B26E6">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21" w:line="560" w:lineRule="exact"/>
        <w:ind w:right="0" w:rightChars="0" w:firstLine="560" w:firstLineChars="200"/>
        <w:textAlignment w:val="auto"/>
        <w:rPr>
          <w:rFonts w:hint="eastAsia"/>
          <w:sz w:val="28"/>
          <w:szCs w:val="28"/>
        </w:rPr>
      </w:pPr>
      <w:r>
        <w:rPr>
          <w:rFonts w:hint="eastAsia"/>
          <w:sz w:val="28"/>
          <w:szCs w:val="28"/>
        </w:rPr>
        <w:t>本标准与现行法律、法规、规章统一，协调抑制，并与现行有效的国家标准和行业标准有很好的协调性，本标准在编制过程中参考或引用相关标准：</w:t>
      </w:r>
    </w:p>
    <w:p w14:paraId="1D4A785C">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21" w:line="560" w:lineRule="exact"/>
        <w:ind w:right="0" w:rightChars="0" w:firstLine="560" w:firstLineChars="200"/>
        <w:textAlignment w:val="auto"/>
        <w:rPr>
          <w:rFonts w:hint="eastAsia"/>
          <w:sz w:val="28"/>
          <w:szCs w:val="28"/>
          <w:lang w:eastAsia="zh-CN"/>
        </w:rPr>
      </w:pPr>
      <w:r>
        <w:rPr>
          <w:rFonts w:hint="eastAsia"/>
          <w:sz w:val="28"/>
          <w:szCs w:val="28"/>
        </w:rPr>
        <w:t>JJF 1001　通用计量术语及定义</w:t>
      </w:r>
      <w:r>
        <w:rPr>
          <w:rFonts w:hint="eastAsia"/>
          <w:sz w:val="28"/>
          <w:szCs w:val="28"/>
          <w:lang w:eastAsia="zh-CN"/>
        </w:rPr>
        <w:t>；</w:t>
      </w:r>
    </w:p>
    <w:p w14:paraId="465B2238">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21" w:line="560" w:lineRule="exact"/>
        <w:ind w:right="0" w:rightChars="0" w:firstLine="560" w:firstLineChars="200"/>
        <w:textAlignment w:val="auto"/>
        <w:rPr>
          <w:rFonts w:hint="eastAsia"/>
          <w:sz w:val="28"/>
          <w:szCs w:val="28"/>
          <w:lang w:eastAsia="zh-CN"/>
        </w:rPr>
      </w:pPr>
      <w:r>
        <w:rPr>
          <w:rFonts w:hint="eastAsia"/>
          <w:sz w:val="28"/>
          <w:szCs w:val="28"/>
        </w:rPr>
        <w:t>JJF 1059.1　测量不确定度评定与表示</w:t>
      </w:r>
      <w:r>
        <w:rPr>
          <w:rFonts w:hint="eastAsia"/>
          <w:sz w:val="28"/>
          <w:szCs w:val="28"/>
          <w:lang w:eastAsia="zh-CN"/>
        </w:rPr>
        <w:t>；</w:t>
      </w:r>
    </w:p>
    <w:p w14:paraId="1E4A1568">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21" w:line="560" w:lineRule="exact"/>
        <w:ind w:right="0" w:rightChars="0" w:firstLine="560" w:firstLineChars="200"/>
        <w:textAlignment w:val="auto"/>
        <w:rPr>
          <w:rFonts w:hint="eastAsia"/>
          <w:sz w:val="28"/>
          <w:szCs w:val="28"/>
          <w:lang w:eastAsia="zh-CN"/>
        </w:rPr>
      </w:pPr>
      <w:r>
        <w:rPr>
          <w:rFonts w:hint="eastAsia"/>
          <w:sz w:val="28"/>
          <w:szCs w:val="28"/>
        </w:rPr>
        <w:t>GB/T 18901.1-2002 光纤传感器 第1部分：总规范</w:t>
      </w:r>
      <w:r>
        <w:rPr>
          <w:rFonts w:hint="eastAsia"/>
          <w:sz w:val="28"/>
          <w:szCs w:val="28"/>
          <w:lang w:eastAsia="zh-CN"/>
        </w:rPr>
        <w:t>。</w:t>
      </w:r>
    </w:p>
    <w:p w14:paraId="02AE348A">
      <w:pPr>
        <w:pStyle w:val="5"/>
        <w:keepNext w:val="0"/>
        <w:keepLines w:val="0"/>
        <w:pageBreakBefore w:val="0"/>
        <w:widowControl w:val="0"/>
        <w:numPr>
          <w:ilvl w:val="-1"/>
          <w:numId w:val="0"/>
        </w:numPr>
        <w:kinsoku/>
        <w:wordWrap/>
        <w:overflowPunct/>
        <w:topLinePunct w:val="0"/>
        <w:bidi w:val="0"/>
        <w:adjustRightInd/>
        <w:snapToGrid/>
        <w:spacing w:before="21" w:line="560" w:lineRule="exact"/>
        <w:ind w:right="994" w:rightChars="452" w:firstLine="562" w:firstLineChars="200"/>
        <w:textAlignment w:val="auto"/>
        <w:rPr>
          <w:b/>
          <w:bCs/>
          <w:sz w:val="28"/>
          <w:szCs w:val="28"/>
        </w:rPr>
      </w:pPr>
      <w:r>
        <w:rPr>
          <w:rFonts w:hint="eastAsia"/>
          <w:b/>
          <w:bCs/>
          <w:sz w:val="28"/>
          <w:szCs w:val="28"/>
          <w:lang w:val="en-US" w:eastAsia="zh-CN"/>
        </w:rPr>
        <w:t>六、</w:t>
      </w:r>
      <w:r>
        <w:rPr>
          <w:rFonts w:hint="eastAsia"/>
          <w:b/>
          <w:bCs/>
          <w:sz w:val="28"/>
          <w:szCs w:val="28"/>
        </w:rPr>
        <w:t>重大分歧意见的处理经过和依据；</w:t>
      </w:r>
    </w:p>
    <w:p w14:paraId="1DEDA241">
      <w:pPr>
        <w:pStyle w:val="5"/>
        <w:keepNext w:val="0"/>
        <w:keepLines w:val="0"/>
        <w:pageBreakBefore w:val="0"/>
        <w:widowControl w:val="0"/>
        <w:numPr>
          <w:ilvl w:val="-1"/>
          <w:numId w:val="0"/>
        </w:numPr>
        <w:kinsoku/>
        <w:wordWrap/>
        <w:overflowPunct/>
        <w:topLinePunct w:val="0"/>
        <w:bidi w:val="0"/>
        <w:adjustRightInd/>
        <w:snapToGrid/>
        <w:spacing w:before="21" w:line="560" w:lineRule="exact"/>
        <w:ind w:right="994" w:rightChars="452" w:firstLine="560" w:firstLineChars="200"/>
        <w:textAlignment w:val="auto"/>
        <w:rPr>
          <w:rFonts w:hint="eastAsia" w:ascii="宋体" w:hAnsi="宋体" w:eastAsia="宋体" w:cs="宋体"/>
          <w:sz w:val="28"/>
          <w:szCs w:val="28"/>
        </w:rPr>
      </w:pPr>
      <w:r>
        <w:rPr>
          <w:rFonts w:hint="eastAsia" w:cs="宋体"/>
          <w:sz w:val="28"/>
          <w:szCs w:val="28"/>
          <w:lang w:val="en-US" w:eastAsia="zh-CN"/>
        </w:rPr>
        <w:t>无</w:t>
      </w:r>
      <w:r>
        <w:rPr>
          <w:rFonts w:hint="eastAsia" w:ascii="宋体" w:hAnsi="宋体" w:eastAsia="宋体" w:cs="宋体"/>
          <w:sz w:val="28"/>
          <w:szCs w:val="28"/>
        </w:rPr>
        <w:t>。</w:t>
      </w:r>
    </w:p>
    <w:p w14:paraId="2CD4BD98">
      <w:pPr>
        <w:pStyle w:val="5"/>
        <w:keepNext w:val="0"/>
        <w:keepLines w:val="0"/>
        <w:pageBreakBefore w:val="0"/>
        <w:widowControl w:val="0"/>
        <w:numPr>
          <w:ilvl w:val="-1"/>
          <w:numId w:val="0"/>
        </w:numPr>
        <w:kinsoku/>
        <w:wordWrap/>
        <w:overflowPunct/>
        <w:topLinePunct w:val="0"/>
        <w:bidi w:val="0"/>
        <w:adjustRightInd/>
        <w:snapToGrid/>
        <w:spacing w:before="21" w:line="560" w:lineRule="exact"/>
        <w:ind w:right="994" w:rightChars="452" w:firstLine="562" w:firstLineChars="200"/>
        <w:textAlignment w:val="auto"/>
        <w:rPr>
          <w:rFonts w:hint="eastAsia" w:ascii="宋体" w:hAnsi="宋体" w:eastAsia="宋体" w:cs="宋体"/>
          <w:b/>
          <w:bCs/>
          <w:sz w:val="28"/>
          <w:szCs w:val="28"/>
        </w:rPr>
      </w:pPr>
      <w:r>
        <w:rPr>
          <w:rFonts w:hint="eastAsia" w:cs="宋体"/>
          <w:b/>
          <w:bCs/>
          <w:sz w:val="28"/>
          <w:szCs w:val="28"/>
          <w:lang w:val="en-US" w:eastAsia="zh-CN"/>
        </w:rPr>
        <w:t>七、</w:t>
      </w:r>
      <w:r>
        <w:rPr>
          <w:rFonts w:hint="eastAsia" w:ascii="宋体" w:hAnsi="宋体" w:eastAsia="宋体" w:cs="宋体"/>
          <w:b/>
          <w:bCs/>
          <w:sz w:val="28"/>
          <w:szCs w:val="28"/>
        </w:rPr>
        <w:t>贯彻标准的要求和措施建议</w:t>
      </w:r>
    </w:p>
    <w:p w14:paraId="1B6C0E65">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21" w:line="560" w:lineRule="exact"/>
        <w:ind w:right="0" w:rightChars="0" w:firstLine="560" w:firstLineChars="200"/>
        <w:textAlignment w:val="auto"/>
        <w:rPr>
          <w:rFonts w:hint="eastAsia"/>
          <w:sz w:val="28"/>
          <w:szCs w:val="28"/>
          <w:lang w:val="en-US" w:eastAsia="zh-CN"/>
        </w:rPr>
      </w:pPr>
      <w:r>
        <w:rPr>
          <w:rFonts w:hint="eastAsia"/>
          <w:sz w:val="28"/>
          <w:szCs w:val="28"/>
          <w:lang w:val="en-US" w:eastAsia="zh-CN"/>
        </w:rPr>
        <w:t>为了使标准得到更好更有效的实施，应组织相关管理人员、技术人员和操作人员进行标准宣贯培训，使所有的技术人员和操作人员都能灵活掌握本标准的详细条款和具体要求，并在实际工作中得到认真的贯彻和执行。</w:t>
      </w:r>
    </w:p>
    <w:p w14:paraId="2CFE32A7">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21" w:line="560" w:lineRule="exact"/>
        <w:ind w:right="0" w:rightChars="0" w:firstLine="560" w:firstLineChars="200"/>
        <w:textAlignment w:val="auto"/>
        <w:rPr>
          <w:rFonts w:hint="eastAsia"/>
          <w:sz w:val="28"/>
          <w:szCs w:val="28"/>
          <w:lang w:val="en-US" w:eastAsia="zh-CN"/>
        </w:rPr>
      </w:pPr>
      <w:r>
        <w:rPr>
          <w:rFonts w:hint="eastAsia"/>
          <w:sz w:val="28"/>
          <w:szCs w:val="28"/>
          <w:lang w:val="en-US" w:eastAsia="zh-CN"/>
        </w:rPr>
        <w:t>标准编写组后续也将及时收集各单位在标准实施中的意见及建议，并在适当的时候对标准进行修订。</w:t>
      </w:r>
    </w:p>
    <w:p w14:paraId="0E305B37">
      <w:pPr>
        <w:pStyle w:val="5"/>
        <w:keepNext w:val="0"/>
        <w:keepLines w:val="0"/>
        <w:pageBreakBefore w:val="0"/>
        <w:widowControl w:val="0"/>
        <w:numPr>
          <w:ilvl w:val="-1"/>
          <w:numId w:val="0"/>
        </w:numPr>
        <w:kinsoku/>
        <w:wordWrap/>
        <w:overflowPunct/>
        <w:topLinePunct w:val="0"/>
        <w:bidi w:val="0"/>
        <w:adjustRightInd/>
        <w:snapToGrid/>
        <w:spacing w:before="21" w:line="560" w:lineRule="exact"/>
        <w:ind w:right="994" w:rightChars="452" w:firstLine="562" w:firstLineChars="200"/>
        <w:textAlignment w:val="auto"/>
        <w:rPr>
          <w:rFonts w:hint="eastAsia" w:cs="宋体"/>
          <w:b/>
          <w:bCs/>
          <w:sz w:val="28"/>
          <w:szCs w:val="28"/>
          <w:lang w:val="en-US" w:eastAsia="zh-CN"/>
        </w:rPr>
      </w:pPr>
      <w:r>
        <w:rPr>
          <w:rFonts w:hint="eastAsia" w:cs="宋体"/>
          <w:b/>
          <w:bCs/>
          <w:sz w:val="28"/>
          <w:szCs w:val="28"/>
          <w:lang w:val="en-US" w:eastAsia="zh-CN"/>
        </w:rPr>
        <w:t>八、废止现行有关标准的建议</w:t>
      </w:r>
    </w:p>
    <w:p w14:paraId="3C3CAB75">
      <w:pPr>
        <w:pStyle w:val="5"/>
        <w:keepNext w:val="0"/>
        <w:keepLines w:val="0"/>
        <w:pageBreakBefore w:val="0"/>
        <w:widowControl w:val="0"/>
        <w:numPr>
          <w:ilvl w:val="-1"/>
          <w:numId w:val="0"/>
        </w:numPr>
        <w:kinsoku/>
        <w:wordWrap/>
        <w:overflowPunct/>
        <w:topLinePunct w:val="0"/>
        <w:bidi w:val="0"/>
        <w:adjustRightInd/>
        <w:snapToGrid/>
        <w:spacing w:before="21" w:line="560" w:lineRule="exact"/>
        <w:ind w:right="994" w:rightChars="452" w:firstLine="560" w:firstLineChars="200"/>
        <w:textAlignment w:val="auto"/>
        <w:rPr>
          <w:rFonts w:hint="eastAsia" w:cs="宋体"/>
          <w:b w:val="0"/>
          <w:bCs w:val="0"/>
          <w:sz w:val="28"/>
          <w:szCs w:val="28"/>
          <w:lang w:val="en-US" w:eastAsia="zh-CN"/>
        </w:rPr>
      </w:pPr>
      <w:r>
        <w:rPr>
          <w:rFonts w:hint="eastAsia" w:cs="宋体"/>
          <w:b w:val="0"/>
          <w:bCs w:val="0"/>
          <w:sz w:val="28"/>
          <w:szCs w:val="28"/>
          <w:lang w:val="en-US" w:eastAsia="zh-CN"/>
        </w:rPr>
        <w:t>无。</w:t>
      </w:r>
    </w:p>
    <w:p w14:paraId="6CF3D9FD">
      <w:pPr>
        <w:pStyle w:val="5"/>
        <w:keepNext w:val="0"/>
        <w:keepLines w:val="0"/>
        <w:pageBreakBefore w:val="0"/>
        <w:widowControl w:val="0"/>
        <w:numPr>
          <w:ilvl w:val="0"/>
          <w:numId w:val="0"/>
        </w:numPr>
        <w:kinsoku/>
        <w:wordWrap/>
        <w:overflowPunct/>
        <w:topLinePunct w:val="0"/>
        <w:bidi w:val="0"/>
        <w:adjustRightInd/>
        <w:snapToGrid/>
        <w:spacing w:before="21" w:line="560" w:lineRule="exact"/>
        <w:ind w:right="994" w:rightChars="452" w:firstLine="562" w:firstLineChars="200"/>
        <w:textAlignment w:val="auto"/>
        <w:rPr>
          <w:rFonts w:hint="eastAsia"/>
          <w:sz w:val="28"/>
          <w:szCs w:val="28"/>
        </w:rPr>
      </w:pPr>
      <w:r>
        <w:rPr>
          <w:rFonts w:hint="eastAsia"/>
          <w:b/>
          <w:bCs/>
          <w:sz w:val="28"/>
          <w:szCs w:val="28"/>
          <w:lang w:val="en-US" w:eastAsia="zh-CN"/>
        </w:rPr>
        <w:t>九、</w:t>
      </w:r>
      <w:r>
        <w:rPr>
          <w:rFonts w:hint="eastAsia"/>
          <w:b/>
          <w:bCs/>
          <w:sz w:val="28"/>
          <w:szCs w:val="28"/>
        </w:rPr>
        <w:t>其他应予以说明的事项。</w:t>
      </w:r>
    </w:p>
    <w:p w14:paraId="3260768E">
      <w:pPr>
        <w:pStyle w:val="5"/>
        <w:keepNext w:val="0"/>
        <w:keepLines w:val="0"/>
        <w:pageBreakBefore w:val="0"/>
        <w:widowControl w:val="0"/>
        <w:numPr>
          <w:ilvl w:val="-1"/>
          <w:numId w:val="0"/>
        </w:numPr>
        <w:kinsoku/>
        <w:wordWrap/>
        <w:overflowPunct/>
        <w:topLinePunct w:val="0"/>
        <w:bidi w:val="0"/>
        <w:adjustRightInd/>
        <w:snapToGrid/>
        <w:spacing w:before="21" w:line="560" w:lineRule="exact"/>
        <w:ind w:right="994" w:rightChars="452" w:firstLine="560" w:firstLineChars="200"/>
        <w:textAlignment w:val="auto"/>
        <w:rPr>
          <w:rFonts w:hint="eastAsia" w:ascii="宋体" w:hAnsi="宋体" w:eastAsia="宋体" w:cs="宋体"/>
          <w:sz w:val="28"/>
          <w:szCs w:val="28"/>
        </w:rPr>
      </w:pPr>
      <w:r>
        <w:rPr>
          <w:rFonts w:hint="eastAsia" w:cs="宋体"/>
          <w:sz w:val="28"/>
          <w:szCs w:val="28"/>
          <w:lang w:val="en-US" w:eastAsia="zh-CN"/>
        </w:rPr>
        <w:t>无</w:t>
      </w:r>
      <w:r>
        <w:rPr>
          <w:rFonts w:hint="eastAsia" w:ascii="宋体" w:hAnsi="宋体" w:eastAsia="宋体" w:cs="宋体"/>
          <w:sz w:val="28"/>
          <w:szCs w:val="28"/>
        </w:rPr>
        <w:t>。</w:t>
      </w:r>
    </w:p>
    <w:p w14:paraId="1F5977C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kOTAxYTRhNGMxNzNkOWQ5NThkMjBiZDk5ODIxODMifQ=="/>
  </w:docVars>
  <w:rsids>
    <w:rsidRoot w:val="62EC2941"/>
    <w:rsid w:val="49E00E70"/>
    <w:rsid w:val="5B4F1055"/>
    <w:rsid w:val="62EC2941"/>
    <w:rsid w:val="7C061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zh-CN" w:eastAsia="zh-CN" w:bidi="zh-CN"/>
    </w:rPr>
  </w:style>
  <w:style w:type="paragraph" w:styleId="2">
    <w:name w:val="heading 1"/>
    <w:basedOn w:val="1"/>
    <w:next w:val="1"/>
    <w:qFormat/>
    <w:uiPriority w:val="1"/>
    <w:pPr>
      <w:spacing w:before="8"/>
      <w:ind w:left="1134"/>
      <w:outlineLvl w:val="0"/>
    </w:pPr>
    <w:rPr>
      <w:rFonts w:ascii="黑体" w:hAnsi="黑体" w:eastAsia="黑体" w:cs="黑体"/>
      <w:sz w:val="28"/>
      <w:szCs w:val="28"/>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5">
    <w:name w:val="List Paragraph"/>
    <w:basedOn w:val="1"/>
    <w:qFormat/>
    <w:uiPriority w:val="1"/>
    <w:pPr>
      <w:spacing w:before="161"/>
      <w:ind w:left="1800" w:hanging="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1024</Words>
  <Characters>1126</Characters>
  <Lines>0</Lines>
  <Paragraphs>0</Paragraphs>
  <TotalTime>2</TotalTime>
  <ScaleCrop>false</ScaleCrop>
  <LinksUpToDate>false</LinksUpToDate>
  <CharactersWithSpaces>1139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2023-02-06T02:07:00Z</dcterms:created>
  <dc:creator>樱桃</dc:creator>
  <cp:lastModifiedBy>风雨兼程</cp:lastModifiedBy>
  <dcterms:modified xsi:type="dcterms:W3CDTF">2025-07-04T04:05:27Z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BDA30D6AC68E4FCBBD4387C458CFE54D</vt:lpwstr>
  </property>
  <property fmtid="{D5CDD505-2E9C-101B-9397-08002B2CF9AE}" pid="4" name="KSOTemplateDocerSaveRecord">
    <vt:lpwstr>eyJoZGlkIjoiZmVmOWQ2MDM1NjhlOGE0NzQwMWMzZDNhNzViYTE1ZWIiLCJ1c2VySWQiOiI0Mjc2MDkxMTIifQ==</vt:lpwstr>
  </property>
</Properties>
</file>