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DC" w:rsidRDefault="00966012">
      <w:pPr>
        <w:pStyle w:val="2"/>
        <w:keepNext w:val="0"/>
        <w:keepLines w:val="0"/>
        <w:kinsoku w:val="0"/>
        <w:overflowPunct w:val="0"/>
        <w:autoSpaceDE w:val="0"/>
        <w:autoSpaceDN w:val="0"/>
        <w:adjustRightInd w:val="0"/>
        <w:spacing w:line="280" w:lineRule="exact"/>
        <w:ind w:left="249"/>
        <w:jc w:val="left"/>
        <w:rPr>
          <w:rFonts w:ascii="Times New Roman" w:eastAsia="Times New Roman" w:hAnsi="Times New Roman"/>
          <w:bCs w:val="0"/>
          <w:color w:val="231F20"/>
          <w:kern w:val="0"/>
          <w:sz w:val="21"/>
          <w:szCs w:val="20"/>
        </w:rPr>
      </w:pPr>
      <w:bookmarkStart w:id="0" w:name="_Toc190349583"/>
      <w:bookmarkStart w:id="1" w:name="_Toc201061770"/>
      <w:bookmarkStart w:id="2" w:name="_Toc199170908"/>
      <w:bookmarkStart w:id="3" w:name="_Toc190340879"/>
      <w:bookmarkStart w:id="4" w:name="SectionMark0"/>
      <w:r>
        <w:rPr>
          <w:rFonts w:ascii="Times New Roman" w:eastAsia="Times New Roman" w:hAnsi="Times New Roman" w:hint="eastAsia"/>
          <w:bCs w:val="0"/>
          <w:color w:val="231F20"/>
          <w:kern w:val="0"/>
          <w:sz w:val="21"/>
          <w:szCs w:val="20"/>
        </w:rPr>
        <w:t>ICS 75.180.10</w:t>
      </w:r>
      <w:r>
        <w:rPr>
          <w:rFonts w:asciiTheme="minorEastAsia" w:eastAsiaTheme="minorEastAsia" w:hAnsiTheme="minorEastAsia" w:hint="eastAsia"/>
          <w:bCs w:val="0"/>
          <w:color w:val="231F20"/>
          <w:kern w:val="0"/>
          <w:sz w:val="21"/>
          <w:szCs w:val="20"/>
        </w:rPr>
        <w:t xml:space="preserve">（黑体，5号）                            </w:t>
      </w:r>
      <w:r>
        <w:rPr>
          <w:rFonts w:ascii="隶书" w:eastAsia="隶书" w:hAnsiTheme="minorEastAsia" w:hint="eastAsia"/>
          <w:bCs w:val="0"/>
          <w:color w:val="231F20"/>
          <w:kern w:val="0"/>
          <w:sz w:val="36"/>
          <w:szCs w:val="36"/>
        </w:rPr>
        <w:t>CPI</w:t>
      </w:r>
      <w:r>
        <w:rPr>
          <w:rFonts w:ascii="隶书" w:eastAsia="隶书" w:hint="eastAsia"/>
          <w:sz w:val="28"/>
          <w:szCs w:val="28"/>
        </w:rPr>
        <w:t>（专用字）</w:t>
      </w:r>
      <w:bookmarkEnd w:id="0"/>
      <w:bookmarkEnd w:id="1"/>
      <w:bookmarkEnd w:id="2"/>
      <w:bookmarkEnd w:id="3"/>
      <w:r>
        <w:rPr>
          <w:rFonts w:asciiTheme="minorEastAsia" w:eastAsiaTheme="minorEastAsia" w:hAnsiTheme="minorEastAsia" w:hint="eastAsia"/>
          <w:bCs w:val="0"/>
          <w:color w:val="231F20"/>
          <w:kern w:val="0"/>
          <w:sz w:val="21"/>
          <w:szCs w:val="20"/>
        </w:rPr>
        <w:t xml:space="preserve"> </w:t>
      </w:r>
    </w:p>
    <w:p w:rsidR="006B0DDC" w:rsidRDefault="00966012">
      <w:pPr>
        <w:pStyle w:val="2"/>
        <w:keepNext w:val="0"/>
        <w:keepLines w:val="0"/>
        <w:kinsoku w:val="0"/>
        <w:overflowPunct w:val="0"/>
        <w:autoSpaceDE w:val="0"/>
        <w:autoSpaceDN w:val="0"/>
        <w:adjustRightInd w:val="0"/>
        <w:spacing w:line="280" w:lineRule="exact"/>
        <w:ind w:left="249"/>
        <w:jc w:val="left"/>
        <w:rPr>
          <w:rFonts w:ascii="Times New Roman" w:eastAsia="Times New Roman" w:hAnsi="Times New Roman"/>
          <w:bCs w:val="0"/>
          <w:color w:val="231F20"/>
          <w:kern w:val="0"/>
          <w:sz w:val="21"/>
          <w:szCs w:val="20"/>
        </w:rPr>
      </w:pPr>
      <w:bookmarkStart w:id="5" w:name="_Toc199170909"/>
      <w:bookmarkStart w:id="6" w:name="_Toc201061771"/>
      <w:bookmarkStart w:id="7" w:name="_Toc190340880"/>
      <w:bookmarkStart w:id="8" w:name="_Toc190349584"/>
      <w:r>
        <w:rPr>
          <w:rFonts w:ascii="Times New Roman" w:eastAsia="Times New Roman" w:hAnsi="Times New Roman" w:hint="eastAsia"/>
          <w:bCs w:val="0"/>
          <w:color w:val="231F20"/>
          <w:kern w:val="0"/>
          <w:sz w:val="21"/>
          <w:szCs w:val="20"/>
        </w:rPr>
        <w:t>E 92</w:t>
      </w:r>
      <w:r>
        <w:rPr>
          <w:rFonts w:asciiTheme="minorEastAsia" w:eastAsiaTheme="minorEastAsia" w:hAnsiTheme="minorEastAsia" w:hint="eastAsia"/>
          <w:bCs w:val="0"/>
          <w:color w:val="231F20"/>
          <w:kern w:val="0"/>
          <w:sz w:val="21"/>
          <w:szCs w:val="20"/>
        </w:rPr>
        <w:t>（黑体，5号）</w:t>
      </w:r>
      <w:bookmarkEnd w:id="5"/>
      <w:bookmarkEnd w:id="6"/>
      <w:bookmarkEnd w:id="7"/>
      <w:bookmarkEnd w:id="8"/>
      <w:r>
        <w:rPr>
          <w:rFonts w:asciiTheme="minorEastAsia" w:eastAsiaTheme="minorEastAsia" w:hAnsiTheme="minorEastAsia" w:hint="eastAsia"/>
          <w:bCs w:val="0"/>
          <w:color w:val="231F20"/>
          <w:kern w:val="0"/>
          <w:sz w:val="21"/>
          <w:szCs w:val="20"/>
        </w:rPr>
        <w:t xml:space="preserve">                                     </w:t>
      </w:r>
    </w:p>
    <w:p w:rsidR="006B0DDC" w:rsidRDefault="00966012">
      <w:pPr>
        <w:pStyle w:val="afffff1"/>
        <w:tabs>
          <w:tab w:val="left" w:pos="0"/>
        </w:tabs>
        <w:jc w:val="center"/>
        <w:rPr>
          <w:rFonts w:ascii="隶书" w:eastAsia="隶书"/>
          <w:sz w:val="124"/>
          <w:szCs w:val="124"/>
        </w:rPr>
      </w:pPr>
      <w:r>
        <w:rPr>
          <w:rFonts w:ascii="隶书" w:eastAsia="隶书" w:hint="eastAsia"/>
          <w:sz w:val="124"/>
          <w:szCs w:val="124"/>
        </w:rPr>
        <w:t>团</w:t>
      </w:r>
      <w:r>
        <w:rPr>
          <w:rFonts w:ascii="隶书" w:eastAsia="隶书" w:hint="eastAsia"/>
          <w:sz w:val="124"/>
          <w:szCs w:val="124"/>
        </w:rPr>
        <w:tab/>
      </w:r>
      <w:r>
        <w:rPr>
          <w:rFonts w:ascii="隶书" w:eastAsia="隶书" w:hint="eastAsia"/>
          <w:sz w:val="124"/>
          <w:szCs w:val="124"/>
        </w:rPr>
        <w:tab/>
        <w:t>体</w:t>
      </w:r>
      <w:r>
        <w:rPr>
          <w:rFonts w:ascii="隶书" w:eastAsia="隶书" w:hint="eastAsia"/>
          <w:sz w:val="124"/>
          <w:szCs w:val="124"/>
        </w:rPr>
        <w:tab/>
      </w:r>
      <w:r>
        <w:rPr>
          <w:rFonts w:ascii="隶书" w:eastAsia="隶书" w:hint="eastAsia"/>
          <w:sz w:val="124"/>
          <w:szCs w:val="124"/>
        </w:rPr>
        <w:tab/>
        <w:t>标</w:t>
      </w:r>
      <w:r>
        <w:rPr>
          <w:rFonts w:ascii="隶书" w:eastAsia="隶书" w:hint="eastAsia"/>
          <w:sz w:val="124"/>
          <w:szCs w:val="124"/>
        </w:rPr>
        <w:tab/>
      </w:r>
      <w:r>
        <w:rPr>
          <w:rFonts w:ascii="隶书" w:eastAsia="隶书" w:hint="eastAsia"/>
          <w:sz w:val="124"/>
          <w:szCs w:val="124"/>
        </w:rPr>
        <w:tab/>
        <w:t>准</w:t>
      </w:r>
      <w:r>
        <w:rPr>
          <w:rFonts w:ascii="隶书" w:eastAsia="隶书" w:hint="eastAsia"/>
          <w:sz w:val="28"/>
          <w:szCs w:val="28"/>
        </w:rPr>
        <w:t>（专用字）</w:t>
      </w:r>
    </w:p>
    <w:p w:rsidR="006B0DDC" w:rsidRDefault="0098417D">
      <w:pPr>
        <w:pStyle w:val="afffff1"/>
        <w:tabs>
          <w:tab w:val="left" w:pos="5775"/>
        </w:tabs>
        <w:wordWrap w:val="0"/>
        <w:ind w:right="400"/>
        <w:rPr>
          <w:rFonts w:asciiTheme="minorEastAsia" w:eastAsiaTheme="minorEastAsia" w:hAnsiTheme="minorEastAsia"/>
          <w:bCs/>
          <w:color w:val="231F20"/>
          <w:sz w:val="21"/>
        </w:rPr>
      </w:pPr>
      <w:r w:rsidRPr="0098417D">
        <w:pict>
          <v:line id="直线 10" o:spid="_x0000_s1026" style="position:absolute;left:0;text-align:left;z-index:251659264" from="2.65pt,29.75pt" to="416.5pt,31pt" o:gfxdata="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FWlbYAAAABwEA&#10;AA8AAAAAAAAAAQAgAAAAIgAAAGRycy9kb3ducmV2LnhtbFBLAQIUABQAAAAIAIdO4kDEf0tL4QEA&#10;ALUDAAAOAAAAAAAAAAEAIAAAACcBAABkcnMvZTJvRG9jLnhtbFBLBQYAAAAABgAGAFkBAAB6BQAA&#10;AAA=&#10;" strokeweight="1pt"/>
        </w:pict>
      </w:r>
      <w:r w:rsidR="00966012">
        <w:rPr>
          <w:rFonts w:asciiTheme="minorEastAsia" w:eastAsiaTheme="minorEastAsia" w:hAnsiTheme="minorEastAsia" w:hint="eastAsia"/>
          <w:b/>
          <w:color w:val="231F20"/>
          <w:sz w:val="28"/>
        </w:rPr>
        <w:t xml:space="preserve">                             </w:t>
      </w:r>
      <w:r w:rsidR="00966012">
        <w:rPr>
          <w:rFonts w:eastAsia="Times New Roman" w:hint="eastAsia"/>
          <w:b/>
          <w:color w:val="231F20"/>
          <w:sz w:val="28"/>
        </w:rPr>
        <w:t>T/CPI XXXX</w:t>
      </w:r>
      <w:r w:rsidR="00966012">
        <w:rPr>
          <w:rFonts w:ascii="汉仪中黑简" w:eastAsia="汉仪中黑简" w:hAnsi="汉仪中黑简" w:hint="eastAsia"/>
          <w:color w:val="231F20"/>
          <w:sz w:val="28"/>
        </w:rPr>
        <w:t>—</w:t>
      </w:r>
      <w:r w:rsidR="00966012">
        <w:rPr>
          <w:rFonts w:eastAsia="Times New Roman" w:hint="eastAsia"/>
          <w:b/>
          <w:color w:val="231F20"/>
          <w:sz w:val="28"/>
        </w:rPr>
        <w:t>202X</w:t>
      </w:r>
      <w:r w:rsidR="00966012">
        <w:rPr>
          <w:rFonts w:asciiTheme="minorEastAsia" w:eastAsiaTheme="minorEastAsia" w:hAnsiTheme="minorEastAsia" w:hint="eastAsia"/>
          <w:bCs/>
          <w:color w:val="231F20"/>
          <w:sz w:val="21"/>
        </w:rPr>
        <w:t>（黑体，4号）</w:t>
      </w:r>
    </w:p>
    <w:p w:rsidR="006B0DDC" w:rsidRDefault="006B0DDC">
      <w:pPr>
        <w:pStyle w:val="afffff1"/>
        <w:tabs>
          <w:tab w:val="left" w:pos="5775"/>
        </w:tabs>
        <w:wordWrap w:val="0"/>
        <w:jc w:val="right"/>
        <w:rPr>
          <w:rFonts w:ascii="宋体" w:hAnsi="宋体"/>
          <w:sz w:val="21"/>
          <w:szCs w:val="21"/>
        </w:rPr>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966012">
      <w:pPr>
        <w:pStyle w:val="affffc"/>
        <w:framePr w:w="0" w:hRule="auto" w:wrap="auto" w:vAnchor="margin" w:hAnchor="text" w:xAlign="left" w:yAlign="inline"/>
        <w:rPr>
          <w:rFonts w:hAnsi="黑体"/>
          <w:szCs w:val="52"/>
        </w:rPr>
      </w:pPr>
      <w:r>
        <w:rPr>
          <w:rFonts w:hAnsi="黑体" w:hint="eastAsia"/>
          <w:szCs w:val="52"/>
        </w:rPr>
        <w:t>安全阀基于风险的检验应用指南</w:t>
      </w:r>
    </w:p>
    <w:p w:rsidR="006B0DDC" w:rsidRDefault="00966012">
      <w:pPr>
        <w:pStyle w:val="affffc"/>
        <w:framePr w:w="0" w:hRule="auto" w:wrap="auto" w:vAnchor="margin" w:hAnchor="text" w:xAlign="left" w:yAlign="inline"/>
        <w:snapToGrid w:val="0"/>
        <w:spacing w:line="240" w:lineRule="auto"/>
        <w:rPr>
          <w:rFonts w:hAnsi="黑体" w:cs="黑体"/>
          <w:b/>
          <w:sz w:val="28"/>
          <w:szCs w:val="28"/>
        </w:rPr>
      </w:pPr>
      <w:r>
        <w:rPr>
          <w:b/>
          <w:sz w:val="28"/>
          <w:szCs w:val="28"/>
        </w:rPr>
        <w:t xml:space="preserve">Application guide for risk-based inspection of safety valves </w:t>
      </w:r>
    </w:p>
    <w:p w:rsidR="006B0DDC" w:rsidRDefault="006B0DDC">
      <w:pPr>
        <w:pStyle w:val="afffff1"/>
        <w:tabs>
          <w:tab w:val="left" w:pos="5775"/>
        </w:tabs>
        <w:rPr>
          <w:rFonts w:eastAsiaTheme="minorEastAsia"/>
          <w:b/>
          <w:color w:val="231F20"/>
          <w:sz w:val="28"/>
        </w:rPr>
      </w:pPr>
    </w:p>
    <w:p w:rsidR="006B0DDC" w:rsidRDefault="006B0DDC">
      <w:pPr>
        <w:pStyle w:val="afffff1"/>
        <w:tabs>
          <w:tab w:val="left" w:pos="5775"/>
        </w:tabs>
        <w:rPr>
          <w:rFonts w:eastAsiaTheme="minorEastAsia"/>
        </w:rPr>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pStyle w:val="afffff1"/>
        <w:tabs>
          <w:tab w:val="left" w:pos="5775"/>
        </w:tabs>
      </w:pPr>
    </w:p>
    <w:p w:rsidR="006B0DDC" w:rsidRDefault="006B0DDC">
      <w:pPr>
        <w:jc w:val="center"/>
      </w:pPr>
    </w:p>
    <w:p w:rsidR="006B0DDC" w:rsidRDefault="006B0DDC">
      <w:pPr>
        <w:jc w:val="center"/>
      </w:pPr>
    </w:p>
    <w:p w:rsidR="006B0DDC" w:rsidRDefault="006B0DDC">
      <w:pPr>
        <w:jc w:val="center"/>
      </w:pPr>
    </w:p>
    <w:p w:rsidR="006B0DDC" w:rsidRDefault="006B0DDC">
      <w:pPr>
        <w:jc w:val="center"/>
      </w:pPr>
    </w:p>
    <w:p w:rsidR="006B0DDC" w:rsidRDefault="00966012">
      <w:pPr>
        <w:snapToGrid w:val="0"/>
        <w:rPr>
          <w:rFonts w:ascii="黑体" w:eastAsia="黑体" w:hAnsi="黑体"/>
          <w:sz w:val="28"/>
          <w:szCs w:val="28"/>
        </w:rPr>
      </w:pPr>
      <w:r>
        <w:rPr>
          <w:rFonts w:ascii="黑体" w:eastAsia="黑体" w:hAnsi="黑体" w:hint="eastAsia"/>
          <w:sz w:val="28"/>
          <w:szCs w:val="28"/>
        </w:rPr>
        <w:t>202X</w:t>
      </w:r>
      <w:r>
        <w:rPr>
          <w:rFonts w:ascii="黑体" w:eastAsia="黑体" w:hAnsi="黑体"/>
          <w:sz w:val="28"/>
          <w:szCs w:val="28"/>
        </w:rPr>
        <w:t>-</w:t>
      </w:r>
      <w:r>
        <w:rPr>
          <w:rFonts w:ascii="黑体" w:eastAsia="黑体" w:hAnsi="黑体" w:hint="eastAsia"/>
          <w:sz w:val="28"/>
          <w:szCs w:val="28"/>
        </w:rPr>
        <w:t>XX</w:t>
      </w:r>
      <w:r>
        <w:rPr>
          <w:rFonts w:ascii="黑体" w:eastAsia="黑体" w:hAnsi="黑体"/>
          <w:sz w:val="28"/>
          <w:szCs w:val="28"/>
        </w:rPr>
        <w:t>-</w:t>
      </w:r>
      <w:r>
        <w:rPr>
          <w:rFonts w:ascii="黑体" w:eastAsia="黑体" w:hAnsi="黑体" w:hint="eastAsia"/>
          <w:sz w:val="28"/>
          <w:szCs w:val="28"/>
        </w:rPr>
        <w:t>XX</w:t>
      </w:r>
      <w:r>
        <w:rPr>
          <w:rFonts w:ascii="汉仪中黑简" w:eastAsia="汉仪中黑简" w:hAnsi="汉仪中黑简" w:hint="eastAsia"/>
          <w:color w:val="231F20"/>
          <w:kern w:val="0"/>
          <w:sz w:val="28"/>
          <w:szCs w:val="20"/>
        </w:rPr>
        <w:t xml:space="preserve">发布 </w:t>
      </w:r>
      <w:r>
        <w:rPr>
          <w:rFonts w:asciiTheme="minorEastAsia" w:eastAsiaTheme="minorEastAsia" w:hAnsiTheme="minorEastAsia" w:hint="eastAsia"/>
          <w:bCs/>
          <w:color w:val="231F20"/>
          <w:kern w:val="0"/>
          <w:szCs w:val="20"/>
        </w:rPr>
        <w:t>（黑体，</w:t>
      </w:r>
      <w:r>
        <w:rPr>
          <w:rFonts w:asciiTheme="minorEastAsia" w:eastAsiaTheme="minorEastAsia" w:hAnsiTheme="minorEastAsia" w:hint="eastAsia"/>
          <w:bCs/>
          <w:color w:val="231F20"/>
        </w:rPr>
        <w:t>4</w:t>
      </w:r>
      <w:r>
        <w:rPr>
          <w:rFonts w:asciiTheme="minorEastAsia" w:eastAsiaTheme="minorEastAsia" w:hAnsiTheme="minorEastAsia" w:hint="eastAsia"/>
          <w:bCs/>
          <w:color w:val="231F20"/>
          <w:kern w:val="0"/>
          <w:szCs w:val="20"/>
        </w:rPr>
        <w:t>号</w:t>
      </w:r>
      <w:r>
        <w:rPr>
          <w:rFonts w:ascii="汉仪中黑简" w:eastAsia="汉仪中黑简" w:hAnsi="汉仪中黑简" w:hint="eastAsia"/>
          <w:color w:val="231F20"/>
          <w:kern w:val="0"/>
          <w:sz w:val="28"/>
          <w:szCs w:val="20"/>
        </w:rPr>
        <w:t xml:space="preserve"> ）       </w:t>
      </w:r>
      <w:r>
        <w:rPr>
          <w:rFonts w:ascii="黑体" w:eastAsia="黑体" w:hAnsi="黑体" w:hint="eastAsia"/>
          <w:sz w:val="28"/>
          <w:szCs w:val="28"/>
        </w:rPr>
        <w:t>202X</w:t>
      </w:r>
      <w:r>
        <w:rPr>
          <w:rFonts w:ascii="黑体" w:eastAsia="黑体" w:hAnsi="黑体"/>
          <w:sz w:val="28"/>
          <w:szCs w:val="28"/>
        </w:rPr>
        <w:t>-</w:t>
      </w:r>
      <w:r>
        <w:rPr>
          <w:rFonts w:ascii="黑体" w:eastAsia="黑体" w:hAnsi="黑体" w:hint="eastAsia"/>
          <w:sz w:val="28"/>
          <w:szCs w:val="28"/>
        </w:rPr>
        <w:t>XX</w:t>
      </w:r>
      <w:r>
        <w:rPr>
          <w:rFonts w:ascii="黑体" w:eastAsia="黑体" w:hAnsi="黑体"/>
          <w:sz w:val="28"/>
          <w:szCs w:val="28"/>
        </w:rPr>
        <w:t>-</w:t>
      </w:r>
      <w:r>
        <w:rPr>
          <w:rFonts w:ascii="黑体" w:eastAsia="黑体" w:hAnsi="黑体" w:hint="eastAsia"/>
          <w:sz w:val="28"/>
          <w:szCs w:val="28"/>
        </w:rPr>
        <w:t>XX</w:t>
      </w:r>
      <w:r>
        <w:rPr>
          <w:rFonts w:ascii="黑体" w:eastAsia="黑体" w:hAnsi="黑体"/>
          <w:sz w:val="28"/>
          <w:szCs w:val="28"/>
        </w:rPr>
        <w:t xml:space="preserve"> 实施</w:t>
      </w:r>
      <w:r>
        <w:rPr>
          <w:rFonts w:asciiTheme="minorEastAsia" w:eastAsiaTheme="minorEastAsia" w:hAnsiTheme="minorEastAsia" w:hint="eastAsia"/>
          <w:bCs/>
          <w:color w:val="231F20"/>
          <w:kern w:val="0"/>
          <w:szCs w:val="20"/>
        </w:rPr>
        <w:t>（黑体，</w:t>
      </w:r>
      <w:r>
        <w:rPr>
          <w:rFonts w:asciiTheme="minorEastAsia" w:eastAsiaTheme="minorEastAsia" w:hAnsiTheme="minorEastAsia" w:hint="eastAsia"/>
          <w:bCs/>
          <w:color w:val="231F20"/>
        </w:rPr>
        <w:t>4</w:t>
      </w:r>
      <w:r>
        <w:rPr>
          <w:rFonts w:asciiTheme="minorEastAsia" w:eastAsiaTheme="minorEastAsia" w:hAnsiTheme="minorEastAsia" w:hint="eastAsia"/>
          <w:bCs/>
          <w:color w:val="231F20"/>
          <w:kern w:val="0"/>
          <w:szCs w:val="20"/>
        </w:rPr>
        <w:t>号）</w:t>
      </w:r>
    </w:p>
    <w:p w:rsidR="006B0DDC" w:rsidRDefault="0098417D">
      <w:pPr>
        <w:pStyle w:val="afffff1"/>
        <w:tabs>
          <w:tab w:val="left" w:pos="5775"/>
        </w:tabs>
        <w:jc w:val="center"/>
        <w:rPr>
          <w:rFonts w:ascii="隶书" w:eastAsia="隶书"/>
          <w:sz w:val="10"/>
          <w:szCs w:val="10"/>
        </w:rPr>
      </w:pPr>
      <w:r w:rsidRPr="0098417D">
        <w:pict>
          <v:shapetype id="_x0000_t32" coordsize="21600,21600" o:spt="32" o:oned="t" path="m,l21600,21600e" filled="f">
            <v:path arrowok="t" fillok="f" o:connecttype="none"/>
            <o:lock v:ext="edit" shapetype="t"/>
          </v:shapetype>
          <v:shape id="AutoShape 51" o:spid="_x0000_s2050" type="#_x0000_t32" style="position:absolute;left:0;text-align:left;margin-left:0;margin-top:3.8pt;width:420pt;height:0;z-index:251660288" o:gfxdata="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XDb6tIAAAAEAQAADwAAAAAAAAABACAA&#10;AAAiAAAAZHJzL2Rvd25yZXYueG1sUEsBAhQAFAAAAAgAh07iQLe/JB3aAQAAwQMAAA4AAAAAAAAA&#10;AQAgAAAAIQEAAGRycy9lMm9Eb2MueG1sUEsFBgAAAAAGAAYAWQEAAG0FAAAAAA==&#10;"/>
        </w:pict>
      </w:r>
    </w:p>
    <w:p w:rsidR="006B0DDC" w:rsidRDefault="00966012">
      <w:pPr>
        <w:pStyle w:val="afffff1"/>
        <w:tabs>
          <w:tab w:val="left" w:pos="5775"/>
        </w:tabs>
        <w:jc w:val="center"/>
        <w:rPr>
          <w:rFonts w:ascii="隶书" w:eastAsia="隶书"/>
          <w:sz w:val="42"/>
          <w:szCs w:val="42"/>
        </w:rPr>
      </w:pPr>
      <w:r>
        <w:rPr>
          <w:rFonts w:ascii="隶书" w:eastAsia="隶书" w:hint="eastAsia"/>
          <w:sz w:val="42"/>
          <w:szCs w:val="42"/>
        </w:rPr>
        <w:t>中国石油和石油化工设备工业协会</w:t>
      </w:r>
      <w:r>
        <w:rPr>
          <w:rFonts w:ascii="隶书" w:eastAsia="隶书" w:hint="eastAsia"/>
          <w:sz w:val="28"/>
          <w:szCs w:val="28"/>
        </w:rPr>
        <w:t>（专用字）</w:t>
      </w:r>
    </w:p>
    <w:p w:rsidR="006B0DDC" w:rsidRDefault="006B0DDC">
      <w:pPr>
        <w:pStyle w:val="afffff1"/>
        <w:tabs>
          <w:tab w:val="left" w:pos="5775"/>
        </w:tabs>
        <w:rPr>
          <w:rFonts w:ascii="隶书" w:eastAsia="隶书"/>
          <w:sz w:val="48"/>
          <w:szCs w:val="48"/>
        </w:rPr>
        <w:sectPr w:rsidR="006B0DDC">
          <w:footerReference w:type="even" r:id="rId9"/>
          <w:headerReference w:type="first" r:id="rId10"/>
          <w:footerReference w:type="first" r:id="rId11"/>
          <w:type w:val="oddPage"/>
          <w:pgSz w:w="11906" w:h="16838"/>
          <w:pgMar w:top="1440" w:right="1800" w:bottom="1440" w:left="1800" w:header="851" w:footer="992" w:gutter="0"/>
          <w:cols w:space="425"/>
          <w:docGrid w:type="lines" w:linePitch="312"/>
        </w:sectPr>
      </w:pPr>
    </w:p>
    <w:p w:rsidR="006B0DDC" w:rsidRDefault="00966012">
      <w:pPr>
        <w:ind w:right="-2"/>
        <w:jc w:val="center"/>
        <w:rPr>
          <w:rFonts w:hAnsi="黑体"/>
          <w:b/>
          <w:sz w:val="36"/>
          <w:szCs w:val="52"/>
        </w:rPr>
      </w:pPr>
      <w:bookmarkStart w:id="9" w:name="_Toc46482448"/>
      <w:bookmarkStart w:id="10" w:name="_Toc62137825"/>
      <w:bookmarkStart w:id="11" w:name="_Toc46499203"/>
      <w:bookmarkEnd w:id="4"/>
      <w:r>
        <w:rPr>
          <w:rFonts w:ascii="黑体" w:eastAsia="黑体" w:hAnsi="黑体" w:cs="黑体" w:hint="eastAsia"/>
          <w:bCs/>
          <w:sz w:val="32"/>
          <w:szCs w:val="32"/>
        </w:rPr>
        <w:lastRenderedPageBreak/>
        <w:t>目  次</w:t>
      </w:r>
    </w:p>
    <w:p w:rsidR="006B0DDC" w:rsidRDefault="0098417D">
      <w:pPr>
        <w:pStyle w:val="20"/>
        <w:tabs>
          <w:tab w:val="right" w:leader="dot" w:pos="8296"/>
        </w:tabs>
        <w:rPr>
          <w:rFonts w:eastAsiaTheme="minorEastAsia" w:cstheme="minorBidi"/>
          <w:b/>
          <w:bCs/>
          <w:caps/>
          <w:sz w:val="21"/>
          <w:szCs w:val="22"/>
        </w:rPr>
      </w:pPr>
      <w:r w:rsidRPr="0098417D">
        <w:rPr>
          <w:rFonts w:ascii="Times New Roman" w:eastAsiaTheme="minorEastAsia" w:hAnsi="Times New Roman"/>
          <w:b/>
          <w:sz w:val="21"/>
          <w:szCs w:val="21"/>
        </w:rPr>
        <w:fldChar w:fldCharType="begin"/>
      </w:r>
      <w:r w:rsidR="00966012">
        <w:rPr>
          <w:rFonts w:ascii="Times New Roman" w:eastAsiaTheme="minorEastAsia" w:hAnsi="Times New Roman"/>
          <w:b/>
          <w:sz w:val="21"/>
          <w:szCs w:val="21"/>
        </w:rPr>
        <w:instrText xml:space="preserve"> TOC \o "1-3" \h \z \u </w:instrText>
      </w:r>
      <w:r w:rsidRPr="0098417D">
        <w:rPr>
          <w:rFonts w:ascii="Times New Roman" w:eastAsiaTheme="minorEastAsia" w:hAnsi="Times New Roman"/>
          <w:b/>
          <w:sz w:val="21"/>
          <w:szCs w:val="21"/>
        </w:rPr>
        <w:fldChar w:fldCharType="separate"/>
      </w:r>
      <w:hyperlink w:anchor="_Toc201061772" w:history="1">
        <w:r w:rsidR="00966012">
          <w:rPr>
            <w:rStyle w:val="afff2"/>
            <w:rFonts w:hint="eastAsia"/>
          </w:rPr>
          <w:t>前</w:t>
        </w:r>
        <w:r w:rsidR="00966012">
          <w:rPr>
            <w:rStyle w:val="afff2"/>
          </w:rPr>
          <w:t xml:space="preserve">  </w:t>
        </w:r>
        <w:r w:rsidR="00966012">
          <w:rPr>
            <w:rStyle w:val="afff2"/>
            <w:rFonts w:hint="eastAsia"/>
          </w:rPr>
          <w:t>言</w:t>
        </w:r>
        <w:r w:rsidR="00966012">
          <w:tab/>
        </w:r>
        <w:r>
          <w:fldChar w:fldCharType="begin"/>
        </w:r>
        <w:r w:rsidR="00966012">
          <w:instrText xml:space="preserve"> PAGEREF _Toc201061772 \h </w:instrText>
        </w:r>
        <w:r>
          <w:fldChar w:fldCharType="separate"/>
        </w:r>
        <w:r w:rsidR="00966012">
          <w:t>1</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74" w:history="1">
        <w:r w:rsidR="00966012">
          <w:rPr>
            <w:rStyle w:val="afff2"/>
          </w:rPr>
          <w:t>1</w:t>
        </w:r>
        <w:r w:rsidR="00966012">
          <w:rPr>
            <w:rStyle w:val="afff2"/>
            <w:rFonts w:hint="eastAsia"/>
          </w:rPr>
          <w:t xml:space="preserve"> </w:t>
        </w:r>
        <w:r w:rsidR="00966012">
          <w:rPr>
            <w:rStyle w:val="afff2"/>
            <w:rFonts w:hint="eastAsia"/>
          </w:rPr>
          <w:t>范围</w:t>
        </w:r>
        <w:r w:rsidR="00966012">
          <w:tab/>
        </w:r>
        <w:r>
          <w:fldChar w:fldCharType="begin"/>
        </w:r>
        <w:r w:rsidR="00966012">
          <w:instrText xml:space="preserve"> PAGEREF _Toc201061774 \h </w:instrText>
        </w:r>
        <w:r>
          <w:fldChar w:fldCharType="separate"/>
        </w:r>
        <w:r w:rsidR="00966012">
          <w:t>1</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75" w:history="1">
        <w:r w:rsidR="00966012">
          <w:rPr>
            <w:rStyle w:val="afff2"/>
          </w:rPr>
          <w:t>2</w:t>
        </w:r>
        <w:r w:rsidR="00966012">
          <w:rPr>
            <w:rStyle w:val="afff2"/>
            <w:rFonts w:hint="eastAsia"/>
          </w:rPr>
          <w:t xml:space="preserve"> </w:t>
        </w:r>
        <w:r w:rsidR="00966012">
          <w:rPr>
            <w:rStyle w:val="afff2"/>
            <w:rFonts w:hint="eastAsia"/>
          </w:rPr>
          <w:t>规范性引用文件</w:t>
        </w:r>
        <w:r w:rsidR="00966012">
          <w:tab/>
        </w:r>
        <w:r>
          <w:fldChar w:fldCharType="begin"/>
        </w:r>
        <w:r w:rsidR="00966012">
          <w:instrText xml:space="preserve"> PAGEREF _Toc201061775 \h </w:instrText>
        </w:r>
        <w:r>
          <w:fldChar w:fldCharType="separate"/>
        </w:r>
        <w:r w:rsidR="00966012">
          <w:t>1</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76" w:history="1">
        <w:r w:rsidR="00966012">
          <w:rPr>
            <w:rStyle w:val="afff2"/>
          </w:rPr>
          <w:t>3</w:t>
        </w:r>
        <w:r w:rsidR="00966012">
          <w:rPr>
            <w:rStyle w:val="afff2"/>
            <w:rFonts w:hint="eastAsia"/>
          </w:rPr>
          <w:t xml:space="preserve"> </w:t>
        </w:r>
        <w:r w:rsidR="00966012">
          <w:rPr>
            <w:rStyle w:val="afff2"/>
            <w:rFonts w:hint="eastAsia"/>
          </w:rPr>
          <w:t>术语和定义</w:t>
        </w:r>
        <w:r w:rsidR="00966012">
          <w:tab/>
        </w:r>
        <w:r>
          <w:fldChar w:fldCharType="begin"/>
        </w:r>
        <w:r w:rsidR="00966012">
          <w:instrText xml:space="preserve"> PAGEREF _Toc201061776 \h </w:instrText>
        </w:r>
        <w:r>
          <w:fldChar w:fldCharType="separate"/>
        </w:r>
        <w:r w:rsidR="00966012">
          <w:t>1</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77" w:history="1">
        <w:r w:rsidR="00966012">
          <w:rPr>
            <w:rStyle w:val="afff2"/>
          </w:rPr>
          <w:t>4</w:t>
        </w:r>
        <w:r w:rsidR="00966012">
          <w:rPr>
            <w:rStyle w:val="afff2"/>
            <w:rFonts w:hint="eastAsia"/>
          </w:rPr>
          <w:t xml:space="preserve"> </w:t>
        </w:r>
        <w:r w:rsidR="00966012">
          <w:rPr>
            <w:rStyle w:val="afff2"/>
            <w:rFonts w:hint="eastAsia"/>
          </w:rPr>
          <w:t>资质条件</w:t>
        </w:r>
        <w:r w:rsidR="00966012">
          <w:tab/>
        </w:r>
        <w:r>
          <w:fldChar w:fldCharType="begin"/>
        </w:r>
        <w:r w:rsidR="00966012">
          <w:instrText xml:space="preserve"> PAGEREF _Toc201061777 \h </w:instrText>
        </w:r>
        <w:r>
          <w:fldChar w:fldCharType="separate"/>
        </w:r>
        <w:r w:rsidR="00966012">
          <w:t>1</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78" w:history="1">
        <w:r w:rsidR="00966012">
          <w:rPr>
            <w:rStyle w:val="afff2"/>
          </w:rPr>
          <w:t>5</w:t>
        </w:r>
        <w:r w:rsidR="00966012">
          <w:rPr>
            <w:rStyle w:val="afff2"/>
            <w:rFonts w:hint="eastAsia"/>
          </w:rPr>
          <w:t xml:space="preserve"> </w:t>
        </w:r>
        <w:r w:rsidR="00966012">
          <w:rPr>
            <w:rStyle w:val="afff2"/>
            <w:rFonts w:hint="eastAsia"/>
          </w:rPr>
          <w:t>准备工作</w:t>
        </w:r>
        <w:r w:rsidR="00966012">
          <w:tab/>
        </w:r>
        <w:r>
          <w:fldChar w:fldCharType="begin"/>
        </w:r>
        <w:r w:rsidR="00966012">
          <w:instrText xml:space="preserve"> PAGEREF _Toc201061778 \h </w:instrText>
        </w:r>
        <w:r>
          <w:fldChar w:fldCharType="separate"/>
        </w:r>
        <w:r w:rsidR="00966012">
          <w:t>2</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79" w:history="1">
        <w:r w:rsidR="00966012">
          <w:rPr>
            <w:rStyle w:val="afff2"/>
          </w:rPr>
          <w:t>6</w:t>
        </w:r>
        <w:r w:rsidR="00966012">
          <w:rPr>
            <w:rStyle w:val="afff2"/>
            <w:rFonts w:hint="eastAsia"/>
          </w:rPr>
          <w:t xml:space="preserve"> </w:t>
        </w:r>
        <w:r w:rsidR="00966012">
          <w:rPr>
            <w:rStyle w:val="afff2"/>
            <w:rFonts w:hint="eastAsia"/>
          </w:rPr>
          <w:t>工作内容及要求</w:t>
        </w:r>
        <w:r w:rsidR="00966012">
          <w:tab/>
        </w:r>
        <w:r>
          <w:fldChar w:fldCharType="begin"/>
        </w:r>
        <w:r w:rsidR="00966012">
          <w:instrText xml:space="preserve"> PAGEREF _Toc201061779 \h </w:instrText>
        </w:r>
        <w:r>
          <w:fldChar w:fldCharType="separate"/>
        </w:r>
        <w:r w:rsidR="00966012">
          <w:t>3</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0" w:history="1">
        <w:r w:rsidR="00966012">
          <w:rPr>
            <w:rStyle w:val="afff2"/>
          </w:rPr>
          <w:t xml:space="preserve">6.1 </w:t>
        </w:r>
        <w:r w:rsidR="00966012">
          <w:rPr>
            <w:rStyle w:val="afff2"/>
            <w:rFonts w:hint="eastAsia"/>
          </w:rPr>
          <w:t>基础资料与数据收集</w:t>
        </w:r>
        <w:r w:rsidR="00966012">
          <w:tab/>
        </w:r>
        <w:r>
          <w:fldChar w:fldCharType="begin"/>
        </w:r>
        <w:r w:rsidR="00966012">
          <w:instrText xml:space="preserve"> PAGEREF _Toc201061780 \h </w:instrText>
        </w:r>
        <w:r>
          <w:fldChar w:fldCharType="separate"/>
        </w:r>
        <w:r w:rsidR="00966012">
          <w:t>3</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1" w:history="1">
        <w:r w:rsidR="00966012">
          <w:rPr>
            <w:rStyle w:val="afff2"/>
          </w:rPr>
          <w:t xml:space="preserve">6.2 </w:t>
        </w:r>
        <w:r w:rsidR="00966012">
          <w:rPr>
            <w:rStyle w:val="afff2"/>
            <w:rFonts w:hint="eastAsia"/>
          </w:rPr>
          <w:t>安全阀工况及腐蚀情况调查</w:t>
        </w:r>
        <w:r w:rsidR="00966012">
          <w:tab/>
        </w:r>
        <w:r>
          <w:fldChar w:fldCharType="begin"/>
        </w:r>
        <w:r w:rsidR="00966012">
          <w:instrText xml:space="preserve"> PAGEREF _Toc201061781 \h </w:instrText>
        </w:r>
        <w:r>
          <w:fldChar w:fldCharType="separate"/>
        </w:r>
        <w:r w:rsidR="00966012">
          <w:t>3</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2" w:history="1">
        <w:r w:rsidR="00966012">
          <w:rPr>
            <w:rStyle w:val="afff2"/>
          </w:rPr>
          <w:t>6.3</w:t>
        </w:r>
        <w:r w:rsidR="00966012">
          <w:rPr>
            <w:rStyle w:val="afff2"/>
            <w:rFonts w:hint="eastAsia"/>
          </w:rPr>
          <w:t>安全阀失效模式及原因分析</w:t>
        </w:r>
        <w:r w:rsidR="00966012">
          <w:tab/>
        </w:r>
        <w:r>
          <w:fldChar w:fldCharType="begin"/>
        </w:r>
        <w:r w:rsidR="00966012">
          <w:instrText xml:space="preserve"> PAGEREF _Toc201061782 \h </w:instrText>
        </w:r>
        <w:r>
          <w:fldChar w:fldCharType="separate"/>
        </w:r>
        <w:r w:rsidR="00966012">
          <w:t>3</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3" w:history="1">
        <w:r w:rsidR="00966012">
          <w:rPr>
            <w:rStyle w:val="afff2"/>
          </w:rPr>
          <w:t>6.4</w:t>
        </w:r>
        <w:r w:rsidR="00966012">
          <w:rPr>
            <w:rStyle w:val="afff2"/>
            <w:rFonts w:hint="eastAsia"/>
          </w:rPr>
          <w:t>安全阀预风险分析计算</w:t>
        </w:r>
        <w:r w:rsidR="00966012">
          <w:tab/>
        </w:r>
        <w:r>
          <w:fldChar w:fldCharType="begin"/>
        </w:r>
        <w:r w:rsidR="00966012">
          <w:instrText xml:space="preserve"> PAGEREF _Toc201061783 \h </w:instrText>
        </w:r>
        <w:r>
          <w:fldChar w:fldCharType="separate"/>
        </w:r>
        <w:r w:rsidR="00966012">
          <w:t>4</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4" w:history="1">
        <w:r w:rsidR="00966012">
          <w:rPr>
            <w:rStyle w:val="afff2"/>
          </w:rPr>
          <w:t>6.5</w:t>
        </w:r>
        <w:r w:rsidR="00966012">
          <w:rPr>
            <w:rStyle w:val="afff2"/>
            <w:rFonts w:hint="eastAsia"/>
          </w:rPr>
          <w:t>检验策略制定</w:t>
        </w:r>
        <w:r w:rsidR="00966012">
          <w:tab/>
        </w:r>
        <w:r>
          <w:fldChar w:fldCharType="begin"/>
        </w:r>
        <w:r w:rsidR="00966012">
          <w:instrText xml:space="preserve"> PAGEREF _Toc201061784 \h </w:instrText>
        </w:r>
        <w:r>
          <w:fldChar w:fldCharType="separate"/>
        </w:r>
        <w:r w:rsidR="00966012">
          <w:t>4</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5" w:history="1">
        <w:r w:rsidR="00966012">
          <w:rPr>
            <w:rStyle w:val="afff2"/>
          </w:rPr>
          <w:t>6.6</w:t>
        </w:r>
        <w:r w:rsidR="00966012">
          <w:rPr>
            <w:rStyle w:val="afff2"/>
            <w:rFonts w:hint="eastAsia"/>
          </w:rPr>
          <w:t>结果验证和安全阀风险评估</w:t>
        </w:r>
        <w:r w:rsidR="00966012">
          <w:tab/>
        </w:r>
        <w:r>
          <w:fldChar w:fldCharType="begin"/>
        </w:r>
        <w:r w:rsidR="00966012">
          <w:instrText xml:space="preserve"> PAGEREF _Toc201061785 \h </w:instrText>
        </w:r>
        <w:r>
          <w:fldChar w:fldCharType="separate"/>
        </w:r>
        <w:r w:rsidR="00966012">
          <w:t>5</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6" w:history="1">
        <w:r w:rsidR="00966012">
          <w:rPr>
            <w:rStyle w:val="afff2"/>
          </w:rPr>
          <w:t>6.7</w:t>
        </w:r>
        <w:r w:rsidR="00966012">
          <w:rPr>
            <w:rStyle w:val="afff2"/>
            <w:rFonts w:hint="eastAsia"/>
          </w:rPr>
          <w:t>风险控制要求</w:t>
        </w:r>
        <w:r w:rsidR="00966012">
          <w:tab/>
        </w:r>
        <w:r>
          <w:fldChar w:fldCharType="begin"/>
        </w:r>
        <w:r w:rsidR="00966012">
          <w:instrText xml:space="preserve"> PAGEREF _Toc201061786 \h </w:instrText>
        </w:r>
        <w:r>
          <w:fldChar w:fldCharType="separate"/>
        </w:r>
        <w:r w:rsidR="00966012">
          <w:t>5</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7" w:history="1">
        <w:r w:rsidR="00966012">
          <w:rPr>
            <w:rStyle w:val="afff2"/>
          </w:rPr>
          <w:t>6.8</w:t>
        </w:r>
        <w:r w:rsidR="00966012">
          <w:rPr>
            <w:rStyle w:val="afff2"/>
            <w:rFonts w:hint="eastAsia"/>
          </w:rPr>
          <w:t>安全阀检验周期的原则</w:t>
        </w:r>
        <w:r w:rsidR="00966012">
          <w:tab/>
        </w:r>
        <w:r>
          <w:fldChar w:fldCharType="begin"/>
        </w:r>
        <w:r w:rsidR="00966012">
          <w:instrText xml:space="preserve"> PAGEREF _Toc201061787 \h </w:instrText>
        </w:r>
        <w:r>
          <w:fldChar w:fldCharType="separate"/>
        </w:r>
        <w:r w:rsidR="00966012">
          <w:t>5</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8" w:history="1">
        <w:r w:rsidR="00966012">
          <w:rPr>
            <w:rStyle w:val="afff2"/>
          </w:rPr>
          <w:t>6.9</w:t>
        </w:r>
        <w:r w:rsidR="00966012">
          <w:rPr>
            <w:rStyle w:val="afff2"/>
            <w:rFonts w:hint="eastAsia"/>
          </w:rPr>
          <w:t>记录保存方式</w:t>
        </w:r>
        <w:r w:rsidR="00966012">
          <w:tab/>
        </w:r>
        <w:r>
          <w:fldChar w:fldCharType="begin"/>
        </w:r>
        <w:r w:rsidR="00966012">
          <w:instrText xml:space="preserve"> PAGEREF _Toc201061788 \h </w:instrText>
        </w:r>
        <w:r>
          <w:fldChar w:fldCharType="separate"/>
        </w:r>
        <w:r w:rsidR="00966012">
          <w:t>6</w:t>
        </w:r>
        <w:r>
          <w:fldChar w:fldCharType="end"/>
        </w:r>
      </w:hyperlink>
    </w:p>
    <w:p w:rsidR="006B0DDC" w:rsidRDefault="0098417D">
      <w:pPr>
        <w:pStyle w:val="30"/>
        <w:tabs>
          <w:tab w:val="right" w:leader="dot" w:pos="8296"/>
        </w:tabs>
        <w:rPr>
          <w:rFonts w:eastAsiaTheme="minorEastAsia" w:cstheme="minorBidi"/>
          <w:i w:val="0"/>
          <w:iCs w:val="0"/>
          <w:sz w:val="21"/>
          <w:szCs w:val="22"/>
        </w:rPr>
      </w:pPr>
      <w:hyperlink w:anchor="_Toc201061789" w:history="1">
        <w:r w:rsidR="00966012">
          <w:rPr>
            <w:rStyle w:val="afff2"/>
          </w:rPr>
          <w:t>6.10</w:t>
        </w:r>
        <w:r w:rsidR="00966012">
          <w:rPr>
            <w:rStyle w:val="afff2"/>
            <w:rFonts w:hint="eastAsia"/>
          </w:rPr>
          <w:t>编制报告</w:t>
        </w:r>
        <w:r w:rsidR="00966012">
          <w:tab/>
        </w:r>
        <w:r>
          <w:fldChar w:fldCharType="begin"/>
        </w:r>
        <w:r w:rsidR="00966012">
          <w:instrText xml:space="preserve"> PAGEREF _Toc201061789 \h </w:instrText>
        </w:r>
        <w:r>
          <w:fldChar w:fldCharType="separate"/>
        </w:r>
        <w:r w:rsidR="00966012">
          <w:t>6</w:t>
        </w:r>
        <w:r>
          <w:fldChar w:fldCharType="end"/>
        </w:r>
      </w:hyperlink>
    </w:p>
    <w:p w:rsidR="006B0DDC" w:rsidRDefault="0098417D">
      <w:pPr>
        <w:pStyle w:val="20"/>
        <w:tabs>
          <w:tab w:val="right" w:leader="dot" w:pos="8296"/>
        </w:tabs>
        <w:rPr>
          <w:rFonts w:eastAsiaTheme="minorEastAsia" w:cstheme="minorBidi"/>
          <w:smallCaps w:val="0"/>
          <w:sz w:val="21"/>
          <w:szCs w:val="22"/>
        </w:rPr>
      </w:pPr>
      <w:hyperlink w:anchor="_Toc201061790" w:history="1">
        <w:r w:rsidR="00966012">
          <w:rPr>
            <w:rStyle w:val="afff2"/>
          </w:rPr>
          <w:t>7</w:t>
        </w:r>
        <w:r w:rsidR="00966012">
          <w:rPr>
            <w:rStyle w:val="afff2"/>
            <w:rFonts w:hint="eastAsia"/>
          </w:rPr>
          <w:t xml:space="preserve"> </w:t>
        </w:r>
        <w:r w:rsidR="00966012">
          <w:rPr>
            <w:rStyle w:val="afff2"/>
            <w:rFonts w:hint="eastAsia"/>
          </w:rPr>
          <w:t>注意事项</w:t>
        </w:r>
        <w:r w:rsidR="00966012">
          <w:tab/>
        </w:r>
        <w:r>
          <w:fldChar w:fldCharType="begin"/>
        </w:r>
        <w:r w:rsidR="00966012">
          <w:instrText xml:space="preserve"> PAGEREF _Toc201061790 \h </w:instrText>
        </w:r>
        <w:r>
          <w:fldChar w:fldCharType="separate"/>
        </w:r>
        <w:r w:rsidR="00966012">
          <w:t>6</w:t>
        </w:r>
        <w:r>
          <w:fldChar w:fldCharType="end"/>
        </w:r>
      </w:hyperlink>
    </w:p>
    <w:p w:rsidR="006B0DDC" w:rsidRDefault="0098417D">
      <w:pPr>
        <w:spacing w:line="360" w:lineRule="auto"/>
        <w:ind w:right="-2" w:firstLine="450"/>
        <w:rPr>
          <w:rFonts w:hAnsi="黑体"/>
          <w:szCs w:val="52"/>
        </w:rPr>
      </w:pPr>
      <w:r>
        <w:rPr>
          <w:rFonts w:eastAsiaTheme="minorEastAsia"/>
          <w:szCs w:val="21"/>
        </w:rPr>
        <w:fldChar w:fldCharType="end"/>
      </w:r>
    </w:p>
    <w:p w:rsidR="006B0DDC" w:rsidRDefault="006B0DDC">
      <w:pPr>
        <w:pStyle w:val="affffff0"/>
        <w:sectPr w:rsidR="006B0DDC">
          <w:headerReference w:type="even" r:id="rId12"/>
          <w:footerReference w:type="even" r:id="rId13"/>
          <w:footerReference w:type="default" r:id="rId14"/>
          <w:type w:val="oddPage"/>
          <w:pgSz w:w="11906" w:h="16838"/>
          <w:pgMar w:top="1440" w:right="1800" w:bottom="1440" w:left="1800" w:header="1418" w:footer="1134" w:gutter="0"/>
          <w:pgNumType w:start="1"/>
          <w:cols w:space="425"/>
          <w:formProt w:val="0"/>
          <w:docGrid w:type="lines" w:linePitch="312"/>
        </w:sectPr>
      </w:pPr>
    </w:p>
    <w:p w:rsidR="006B0DDC" w:rsidRDefault="00966012">
      <w:pPr>
        <w:pStyle w:val="affffff0"/>
      </w:pPr>
      <w:bookmarkStart w:id="12" w:name="_Toc201061772"/>
      <w:r>
        <w:rPr>
          <w:rFonts w:hint="eastAsia"/>
        </w:rPr>
        <w:lastRenderedPageBreak/>
        <w:t>前  言</w:t>
      </w:r>
      <w:bookmarkEnd w:id="9"/>
      <w:bookmarkEnd w:id="10"/>
      <w:bookmarkEnd w:id="11"/>
      <w:bookmarkEnd w:id="12"/>
    </w:p>
    <w:p w:rsidR="006B0DDC" w:rsidRDefault="00966012">
      <w:pPr>
        <w:spacing w:line="400" w:lineRule="exact"/>
        <w:ind w:firstLine="448"/>
        <w:rPr>
          <w:rFonts w:hAnsi="宋体"/>
          <w:sz w:val="24"/>
          <w:szCs w:val="24"/>
        </w:rPr>
      </w:pPr>
      <w:r>
        <w:rPr>
          <w:rFonts w:hAnsi="宋体" w:hint="eastAsia"/>
          <w:sz w:val="24"/>
          <w:szCs w:val="24"/>
        </w:rPr>
        <w:t>本文件按照</w:t>
      </w:r>
      <w:r>
        <w:rPr>
          <w:rFonts w:hAnsi="宋体"/>
          <w:sz w:val="24"/>
          <w:szCs w:val="24"/>
        </w:rPr>
        <w:t>GB/T 1.1</w:t>
      </w:r>
      <w:r>
        <w:rPr>
          <w:rFonts w:hAnsi="宋体"/>
          <w:sz w:val="24"/>
          <w:szCs w:val="24"/>
        </w:rPr>
        <w:t>—</w:t>
      </w:r>
      <w:r>
        <w:rPr>
          <w:rFonts w:hAnsi="宋体"/>
          <w:sz w:val="24"/>
          <w:szCs w:val="24"/>
        </w:rPr>
        <w:t>2020</w:t>
      </w:r>
      <w:r>
        <w:rPr>
          <w:rFonts w:hAnsi="宋体"/>
          <w:sz w:val="24"/>
          <w:szCs w:val="24"/>
        </w:rPr>
        <w:t>《标准化工作导则</w:t>
      </w:r>
      <w:r>
        <w:rPr>
          <w:rFonts w:hAnsi="宋体"/>
          <w:sz w:val="24"/>
          <w:szCs w:val="24"/>
        </w:rPr>
        <w:t xml:space="preserve"> </w:t>
      </w:r>
      <w:r>
        <w:rPr>
          <w:rFonts w:hAnsi="宋体" w:hint="eastAsia"/>
          <w:sz w:val="24"/>
          <w:szCs w:val="24"/>
        </w:rPr>
        <w:t>第</w:t>
      </w:r>
      <w:r>
        <w:rPr>
          <w:rFonts w:hAnsi="宋体"/>
          <w:sz w:val="24"/>
          <w:szCs w:val="24"/>
        </w:rPr>
        <w:t>1</w:t>
      </w:r>
      <w:r>
        <w:rPr>
          <w:rFonts w:hAnsi="宋体"/>
          <w:sz w:val="24"/>
          <w:szCs w:val="24"/>
        </w:rPr>
        <w:t>部分：标准化文件的结构和起草规则》给出的规则起草。</w:t>
      </w:r>
    </w:p>
    <w:p w:rsidR="006B0DDC" w:rsidRDefault="00966012">
      <w:pPr>
        <w:spacing w:line="400" w:lineRule="exact"/>
        <w:ind w:firstLineChars="200" w:firstLine="480"/>
        <w:rPr>
          <w:color w:val="000000"/>
          <w:sz w:val="24"/>
          <w:szCs w:val="24"/>
        </w:rPr>
      </w:pPr>
      <w:r>
        <w:rPr>
          <w:rFonts w:hint="eastAsia"/>
          <w:color w:val="000000"/>
          <w:sz w:val="24"/>
          <w:szCs w:val="24"/>
        </w:rPr>
        <w:t>采纳本文件的企业（或相关方）首先应遵守法律法规，遵守本文件不能使其免于相应法律责任和义务。</w:t>
      </w:r>
    </w:p>
    <w:p w:rsidR="006B0DDC" w:rsidRDefault="00966012">
      <w:pPr>
        <w:spacing w:line="400" w:lineRule="exact"/>
        <w:ind w:firstLineChars="200" w:firstLine="480"/>
        <w:rPr>
          <w:color w:val="000000"/>
          <w:sz w:val="24"/>
          <w:szCs w:val="24"/>
        </w:rPr>
      </w:pPr>
      <w:r>
        <w:rPr>
          <w:rFonts w:hint="eastAsia"/>
          <w:color w:val="000000"/>
          <w:sz w:val="24"/>
          <w:szCs w:val="24"/>
        </w:rPr>
        <w:t>本文件的某些内容可能涉及专利，发布机构不承担识别专利的责任。</w:t>
      </w:r>
    </w:p>
    <w:p w:rsidR="006B0DDC" w:rsidRDefault="00966012">
      <w:pPr>
        <w:spacing w:line="400" w:lineRule="exact"/>
        <w:ind w:firstLine="448"/>
        <w:rPr>
          <w:rFonts w:asciiTheme="minorHAnsi" w:hAnsi="黑体" w:cstheme="minorBidi"/>
          <w:sz w:val="24"/>
          <w:szCs w:val="24"/>
        </w:rPr>
      </w:pPr>
      <w:r>
        <w:rPr>
          <w:rFonts w:asciiTheme="minorHAnsi" w:hAnsi="黑体" w:cstheme="minorBidi"/>
          <w:sz w:val="24"/>
          <w:szCs w:val="24"/>
        </w:rPr>
        <w:t>本文件由中国石油和石油化工设备工业协会</w:t>
      </w:r>
      <w:r>
        <w:rPr>
          <w:rFonts w:asciiTheme="minorHAnsi" w:hAnsi="黑体" w:cstheme="minorBidi" w:hint="eastAsia"/>
          <w:sz w:val="24"/>
          <w:szCs w:val="24"/>
        </w:rPr>
        <w:t>提出并</w:t>
      </w:r>
      <w:r>
        <w:rPr>
          <w:rFonts w:asciiTheme="minorHAnsi" w:hAnsi="黑体" w:cstheme="minorBidi"/>
          <w:sz w:val="24"/>
          <w:szCs w:val="24"/>
        </w:rPr>
        <w:t>归口。</w:t>
      </w:r>
    </w:p>
    <w:p w:rsidR="006B0DDC" w:rsidRDefault="00966012" w:rsidP="009025F6">
      <w:pPr>
        <w:spacing w:line="400" w:lineRule="exact"/>
        <w:ind w:right="-2" w:firstLineChars="200" w:firstLine="480"/>
        <w:rPr>
          <w:rFonts w:hAnsi="宋体"/>
          <w:sz w:val="24"/>
          <w:szCs w:val="24"/>
        </w:rPr>
      </w:pPr>
      <w:r>
        <w:rPr>
          <w:rFonts w:hAnsi="宋体" w:hint="eastAsia"/>
          <w:sz w:val="24"/>
          <w:szCs w:val="24"/>
        </w:rPr>
        <w:t>本文件起草单位：</w:t>
      </w:r>
      <w:r w:rsidR="009025F6">
        <w:rPr>
          <w:rFonts w:hAnsi="宋体" w:hint="eastAsia"/>
          <w:sz w:val="24"/>
          <w:szCs w:val="24"/>
        </w:rPr>
        <w:t>/</w:t>
      </w:r>
      <w:r w:rsidR="009025F6">
        <w:rPr>
          <w:rFonts w:hAnsi="宋体" w:hint="eastAsia"/>
          <w:sz w:val="24"/>
          <w:szCs w:val="24"/>
        </w:rPr>
        <w:t>。</w:t>
      </w:r>
    </w:p>
    <w:p w:rsidR="006B0DDC" w:rsidRPr="009025F6" w:rsidRDefault="00966012" w:rsidP="009025F6">
      <w:pPr>
        <w:spacing w:line="400" w:lineRule="exact"/>
        <w:ind w:firstLine="448"/>
        <w:rPr>
          <w:rFonts w:asciiTheme="minorHAnsi" w:hAnsi="黑体" w:cstheme="minorBidi"/>
          <w:sz w:val="24"/>
          <w:szCs w:val="24"/>
        </w:rPr>
      </w:pPr>
      <w:r w:rsidRPr="009025F6">
        <w:rPr>
          <w:rFonts w:asciiTheme="minorHAnsi" w:hAnsi="黑体" w:cstheme="minorBidi" w:hint="eastAsia"/>
          <w:sz w:val="24"/>
          <w:szCs w:val="24"/>
        </w:rPr>
        <w:t>本文件主要起草人：</w:t>
      </w:r>
      <w:r w:rsidR="009025F6" w:rsidRPr="009025F6">
        <w:rPr>
          <w:rFonts w:asciiTheme="minorHAnsi" w:hAnsi="黑体" w:cstheme="minorBidi" w:hint="eastAsia"/>
          <w:sz w:val="24"/>
          <w:szCs w:val="24"/>
        </w:rPr>
        <w:t>/</w:t>
      </w:r>
      <w:r w:rsidR="009025F6" w:rsidRPr="009025F6">
        <w:rPr>
          <w:rFonts w:asciiTheme="minorHAnsi" w:hAnsi="黑体" w:cstheme="minorBidi" w:hint="eastAsia"/>
          <w:sz w:val="24"/>
          <w:szCs w:val="24"/>
        </w:rPr>
        <w:t>。</w:t>
      </w: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pPr>
    </w:p>
    <w:p w:rsidR="006B0DDC" w:rsidRDefault="006B0DDC">
      <w:pPr>
        <w:ind w:right="-2" w:firstLine="450"/>
        <w:rPr>
          <w:rFonts w:hAnsi="黑体"/>
          <w:szCs w:val="52"/>
        </w:rPr>
        <w:sectPr w:rsidR="006B0DDC">
          <w:pgSz w:w="11906" w:h="16838"/>
          <w:pgMar w:top="1440" w:right="1800" w:bottom="1440" w:left="1800" w:header="1418" w:footer="1134" w:gutter="0"/>
          <w:pgNumType w:start="1"/>
          <w:cols w:space="425"/>
          <w:formProt w:val="0"/>
          <w:docGrid w:type="lines" w:linePitch="312"/>
        </w:sectPr>
      </w:pPr>
    </w:p>
    <w:p w:rsidR="006B0DDC" w:rsidRDefault="00966012">
      <w:pPr>
        <w:pStyle w:val="afffa"/>
        <w:rPr>
          <w:rFonts w:hAnsi="黑体"/>
          <w:szCs w:val="32"/>
        </w:rPr>
      </w:pPr>
      <w:bookmarkStart w:id="13" w:name="_Toc62137826"/>
      <w:bookmarkStart w:id="14" w:name="_Toc190349586"/>
      <w:bookmarkStart w:id="15" w:name="_Toc190340882"/>
      <w:bookmarkStart w:id="16" w:name="_Toc201061773"/>
      <w:r>
        <w:rPr>
          <w:rFonts w:hAnsi="黑体" w:hint="eastAsia"/>
          <w:szCs w:val="32"/>
        </w:rPr>
        <w:lastRenderedPageBreak/>
        <w:t>安全阀基于风险的检验应用指南</w:t>
      </w:r>
      <w:bookmarkEnd w:id="13"/>
      <w:bookmarkEnd w:id="14"/>
      <w:bookmarkEnd w:id="15"/>
      <w:bookmarkEnd w:id="16"/>
    </w:p>
    <w:p w:rsidR="006B0DDC" w:rsidRDefault="00966012">
      <w:pPr>
        <w:pStyle w:val="afff8"/>
        <w:numPr>
          <w:ilvl w:val="0"/>
          <w:numId w:val="20"/>
        </w:numPr>
        <w:spacing w:before="312" w:after="312" w:line="400" w:lineRule="exact"/>
        <w:rPr>
          <w:sz w:val="24"/>
          <w:szCs w:val="24"/>
        </w:rPr>
      </w:pPr>
      <w:bookmarkStart w:id="17" w:name="_Toc201061774"/>
      <w:bookmarkStart w:id="18" w:name="_Toc46482450"/>
      <w:bookmarkStart w:id="19" w:name="OLE_LINK3"/>
      <w:r>
        <w:rPr>
          <w:rFonts w:hint="eastAsia"/>
          <w:sz w:val="24"/>
          <w:szCs w:val="24"/>
        </w:rPr>
        <w:t>范围</w:t>
      </w:r>
      <w:bookmarkEnd w:id="17"/>
      <w:bookmarkEnd w:id="18"/>
    </w:p>
    <w:p w:rsidR="006B0DDC" w:rsidRDefault="00966012">
      <w:pPr>
        <w:pStyle w:val="affa"/>
        <w:spacing w:line="400" w:lineRule="exact"/>
        <w:ind w:firstLine="480"/>
        <w:rPr>
          <w:rFonts w:ascii="Times New Roman"/>
          <w:sz w:val="24"/>
          <w:szCs w:val="24"/>
        </w:rPr>
      </w:pPr>
      <w:r>
        <w:rPr>
          <w:rFonts w:ascii="Times New Roman" w:hint="eastAsia"/>
          <w:sz w:val="24"/>
          <w:szCs w:val="24"/>
        </w:rPr>
        <w:t>本文件规定了安全阀基于风险的检验的内容及要求，包括人员资质要求、准备工作、安全阀基于风险的检验工作内容及要求、注意事项等。</w:t>
      </w:r>
    </w:p>
    <w:p w:rsidR="006B0DDC" w:rsidRDefault="00966012">
      <w:pPr>
        <w:pStyle w:val="affa"/>
        <w:spacing w:line="400" w:lineRule="exact"/>
        <w:ind w:firstLine="480"/>
        <w:rPr>
          <w:rFonts w:ascii="Times New Roman"/>
          <w:sz w:val="24"/>
          <w:szCs w:val="24"/>
        </w:rPr>
      </w:pPr>
      <w:r>
        <w:rPr>
          <w:rFonts w:ascii="Times New Roman" w:hint="eastAsia"/>
          <w:sz w:val="24"/>
          <w:szCs w:val="24"/>
        </w:rPr>
        <w:t>本文件适用于炼化装置中承压设备上安装的安全阀，其他成套装置中的安全阀可参照使用。</w:t>
      </w:r>
    </w:p>
    <w:p w:rsidR="006B0DDC" w:rsidRDefault="00966012">
      <w:pPr>
        <w:pStyle w:val="afff8"/>
        <w:numPr>
          <w:ilvl w:val="0"/>
          <w:numId w:val="20"/>
        </w:numPr>
        <w:spacing w:before="312" w:after="312" w:line="400" w:lineRule="exact"/>
        <w:rPr>
          <w:sz w:val="24"/>
          <w:szCs w:val="24"/>
        </w:rPr>
      </w:pPr>
      <w:bookmarkStart w:id="20" w:name="_Toc201061775"/>
      <w:bookmarkStart w:id="21" w:name="_Toc46482451"/>
      <w:r>
        <w:rPr>
          <w:rFonts w:hint="eastAsia"/>
          <w:sz w:val="24"/>
          <w:szCs w:val="24"/>
        </w:rPr>
        <w:t>规范性引用文件</w:t>
      </w:r>
      <w:bookmarkEnd w:id="20"/>
      <w:bookmarkEnd w:id="21"/>
    </w:p>
    <w:p w:rsidR="006B0DDC" w:rsidRDefault="00966012">
      <w:pPr>
        <w:pStyle w:val="affa"/>
        <w:spacing w:line="400" w:lineRule="exact"/>
        <w:ind w:firstLine="480"/>
        <w:rPr>
          <w:rFonts w:ascii="Times New Roman"/>
          <w:sz w:val="24"/>
          <w:szCs w:val="24"/>
        </w:rPr>
      </w:pPr>
      <w:r>
        <w:rPr>
          <w:rFonts w:ascii="Times New Roman" w:hint="eastAsia"/>
          <w:sz w:val="24"/>
          <w:szCs w:val="24"/>
        </w:rPr>
        <w:t>下列文件中的内容通过文中的规范性引用而构成本文件必不可少的条款。其中，注日期的引用文件，仅该日期对应版本适用于本文件；不注日期的引用文件，其最新版本（包括所有修改单）适用于本文件。</w:t>
      </w:r>
    </w:p>
    <w:p w:rsidR="006B0DDC" w:rsidRDefault="00966012">
      <w:pPr>
        <w:tabs>
          <w:tab w:val="left" w:pos="3390"/>
        </w:tabs>
        <w:spacing w:line="400" w:lineRule="exact"/>
        <w:ind w:firstLineChars="200" w:firstLine="480"/>
        <w:rPr>
          <w:sz w:val="24"/>
          <w:szCs w:val="24"/>
        </w:rPr>
      </w:pPr>
      <w:r>
        <w:rPr>
          <w:sz w:val="24"/>
          <w:szCs w:val="24"/>
        </w:rPr>
        <w:t xml:space="preserve">GB/T </w:t>
      </w:r>
      <w:r>
        <w:rPr>
          <w:rFonts w:hint="eastAsia"/>
          <w:sz w:val="24"/>
          <w:szCs w:val="24"/>
        </w:rPr>
        <w:t>150</w:t>
      </w:r>
      <w:r>
        <w:rPr>
          <w:rFonts w:hint="eastAsia"/>
          <w:sz w:val="24"/>
          <w:szCs w:val="24"/>
        </w:rPr>
        <w:t>（所有部分）</w:t>
      </w:r>
      <w:r>
        <w:rPr>
          <w:sz w:val="24"/>
          <w:szCs w:val="24"/>
        </w:rPr>
        <w:t xml:space="preserve"> </w:t>
      </w:r>
      <w:r>
        <w:rPr>
          <w:rFonts w:hint="eastAsia"/>
          <w:sz w:val="24"/>
          <w:szCs w:val="24"/>
        </w:rPr>
        <w:t>压力容器</w:t>
      </w:r>
    </w:p>
    <w:p w:rsidR="006B0DDC" w:rsidRDefault="00966012">
      <w:pPr>
        <w:tabs>
          <w:tab w:val="left" w:pos="3390"/>
        </w:tabs>
        <w:spacing w:line="400" w:lineRule="exact"/>
        <w:ind w:firstLineChars="200" w:firstLine="480"/>
        <w:rPr>
          <w:sz w:val="24"/>
          <w:szCs w:val="24"/>
        </w:rPr>
      </w:pPr>
      <w:r>
        <w:rPr>
          <w:sz w:val="24"/>
          <w:szCs w:val="24"/>
        </w:rPr>
        <w:t xml:space="preserve">GB/T </w:t>
      </w:r>
      <w:r>
        <w:rPr>
          <w:rFonts w:hint="eastAsia"/>
          <w:sz w:val="24"/>
          <w:szCs w:val="24"/>
        </w:rPr>
        <w:t>26610</w:t>
      </w:r>
      <w:r>
        <w:rPr>
          <w:rFonts w:hint="eastAsia"/>
          <w:sz w:val="24"/>
          <w:szCs w:val="24"/>
        </w:rPr>
        <w:t>（所有部分）</w:t>
      </w:r>
      <w:r>
        <w:rPr>
          <w:sz w:val="24"/>
          <w:szCs w:val="24"/>
        </w:rPr>
        <w:t xml:space="preserve"> </w:t>
      </w:r>
      <w:r>
        <w:rPr>
          <w:rFonts w:hint="eastAsia"/>
          <w:sz w:val="24"/>
          <w:szCs w:val="24"/>
        </w:rPr>
        <w:t>承压设备系统基于风险的检验实施导则</w:t>
      </w:r>
    </w:p>
    <w:p w:rsidR="006B0DDC" w:rsidRDefault="00966012">
      <w:pPr>
        <w:tabs>
          <w:tab w:val="left" w:pos="3390"/>
        </w:tabs>
        <w:spacing w:line="400" w:lineRule="exact"/>
        <w:ind w:firstLineChars="200" w:firstLine="480"/>
        <w:rPr>
          <w:sz w:val="24"/>
          <w:szCs w:val="24"/>
        </w:rPr>
      </w:pPr>
      <w:r>
        <w:rPr>
          <w:sz w:val="24"/>
          <w:szCs w:val="24"/>
        </w:rPr>
        <w:t xml:space="preserve">GB/T 30579 </w:t>
      </w:r>
      <w:r>
        <w:rPr>
          <w:rFonts w:hint="eastAsia"/>
          <w:sz w:val="24"/>
          <w:szCs w:val="24"/>
        </w:rPr>
        <w:t>承压设备损伤模式识别</w:t>
      </w:r>
    </w:p>
    <w:p w:rsidR="00693897" w:rsidRPr="00693897" w:rsidRDefault="00693897" w:rsidP="00693897">
      <w:pPr>
        <w:tabs>
          <w:tab w:val="left" w:pos="3390"/>
        </w:tabs>
        <w:spacing w:line="400" w:lineRule="exact"/>
        <w:ind w:firstLineChars="200" w:firstLine="480"/>
        <w:rPr>
          <w:sz w:val="24"/>
          <w:szCs w:val="24"/>
        </w:rPr>
      </w:pPr>
      <w:r>
        <w:rPr>
          <w:sz w:val="24"/>
          <w:szCs w:val="24"/>
        </w:rPr>
        <w:t xml:space="preserve">GB/T 12243 </w:t>
      </w:r>
      <w:hyperlink r:id="rId15" w:history="1">
        <w:r w:rsidRPr="00693897">
          <w:rPr>
            <w:sz w:val="24"/>
            <w:szCs w:val="24"/>
          </w:rPr>
          <w:t>弹簧直接载荷式安全阀</w:t>
        </w:r>
      </w:hyperlink>
    </w:p>
    <w:p w:rsidR="006B0DDC" w:rsidRDefault="00966012">
      <w:pPr>
        <w:tabs>
          <w:tab w:val="left" w:pos="3390"/>
        </w:tabs>
        <w:spacing w:line="400" w:lineRule="exact"/>
        <w:ind w:firstLineChars="200" w:firstLine="480"/>
        <w:rPr>
          <w:sz w:val="24"/>
          <w:szCs w:val="24"/>
        </w:rPr>
      </w:pPr>
      <w:r>
        <w:rPr>
          <w:sz w:val="24"/>
          <w:szCs w:val="24"/>
        </w:rPr>
        <w:t xml:space="preserve">TSG 21-2016 </w:t>
      </w:r>
      <w:r>
        <w:rPr>
          <w:rFonts w:hint="eastAsia"/>
          <w:sz w:val="24"/>
          <w:szCs w:val="24"/>
        </w:rPr>
        <w:t>固定式压力容器安全技术监察规程</w:t>
      </w:r>
    </w:p>
    <w:p w:rsidR="006B0DDC" w:rsidRDefault="00966012">
      <w:pPr>
        <w:tabs>
          <w:tab w:val="left" w:pos="3390"/>
        </w:tabs>
        <w:spacing w:line="400" w:lineRule="exact"/>
        <w:ind w:firstLineChars="200" w:firstLine="480"/>
        <w:rPr>
          <w:sz w:val="24"/>
          <w:szCs w:val="24"/>
        </w:rPr>
      </w:pPr>
      <w:r>
        <w:rPr>
          <w:sz w:val="24"/>
          <w:szCs w:val="24"/>
        </w:rPr>
        <w:t xml:space="preserve">TSG D0001-2009 </w:t>
      </w:r>
      <w:r>
        <w:rPr>
          <w:rFonts w:hint="eastAsia"/>
          <w:sz w:val="24"/>
          <w:szCs w:val="24"/>
        </w:rPr>
        <w:t>压力管道安全技术监察规程——工业管道</w:t>
      </w:r>
    </w:p>
    <w:p w:rsidR="006B0DDC" w:rsidRDefault="00966012">
      <w:pPr>
        <w:tabs>
          <w:tab w:val="left" w:pos="3390"/>
        </w:tabs>
        <w:spacing w:line="400" w:lineRule="exact"/>
        <w:ind w:firstLineChars="200" w:firstLine="480"/>
        <w:rPr>
          <w:sz w:val="24"/>
          <w:szCs w:val="24"/>
        </w:rPr>
      </w:pPr>
      <w:r>
        <w:rPr>
          <w:sz w:val="24"/>
          <w:szCs w:val="24"/>
        </w:rPr>
        <w:t xml:space="preserve">TSG D7005-2018 </w:t>
      </w:r>
      <w:r>
        <w:rPr>
          <w:rFonts w:hint="eastAsia"/>
          <w:sz w:val="24"/>
          <w:szCs w:val="24"/>
        </w:rPr>
        <w:t>压力管道定期检验规则——工业管道</w:t>
      </w:r>
    </w:p>
    <w:p w:rsidR="006B0DDC" w:rsidRDefault="00966012">
      <w:pPr>
        <w:tabs>
          <w:tab w:val="left" w:pos="3390"/>
        </w:tabs>
        <w:spacing w:line="400" w:lineRule="exact"/>
        <w:ind w:firstLineChars="200" w:firstLine="480"/>
        <w:rPr>
          <w:sz w:val="24"/>
          <w:szCs w:val="24"/>
        </w:rPr>
      </w:pPr>
      <w:r>
        <w:rPr>
          <w:sz w:val="24"/>
          <w:szCs w:val="24"/>
        </w:rPr>
        <w:t xml:space="preserve">TSG ZF001-2006 </w:t>
      </w:r>
      <w:r>
        <w:rPr>
          <w:rFonts w:hint="eastAsia"/>
          <w:sz w:val="24"/>
          <w:szCs w:val="24"/>
        </w:rPr>
        <w:t>安全阀安全技术监察规程</w:t>
      </w:r>
    </w:p>
    <w:p w:rsidR="006B0DDC" w:rsidRDefault="00966012">
      <w:pPr>
        <w:pStyle w:val="afff8"/>
        <w:numPr>
          <w:ilvl w:val="0"/>
          <w:numId w:val="20"/>
        </w:numPr>
        <w:spacing w:before="312" w:after="312" w:line="400" w:lineRule="exact"/>
        <w:jc w:val="left"/>
        <w:rPr>
          <w:sz w:val="24"/>
          <w:szCs w:val="24"/>
        </w:rPr>
      </w:pPr>
      <w:bookmarkStart w:id="22" w:name="_Toc46482452"/>
      <w:bookmarkStart w:id="23" w:name="_Toc201061776"/>
      <w:r>
        <w:rPr>
          <w:rFonts w:hint="eastAsia"/>
          <w:sz w:val="24"/>
          <w:szCs w:val="24"/>
        </w:rPr>
        <w:t>术语和定义</w:t>
      </w:r>
      <w:bookmarkEnd w:id="22"/>
      <w:bookmarkEnd w:id="23"/>
    </w:p>
    <w:p w:rsidR="006B0DDC" w:rsidRDefault="00966012">
      <w:pPr>
        <w:pStyle w:val="affa"/>
        <w:spacing w:line="400" w:lineRule="exact"/>
        <w:ind w:firstLine="480"/>
        <w:rPr>
          <w:sz w:val="24"/>
          <w:szCs w:val="24"/>
        </w:rPr>
      </w:pPr>
      <w:bookmarkStart w:id="24" w:name="_Toc190349590"/>
      <w:bookmarkStart w:id="25" w:name="_Toc62137830"/>
      <w:r>
        <w:rPr>
          <w:rFonts w:hint="eastAsia"/>
          <w:sz w:val="24"/>
          <w:szCs w:val="24"/>
        </w:rPr>
        <w:t>下列术语和定义适用于本文件。</w:t>
      </w:r>
      <w:bookmarkEnd w:id="24"/>
    </w:p>
    <w:bookmarkEnd w:id="25"/>
    <w:p w:rsidR="006B0DDC" w:rsidRDefault="00966012">
      <w:pPr>
        <w:autoSpaceDE w:val="0"/>
        <w:autoSpaceDN w:val="0"/>
        <w:adjustRightInd w:val="0"/>
        <w:spacing w:line="400" w:lineRule="exact"/>
        <w:jc w:val="left"/>
        <w:rPr>
          <w:rFonts w:eastAsia="黑体"/>
          <w:sz w:val="24"/>
          <w:szCs w:val="24"/>
        </w:rPr>
      </w:pPr>
      <w:r>
        <w:rPr>
          <w:sz w:val="24"/>
          <w:szCs w:val="24"/>
        </w:rPr>
        <w:t>3.1</w:t>
      </w:r>
    </w:p>
    <w:p w:rsidR="006B0DDC" w:rsidRDefault="00966012">
      <w:pPr>
        <w:pStyle w:val="affa"/>
        <w:spacing w:line="400" w:lineRule="exact"/>
        <w:ind w:firstLine="480"/>
        <w:rPr>
          <w:rFonts w:ascii="Times New Roman" w:eastAsia="黑体"/>
          <w:kern w:val="2"/>
          <w:sz w:val="24"/>
          <w:szCs w:val="24"/>
        </w:rPr>
      </w:pPr>
      <w:r>
        <w:rPr>
          <w:rFonts w:ascii="Times New Roman" w:eastAsia="黑体" w:hint="eastAsia"/>
          <w:kern w:val="2"/>
          <w:sz w:val="24"/>
          <w:szCs w:val="24"/>
        </w:rPr>
        <w:t>安全阀</w:t>
      </w:r>
      <w:r>
        <w:rPr>
          <w:rFonts w:ascii="Times New Roman" w:eastAsia="黑体" w:hint="eastAsia"/>
          <w:kern w:val="2"/>
          <w:sz w:val="24"/>
          <w:szCs w:val="24"/>
        </w:rPr>
        <w:t xml:space="preserve">  </w:t>
      </w:r>
      <w:r>
        <w:rPr>
          <w:rFonts w:ascii="Times New Roman"/>
          <w:kern w:val="2"/>
          <w:sz w:val="24"/>
          <w:szCs w:val="24"/>
        </w:rPr>
        <w:t>safety valve</w:t>
      </w:r>
    </w:p>
    <w:p w:rsidR="006B0DDC" w:rsidRDefault="00966012">
      <w:pPr>
        <w:pStyle w:val="affa"/>
        <w:spacing w:line="400" w:lineRule="exact"/>
        <w:ind w:firstLine="480"/>
        <w:rPr>
          <w:sz w:val="24"/>
          <w:szCs w:val="24"/>
        </w:rPr>
      </w:pPr>
      <w:r>
        <w:rPr>
          <w:rFonts w:hint="eastAsia"/>
          <w:sz w:val="24"/>
          <w:szCs w:val="24"/>
        </w:rPr>
        <w:t>依靠介质本身的压力或者借助动力辅助装置（气压、液压、电磁等）排出一定数量的流体，以防止压力超过额定安全值；当压力释放恢复正常后，阀门自动关闭再次实现密封的阀门。</w:t>
      </w:r>
    </w:p>
    <w:p w:rsidR="006B0DDC" w:rsidRDefault="00966012">
      <w:pPr>
        <w:autoSpaceDE w:val="0"/>
        <w:autoSpaceDN w:val="0"/>
        <w:adjustRightInd w:val="0"/>
        <w:spacing w:line="400" w:lineRule="exact"/>
        <w:jc w:val="left"/>
        <w:rPr>
          <w:rFonts w:eastAsia="黑体"/>
          <w:sz w:val="24"/>
          <w:szCs w:val="24"/>
        </w:rPr>
      </w:pPr>
      <w:r>
        <w:rPr>
          <w:sz w:val="24"/>
          <w:szCs w:val="24"/>
        </w:rPr>
        <w:t>3.2</w:t>
      </w:r>
    </w:p>
    <w:p w:rsidR="006B0DDC" w:rsidRDefault="00966012">
      <w:pPr>
        <w:tabs>
          <w:tab w:val="left" w:pos="3390"/>
        </w:tabs>
        <w:spacing w:line="400" w:lineRule="exact"/>
        <w:rPr>
          <w:sz w:val="24"/>
          <w:szCs w:val="24"/>
        </w:rPr>
      </w:pPr>
      <w:r>
        <w:rPr>
          <w:rFonts w:eastAsia="黑体" w:hint="eastAsia"/>
          <w:sz w:val="24"/>
          <w:szCs w:val="24"/>
        </w:rPr>
        <w:t xml:space="preserve">    </w:t>
      </w:r>
      <w:r>
        <w:rPr>
          <w:rFonts w:eastAsia="黑体" w:hint="eastAsia"/>
          <w:sz w:val="24"/>
          <w:szCs w:val="24"/>
        </w:rPr>
        <w:t>风险评估</w:t>
      </w:r>
      <w:r>
        <w:rPr>
          <w:rFonts w:eastAsia="黑体" w:hint="eastAsia"/>
          <w:sz w:val="24"/>
          <w:szCs w:val="24"/>
        </w:rPr>
        <w:t xml:space="preserve">  </w:t>
      </w:r>
      <w:r>
        <w:rPr>
          <w:sz w:val="24"/>
          <w:szCs w:val="24"/>
        </w:rPr>
        <w:t>risk assessment</w:t>
      </w:r>
    </w:p>
    <w:p w:rsidR="006B0DDC" w:rsidRDefault="00966012">
      <w:pPr>
        <w:pStyle w:val="affa"/>
        <w:spacing w:line="400" w:lineRule="exact"/>
        <w:ind w:firstLine="480"/>
        <w:rPr>
          <w:sz w:val="24"/>
          <w:szCs w:val="24"/>
        </w:rPr>
      </w:pPr>
      <w:r>
        <w:rPr>
          <w:rFonts w:hint="eastAsia"/>
          <w:sz w:val="24"/>
          <w:szCs w:val="24"/>
        </w:rPr>
        <w:lastRenderedPageBreak/>
        <w:t>风险识别、风险分析与风险评价的全过程。</w:t>
      </w:r>
    </w:p>
    <w:p w:rsidR="006B0DDC" w:rsidRDefault="00966012">
      <w:pPr>
        <w:autoSpaceDE w:val="0"/>
        <w:autoSpaceDN w:val="0"/>
        <w:adjustRightInd w:val="0"/>
        <w:spacing w:line="400" w:lineRule="exact"/>
        <w:jc w:val="left"/>
        <w:rPr>
          <w:rFonts w:eastAsia="黑体"/>
          <w:sz w:val="24"/>
          <w:szCs w:val="24"/>
        </w:rPr>
      </w:pPr>
      <w:r>
        <w:rPr>
          <w:sz w:val="24"/>
          <w:szCs w:val="24"/>
        </w:rPr>
        <w:t>3.3</w:t>
      </w:r>
    </w:p>
    <w:p w:rsidR="006B0DDC" w:rsidRDefault="00966012">
      <w:pPr>
        <w:tabs>
          <w:tab w:val="left" w:pos="3390"/>
        </w:tabs>
        <w:spacing w:line="400" w:lineRule="exact"/>
        <w:rPr>
          <w:sz w:val="24"/>
          <w:szCs w:val="24"/>
        </w:rPr>
      </w:pPr>
      <w:r>
        <w:rPr>
          <w:rFonts w:eastAsia="黑体" w:hint="eastAsia"/>
          <w:sz w:val="24"/>
          <w:szCs w:val="24"/>
        </w:rPr>
        <w:t xml:space="preserve">    </w:t>
      </w:r>
      <w:r>
        <w:rPr>
          <w:rFonts w:eastAsia="黑体" w:hint="eastAsia"/>
          <w:sz w:val="24"/>
          <w:szCs w:val="24"/>
        </w:rPr>
        <w:t>基于风险的检验</w:t>
      </w:r>
      <w:r>
        <w:rPr>
          <w:rFonts w:eastAsia="黑体"/>
          <w:sz w:val="24"/>
          <w:szCs w:val="24"/>
        </w:rPr>
        <w:t xml:space="preserve">  </w:t>
      </w:r>
      <w:r>
        <w:rPr>
          <w:sz w:val="24"/>
          <w:szCs w:val="24"/>
        </w:rPr>
        <w:t>risk-based inspection</w:t>
      </w:r>
    </w:p>
    <w:p w:rsidR="006B0DDC" w:rsidRDefault="00966012">
      <w:pPr>
        <w:pStyle w:val="affa"/>
        <w:spacing w:line="400" w:lineRule="exact"/>
        <w:ind w:firstLine="480"/>
        <w:rPr>
          <w:sz w:val="24"/>
          <w:szCs w:val="24"/>
        </w:rPr>
      </w:pPr>
      <w:r>
        <w:rPr>
          <w:rFonts w:hint="eastAsia"/>
          <w:sz w:val="24"/>
          <w:szCs w:val="24"/>
        </w:rPr>
        <w:t>一种重点针对材料损伤引起的设备失效的风险评估和管理过程。</w:t>
      </w:r>
    </w:p>
    <w:p w:rsidR="006B0DDC" w:rsidRDefault="00966012">
      <w:pPr>
        <w:pStyle w:val="afff8"/>
        <w:numPr>
          <w:ilvl w:val="0"/>
          <w:numId w:val="20"/>
        </w:numPr>
        <w:spacing w:before="312" w:after="312" w:line="400" w:lineRule="exact"/>
        <w:jc w:val="left"/>
        <w:rPr>
          <w:sz w:val="24"/>
          <w:szCs w:val="24"/>
        </w:rPr>
      </w:pPr>
      <w:bookmarkStart w:id="26" w:name="_Toc201061777"/>
      <w:r>
        <w:rPr>
          <w:rFonts w:hint="eastAsia"/>
          <w:sz w:val="24"/>
          <w:szCs w:val="24"/>
        </w:rPr>
        <w:t>资质条件</w:t>
      </w:r>
      <w:bookmarkEnd w:id="26"/>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4.1 </w:t>
      </w:r>
      <w:r>
        <w:rPr>
          <w:rFonts w:hAnsi="宋体" w:cs="黑体" w:hint="eastAsia"/>
          <w:sz w:val="24"/>
          <w:szCs w:val="24"/>
        </w:rPr>
        <w:t>承担安全阀基于风险检验（</w:t>
      </w:r>
      <w:r>
        <w:rPr>
          <w:rFonts w:hAnsi="宋体" w:cs="黑体"/>
          <w:sz w:val="24"/>
          <w:szCs w:val="24"/>
        </w:rPr>
        <w:t>RBI</w:t>
      </w:r>
      <w:r>
        <w:rPr>
          <w:rFonts w:hAnsi="宋体" w:cs="黑体" w:hint="eastAsia"/>
          <w:sz w:val="24"/>
          <w:szCs w:val="24"/>
        </w:rPr>
        <w:t>）的检验机构应当经过负责特种设备安全监督管理的部门核准，取得基于风险的检验资质。承担安全阀校验的检测机构应当经过负责特种设备安全监督管理的部门核准，取得安全阀校验资质。</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4.2 </w:t>
      </w:r>
      <w:r>
        <w:rPr>
          <w:rFonts w:hAnsi="宋体" w:cs="黑体" w:hint="eastAsia"/>
          <w:sz w:val="24"/>
          <w:szCs w:val="24"/>
        </w:rPr>
        <w:t>人员资质和技术能力要求</w:t>
      </w:r>
    </w:p>
    <w:p w:rsidR="006B0DDC" w:rsidRDefault="00966012">
      <w:pPr>
        <w:pStyle w:val="affa"/>
        <w:spacing w:line="400" w:lineRule="exact"/>
        <w:ind w:firstLineChars="0" w:firstLine="0"/>
        <w:rPr>
          <w:rFonts w:hAnsi="宋体" w:cs="黑体"/>
          <w:sz w:val="24"/>
          <w:szCs w:val="24"/>
        </w:rPr>
      </w:pPr>
      <w:r>
        <w:rPr>
          <w:rFonts w:hAnsi="宋体" w:cs="黑体"/>
          <w:sz w:val="24"/>
          <w:szCs w:val="24"/>
        </w:rPr>
        <w:t>4.2.1 评估方案和报告的编制人员应当经过相关培训，具有承压类检验员或检验师资质，熟悉RBI的有关国家标准和专用分析软件，熟悉安全阀的类型、结构和运行原理，能够独立编制RBI评估方案、完成RBI评估分析工作、编制报告。</w:t>
      </w:r>
    </w:p>
    <w:p w:rsidR="006B0DDC" w:rsidRDefault="00966012">
      <w:pPr>
        <w:pStyle w:val="affa"/>
        <w:spacing w:line="400" w:lineRule="exact"/>
        <w:ind w:firstLineChars="0" w:firstLine="0"/>
        <w:rPr>
          <w:rFonts w:hAnsi="宋体" w:cs="黑体"/>
          <w:sz w:val="24"/>
          <w:szCs w:val="24"/>
        </w:rPr>
      </w:pPr>
      <w:r>
        <w:rPr>
          <w:rFonts w:hAnsi="宋体" w:cs="黑体"/>
          <w:sz w:val="24"/>
          <w:szCs w:val="24"/>
        </w:rPr>
        <w:t>4.2.2 评估方案和报告的审核人员：应具有承压类高检师资质，并经检验机构质量体系文件授权且在有效期内，具有丰富的RBI项目实施经验，熟悉安全阀的类型、结构和运行原理，对装设安全阀的设备存在的问题，</w:t>
      </w:r>
      <w:r>
        <w:rPr>
          <w:rFonts w:hAnsi="宋体" w:cs="黑体" w:hint="eastAsia"/>
          <w:sz w:val="24"/>
          <w:szCs w:val="24"/>
        </w:rPr>
        <w:t>能够</w:t>
      </w:r>
      <w:r>
        <w:rPr>
          <w:rFonts w:hAnsi="宋体" w:cs="黑体"/>
          <w:sz w:val="24"/>
          <w:szCs w:val="24"/>
        </w:rPr>
        <w:t>提出修改或更正意见。</w:t>
      </w:r>
    </w:p>
    <w:p w:rsidR="006B0DDC" w:rsidRDefault="00966012">
      <w:pPr>
        <w:pStyle w:val="affa"/>
        <w:spacing w:line="400" w:lineRule="exact"/>
        <w:ind w:firstLineChars="0" w:firstLine="0"/>
        <w:rPr>
          <w:rFonts w:hAnsi="宋体" w:cs="黑体"/>
          <w:sz w:val="24"/>
          <w:szCs w:val="24"/>
        </w:rPr>
      </w:pPr>
      <w:r>
        <w:rPr>
          <w:rFonts w:hAnsi="宋体" w:cs="黑体"/>
          <w:sz w:val="24"/>
          <w:szCs w:val="24"/>
        </w:rPr>
        <w:t>4.2.3 评估方案和报告审批人员：应具有承压类高检师资质，并经检验机构质量体系文件授权且在有效期内，能够发现方案、报告中的重大问题，并提出修改或更正意见。</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4.2.4 </w:t>
      </w:r>
      <w:r>
        <w:rPr>
          <w:rFonts w:hAnsi="宋体" w:cs="黑体" w:hint="eastAsia"/>
          <w:sz w:val="24"/>
          <w:szCs w:val="24"/>
        </w:rPr>
        <w:t>安全阀校验人员：应熟悉安全阀校验过程，具有安全阀校验人员资质，能按照</w:t>
      </w:r>
      <w:r>
        <w:rPr>
          <w:rFonts w:hAnsi="宋体" w:cs="黑体"/>
          <w:sz w:val="24"/>
          <w:szCs w:val="24"/>
        </w:rPr>
        <w:t>RBI评估报告</w:t>
      </w:r>
      <w:r>
        <w:rPr>
          <w:rFonts w:hAnsi="宋体" w:cs="黑体" w:hint="eastAsia"/>
          <w:sz w:val="24"/>
          <w:szCs w:val="24"/>
        </w:rPr>
        <w:t>的要求结合装置检修计划实施安全阀校验，填写校验记录并出具校验报告，出具的记录和报告均应符合校验单位质量体系要求。</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4.3 </w:t>
      </w:r>
      <w:r>
        <w:rPr>
          <w:rFonts w:hAnsi="宋体" w:cs="黑体" w:hint="eastAsia"/>
          <w:sz w:val="24"/>
          <w:szCs w:val="24"/>
        </w:rPr>
        <w:t>安全阀</w:t>
      </w:r>
      <w:r>
        <w:rPr>
          <w:rFonts w:hAnsi="宋体" w:cs="黑体"/>
          <w:sz w:val="24"/>
          <w:szCs w:val="24"/>
        </w:rPr>
        <w:t>RBI</w:t>
      </w:r>
      <w:r>
        <w:rPr>
          <w:rFonts w:hAnsi="宋体" w:cs="黑体" w:hint="eastAsia"/>
          <w:sz w:val="24"/>
          <w:szCs w:val="24"/>
        </w:rPr>
        <w:t>评估采用的软件应当是满足标准要求，经过鉴定验收，并具有软件著作权的专业评估软件。</w:t>
      </w:r>
    </w:p>
    <w:p w:rsidR="006B0DDC" w:rsidRDefault="00966012">
      <w:pPr>
        <w:pStyle w:val="afff8"/>
        <w:numPr>
          <w:ilvl w:val="0"/>
          <w:numId w:val="20"/>
        </w:numPr>
        <w:spacing w:before="312" w:after="312" w:line="400" w:lineRule="exact"/>
        <w:jc w:val="left"/>
        <w:rPr>
          <w:sz w:val="24"/>
          <w:szCs w:val="24"/>
        </w:rPr>
      </w:pPr>
      <w:bookmarkStart w:id="27" w:name="_Toc201061778"/>
      <w:r>
        <w:rPr>
          <w:rFonts w:hint="eastAsia"/>
          <w:sz w:val="24"/>
          <w:szCs w:val="24"/>
        </w:rPr>
        <w:t>准备工作</w:t>
      </w:r>
      <w:bookmarkEnd w:id="27"/>
    </w:p>
    <w:p w:rsidR="006B0DDC" w:rsidRDefault="00966012">
      <w:pPr>
        <w:pStyle w:val="affa"/>
        <w:spacing w:line="400" w:lineRule="exact"/>
        <w:ind w:firstLineChars="0" w:firstLine="0"/>
        <w:rPr>
          <w:rFonts w:hAnsi="宋体" w:cs="黑体"/>
          <w:sz w:val="24"/>
          <w:szCs w:val="24"/>
        </w:rPr>
      </w:pPr>
      <w:r>
        <w:rPr>
          <w:rFonts w:hAnsi="宋体" w:cs="黑体"/>
          <w:sz w:val="24"/>
          <w:szCs w:val="24"/>
        </w:rPr>
        <w:t>5.1 RBI</w:t>
      </w:r>
      <w:r>
        <w:rPr>
          <w:rFonts w:hAnsi="宋体" w:cs="黑体" w:hint="eastAsia"/>
          <w:sz w:val="24"/>
          <w:szCs w:val="24"/>
        </w:rPr>
        <w:t>评估前，使用单位应当按照相关特种设备技术规范完成安全管理评价工作，并将评价报告提交检验机构，经检验机构审核通过后方可实施</w:t>
      </w:r>
      <w:r>
        <w:rPr>
          <w:rFonts w:hAnsi="宋体" w:cs="黑体"/>
          <w:sz w:val="24"/>
          <w:szCs w:val="24"/>
        </w:rPr>
        <w:t>RBI</w:t>
      </w:r>
      <w:r>
        <w:rPr>
          <w:rFonts w:hAnsi="宋体" w:cs="黑体" w:hint="eastAsia"/>
          <w:sz w:val="24"/>
          <w:szCs w:val="24"/>
        </w:rPr>
        <w:t>评估工作。使用单位还应向检验机构提供安全阀评估数量、评估目的、评估工期等信息，检验机构应通过咨询专家意见、调研国内外同类型安全阀的失效案例等方式，确定能否达到使用单位目的，评估风险是否可控，如果不可行则应终止</w:t>
      </w:r>
      <w:r>
        <w:rPr>
          <w:rFonts w:hAnsi="宋体" w:cs="黑体"/>
          <w:sz w:val="24"/>
          <w:szCs w:val="24"/>
        </w:rPr>
        <w:t>RBI评估工作。</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5.2 </w:t>
      </w:r>
      <w:r>
        <w:rPr>
          <w:rFonts w:hAnsi="宋体" w:cs="黑体" w:hint="eastAsia"/>
          <w:sz w:val="24"/>
          <w:szCs w:val="24"/>
        </w:rPr>
        <w:t>项目开始前，检验机构应向设备所在地特种设备安全监督管理部门告知。</w:t>
      </w:r>
    </w:p>
    <w:p w:rsidR="006B0DDC" w:rsidRDefault="00966012">
      <w:pPr>
        <w:pStyle w:val="affa"/>
        <w:spacing w:line="400" w:lineRule="exact"/>
        <w:ind w:firstLineChars="0" w:firstLine="0"/>
        <w:rPr>
          <w:rFonts w:hAnsi="宋体" w:cs="黑体"/>
          <w:sz w:val="24"/>
          <w:szCs w:val="24"/>
        </w:rPr>
      </w:pPr>
      <w:r>
        <w:rPr>
          <w:rFonts w:hAnsi="宋体" w:cs="黑体"/>
          <w:sz w:val="24"/>
          <w:szCs w:val="24"/>
        </w:rPr>
        <w:lastRenderedPageBreak/>
        <w:t xml:space="preserve">5.3 </w:t>
      </w:r>
      <w:r>
        <w:rPr>
          <w:rFonts w:hAnsi="宋体" w:cs="黑体" w:hint="eastAsia"/>
          <w:sz w:val="24"/>
          <w:szCs w:val="24"/>
        </w:rPr>
        <w:t>评估人员应根据</w:t>
      </w:r>
      <w:r>
        <w:rPr>
          <w:rFonts w:hAnsi="宋体" w:cs="黑体"/>
          <w:sz w:val="24"/>
          <w:szCs w:val="24"/>
        </w:rPr>
        <w:t xml:space="preserve"> RBI </w:t>
      </w:r>
      <w:r>
        <w:rPr>
          <w:rFonts w:hAnsi="宋体" w:cs="黑体" w:hint="eastAsia"/>
          <w:sz w:val="24"/>
          <w:szCs w:val="24"/>
        </w:rPr>
        <w:t>技术和安全阀的特点，编制评估方案。</w:t>
      </w:r>
    </w:p>
    <w:p w:rsidR="006B0DDC" w:rsidRDefault="00966012">
      <w:pPr>
        <w:pStyle w:val="affa"/>
        <w:spacing w:line="400" w:lineRule="exact"/>
        <w:ind w:firstLine="480"/>
        <w:rPr>
          <w:rFonts w:hAnsi="宋体" w:cs="黑体"/>
          <w:sz w:val="24"/>
          <w:szCs w:val="24"/>
        </w:rPr>
      </w:pPr>
      <w:r>
        <w:rPr>
          <w:rFonts w:hAnsi="宋体" w:cs="黑体" w:hint="eastAsia"/>
          <w:sz w:val="24"/>
          <w:szCs w:val="24"/>
        </w:rPr>
        <w:t>方案中应包括以下内容：</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1）工作范围及目的；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2）评估依据；</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3）项目流程及关键</w:t>
      </w:r>
      <w:r>
        <w:rPr>
          <w:rFonts w:hAnsi="宋体" w:cs="黑体" w:hint="eastAsia"/>
          <w:sz w:val="24"/>
          <w:szCs w:val="24"/>
        </w:rPr>
        <w:t>节点；</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4</w:t>
      </w:r>
      <w:r>
        <w:rPr>
          <w:rFonts w:hAnsi="宋体" w:cs="黑体" w:hint="eastAsia"/>
          <w:sz w:val="24"/>
          <w:szCs w:val="24"/>
        </w:rPr>
        <w:t>）根据安全阀使用工况及同类装置维护经验推断的潜在失效机理等；</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5</w:t>
      </w:r>
      <w:r>
        <w:rPr>
          <w:rFonts w:hAnsi="宋体" w:cs="黑体" w:hint="eastAsia"/>
          <w:sz w:val="24"/>
          <w:szCs w:val="24"/>
        </w:rPr>
        <w:t>）项目参与人员及分工；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6</w:t>
      </w:r>
      <w:r>
        <w:rPr>
          <w:rFonts w:hAnsi="宋体" w:cs="黑体" w:hint="eastAsia"/>
          <w:sz w:val="24"/>
          <w:szCs w:val="24"/>
        </w:rPr>
        <w:t>）成果递交形式及要求；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7</w:t>
      </w:r>
      <w:r>
        <w:rPr>
          <w:rFonts w:hAnsi="宋体" w:cs="黑体" w:hint="eastAsia"/>
          <w:sz w:val="24"/>
          <w:szCs w:val="24"/>
        </w:rPr>
        <w:t>）进度计划；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8</w:t>
      </w:r>
      <w:r>
        <w:rPr>
          <w:rFonts w:hAnsi="宋体" w:cs="黑体" w:hint="eastAsia"/>
          <w:sz w:val="24"/>
          <w:szCs w:val="24"/>
        </w:rPr>
        <w:t>）现场检查记录及</w:t>
      </w:r>
      <w:r>
        <w:rPr>
          <w:rFonts w:hAnsi="宋体" w:cs="黑体"/>
          <w:sz w:val="24"/>
          <w:szCs w:val="24"/>
        </w:rPr>
        <w:t>RBI基础资料记录格式（必要时）。</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5.4 </w:t>
      </w:r>
      <w:r>
        <w:rPr>
          <w:rFonts w:hAnsi="宋体" w:cs="黑体" w:hint="eastAsia"/>
          <w:sz w:val="24"/>
          <w:szCs w:val="24"/>
        </w:rPr>
        <w:t>项目一般流程包括启动会议、、企业风险可接受水平确认、基础资料与数据收集、安全阀运行情况及腐蚀状况调查、安全阀失效模式识别、安全阀风险分析、检验策略制定、风险再评估及验证、编制报告、项目验收等工作流程。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5.5 </w:t>
      </w:r>
      <w:r>
        <w:rPr>
          <w:rFonts w:hAnsi="宋体" w:cs="黑体" w:hint="eastAsia"/>
          <w:sz w:val="24"/>
          <w:szCs w:val="24"/>
        </w:rPr>
        <w:t>在项目进行过程中需要调整工作内容的，评估人员应按实际情况更改方案。工作内容调整范围仅为少量增加或缩减评估对象数量且未改变原定工作流程的，经原方案审核人员确认，仍可按原方案执行；否则应在原始数据收集与整理过程完成方案的更改工作，后续工作按照更改后的方案进行。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5.6 </w:t>
      </w:r>
      <w:r>
        <w:rPr>
          <w:rFonts w:hAnsi="宋体" w:cs="黑体" w:hint="eastAsia"/>
          <w:sz w:val="24"/>
          <w:szCs w:val="24"/>
        </w:rPr>
        <w:t>评估人员按设备数量和工期要求制定安全阀基础资料与数据收集计划，基础资料由使用单位提供给检验机构，使用单位应对基础资料的真实性和完整性负责。</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5.7 </w:t>
      </w:r>
      <w:r>
        <w:rPr>
          <w:rFonts w:hAnsi="宋体" w:cs="黑体" w:hint="eastAsia"/>
          <w:sz w:val="24"/>
          <w:szCs w:val="24"/>
        </w:rPr>
        <w:t>使用单位应根据自身实际情况，提供合理的风险可接受水平确认单。</w:t>
      </w:r>
    </w:p>
    <w:p w:rsidR="006B0DDC" w:rsidRDefault="00966012">
      <w:pPr>
        <w:pStyle w:val="afff8"/>
        <w:numPr>
          <w:ilvl w:val="0"/>
          <w:numId w:val="20"/>
        </w:numPr>
        <w:spacing w:before="312" w:after="312" w:line="400" w:lineRule="exact"/>
        <w:jc w:val="left"/>
        <w:rPr>
          <w:sz w:val="24"/>
          <w:szCs w:val="24"/>
        </w:rPr>
      </w:pPr>
      <w:bookmarkStart w:id="28" w:name="_Toc201061779"/>
      <w:r>
        <w:rPr>
          <w:rFonts w:hint="eastAsia"/>
          <w:sz w:val="24"/>
          <w:szCs w:val="24"/>
        </w:rPr>
        <w:t>工作内容及要求</w:t>
      </w:r>
      <w:bookmarkEnd w:id="28"/>
    </w:p>
    <w:p w:rsidR="006B0DDC" w:rsidRDefault="00966012">
      <w:pPr>
        <w:pStyle w:val="afff5"/>
        <w:spacing w:before="156" w:after="156" w:line="400" w:lineRule="exact"/>
        <w:rPr>
          <w:sz w:val="24"/>
          <w:szCs w:val="24"/>
        </w:rPr>
      </w:pPr>
      <w:bookmarkStart w:id="29" w:name="_Toc201061780"/>
      <w:r>
        <w:rPr>
          <w:sz w:val="24"/>
          <w:szCs w:val="24"/>
        </w:rPr>
        <w:t xml:space="preserve">6.1 </w:t>
      </w:r>
      <w:r>
        <w:rPr>
          <w:rFonts w:hint="eastAsia"/>
          <w:sz w:val="24"/>
          <w:szCs w:val="24"/>
        </w:rPr>
        <w:t>基础资料与数据收集</w:t>
      </w:r>
      <w:bookmarkEnd w:id="29"/>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6.1.1 </w:t>
      </w:r>
      <w:r>
        <w:rPr>
          <w:rFonts w:hAnsi="宋体" w:cs="黑体" w:hint="eastAsia"/>
          <w:sz w:val="24"/>
          <w:szCs w:val="24"/>
        </w:rPr>
        <w:t>需收集的基础资料</w:t>
      </w:r>
    </w:p>
    <w:p w:rsidR="006B0DDC" w:rsidRDefault="00966012">
      <w:pPr>
        <w:pStyle w:val="affa"/>
        <w:spacing w:line="400" w:lineRule="exact"/>
        <w:ind w:firstLine="480"/>
        <w:rPr>
          <w:rFonts w:hAnsi="宋体" w:cs="黑体"/>
          <w:sz w:val="24"/>
          <w:szCs w:val="24"/>
        </w:rPr>
      </w:pPr>
      <w:r>
        <w:rPr>
          <w:rFonts w:hAnsi="宋体" w:cs="黑体" w:hint="eastAsia"/>
          <w:sz w:val="24"/>
          <w:szCs w:val="24"/>
        </w:rPr>
        <w:t>评估需收集的基础资料：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1）装置整体情况</w:t>
      </w:r>
      <w:r>
        <w:rPr>
          <w:rFonts w:hAnsi="宋体" w:cs="黑体" w:hint="eastAsia"/>
          <w:sz w:val="24"/>
          <w:szCs w:val="24"/>
        </w:rPr>
        <w:t>，包括装置建设、改造情况，装置运行情况，装置最近一次大修情况等；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2）工艺资料，</w:t>
      </w:r>
      <w:r>
        <w:rPr>
          <w:rFonts w:hAnsi="宋体" w:cs="黑体" w:hint="eastAsia"/>
          <w:sz w:val="24"/>
          <w:szCs w:val="24"/>
        </w:rPr>
        <w:t>包括工艺流程图（</w:t>
      </w:r>
      <w:r>
        <w:rPr>
          <w:rFonts w:hAnsi="宋体" w:cs="黑体"/>
          <w:sz w:val="24"/>
          <w:szCs w:val="24"/>
        </w:rPr>
        <w:t xml:space="preserve">PFD）、管道和仪表流程图（P&amp;ID）、 </w:t>
      </w:r>
      <w:r>
        <w:rPr>
          <w:rFonts w:hAnsi="宋体" w:cs="黑体" w:hint="eastAsia"/>
          <w:sz w:val="24"/>
          <w:szCs w:val="24"/>
        </w:rPr>
        <w:t>操作规程等；</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3）受</w:t>
      </w:r>
      <w:r>
        <w:rPr>
          <w:rFonts w:hAnsi="宋体" w:cs="黑体" w:hint="eastAsia"/>
          <w:sz w:val="24"/>
          <w:szCs w:val="24"/>
        </w:rPr>
        <w:t>安全阀保护的设备的资料，包括设备台账、质量证明书、竣工图纸、年度检查报告、维修和改造记录等；</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4）安全阀资料，</w:t>
      </w:r>
      <w:r>
        <w:rPr>
          <w:rFonts w:hAnsi="宋体" w:cs="黑体" w:hint="eastAsia"/>
          <w:sz w:val="24"/>
          <w:szCs w:val="24"/>
        </w:rPr>
        <w:t>包括安全阀台账（包括安全阀出厂质量证明书、检查记录、校验报告等；</w:t>
      </w:r>
    </w:p>
    <w:p w:rsidR="006B0DDC" w:rsidRDefault="00966012">
      <w:pPr>
        <w:pStyle w:val="affa"/>
        <w:spacing w:line="400" w:lineRule="exact"/>
        <w:ind w:firstLine="480"/>
        <w:rPr>
          <w:rFonts w:hAnsi="宋体" w:cs="黑体"/>
          <w:sz w:val="24"/>
          <w:szCs w:val="24"/>
        </w:rPr>
      </w:pPr>
      <w:r>
        <w:rPr>
          <w:rFonts w:hAnsi="宋体" w:cs="黑体" w:hint="eastAsia"/>
          <w:sz w:val="24"/>
          <w:szCs w:val="24"/>
        </w:rPr>
        <w:lastRenderedPageBreak/>
        <w:t>（</w:t>
      </w:r>
      <w:r>
        <w:rPr>
          <w:rFonts w:hAnsi="宋体" w:cs="黑体"/>
          <w:sz w:val="24"/>
          <w:szCs w:val="24"/>
        </w:rPr>
        <w:t>5）安全阀使用维护、更换资料</w:t>
      </w:r>
      <w:r>
        <w:rPr>
          <w:rFonts w:hAnsi="宋体" w:cs="黑体" w:hint="eastAsia"/>
          <w:sz w:val="24"/>
          <w:szCs w:val="24"/>
        </w:rPr>
        <w:t>；</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6）延期校验资料。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6.1.2 </w:t>
      </w:r>
      <w:r>
        <w:rPr>
          <w:rFonts w:hAnsi="宋体" w:cs="黑体" w:hint="eastAsia"/>
          <w:sz w:val="24"/>
          <w:szCs w:val="24"/>
        </w:rPr>
        <w:t>数据收集的要求</w:t>
      </w:r>
    </w:p>
    <w:p w:rsidR="006B0DDC" w:rsidRDefault="00966012">
      <w:pPr>
        <w:pStyle w:val="affa"/>
        <w:spacing w:line="400" w:lineRule="exact"/>
        <w:ind w:firstLine="480"/>
        <w:rPr>
          <w:rFonts w:hAnsi="宋体" w:cs="黑体"/>
          <w:sz w:val="24"/>
          <w:szCs w:val="24"/>
        </w:rPr>
      </w:pPr>
      <w:r>
        <w:rPr>
          <w:rFonts w:hAnsi="宋体" w:cs="黑体" w:hint="eastAsia"/>
          <w:sz w:val="24"/>
          <w:szCs w:val="24"/>
        </w:rPr>
        <w:t>需要收集的基础数据包括：</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w:t>
      </w:r>
      <w:r>
        <w:rPr>
          <w:rFonts w:hAnsi="宋体" w:cs="黑体" w:hint="eastAsia"/>
          <w:sz w:val="24"/>
          <w:szCs w:val="24"/>
        </w:rPr>
        <w:t>）安全阀编号、投用日期、规格参数（进口公称通经、流道面积、额定泄放量等）、</w:t>
      </w:r>
      <w:r>
        <w:rPr>
          <w:rFonts w:hAnsi="宋体" w:cs="黑体"/>
          <w:sz w:val="24"/>
          <w:szCs w:val="24"/>
        </w:rPr>
        <w:t xml:space="preserve"> </w:t>
      </w:r>
      <w:r>
        <w:rPr>
          <w:rFonts w:hAnsi="宋体" w:cs="黑体" w:hint="eastAsia"/>
          <w:sz w:val="24"/>
          <w:szCs w:val="24"/>
        </w:rPr>
        <w:t>安全阀类型、整定压力、安装方式及泄放地点；</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w:t>
      </w:r>
      <w:r>
        <w:rPr>
          <w:rFonts w:hAnsi="宋体" w:cs="黑体" w:hint="eastAsia"/>
          <w:sz w:val="24"/>
          <w:szCs w:val="24"/>
        </w:rPr>
        <w:t>）校验历史、历年检查方法、检验有效性，合理采用校验报告中的数据作为</w:t>
      </w:r>
      <w:r>
        <w:rPr>
          <w:rFonts w:hAnsi="宋体" w:cs="黑体"/>
          <w:sz w:val="24"/>
          <w:szCs w:val="24"/>
        </w:rPr>
        <w:t>RBI评估分析用数据；</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w:t>
      </w:r>
      <w:r>
        <w:rPr>
          <w:rFonts w:hAnsi="宋体" w:cs="黑体" w:hint="eastAsia"/>
          <w:sz w:val="24"/>
          <w:szCs w:val="24"/>
        </w:rPr>
        <w:t>）所保护设备的工作压力、工作温度、介质（介质组分及毒性介质含量）、体积、材质等参数；</w:t>
      </w:r>
    </w:p>
    <w:p w:rsidR="006B0DDC" w:rsidRDefault="00966012">
      <w:pPr>
        <w:pStyle w:val="afff5"/>
        <w:spacing w:before="156" w:after="156" w:line="400" w:lineRule="exact"/>
        <w:rPr>
          <w:sz w:val="24"/>
          <w:szCs w:val="24"/>
        </w:rPr>
      </w:pPr>
      <w:bookmarkStart w:id="30" w:name="_Toc201061781"/>
      <w:r>
        <w:rPr>
          <w:sz w:val="24"/>
          <w:szCs w:val="24"/>
        </w:rPr>
        <w:t xml:space="preserve">6.2 </w:t>
      </w:r>
      <w:r>
        <w:rPr>
          <w:rFonts w:hint="eastAsia"/>
          <w:sz w:val="24"/>
          <w:szCs w:val="24"/>
        </w:rPr>
        <w:t>安全阀运行情况及腐蚀状况调查</w:t>
      </w:r>
      <w:bookmarkEnd w:id="30"/>
      <w:r>
        <w:rPr>
          <w:rFonts w:hint="eastAsia"/>
          <w:sz w:val="24"/>
          <w:szCs w:val="24"/>
        </w:rPr>
        <w:t> </w:t>
      </w:r>
    </w:p>
    <w:p w:rsidR="006B0DDC" w:rsidRDefault="00966012">
      <w:pPr>
        <w:pStyle w:val="affa"/>
        <w:spacing w:line="400" w:lineRule="exact"/>
        <w:ind w:firstLine="480"/>
        <w:rPr>
          <w:rFonts w:hAnsi="宋体" w:cs="黑体"/>
          <w:sz w:val="24"/>
          <w:szCs w:val="24"/>
        </w:rPr>
      </w:pPr>
      <w:r>
        <w:rPr>
          <w:rFonts w:hAnsi="宋体" w:cs="黑体" w:hint="eastAsia"/>
          <w:sz w:val="24"/>
          <w:szCs w:val="24"/>
        </w:rPr>
        <w:t>评估应调查安全阀运行情况及腐蚀状况，包括安全阀在役状态下是否起跳、是否闭合不严，校验过程中是否发现阀体、阀杆、弹簧腐蚀等。</w:t>
      </w:r>
    </w:p>
    <w:p w:rsidR="006B0DDC" w:rsidRDefault="00966012">
      <w:pPr>
        <w:pStyle w:val="afff5"/>
        <w:spacing w:before="156" w:after="156" w:line="400" w:lineRule="exact"/>
        <w:rPr>
          <w:rFonts w:hAnsi="宋体" w:cs="黑体"/>
          <w:sz w:val="24"/>
          <w:szCs w:val="24"/>
        </w:rPr>
      </w:pPr>
      <w:bookmarkStart w:id="31" w:name="_Toc201061782"/>
      <w:r>
        <w:rPr>
          <w:sz w:val="24"/>
          <w:szCs w:val="24"/>
        </w:rPr>
        <w:t xml:space="preserve">6.3 </w:t>
      </w:r>
      <w:r>
        <w:rPr>
          <w:rFonts w:hint="eastAsia"/>
          <w:sz w:val="24"/>
          <w:szCs w:val="24"/>
        </w:rPr>
        <w:t>安全阀失效模式</w:t>
      </w:r>
      <w:bookmarkEnd w:id="31"/>
      <w:r>
        <w:rPr>
          <w:rFonts w:hint="eastAsia"/>
          <w:sz w:val="24"/>
          <w:szCs w:val="24"/>
        </w:rPr>
        <w:t>识别</w:t>
      </w:r>
      <w:r>
        <w:rPr>
          <w:rFonts w:hAnsi="宋体" w:cs="黑体" w:hint="eastAsia"/>
          <w:sz w:val="24"/>
          <w:szCs w:val="24"/>
        </w:rPr>
        <w:t> </w:t>
      </w:r>
    </w:p>
    <w:p w:rsidR="006B0DDC" w:rsidRDefault="00966012">
      <w:pPr>
        <w:pStyle w:val="affa"/>
        <w:spacing w:line="400" w:lineRule="exact"/>
        <w:ind w:firstLine="480"/>
        <w:rPr>
          <w:rFonts w:hAnsi="宋体" w:cs="黑体"/>
          <w:sz w:val="24"/>
          <w:szCs w:val="24"/>
        </w:rPr>
      </w:pPr>
      <w:r>
        <w:rPr>
          <w:rFonts w:hAnsi="宋体" w:cs="黑体" w:hint="eastAsia"/>
          <w:sz w:val="24"/>
          <w:szCs w:val="24"/>
        </w:rPr>
        <w:t>从安全阀开启准确、稳定排放、可靠密封等性能分析其失效模式包括：</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1）安全阀内件粘死</w:t>
      </w:r>
      <w:r>
        <w:rPr>
          <w:rFonts w:hAnsi="宋体" w:cs="黑体" w:hint="eastAsia"/>
          <w:sz w:val="24"/>
          <w:szCs w:val="24"/>
        </w:rPr>
        <w:t>无法开启。例如催化裂化装置这介质为酸性气、蒸汽的安全阀，会发生腐蚀或锈蚀造成内件粘死，导致无法开启。</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2）安全阀腔体堵塞</w:t>
      </w:r>
      <w:r>
        <w:rPr>
          <w:rFonts w:hAnsi="宋体" w:cs="黑体" w:hint="eastAsia"/>
          <w:sz w:val="24"/>
          <w:szCs w:val="24"/>
        </w:rPr>
        <w:t>无法开启。例如介质为渣油、聚丙稀浆液的安全阀，其进出口腔被腐蚀残物、硬质颗粒、固化物（如焦化物、硫等）、聚合物（聚丙稀、聚乙烯等）等堵塞，导致无法开启。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3）安全阀开启压力升高。例如循环水系统</w:t>
      </w:r>
      <w:r>
        <w:rPr>
          <w:rFonts w:hAnsi="宋体" w:cs="黑体" w:hint="eastAsia"/>
          <w:sz w:val="24"/>
          <w:szCs w:val="24"/>
        </w:rPr>
        <w:t>安全阀，阀内会发生腐蚀或锈蚀等导致安全阀内件粘住，造成安全阀开启压力升高，导致无法开启。</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4）安全阀启跳后无法关闭。例如催裂化吸收稳定系统</w:t>
      </w:r>
      <w:r>
        <w:rPr>
          <w:rFonts w:hAnsi="宋体" w:cs="黑体" w:hint="eastAsia"/>
          <w:sz w:val="24"/>
          <w:szCs w:val="24"/>
        </w:rPr>
        <w:t>的安全阀发生腐蚀后造成弹簧断裂，安全阀启跳后无法关闭，导致泄漏。</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5）安全阀</w:t>
      </w:r>
      <w:r>
        <w:rPr>
          <w:rFonts w:hAnsi="宋体" w:cs="黑体" w:hint="eastAsia"/>
          <w:sz w:val="24"/>
          <w:szCs w:val="24"/>
        </w:rPr>
        <w:t>开启压力降低。例如高温高压、腐蚀环境等工况下的安全阀，因弹簧表面被腐蚀，弹力不足或高温下弹簧变软导致开启压力降低，发生泄漏。</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6）安全阀密封泄漏。例如高温高压蒸汽等工况下</w:t>
      </w:r>
      <w:r>
        <w:rPr>
          <w:rFonts w:hAnsi="宋体" w:cs="黑体" w:hint="eastAsia"/>
          <w:sz w:val="24"/>
          <w:szCs w:val="24"/>
        </w:rPr>
        <w:t>的安全阀，其密封面被高温高压介质冲蚀，或被腐蚀介质腐蚀，或因频繁启跳受冲击而损坏，导致阀门泄漏。</w:t>
      </w:r>
    </w:p>
    <w:p w:rsidR="006B0DDC" w:rsidRDefault="00966012">
      <w:pPr>
        <w:pStyle w:val="afff5"/>
        <w:spacing w:before="156" w:after="156" w:line="400" w:lineRule="exact"/>
        <w:rPr>
          <w:rFonts w:hAnsi="宋体" w:cs="黑体"/>
          <w:sz w:val="24"/>
          <w:szCs w:val="24"/>
        </w:rPr>
      </w:pPr>
      <w:r>
        <w:rPr>
          <w:rFonts w:hint="eastAsia"/>
          <w:sz w:val="24"/>
          <w:szCs w:val="24"/>
        </w:rPr>
        <w:t> </w:t>
      </w:r>
      <w:bookmarkStart w:id="32" w:name="_Toc201061783"/>
      <w:r>
        <w:rPr>
          <w:sz w:val="24"/>
          <w:szCs w:val="24"/>
        </w:rPr>
        <w:t xml:space="preserve">6.4 </w:t>
      </w:r>
      <w:r>
        <w:rPr>
          <w:rFonts w:hint="eastAsia"/>
          <w:sz w:val="24"/>
          <w:szCs w:val="24"/>
        </w:rPr>
        <w:t>安全阀风险分析</w:t>
      </w:r>
      <w:bookmarkEnd w:id="32"/>
      <w:r>
        <w:rPr>
          <w:rFonts w:hint="eastAsia"/>
          <w:sz w:val="24"/>
          <w:szCs w:val="24"/>
        </w:rPr>
        <w:t>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6.4.1 </w:t>
      </w:r>
      <w:r>
        <w:rPr>
          <w:rFonts w:hAnsi="宋体" w:cs="黑体" w:hint="eastAsia"/>
          <w:sz w:val="24"/>
          <w:szCs w:val="24"/>
        </w:rPr>
        <w:t>安全阀的失效主要是功能失效，包括无法开启和泄漏两种失效形式。</w:t>
      </w:r>
    </w:p>
    <w:p w:rsidR="006B0DDC" w:rsidRDefault="00966012">
      <w:pPr>
        <w:pStyle w:val="affa"/>
        <w:spacing w:line="400" w:lineRule="exact"/>
        <w:ind w:firstLineChars="0" w:firstLine="0"/>
        <w:rPr>
          <w:rFonts w:hAnsi="宋体" w:cs="黑体"/>
          <w:sz w:val="24"/>
          <w:szCs w:val="24"/>
        </w:rPr>
      </w:pPr>
      <w:r>
        <w:rPr>
          <w:rFonts w:hAnsi="宋体" w:cs="黑体"/>
          <w:sz w:val="24"/>
          <w:szCs w:val="24"/>
        </w:rPr>
        <w:lastRenderedPageBreak/>
        <w:t xml:space="preserve">6.4.2 </w:t>
      </w:r>
      <w:r>
        <w:rPr>
          <w:rFonts w:hAnsi="宋体" w:cs="黑体" w:hint="eastAsia"/>
          <w:sz w:val="24"/>
          <w:szCs w:val="24"/>
        </w:rPr>
        <w:t>安全阀失效可能性计算按照</w:t>
      </w:r>
      <w:r>
        <w:rPr>
          <w:rFonts w:hAnsi="宋体" w:cs="黑体"/>
          <w:sz w:val="24"/>
          <w:szCs w:val="24"/>
        </w:rPr>
        <w:t xml:space="preserve">GB/T 26610.4-2022《承压设备系统基于风险的检验实施导则 </w:t>
      </w:r>
      <w:r>
        <w:rPr>
          <w:rFonts w:hAnsi="宋体" w:cs="黑体" w:hint="eastAsia"/>
          <w:sz w:val="24"/>
          <w:szCs w:val="24"/>
        </w:rPr>
        <w:t>第</w:t>
      </w:r>
      <w:r>
        <w:rPr>
          <w:rFonts w:hAnsi="宋体" w:cs="黑体"/>
          <w:sz w:val="24"/>
          <w:szCs w:val="24"/>
        </w:rPr>
        <w:t>4部分：失效可能性定量分析方法》附件K</w:t>
      </w:r>
      <w:r>
        <w:rPr>
          <w:rFonts w:hAnsi="宋体" w:cs="黑体" w:hint="eastAsia"/>
          <w:sz w:val="24"/>
          <w:szCs w:val="24"/>
        </w:rPr>
        <w:t>执行，安全阀开启失效后果定量计算按照</w:t>
      </w:r>
      <w:r>
        <w:rPr>
          <w:rFonts w:hAnsi="宋体" w:cs="黑体"/>
          <w:sz w:val="24"/>
          <w:szCs w:val="24"/>
        </w:rPr>
        <w:t xml:space="preserve">GB/T 26610.5-2022《承压设备系统基于风险的检验实施导则 </w:t>
      </w:r>
      <w:r>
        <w:rPr>
          <w:rFonts w:hAnsi="宋体" w:cs="黑体" w:hint="eastAsia"/>
          <w:sz w:val="24"/>
          <w:szCs w:val="24"/>
        </w:rPr>
        <w:t>第</w:t>
      </w:r>
      <w:r>
        <w:rPr>
          <w:rFonts w:hAnsi="宋体" w:cs="黑体"/>
          <w:sz w:val="24"/>
          <w:szCs w:val="24"/>
        </w:rPr>
        <w:t>5部分：失效后果定量分析方法》附件A</w:t>
      </w:r>
      <w:r>
        <w:rPr>
          <w:rFonts w:hAnsi="宋体" w:cs="黑体" w:hint="eastAsia"/>
          <w:sz w:val="24"/>
          <w:szCs w:val="24"/>
        </w:rPr>
        <w:t>执行，安全阀泄漏失效后果定量计算按照</w:t>
      </w:r>
      <w:r>
        <w:rPr>
          <w:rFonts w:hAnsi="宋体" w:cs="黑体"/>
          <w:sz w:val="24"/>
          <w:szCs w:val="24"/>
        </w:rPr>
        <w:t xml:space="preserve">GB/T 26610.5-2022《承压设备系统基于风险的检验实施导则 </w:t>
      </w:r>
      <w:r>
        <w:rPr>
          <w:rFonts w:hAnsi="宋体" w:cs="黑体" w:hint="eastAsia"/>
          <w:sz w:val="24"/>
          <w:szCs w:val="24"/>
        </w:rPr>
        <w:t>第</w:t>
      </w:r>
      <w:r>
        <w:rPr>
          <w:rFonts w:hAnsi="宋体" w:cs="黑体"/>
          <w:sz w:val="24"/>
          <w:szCs w:val="24"/>
        </w:rPr>
        <w:t>5部分：失效后果定量分析方法》附件B</w:t>
      </w:r>
      <w:r>
        <w:rPr>
          <w:rFonts w:hAnsi="宋体" w:cs="黑体" w:hint="eastAsia"/>
          <w:sz w:val="24"/>
          <w:szCs w:val="24"/>
        </w:rPr>
        <w:t>执行。</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6.4.3 </w:t>
      </w:r>
      <w:r>
        <w:rPr>
          <w:rFonts w:hAnsi="宋体" w:cs="黑体" w:hint="eastAsia"/>
          <w:sz w:val="24"/>
          <w:szCs w:val="24"/>
        </w:rPr>
        <w:t>计算得到安全阀失效可能性和失效后果后，按照式（</w:t>
      </w:r>
      <w:r>
        <w:rPr>
          <w:rFonts w:hAnsi="宋体" w:cs="黑体"/>
          <w:sz w:val="24"/>
          <w:szCs w:val="24"/>
        </w:rPr>
        <w:t>1</w:t>
      </w:r>
      <w:r>
        <w:rPr>
          <w:rFonts w:hAnsi="宋体" w:cs="黑体" w:hint="eastAsia"/>
          <w:sz w:val="24"/>
          <w:szCs w:val="24"/>
        </w:rPr>
        <w:t>）确定安全阀风险： </w:t>
      </w:r>
    </w:p>
    <w:p w:rsidR="006B0DDC" w:rsidRDefault="0098417D">
      <w:pPr>
        <w:spacing w:line="400" w:lineRule="exact"/>
        <w:jc w:val="center"/>
        <w:rPr>
          <w:sz w:val="24"/>
          <w:szCs w:val="24"/>
        </w:rPr>
      </w:pPr>
      <m:oMath>
        <m:sSup>
          <m:sSupPr>
            <m:ctrlPr>
              <w:rPr>
                <w:rFonts w:ascii="Cambria Math" w:hAnsi="Cambria Math"/>
                <w:i/>
                <w:sz w:val="24"/>
                <w:szCs w:val="24"/>
              </w:rPr>
            </m:ctrlPr>
          </m:sSupPr>
          <m:e>
            <m:r>
              <w:rPr>
                <w:rFonts w:ascii="Cambria Math" w:hAnsi="Cambria Math"/>
                <w:sz w:val="24"/>
                <w:szCs w:val="24"/>
              </w:rPr>
              <m:t xml:space="preserve">      Risk</m:t>
            </m:r>
          </m:e>
          <m:sup>
            <m:r>
              <w:rPr>
                <w:rFonts w:ascii="Cambria Math" w:hAnsi="Cambria Math"/>
                <w:sz w:val="24"/>
                <w:szCs w:val="24"/>
              </w:rPr>
              <m:t>prd</m:t>
            </m:r>
          </m:sup>
        </m:sSup>
        <m:r>
          <w:rPr>
            <w:rFonts w:ascii="Cambria Math" w:hAnsi="Cambria Math"/>
            <w:sz w:val="24"/>
            <w:szCs w:val="24"/>
          </w:rPr>
          <m:t>=</m:t>
        </m:r>
        <m:r>
          <m:rPr>
            <m:sty m:val="p"/>
          </m:rPr>
          <w:rPr>
            <w:rFonts w:ascii="Cambria Math" w:hAnsi="Cambria Math"/>
            <w:sz w:val="24"/>
            <w:szCs w:val="24"/>
          </w:rPr>
          <m:t>max⁡</m:t>
        </m:r>
        <m:r>
          <w:rPr>
            <w:rFonts w:ascii="Cambria Math" w:hAnsi="Cambria Math"/>
            <w:sz w:val="24"/>
            <w:szCs w:val="24"/>
          </w:rPr>
          <m:t>{</m:t>
        </m:r>
        <m:sSubSup>
          <m:sSubSupPr>
            <m:ctrlPr>
              <w:rPr>
                <w:rFonts w:ascii="Cambria Math" w:eastAsia="MS Mincho" w:hAnsi="Cambria Math" w:cs="MS Mincho"/>
                <w:i/>
                <w:sz w:val="24"/>
                <w:szCs w:val="24"/>
              </w:rPr>
            </m:ctrlPr>
          </m:sSubSupPr>
          <m:e>
            <m:r>
              <w:rPr>
                <w:rFonts w:ascii="Cambria Math" w:eastAsia="MS Mincho" w:hAnsi="Cambria Math" w:cs="MS Mincho"/>
                <w:sz w:val="24"/>
                <w:szCs w:val="24"/>
              </w:rPr>
              <m:t>R</m:t>
            </m:r>
            <m:r>
              <w:rPr>
                <w:rFonts w:ascii="Cambria Math" w:hAnsi="Cambria Math" w:cs="MS Mincho"/>
                <w:sz w:val="24"/>
                <w:szCs w:val="24"/>
              </w:rPr>
              <m:t>isk</m:t>
            </m:r>
          </m:e>
          <m:sub>
            <m:r>
              <w:rPr>
                <w:rFonts w:ascii="Cambria Math" w:eastAsia="MS Mincho" w:hAnsi="Cambria Math" w:cs="MS Mincho"/>
                <w:sz w:val="24"/>
                <w:szCs w:val="24"/>
              </w:rPr>
              <m:t>f</m:t>
            </m:r>
          </m:sub>
          <m:sup>
            <m:r>
              <w:rPr>
                <w:rFonts w:ascii="Cambria Math" w:eastAsia="MS Mincho" w:hAnsi="Cambria Math" w:cs="MS Mincho"/>
                <w:sz w:val="24"/>
                <w:szCs w:val="24"/>
              </w:rPr>
              <m:t>prd</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Risk</m:t>
            </m:r>
          </m:e>
          <m:sub>
            <m:r>
              <w:rPr>
                <w:rFonts w:ascii="Cambria Math" w:hAnsi="Cambria Math"/>
                <w:sz w:val="24"/>
                <w:szCs w:val="24"/>
              </w:rPr>
              <m:t>l</m:t>
            </m:r>
          </m:sub>
          <m:sup>
            <m:r>
              <w:rPr>
                <w:rFonts w:ascii="Cambria Math" w:hAnsi="Cambria Math"/>
                <w:sz w:val="24"/>
                <w:szCs w:val="24"/>
              </w:rPr>
              <m:t>prd</m:t>
            </m:r>
          </m:sup>
        </m:sSubSup>
        <m:r>
          <w:rPr>
            <w:rFonts w:ascii="Cambria Math" w:hAnsi="Cambria Math"/>
            <w:sz w:val="24"/>
            <w:szCs w:val="24"/>
          </w:rPr>
          <m:t>}</m:t>
        </m:r>
      </m:oMath>
      <w:r w:rsidR="00966012">
        <w:rPr>
          <w:rFonts w:hAnsi="Cambria Math"/>
          <w:sz w:val="24"/>
          <w:szCs w:val="24"/>
        </w:rPr>
        <w:t xml:space="preserve">          </w:t>
      </w:r>
      <w:r w:rsidR="00966012">
        <w:rPr>
          <w:rFonts w:hAnsi="Cambria Math" w:hint="eastAsia"/>
          <w:sz w:val="24"/>
          <w:szCs w:val="24"/>
        </w:rPr>
        <w:t>（</w:t>
      </w:r>
      <w:r w:rsidR="00966012">
        <w:rPr>
          <w:rFonts w:hAnsi="Cambria Math"/>
          <w:sz w:val="24"/>
          <w:szCs w:val="24"/>
        </w:rPr>
        <w:t>1</w:t>
      </w:r>
      <w:r w:rsidR="00966012">
        <w:rPr>
          <w:rFonts w:hAnsi="Cambria Math" w:hint="eastAsia"/>
          <w:sz w:val="24"/>
          <w:szCs w:val="24"/>
        </w:rPr>
        <w:t>）</w:t>
      </w:r>
    </w:p>
    <w:p w:rsidR="006B0DDC" w:rsidRDefault="00966012">
      <w:pPr>
        <w:pStyle w:val="affa"/>
        <w:spacing w:line="400" w:lineRule="exact"/>
        <w:ind w:firstLine="480"/>
        <w:rPr>
          <w:rFonts w:hAnsi="宋体" w:cs="黑体"/>
          <w:sz w:val="24"/>
          <w:szCs w:val="24"/>
        </w:rPr>
      </w:pPr>
      <w:r>
        <w:rPr>
          <w:rFonts w:hAnsi="宋体" w:cs="黑体" w:hint="eastAsia"/>
          <w:sz w:val="24"/>
          <w:szCs w:val="24"/>
        </w:rPr>
        <w:t>式中，</w:t>
      </w:r>
      <m:oMath>
        <m:sSup>
          <m:sSupPr>
            <m:ctrlPr>
              <w:rPr>
                <w:rFonts w:ascii="Cambria Math" w:hAnsi="Cambria Math" w:cs="黑体"/>
                <w:sz w:val="24"/>
                <w:szCs w:val="24"/>
              </w:rPr>
            </m:ctrlPr>
          </m:sSupPr>
          <m:e>
            <m:r>
              <m:rPr>
                <m:sty m:val="p"/>
              </m:rPr>
              <w:rPr>
                <w:rFonts w:ascii="Cambria Math" w:hAnsi="Cambria Math" w:cs="黑体"/>
                <w:sz w:val="24"/>
                <w:szCs w:val="24"/>
              </w:rPr>
              <m:t>Risk</m:t>
            </m:r>
          </m:e>
          <m:sup>
            <m:r>
              <m:rPr>
                <m:sty m:val="p"/>
              </m:rPr>
              <w:rPr>
                <w:rFonts w:ascii="Cambria Math" w:hAnsi="Cambria Math" w:cs="黑体"/>
                <w:sz w:val="24"/>
                <w:szCs w:val="24"/>
              </w:rPr>
              <m:t>prd</m:t>
            </m:r>
          </m:sup>
        </m:sSup>
      </m:oMath>
      <w:r>
        <w:rPr>
          <w:rFonts w:hAnsi="宋体" w:cs="黑体" w:hint="eastAsia"/>
          <w:sz w:val="24"/>
          <w:szCs w:val="24"/>
        </w:rPr>
        <w:t>——安全阀总风险，单位为元每年； </w:t>
      </w:r>
    </w:p>
    <w:p w:rsidR="006B0DDC" w:rsidRDefault="0098417D">
      <w:pPr>
        <w:pStyle w:val="affa"/>
        <w:spacing w:line="400" w:lineRule="exact"/>
        <w:ind w:firstLine="480"/>
        <w:rPr>
          <w:rFonts w:hAnsi="宋体" w:cs="黑体"/>
          <w:sz w:val="24"/>
          <w:szCs w:val="24"/>
        </w:rPr>
      </w:pPr>
      <m:oMath>
        <m:sSubSup>
          <m:sSubSupPr>
            <m:ctrlPr>
              <w:rPr>
                <w:rFonts w:ascii="Cambria Math" w:hAnsi="Cambria Math" w:cs="黑体"/>
                <w:sz w:val="24"/>
                <w:szCs w:val="24"/>
              </w:rPr>
            </m:ctrlPr>
          </m:sSubSupPr>
          <m:e>
            <m:r>
              <m:rPr>
                <m:sty m:val="p"/>
              </m:rPr>
              <w:rPr>
                <w:rFonts w:ascii="Cambria Math" w:hAnsi="Cambria Math" w:cs="黑体"/>
                <w:sz w:val="24"/>
                <w:szCs w:val="24"/>
              </w:rPr>
              <m:t>Risk</m:t>
            </m:r>
          </m:e>
          <m:sub>
            <m:r>
              <m:rPr>
                <m:sty m:val="p"/>
              </m:rPr>
              <w:rPr>
                <w:rFonts w:ascii="Cambria Math" w:hAnsi="Cambria Math" w:cs="黑体"/>
                <w:sz w:val="24"/>
                <w:szCs w:val="24"/>
              </w:rPr>
              <m:t>f</m:t>
            </m:r>
          </m:sub>
          <m:sup>
            <m:r>
              <m:rPr>
                <m:sty m:val="p"/>
              </m:rPr>
              <w:rPr>
                <w:rFonts w:ascii="Cambria Math" w:hAnsi="Cambria Math" w:cs="黑体"/>
                <w:sz w:val="24"/>
                <w:szCs w:val="24"/>
              </w:rPr>
              <m:t>prd</m:t>
            </m:r>
          </m:sup>
        </m:sSubSup>
      </m:oMath>
      <w:r w:rsidR="00966012">
        <w:rPr>
          <w:rFonts w:hAnsi="宋体" w:cs="黑体" w:hint="eastAsia"/>
          <w:sz w:val="24"/>
          <w:szCs w:val="24"/>
        </w:rPr>
        <w:t>——安全阀开启失效风险，单位为元每年；</w:t>
      </w:r>
    </w:p>
    <w:p w:rsidR="006B0DDC" w:rsidRDefault="0098417D">
      <w:pPr>
        <w:pStyle w:val="affa"/>
        <w:spacing w:line="400" w:lineRule="exact"/>
        <w:ind w:firstLine="480"/>
        <w:rPr>
          <w:rFonts w:hAnsi="宋体" w:cs="黑体"/>
          <w:sz w:val="24"/>
          <w:szCs w:val="24"/>
        </w:rPr>
      </w:pPr>
      <m:oMath>
        <m:sSubSup>
          <m:sSubSupPr>
            <m:ctrlPr>
              <w:rPr>
                <w:rFonts w:ascii="Cambria Math" w:hAnsi="Cambria Math" w:cs="黑体"/>
                <w:sz w:val="24"/>
                <w:szCs w:val="24"/>
              </w:rPr>
            </m:ctrlPr>
          </m:sSubSupPr>
          <m:e>
            <m:r>
              <m:rPr>
                <m:sty m:val="p"/>
              </m:rPr>
              <w:rPr>
                <w:rFonts w:ascii="Cambria Math" w:hAnsi="Cambria Math" w:cs="黑体"/>
                <w:sz w:val="24"/>
                <w:szCs w:val="24"/>
              </w:rPr>
              <m:t>Risk</m:t>
            </m:r>
          </m:e>
          <m:sub>
            <m:r>
              <m:rPr>
                <m:sty m:val="p"/>
              </m:rPr>
              <w:rPr>
                <w:rFonts w:ascii="Cambria Math" w:hAnsi="Cambria Math" w:cs="黑体"/>
                <w:sz w:val="24"/>
                <w:szCs w:val="24"/>
              </w:rPr>
              <m:t>l</m:t>
            </m:r>
          </m:sub>
          <m:sup>
            <m:r>
              <m:rPr>
                <m:sty m:val="p"/>
              </m:rPr>
              <w:rPr>
                <w:rFonts w:ascii="Cambria Math" w:hAnsi="Cambria Math" w:cs="黑体"/>
                <w:sz w:val="24"/>
                <w:szCs w:val="24"/>
              </w:rPr>
              <m:t>prd</m:t>
            </m:r>
          </m:sup>
        </m:sSubSup>
      </m:oMath>
      <w:r w:rsidR="00966012">
        <w:rPr>
          <w:rFonts w:hAnsi="宋体" w:cs="黑体" w:hint="eastAsia"/>
          <w:sz w:val="24"/>
          <w:szCs w:val="24"/>
        </w:rPr>
        <w:t>——安全阀泄漏风险，单位为元每年。</w:t>
      </w:r>
    </w:p>
    <w:p w:rsidR="006B0DDC" w:rsidRDefault="00966012">
      <w:pPr>
        <w:pStyle w:val="affa"/>
        <w:spacing w:line="400" w:lineRule="exact"/>
        <w:ind w:firstLine="480"/>
        <w:rPr>
          <w:rFonts w:ascii="Times New Roman"/>
          <w:sz w:val="24"/>
          <w:szCs w:val="24"/>
        </w:rPr>
      </w:pPr>
      <w:r>
        <w:rPr>
          <w:rFonts w:ascii="Times New Roman" w:hint="eastAsia"/>
          <w:sz w:val="24"/>
          <w:szCs w:val="24"/>
        </w:rPr>
        <w:t>公式中，</w:t>
      </w:r>
      <m:oMath>
        <m:sSubSup>
          <m:sSubSupPr>
            <m:ctrlPr>
              <w:rPr>
                <w:rFonts w:ascii="Cambria Math" w:hAnsi="Cambria Math"/>
                <w:sz w:val="24"/>
                <w:szCs w:val="24"/>
              </w:rPr>
            </m:ctrlPr>
          </m:sSubSupPr>
          <m:e>
            <m:r>
              <m:rPr>
                <m:sty m:val="p"/>
              </m:rPr>
              <w:rPr>
                <w:rFonts w:ascii="Cambria Math" w:hAnsi="Cambria Math"/>
                <w:sz w:val="24"/>
                <w:szCs w:val="24"/>
              </w:rPr>
              <m:t>Risk</m:t>
            </m:r>
          </m:e>
          <m:sub>
            <m:r>
              <m:rPr>
                <m:sty m:val="p"/>
              </m:rPr>
              <w:rPr>
                <w:rFonts w:ascii="Cambria Math" w:hAnsi="Cambria Math"/>
                <w:sz w:val="24"/>
                <w:szCs w:val="24"/>
              </w:rPr>
              <m:t>f</m:t>
            </m:r>
          </m:sub>
          <m:sup>
            <m:r>
              <m:rPr>
                <m:sty m:val="p"/>
              </m:rPr>
              <w:rPr>
                <w:rFonts w:ascii="Cambria Math" w:hAnsi="Cambria Math"/>
                <w:sz w:val="24"/>
                <w:szCs w:val="24"/>
              </w:rPr>
              <m:t>prd</m:t>
            </m:r>
          </m:sup>
        </m:sSubSup>
      </m:oMath>
      <w:r>
        <w:rPr>
          <w:rFonts w:ascii="Times New Roman" w:hint="eastAsia"/>
          <w:sz w:val="24"/>
          <w:szCs w:val="24"/>
        </w:rPr>
        <w:t>和</w:t>
      </w:r>
      <m:oMath>
        <m:sSubSup>
          <m:sSubSupPr>
            <m:ctrlPr>
              <w:rPr>
                <w:rFonts w:ascii="Cambria Math" w:hAnsi="Cambria Math"/>
                <w:sz w:val="24"/>
                <w:szCs w:val="24"/>
              </w:rPr>
            </m:ctrlPr>
          </m:sSubSupPr>
          <m:e>
            <m:r>
              <m:rPr>
                <m:sty m:val="p"/>
              </m:rPr>
              <w:rPr>
                <w:rFonts w:ascii="Cambria Math" w:hAnsi="Cambria Math"/>
                <w:sz w:val="24"/>
                <w:szCs w:val="24"/>
              </w:rPr>
              <m:t>Risk</m:t>
            </m:r>
          </m:e>
          <m:sub>
            <m:r>
              <m:rPr>
                <m:sty m:val="p"/>
              </m:rPr>
              <w:rPr>
                <w:rFonts w:ascii="Cambria Math" w:hAnsi="Cambria Math"/>
                <w:sz w:val="24"/>
                <w:szCs w:val="24"/>
              </w:rPr>
              <m:t>l</m:t>
            </m:r>
          </m:sub>
          <m:sup>
            <m:r>
              <m:rPr>
                <m:sty m:val="p"/>
              </m:rPr>
              <w:rPr>
                <w:rFonts w:ascii="Cambria Math" w:hAnsi="Cambria Math"/>
                <w:sz w:val="24"/>
                <w:szCs w:val="24"/>
              </w:rPr>
              <m:t>prd</m:t>
            </m:r>
          </m:sup>
        </m:sSubSup>
      </m:oMath>
      <w:r>
        <w:rPr>
          <w:rFonts w:ascii="Times New Roman" w:hint="eastAsia"/>
          <w:sz w:val="24"/>
          <w:szCs w:val="24"/>
        </w:rPr>
        <w:t>按</w:t>
      </w:r>
      <w:r>
        <w:rPr>
          <w:rFonts w:ascii="Times New Roman"/>
          <w:sz w:val="24"/>
          <w:szCs w:val="24"/>
        </w:rPr>
        <w:t>GB/T 26610.2</w:t>
      </w:r>
      <w:r>
        <w:rPr>
          <w:rFonts w:ascii="Times New Roman" w:hint="eastAsia"/>
          <w:sz w:val="24"/>
          <w:szCs w:val="24"/>
        </w:rPr>
        <w:t>附录</w:t>
      </w:r>
      <w:r>
        <w:rPr>
          <w:rFonts w:ascii="Times New Roman"/>
          <w:sz w:val="24"/>
          <w:szCs w:val="24"/>
        </w:rPr>
        <w:t>A</w:t>
      </w:r>
      <w:r>
        <w:rPr>
          <w:rFonts w:ascii="Times New Roman" w:hint="eastAsia"/>
          <w:sz w:val="24"/>
          <w:szCs w:val="24"/>
        </w:rPr>
        <w:t>计算。</w:t>
      </w:r>
      <w:r>
        <w:rPr>
          <w:rFonts w:ascii="Times New Roman" w:hint="eastAsia"/>
          <w:sz w:val="24"/>
          <w:szCs w:val="24"/>
        </w:rPr>
        <w:t>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6.4.4 </w:t>
      </w:r>
      <w:r>
        <w:rPr>
          <w:rFonts w:hAnsi="宋体" w:cs="黑体" w:hint="eastAsia"/>
          <w:sz w:val="24"/>
          <w:szCs w:val="24"/>
        </w:rPr>
        <w:t>安全阀的风险等级可采用</w:t>
      </w:r>
      <w:r>
        <w:rPr>
          <w:rFonts w:hAnsi="宋体" w:cs="黑体"/>
          <w:sz w:val="24"/>
          <w:szCs w:val="24"/>
        </w:rPr>
        <w:t>GB/T 26610.4</w:t>
      </w:r>
      <w:r>
        <w:rPr>
          <w:rFonts w:hAnsi="宋体" w:cs="黑体" w:hint="eastAsia"/>
          <w:sz w:val="24"/>
          <w:szCs w:val="24"/>
        </w:rPr>
        <w:t>计算安全阀失效可能性，确定失效可能性等级后，再结合所保护设备的失效后果等级确定。</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6.4.5 </w:t>
      </w:r>
      <w:r>
        <w:rPr>
          <w:rFonts w:hAnsi="宋体" w:cs="黑体" w:hint="eastAsia"/>
          <w:sz w:val="24"/>
          <w:szCs w:val="24"/>
        </w:rPr>
        <w:t>应结合计算结果，对所评估安全阀进行风险排序，结合设备运行实际情况分析风险来源。</w:t>
      </w:r>
    </w:p>
    <w:p w:rsidR="006B0DDC" w:rsidRDefault="00966012">
      <w:pPr>
        <w:pStyle w:val="afff5"/>
        <w:spacing w:before="156" w:after="156" w:line="400" w:lineRule="exact"/>
        <w:rPr>
          <w:sz w:val="24"/>
          <w:szCs w:val="24"/>
        </w:rPr>
      </w:pPr>
      <w:bookmarkStart w:id="33" w:name="_Toc201061784"/>
      <w:r>
        <w:rPr>
          <w:rFonts w:hint="eastAsia"/>
          <w:sz w:val="24"/>
          <w:szCs w:val="24"/>
        </w:rPr>
        <w:t>6.5检验策略制定</w:t>
      </w:r>
      <w:bookmarkEnd w:id="33"/>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6.5.1 </w:t>
      </w:r>
      <w:r>
        <w:rPr>
          <w:rFonts w:hAnsi="宋体" w:cs="黑体" w:hint="eastAsia"/>
          <w:sz w:val="24"/>
          <w:szCs w:val="24"/>
        </w:rPr>
        <w:t>制定检验策略前，使用单位应确定风险可接受水平。风险可接受水平的制定宜考虑人员伤亡、财产损失、环境污染和对人体健康潜在危险的影响。使用单位制定的风险可接受水平应是科学实用的，在技术上是可行的，在应用中有较强的可操作性，并可为制定检验策略提供依据。如果使用单位无法确定可接受风险水平，可采用等风险原则。等风险原则是对风险等级为低或中的安全阀采取的风险控制方法，要求安全阀风险等级在下一个评估时间点不应上升。</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6.5.2 </w:t>
      </w:r>
      <w:r>
        <w:rPr>
          <w:rFonts w:hAnsi="宋体" w:cs="黑体" w:hint="eastAsia"/>
          <w:sz w:val="24"/>
          <w:szCs w:val="24"/>
        </w:rPr>
        <w:t>确定安全阀风险后，评估人员应依据风险可接受水平，结合安全阀的使用情况、失效模式、管理状况等，提出检验策略。</w:t>
      </w:r>
    </w:p>
    <w:p w:rsidR="006B0DDC" w:rsidRDefault="00966012">
      <w:pPr>
        <w:pStyle w:val="affa"/>
        <w:spacing w:line="400" w:lineRule="exact"/>
        <w:ind w:firstLineChars="0" w:firstLine="0"/>
        <w:rPr>
          <w:rFonts w:hAnsi="宋体" w:cs="黑体"/>
          <w:sz w:val="24"/>
          <w:szCs w:val="24"/>
        </w:rPr>
      </w:pPr>
      <w:r>
        <w:rPr>
          <w:rFonts w:hAnsi="宋体" w:cs="黑体"/>
          <w:sz w:val="24"/>
          <w:szCs w:val="24"/>
        </w:rPr>
        <w:t>6.5.3 实施检验的时间点 </w:t>
      </w:r>
    </w:p>
    <w:p w:rsidR="006B0DDC" w:rsidRDefault="00966012">
      <w:pPr>
        <w:pStyle w:val="affa"/>
        <w:spacing w:line="400" w:lineRule="exact"/>
        <w:ind w:firstLine="480"/>
        <w:rPr>
          <w:rFonts w:hAnsi="宋体" w:cs="黑体"/>
          <w:sz w:val="24"/>
          <w:szCs w:val="24"/>
        </w:rPr>
      </w:pPr>
      <w:r>
        <w:rPr>
          <w:rFonts w:hAnsi="宋体" w:cs="黑体" w:hint="eastAsia"/>
          <w:sz w:val="24"/>
          <w:szCs w:val="24"/>
        </w:rPr>
        <w:t>实施检验的时间点一般分为当前评估时间点、本次计划停机检修时间点和下次计划停机检修时间点，其中当前评估时间点为本次评估的时间点，本次计划停机检修时间点和下次计划停机检修时间点由使用单位提供。实施检验时间点的确定应以安全阀的风险位于可接受水平之下为原则：</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 xml:space="preserve">1） </w:t>
      </w:r>
      <w:r>
        <w:rPr>
          <w:rFonts w:hAnsi="宋体" w:cs="黑体" w:hint="eastAsia"/>
          <w:sz w:val="24"/>
          <w:szCs w:val="24"/>
        </w:rPr>
        <w:t>如果在当前评估时间点，安全阀的风险已达到或超过风险可接受水平，应立即实施检验</w:t>
      </w:r>
      <w:r>
        <w:rPr>
          <w:rFonts w:hAnsi="宋体" w:cs="黑体"/>
          <w:sz w:val="24"/>
          <w:szCs w:val="24"/>
        </w:rPr>
        <w:t xml:space="preserve"> ；</w:t>
      </w:r>
    </w:p>
    <w:p w:rsidR="006B0DDC" w:rsidRDefault="00966012">
      <w:pPr>
        <w:pStyle w:val="affa"/>
        <w:spacing w:line="400" w:lineRule="exact"/>
        <w:ind w:firstLine="480"/>
        <w:rPr>
          <w:rFonts w:hAnsi="宋体" w:cs="黑体"/>
          <w:sz w:val="24"/>
          <w:szCs w:val="24"/>
        </w:rPr>
      </w:pPr>
      <w:r>
        <w:rPr>
          <w:rFonts w:hAnsi="宋体" w:cs="黑体" w:hint="eastAsia"/>
          <w:sz w:val="24"/>
          <w:szCs w:val="24"/>
        </w:rPr>
        <w:lastRenderedPageBreak/>
        <w:t>（</w:t>
      </w:r>
      <w:r>
        <w:rPr>
          <w:rFonts w:hAnsi="宋体" w:cs="黑体"/>
          <w:sz w:val="24"/>
          <w:szCs w:val="24"/>
        </w:rPr>
        <w:t>2）如果在本次计划停机检修时间点</w:t>
      </w:r>
      <w:r>
        <w:rPr>
          <w:rFonts w:hAnsi="宋体" w:cs="黑体" w:hint="eastAsia"/>
          <w:sz w:val="24"/>
          <w:szCs w:val="24"/>
        </w:rPr>
        <w:t>，安全阀的风险已达到或超过风险可接受水平，应在本次计划停机检修时间点之前，采取离线或在线的方式实施检验；</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3）如果在下次计划停机检修时间点</w:t>
      </w:r>
      <w:r>
        <w:rPr>
          <w:rFonts w:hAnsi="宋体" w:cs="黑体" w:hint="eastAsia"/>
          <w:sz w:val="24"/>
          <w:szCs w:val="24"/>
        </w:rPr>
        <w:t>，安全阀的风险已达到或超过风险可接受水平，应优先在下次计划停机检修时间点采用离线或在线的方式实施检验。</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6.5.4 </w:t>
      </w:r>
      <w:r>
        <w:rPr>
          <w:rFonts w:hAnsi="宋体" w:cs="黑体" w:hint="eastAsia"/>
          <w:sz w:val="24"/>
          <w:szCs w:val="24"/>
        </w:rPr>
        <w:t>检验方法 </w:t>
      </w:r>
    </w:p>
    <w:p w:rsidR="006B0DDC" w:rsidRDefault="00966012">
      <w:pPr>
        <w:pStyle w:val="affa"/>
        <w:spacing w:line="400" w:lineRule="exact"/>
        <w:ind w:firstLine="480"/>
        <w:rPr>
          <w:rFonts w:hAnsi="宋体" w:cs="黑体"/>
          <w:sz w:val="24"/>
          <w:szCs w:val="24"/>
        </w:rPr>
      </w:pPr>
      <w:r>
        <w:rPr>
          <w:rFonts w:hAnsi="宋体" w:cs="黑体" w:hint="eastAsia"/>
          <w:sz w:val="24"/>
          <w:szCs w:val="24"/>
        </w:rPr>
        <w:t>在检验策略中安全阀的检验方法包括：</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1）离线检查和校验。安全阀离线检查</w:t>
      </w:r>
      <w:r>
        <w:rPr>
          <w:rFonts w:hAnsi="宋体" w:cs="黑体" w:hint="eastAsia"/>
          <w:sz w:val="24"/>
          <w:szCs w:val="24"/>
        </w:rPr>
        <w:t>和校验是指在离线状态下，将安全阀从设备上拆下，对安全阀进行的目视检查和校验试验。安全阀离线检查和校验工作按相关规程执行。</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2）弹簧强压试验。弹簧式安全阀的关键零件，为保证弹簧长期工作时的稳定性，应根据实际服役情况抽查弹簧进行</w:t>
      </w:r>
      <w:r>
        <w:rPr>
          <w:rFonts w:hAnsi="宋体" w:cs="黑体" w:hint="eastAsia"/>
          <w:sz w:val="24"/>
          <w:szCs w:val="24"/>
        </w:rPr>
        <w:t>强压试验处理，必要时进行失效分析。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3）在线</w:t>
      </w:r>
      <w:r>
        <w:rPr>
          <w:rFonts w:hAnsi="宋体" w:cs="黑体" w:hint="eastAsia"/>
          <w:sz w:val="24"/>
          <w:szCs w:val="24"/>
        </w:rPr>
        <w:t>目视检查及在线校验。安全阀在线目视检查是指在线状态下对安全阀进行的外部目视检查。安全阀在线校验工作按相关规程执行。</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4）</w:t>
      </w:r>
      <w:r>
        <w:rPr>
          <w:rFonts w:hAnsi="宋体" w:cs="黑体" w:hint="eastAsia"/>
          <w:sz w:val="24"/>
          <w:szCs w:val="24"/>
        </w:rPr>
        <w:t>热红外成像检测。必要时对高温变形、易结焦、堵塞等阀门进行热红外成像检测。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5）其他方法根据需要时进行。</w:t>
      </w:r>
    </w:p>
    <w:p w:rsidR="006B0DDC" w:rsidRDefault="00966012">
      <w:pPr>
        <w:pStyle w:val="affa"/>
        <w:spacing w:line="400" w:lineRule="exact"/>
        <w:ind w:firstLine="480"/>
        <w:rPr>
          <w:rFonts w:hAnsi="宋体" w:cs="黑体"/>
          <w:sz w:val="24"/>
          <w:szCs w:val="24"/>
        </w:rPr>
      </w:pPr>
      <w:r>
        <w:rPr>
          <w:rFonts w:hAnsi="宋体" w:cs="黑体" w:hint="eastAsia"/>
          <w:sz w:val="24"/>
          <w:szCs w:val="24"/>
        </w:rPr>
        <w:t>离线校验与解体情况确认、弹簧强压试验（必要时）、在线检查及检测。</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6.5.5 </w:t>
      </w:r>
      <w:r>
        <w:rPr>
          <w:rFonts w:hAnsi="宋体" w:cs="黑体" w:hint="eastAsia"/>
          <w:sz w:val="24"/>
          <w:szCs w:val="24"/>
        </w:rPr>
        <w:t>检验有效性选择 </w:t>
      </w:r>
    </w:p>
    <w:p w:rsidR="006B0DDC" w:rsidRDefault="00966012">
      <w:pPr>
        <w:pStyle w:val="affa"/>
        <w:autoSpaceDE/>
        <w:autoSpaceDN/>
        <w:spacing w:line="400" w:lineRule="exact"/>
        <w:ind w:leftChars="95" w:left="199" w:firstLine="480"/>
        <w:rPr>
          <w:rFonts w:hAnsi="宋体" w:cs="黑体"/>
          <w:sz w:val="24"/>
          <w:szCs w:val="24"/>
        </w:rPr>
      </w:pPr>
      <w:r>
        <w:rPr>
          <w:rFonts w:hAnsi="宋体" w:cs="黑体"/>
          <w:sz w:val="24"/>
          <w:szCs w:val="24"/>
        </w:rPr>
        <w:t xml:space="preserve">GB26610.2 </w:t>
      </w:r>
      <w:r>
        <w:rPr>
          <w:rFonts w:hAnsi="宋体" w:cs="黑体" w:hint="eastAsia"/>
          <w:sz w:val="24"/>
          <w:szCs w:val="24"/>
        </w:rPr>
        <w:t>《承压设备系统基于风险的检验实施导则</w:t>
      </w:r>
      <w:r>
        <w:rPr>
          <w:rFonts w:hAnsi="宋体" w:cs="黑体"/>
          <w:sz w:val="24"/>
          <w:szCs w:val="24"/>
        </w:rPr>
        <w:t xml:space="preserve"> </w:t>
      </w:r>
      <w:r>
        <w:rPr>
          <w:rFonts w:hAnsi="宋体" w:cs="黑体" w:hint="eastAsia"/>
          <w:sz w:val="24"/>
          <w:szCs w:val="24"/>
        </w:rPr>
        <w:t>第</w:t>
      </w:r>
      <w:r>
        <w:rPr>
          <w:rFonts w:hAnsi="宋体" w:cs="黑体"/>
          <w:sz w:val="24"/>
          <w:szCs w:val="24"/>
        </w:rPr>
        <w:t>2</w:t>
      </w:r>
      <w:r>
        <w:rPr>
          <w:rFonts w:hAnsi="宋体" w:cs="黑体" w:hint="eastAsia"/>
          <w:sz w:val="24"/>
          <w:szCs w:val="24"/>
        </w:rPr>
        <w:t>部分：检验策略》表</w:t>
      </w:r>
      <w:r>
        <w:rPr>
          <w:rFonts w:hAnsi="宋体" w:cs="黑体"/>
          <w:sz w:val="24"/>
          <w:szCs w:val="24"/>
        </w:rPr>
        <w:t>A.1</w:t>
      </w:r>
      <w:r>
        <w:rPr>
          <w:rFonts w:hAnsi="宋体" w:cs="黑体" w:hint="eastAsia"/>
          <w:sz w:val="24"/>
          <w:szCs w:val="24"/>
        </w:rPr>
        <w:t>中规定了安全阀检验有效性等级，风险等级为高或中高的安全阀应采用在高度或中高度有效检验方法，风险等级为中的安全阀应采用中度有效级别以上的检验方法。表</w:t>
      </w:r>
      <w:r>
        <w:rPr>
          <w:rFonts w:hAnsi="宋体" w:cs="黑体"/>
          <w:sz w:val="24"/>
          <w:szCs w:val="24"/>
        </w:rPr>
        <w:t>A.1</w:t>
      </w:r>
      <w:r>
        <w:rPr>
          <w:rFonts w:hAnsi="宋体" w:cs="黑体" w:hint="eastAsia"/>
          <w:sz w:val="24"/>
          <w:szCs w:val="24"/>
        </w:rPr>
        <w:t>中未涉及的</w:t>
      </w:r>
      <w:r>
        <w:rPr>
          <w:rFonts w:hAnsi="宋体" w:cs="黑体"/>
          <w:sz w:val="24"/>
          <w:szCs w:val="24"/>
        </w:rPr>
        <w:t>6.5.4中</w:t>
      </w:r>
      <w:r>
        <w:rPr>
          <w:rFonts w:hAnsi="宋体" w:cs="黑体" w:hint="eastAsia"/>
          <w:sz w:val="24"/>
          <w:szCs w:val="24"/>
        </w:rPr>
        <w:t>的检验方法应作为补充检验的方法在策略中加以考虑。</w:t>
      </w:r>
    </w:p>
    <w:p w:rsidR="006B0DDC" w:rsidRDefault="00966012">
      <w:pPr>
        <w:pStyle w:val="afff5"/>
        <w:spacing w:before="156" w:after="156" w:line="400" w:lineRule="exact"/>
        <w:rPr>
          <w:sz w:val="24"/>
          <w:szCs w:val="24"/>
        </w:rPr>
      </w:pPr>
      <w:bookmarkStart w:id="34" w:name="_Toc201061785"/>
      <w:r>
        <w:rPr>
          <w:sz w:val="24"/>
          <w:szCs w:val="24"/>
        </w:rPr>
        <w:t xml:space="preserve">6.6 </w:t>
      </w:r>
      <w:r>
        <w:rPr>
          <w:rFonts w:hint="eastAsia"/>
          <w:sz w:val="24"/>
          <w:szCs w:val="24"/>
        </w:rPr>
        <w:t>风险</w:t>
      </w:r>
      <w:bookmarkEnd w:id="34"/>
      <w:r>
        <w:rPr>
          <w:rFonts w:hint="eastAsia"/>
          <w:sz w:val="24"/>
          <w:szCs w:val="24"/>
        </w:rPr>
        <w:t>再评估及检验结果验证</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6.6.1 </w:t>
      </w:r>
      <w:r>
        <w:rPr>
          <w:rFonts w:hAnsi="宋体" w:cs="黑体" w:hint="eastAsia"/>
          <w:sz w:val="24"/>
          <w:szCs w:val="24"/>
        </w:rPr>
        <w:t>汇总检验结果，将</w:t>
      </w:r>
      <w:r>
        <w:rPr>
          <w:rFonts w:hAnsi="宋体" w:cs="黑体"/>
          <w:sz w:val="24"/>
          <w:szCs w:val="24"/>
        </w:rPr>
        <w:t>RBI评估数据和检验结果进行对比验证，分析偏差比例及原因。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6.6.2 </w:t>
      </w:r>
      <w:r>
        <w:rPr>
          <w:rFonts w:hAnsi="宋体" w:cs="黑体" w:hint="eastAsia"/>
          <w:sz w:val="24"/>
          <w:szCs w:val="24"/>
        </w:rPr>
        <w:t>根据检验结果得到的实测数据对原</w:t>
      </w:r>
      <w:r>
        <w:rPr>
          <w:rFonts w:hAnsi="宋体" w:cs="黑体"/>
          <w:sz w:val="24"/>
          <w:szCs w:val="24"/>
        </w:rPr>
        <w:t>RBI评估数据库进行更新，按更新后的数据库进行</w:t>
      </w:r>
      <w:r>
        <w:rPr>
          <w:rFonts w:hAnsi="宋体" w:cs="黑体" w:hint="eastAsia"/>
          <w:sz w:val="24"/>
          <w:szCs w:val="24"/>
        </w:rPr>
        <w:t>再次风险分析计算，实施过程参照6.4节</w:t>
      </w:r>
      <w:bookmarkStart w:id="35" w:name="_GoBack"/>
      <w:bookmarkEnd w:id="35"/>
      <w:r>
        <w:rPr>
          <w:rFonts w:hAnsi="宋体" w:cs="黑体" w:hint="eastAsia"/>
          <w:sz w:val="24"/>
          <w:szCs w:val="24"/>
        </w:rPr>
        <w:t>执行。</w:t>
      </w:r>
    </w:p>
    <w:p w:rsidR="006B0DDC" w:rsidRDefault="00966012">
      <w:pPr>
        <w:pStyle w:val="afff5"/>
        <w:spacing w:before="156" w:after="156" w:line="400" w:lineRule="exact"/>
        <w:rPr>
          <w:sz w:val="24"/>
          <w:szCs w:val="24"/>
        </w:rPr>
      </w:pPr>
      <w:r>
        <w:rPr>
          <w:rFonts w:hint="eastAsia"/>
          <w:sz w:val="24"/>
          <w:szCs w:val="24"/>
        </w:rPr>
        <w:t> </w:t>
      </w:r>
      <w:bookmarkStart w:id="36" w:name="_Toc201061786"/>
      <w:r>
        <w:rPr>
          <w:rFonts w:hint="eastAsia"/>
          <w:sz w:val="24"/>
          <w:szCs w:val="24"/>
        </w:rPr>
        <w:t>6.7风险控制要求</w:t>
      </w:r>
      <w:bookmarkEnd w:id="36"/>
      <w:r>
        <w:rPr>
          <w:rFonts w:hint="eastAsia"/>
          <w:sz w:val="24"/>
          <w:szCs w:val="24"/>
        </w:rPr>
        <w:t> </w:t>
      </w:r>
    </w:p>
    <w:p w:rsidR="006B0DDC" w:rsidRDefault="00966012">
      <w:pPr>
        <w:pStyle w:val="affa"/>
        <w:spacing w:line="400" w:lineRule="exact"/>
        <w:ind w:firstLine="480"/>
        <w:rPr>
          <w:rFonts w:hAnsi="宋体" w:cs="黑体"/>
          <w:sz w:val="24"/>
          <w:szCs w:val="24"/>
        </w:rPr>
      </w:pPr>
      <w:r>
        <w:rPr>
          <w:rFonts w:hAnsi="宋体" w:cs="黑体" w:hint="eastAsia"/>
          <w:sz w:val="24"/>
          <w:szCs w:val="24"/>
        </w:rPr>
        <w:t>使用单位应制定应急预案和落实风险防控措施，如有异常应立即处理。对于风险可接受的安全阀提出运维建议，对于高风险等级或企业认为风险较高的安全阀提出风险控制措施，对于损伤严重的关键部件或阀体提出更换要求。</w:t>
      </w:r>
    </w:p>
    <w:p w:rsidR="006B0DDC" w:rsidRDefault="00966012">
      <w:pPr>
        <w:pStyle w:val="afff5"/>
        <w:spacing w:before="156" w:after="156" w:line="400" w:lineRule="exact"/>
        <w:rPr>
          <w:sz w:val="24"/>
          <w:szCs w:val="24"/>
        </w:rPr>
      </w:pPr>
      <w:bookmarkStart w:id="37" w:name="_Toc201061787"/>
      <w:r>
        <w:rPr>
          <w:rFonts w:hint="eastAsia"/>
          <w:sz w:val="24"/>
          <w:szCs w:val="24"/>
        </w:rPr>
        <w:lastRenderedPageBreak/>
        <w:t>6.8安全阀校验周期的确定</w:t>
      </w:r>
      <w:bookmarkEnd w:id="37"/>
      <w:r>
        <w:rPr>
          <w:rFonts w:hint="eastAsia"/>
          <w:sz w:val="24"/>
          <w:szCs w:val="24"/>
        </w:rPr>
        <w:t> </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6.8.1 </w:t>
      </w:r>
      <w:r>
        <w:rPr>
          <w:rFonts w:hAnsi="宋体" w:cs="黑体" w:hint="eastAsia"/>
          <w:sz w:val="24"/>
          <w:szCs w:val="24"/>
        </w:rPr>
        <w:t>采用风险评估确定的安全阀校验周期应考虑安全性、经济性和与检修周期一致性。</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6.8.2 </w:t>
      </w:r>
      <w:r>
        <w:rPr>
          <w:rFonts w:hAnsi="宋体" w:cs="黑体" w:hint="eastAsia"/>
          <w:sz w:val="24"/>
          <w:szCs w:val="24"/>
        </w:rPr>
        <w:t>制定安全阀的</w:t>
      </w:r>
      <w:r>
        <w:rPr>
          <w:rFonts w:hAnsi="宋体" w:cs="黑体"/>
          <w:sz w:val="24"/>
          <w:szCs w:val="24"/>
        </w:rPr>
        <w:t>RBI校验策略时，推荐的校验周期不</w:t>
      </w:r>
      <w:r>
        <w:rPr>
          <w:rFonts w:hAnsi="宋体" w:cs="黑体" w:hint="eastAsia"/>
          <w:sz w:val="24"/>
          <w:szCs w:val="24"/>
        </w:rPr>
        <w:t>应超过</w:t>
      </w:r>
      <w:r>
        <w:rPr>
          <w:rFonts w:hAnsi="宋体" w:cs="黑体"/>
          <w:sz w:val="24"/>
          <w:szCs w:val="24"/>
        </w:rPr>
        <w:t>5年，且存在以下情况的安全阀应适当缩短校验周期：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1）失效可能性大于3的；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2）强腐蚀性介质环境服役的；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3）曾经发生过开启失效的；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4）维修、更换多次的；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5）年度检查发现问题的；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6）有泄漏的；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7）锈蚀严重的；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8）应力腐蚀开裂环境服役的；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9）开启之后不能正常回座的；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10）曾经校验发现过问题及存在其他安全疑问的。</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6.8.3 </w:t>
      </w:r>
      <w:r>
        <w:rPr>
          <w:rFonts w:hAnsi="宋体" w:cs="黑体" w:hint="eastAsia"/>
          <w:sz w:val="24"/>
          <w:szCs w:val="24"/>
        </w:rPr>
        <w:t>不得连续两次采用风险评估确定安全阀校验周期。首次采用风险评估确定安全阀校验周期，到期后应实施安全阀校验，然后可再次采用风险评估确定安全阀的校验周期。</w:t>
      </w:r>
    </w:p>
    <w:p w:rsidR="006B0DDC" w:rsidRDefault="00966012">
      <w:pPr>
        <w:pStyle w:val="afff5"/>
        <w:spacing w:before="156" w:after="156" w:line="400" w:lineRule="exact"/>
        <w:rPr>
          <w:sz w:val="24"/>
          <w:szCs w:val="24"/>
        </w:rPr>
      </w:pPr>
      <w:r>
        <w:rPr>
          <w:rFonts w:hint="eastAsia"/>
          <w:sz w:val="24"/>
          <w:szCs w:val="24"/>
        </w:rPr>
        <w:t> </w:t>
      </w:r>
      <w:bookmarkStart w:id="38" w:name="_Toc201061788"/>
      <w:r>
        <w:rPr>
          <w:rFonts w:hint="eastAsia"/>
          <w:sz w:val="24"/>
          <w:szCs w:val="24"/>
        </w:rPr>
        <w:t>6.9记录保存方式</w:t>
      </w:r>
      <w:bookmarkEnd w:id="38"/>
      <w:r>
        <w:rPr>
          <w:rFonts w:hint="eastAsia"/>
          <w:sz w:val="24"/>
          <w:szCs w:val="24"/>
        </w:rPr>
        <w:t> </w:t>
      </w:r>
    </w:p>
    <w:p w:rsidR="006B0DDC" w:rsidRDefault="00966012">
      <w:pPr>
        <w:pStyle w:val="affa"/>
        <w:spacing w:line="400" w:lineRule="exact"/>
        <w:ind w:firstLine="480"/>
        <w:rPr>
          <w:rFonts w:hAnsi="宋体" w:cs="黑体"/>
          <w:sz w:val="24"/>
          <w:szCs w:val="24"/>
        </w:rPr>
      </w:pPr>
      <w:r>
        <w:rPr>
          <w:rFonts w:hAnsi="宋体" w:cs="黑体" w:hint="eastAsia"/>
          <w:sz w:val="24"/>
          <w:szCs w:val="24"/>
        </w:rPr>
        <w:t>风险评估过程中搜集确认的基础数据优先采用电子记录的方式，随报告审核流程上传并保存；安全阀检查记录、在线或离线校验、在线泄漏检测、弹簧强压处理等报告采用纸质方式予以记录保存，该记录应随评估报告一起归档。</w:t>
      </w:r>
    </w:p>
    <w:p w:rsidR="006B0DDC" w:rsidRDefault="00966012">
      <w:pPr>
        <w:pStyle w:val="afff5"/>
        <w:spacing w:before="156" w:after="156" w:line="400" w:lineRule="exact"/>
        <w:rPr>
          <w:sz w:val="24"/>
          <w:szCs w:val="24"/>
        </w:rPr>
      </w:pPr>
      <w:r>
        <w:rPr>
          <w:rFonts w:hint="eastAsia"/>
          <w:sz w:val="24"/>
          <w:szCs w:val="24"/>
        </w:rPr>
        <w:t> </w:t>
      </w:r>
      <w:bookmarkStart w:id="39" w:name="_Toc201061789"/>
      <w:r>
        <w:rPr>
          <w:rFonts w:hint="eastAsia"/>
          <w:sz w:val="24"/>
          <w:szCs w:val="24"/>
        </w:rPr>
        <w:t>6.10编制报告</w:t>
      </w:r>
      <w:bookmarkEnd w:id="39"/>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6.10.1 </w:t>
      </w:r>
      <w:r>
        <w:rPr>
          <w:rFonts w:hAnsi="宋体" w:cs="黑体" w:hint="eastAsia"/>
          <w:sz w:val="24"/>
          <w:szCs w:val="24"/>
        </w:rPr>
        <w:t>评估人员在完成安全阀评估工作后应编制安全阀风险评估报告。</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6.10.2 </w:t>
      </w:r>
      <w:r>
        <w:rPr>
          <w:rFonts w:hAnsi="宋体" w:cs="黑体" w:hint="eastAsia"/>
          <w:sz w:val="24"/>
          <w:szCs w:val="24"/>
        </w:rPr>
        <w:t>评估报告一般应包含以下内容：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1）工作范围及目的；</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2）项目技术基础介绍：包含RBI技术简介、企业相应资质及能力简介、分析软件简介；</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3）项目执行</w:t>
      </w:r>
      <w:r>
        <w:rPr>
          <w:rFonts w:hAnsi="宋体" w:cs="黑体" w:hint="eastAsia"/>
          <w:sz w:val="24"/>
          <w:szCs w:val="24"/>
        </w:rPr>
        <w:t>标准依据；</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4）项目执行流程；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5</w:t>
      </w:r>
      <w:r>
        <w:rPr>
          <w:rFonts w:hAnsi="宋体" w:cs="黑体" w:hint="eastAsia"/>
          <w:sz w:val="24"/>
          <w:szCs w:val="24"/>
        </w:rPr>
        <w:t>）基本条件：包括可接受水平和一些基本假设；</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6</w:t>
      </w:r>
      <w:r>
        <w:rPr>
          <w:rFonts w:hAnsi="宋体" w:cs="黑体" w:hint="eastAsia"/>
          <w:sz w:val="24"/>
          <w:szCs w:val="24"/>
        </w:rPr>
        <w:t>）安全阀运行情况；</w:t>
      </w:r>
    </w:p>
    <w:p w:rsidR="006B0DDC" w:rsidRDefault="00966012">
      <w:pPr>
        <w:pStyle w:val="affa"/>
        <w:spacing w:line="400" w:lineRule="exact"/>
        <w:ind w:firstLine="480"/>
        <w:rPr>
          <w:rFonts w:hAnsi="宋体" w:cs="黑体"/>
          <w:sz w:val="24"/>
          <w:szCs w:val="24"/>
        </w:rPr>
      </w:pPr>
      <w:r>
        <w:rPr>
          <w:rFonts w:hAnsi="宋体" w:cs="黑体" w:hint="eastAsia"/>
          <w:sz w:val="24"/>
          <w:szCs w:val="24"/>
        </w:rPr>
        <w:lastRenderedPageBreak/>
        <w:t>（</w:t>
      </w:r>
      <w:r>
        <w:rPr>
          <w:rFonts w:hAnsi="宋体" w:cs="黑体"/>
          <w:sz w:val="24"/>
          <w:szCs w:val="24"/>
        </w:rPr>
        <w:t>7</w:t>
      </w:r>
      <w:r>
        <w:rPr>
          <w:rFonts w:hAnsi="宋体" w:cs="黑体" w:hint="eastAsia"/>
          <w:sz w:val="24"/>
          <w:szCs w:val="24"/>
        </w:rPr>
        <w:t>）安全阀检查和校验情况；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8</w:t>
      </w:r>
      <w:r>
        <w:rPr>
          <w:rFonts w:hAnsi="宋体" w:cs="黑体" w:hint="eastAsia"/>
          <w:sz w:val="24"/>
          <w:szCs w:val="24"/>
        </w:rPr>
        <w:t>）安全阀失效模式分析；</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9</w:t>
      </w:r>
      <w:r>
        <w:rPr>
          <w:rFonts w:hAnsi="宋体" w:cs="黑体" w:hint="eastAsia"/>
          <w:sz w:val="24"/>
          <w:szCs w:val="24"/>
        </w:rPr>
        <w:t>）风险计算结果和分析；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10</w:t>
      </w:r>
      <w:r>
        <w:rPr>
          <w:rFonts w:hAnsi="宋体" w:cs="黑体" w:hint="eastAsia"/>
          <w:sz w:val="24"/>
          <w:szCs w:val="24"/>
        </w:rPr>
        <w:t>）校验周期；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11</w:t>
      </w:r>
      <w:r>
        <w:rPr>
          <w:rFonts w:hAnsi="宋体" w:cs="黑体" w:hint="eastAsia"/>
          <w:sz w:val="24"/>
          <w:szCs w:val="24"/>
        </w:rPr>
        <w:t>）检验策略；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12</w:t>
      </w:r>
      <w:r>
        <w:rPr>
          <w:rFonts w:hAnsi="宋体" w:cs="黑体" w:hint="eastAsia"/>
          <w:sz w:val="24"/>
          <w:szCs w:val="24"/>
        </w:rPr>
        <w:t>）降低风险的其他建议； </w:t>
      </w:r>
    </w:p>
    <w:p w:rsidR="006B0DDC" w:rsidRDefault="00966012">
      <w:pPr>
        <w:pStyle w:val="affa"/>
        <w:spacing w:line="400" w:lineRule="exact"/>
        <w:ind w:firstLine="480"/>
        <w:rPr>
          <w:rFonts w:hAnsi="宋体" w:cs="黑体"/>
          <w:sz w:val="24"/>
          <w:szCs w:val="24"/>
        </w:rPr>
      </w:pPr>
      <w:r>
        <w:rPr>
          <w:rFonts w:hAnsi="宋体" w:cs="黑体" w:hint="eastAsia"/>
          <w:sz w:val="24"/>
          <w:szCs w:val="24"/>
        </w:rPr>
        <w:t>（</w:t>
      </w:r>
      <w:r>
        <w:rPr>
          <w:rFonts w:hAnsi="宋体" w:cs="黑体"/>
          <w:sz w:val="24"/>
          <w:szCs w:val="24"/>
        </w:rPr>
        <w:t>13</w:t>
      </w:r>
      <w:r>
        <w:rPr>
          <w:rFonts w:hAnsi="宋体" w:cs="黑体" w:hint="eastAsia"/>
          <w:sz w:val="24"/>
          <w:szCs w:val="24"/>
        </w:rPr>
        <w:t>）结论。 </w:t>
      </w:r>
    </w:p>
    <w:p w:rsidR="006B0DDC" w:rsidRDefault="00966012">
      <w:pPr>
        <w:pStyle w:val="afff8"/>
        <w:numPr>
          <w:ilvl w:val="0"/>
          <w:numId w:val="20"/>
        </w:numPr>
        <w:spacing w:before="312" w:after="312" w:line="400" w:lineRule="exact"/>
        <w:jc w:val="left"/>
        <w:rPr>
          <w:sz w:val="24"/>
          <w:szCs w:val="24"/>
        </w:rPr>
      </w:pPr>
      <w:bookmarkStart w:id="40" w:name="_Toc201061790"/>
      <w:r>
        <w:rPr>
          <w:rFonts w:hint="eastAsia"/>
          <w:sz w:val="24"/>
          <w:szCs w:val="24"/>
        </w:rPr>
        <w:t>注意事项</w:t>
      </w:r>
      <w:bookmarkEnd w:id="40"/>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7.1 </w:t>
      </w:r>
      <w:r>
        <w:rPr>
          <w:rFonts w:hAnsi="宋体" w:cs="黑体" w:hint="eastAsia"/>
          <w:sz w:val="24"/>
          <w:szCs w:val="24"/>
        </w:rPr>
        <w:t>安全阀</w:t>
      </w:r>
      <w:r>
        <w:rPr>
          <w:rFonts w:hAnsi="宋体" w:cs="黑体"/>
          <w:sz w:val="24"/>
          <w:szCs w:val="24"/>
        </w:rPr>
        <w:t>RBI评估过程中，</w:t>
      </w:r>
      <w:r>
        <w:rPr>
          <w:rFonts w:hAnsi="宋体" w:cs="黑体" w:hint="eastAsia"/>
          <w:sz w:val="24"/>
          <w:szCs w:val="24"/>
        </w:rPr>
        <w:t>必要时需检查安全阀的外观以及挂牌铅封，最近一次安全阀校验视频（如果有）。</w:t>
      </w:r>
    </w:p>
    <w:p w:rsidR="006B0DDC" w:rsidRDefault="00966012">
      <w:pPr>
        <w:pStyle w:val="affa"/>
        <w:spacing w:line="400" w:lineRule="exact"/>
        <w:ind w:firstLineChars="0" w:firstLine="0"/>
        <w:rPr>
          <w:rFonts w:hAnsi="宋体" w:cs="黑体"/>
          <w:sz w:val="24"/>
          <w:szCs w:val="24"/>
        </w:rPr>
      </w:pPr>
      <w:r>
        <w:rPr>
          <w:rFonts w:hAnsi="宋体" w:cs="黑体"/>
          <w:sz w:val="24"/>
          <w:szCs w:val="24"/>
        </w:rPr>
        <w:t>7.2 风险评估是建立在原料及工艺稳定、生产连续的基础上的，当装置系统原料发生重大的改变、工艺发生较大变化或者存在间歇性生产工况，应当对安全阀</w:t>
      </w:r>
      <w:r>
        <w:rPr>
          <w:rFonts w:hAnsi="宋体" w:cs="黑体" w:hint="eastAsia"/>
          <w:sz w:val="24"/>
          <w:szCs w:val="24"/>
        </w:rPr>
        <w:t>风险进行重新评估。 </w:t>
      </w:r>
    </w:p>
    <w:p w:rsidR="006B0DDC" w:rsidRDefault="00966012">
      <w:pPr>
        <w:pStyle w:val="affa"/>
        <w:spacing w:line="400" w:lineRule="exact"/>
        <w:ind w:firstLineChars="0" w:firstLine="0"/>
        <w:rPr>
          <w:rFonts w:hAnsi="宋体" w:cs="黑体"/>
          <w:sz w:val="24"/>
          <w:szCs w:val="24"/>
        </w:rPr>
      </w:pPr>
      <w:r>
        <w:rPr>
          <w:rFonts w:hAnsi="宋体" w:cs="黑体"/>
          <w:sz w:val="24"/>
          <w:szCs w:val="24"/>
        </w:rPr>
        <w:t>7.3 使用单位可以仅实施安全阀的RBI评估工作，根据风险评估结果提出</w:t>
      </w:r>
      <w:r>
        <w:rPr>
          <w:rFonts w:hAnsi="宋体" w:cs="黑体" w:hint="eastAsia"/>
          <w:sz w:val="24"/>
          <w:szCs w:val="24"/>
        </w:rPr>
        <w:t>校验周期。</w:t>
      </w:r>
    </w:p>
    <w:p w:rsidR="006B0DDC" w:rsidRDefault="00966012">
      <w:pPr>
        <w:pStyle w:val="affa"/>
        <w:spacing w:line="400" w:lineRule="exact"/>
        <w:ind w:firstLineChars="0" w:firstLine="0"/>
        <w:rPr>
          <w:rFonts w:hAnsi="宋体" w:cs="黑体"/>
          <w:sz w:val="24"/>
          <w:szCs w:val="24"/>
        </w:rPr>
      </w:pPr>
      <w:r>
        <w:rPr>
          <w:rFonts w:hAnsi="宋体" w:cs="黑体"/>
          <w:sz w:val="24"/>
          <w:szCs w:val="24"/>
        </w:rPr>
        <w:t xml:space="preserve">7.4 </w:t>
      </w:r>
      <w:r>
        <w:rPr>
          <w:rFonts w:hAnsi="宋体" w:cs="黑体" w:hint="eastAsia"/>
          <w:sz w:val="24"/>
          <w:szCs w:val="24"/>
        </w:rPr>
        <w:t>按校验策略实施的检查和校验工作由使用单位自行或委托第三方机构实施。</w:t>
      </w:r>
      <w:bookmarkEnd w:id="19"/>
    </w:p>
    <w:p w:rsidR="006B0DDC" w:rsidRDefault="00966012">
      <w:pPr>
        <w:pStyle w:val="affa"/>
        <w:spacing w:line="400" w:lineRule="exact"/>
        <w:ind w:firstLineChars="0" w:firstLine="0"/>
        <w:rPr>
          <w:rFonts w:hAnsi="宋体" w:cs="黑体"/>
          <w:sz w:val="24"/>
          <w:szCs w:val="24"/>
        </w:rPr>
      </w:pPr>
      <w:r>
        <w:rPr>
          <w:rFonts w:hAnsi="宋体" w:cs="黑体"/>
          <w:sz w:val="24"/>
          <w:szCs w:val="24"/>
        </w:rPr>
        <w:t>7.5 评估项目实施过程如果发现重大安全隐患问题，</w:t>
      </w:r>
      <w:r>
        <w:rPr>
          <w:rFonts w:hAnsi="宋体" w:cs="黑体" w:hint="eastAsia"/>
          <w:sz w:val="24"/>
          <w:szCs w:val="24"/>
        </w:rPr>
        <w:t>应停止评估工作，并将具体情况告知特种设备监督管理部门。</w:t>
      </w:r>
    </w:p>
    <w:sectPr w:rsidR="006B0DDC" w:rsidSect="006B0DDC">
      <w:pgSz w:w="11906" w:h="16838"/>
      <w:pgMar w:top="1440" w:right="1800" w:bottom="1440" w:left="1800"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1B33E3" w15:done="0"/>
  <w15:commentEx w15:paraId="0E022A42" w15:done="0"/>
  <w15:commentEx w15:paraId="2F2993C8" w15:done="0"/>
  <w15:commentEx w15:paraId="50833847" w15:done="0"/>
  <w15:commentEx w15:paraId="10CF4EF8" w15:done="0"/>
  <w15:commentEx w15:paraId="47E107FD" w15:done="0"/>
  <w15:commentEx w15:paraId="2B7370CC" w15:done="0"/>
  <w15:commentEx w15:paraId="5C53361E" w15:done="0"/>
  <w15:commentEx w15:paraId="28A9E19C" w15:done="0" w15:paraIdParent="5C53361E"/>
  <w15:commentEx w15:paraId="423C0B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5B" w:rsidRDefault="0088515B" w:rsidP="006B0DDC">
      <w:r>
        <w:separator/>
      </w:r>
    </w:p>
  </w:endnote>
  <w:endnote w:type="continuationSeparator" w:id="0">
    <w:p w:rsidR="0088515B" w:rsidRDefault="0088515B" w:rsidP="006B0DD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C49F13F7-76B4-4139-B9D3-316EE9E12F4E}"/>
    <w:embedBold r:id="rId2" w:subsetted="1" w:fontKey="{8716F8D6-34F7-412C-9B5C-5C357DFBAB47}"/>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3" w:subsetted="1" w:fontKey="{5E97A0A3-C79F-4622-B602-564B262131D2}"/>
    <w:embedItalic r:id="rId4" w:subsetted="1" w:fontKey="{AC56AFA4-CC88-46BF-B7DB-A5D496DB7FB9}"/>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embedRegular r:id="rId5" w:subsetted="1" w:fontKey="{10DC1E0B-2D1A-442D-8980-C8C303AB198E}"/>
    <w:embedBold r:id="rId6" w:subsetted="1" w:fontKey="{CD72E6E4-9B92-4A77-8859-BEAD23E22B37}"/>
  </w:font>
  <w:font w:name="汉仪中黑简">
    <w:altName w:val="黑体"/>
    <w:charset w:val="86"/>
    <w:family w:val="modern"/>
    <w:pitch w:val="default"/>
    <w:sig w:usb0="00000000" w:usb1="00000000" w:usb2="00000002" w:usb3="00000000" w:csb0="00040000" w:csb1="00000000"/>
    <w:embedRegular r:id="rId7" w:subsetted="1" w:fontKey="{BA3D67A0-EE61-4CBF-A6E7-EED75664D9D2}"/>
  </w:font>
  <w:font w:name="Cambria Math">
    <w:panose1 w:val="02040503050406030204"/>
    <w:charset w:val="00"/>
    <w:family w:val="roman"/>
    <w:pitch w:val="variable"/>
    <w:sig w:usb0="E00006FF" w:usb1="420024FF" w:usb2="02000000" w:usb3="00000000" w:csb0="0000019F" w:csb1="00000000"/>
    <w:embedRegular r:id="rId8" w:subsetted="1" w:fontKey="{C794A87C-7B00-46F1-94CE-CC56C522F81F}"/>
    <w:embedItalic r:id="rId9" w:subsetted="1" w:fontKey="{A9D6D60C-EFED-4FBB-A191-0AE53F2FFBE8}"/>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C" w:rsidRDefault="006B0DDC">
    <w:pPr>
      <w:pStyle w:val="aff7"/>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C" w:rsidRDefault="006B0DDC">
    <w:pPr>
      <w:pStyle w:val="aff7"/>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C" w:rsidRDefault="0098417D">
    <w:pPr>
      <w:pStyle w:val="aff7"/>
    </w:pPr>
    <w:r w:rsidRPr="0098417D">
      <w:fldChar w:fldCharType="begin"/>
    </w:r>
    <w:r w:rsidR="00966012">
      <w:instrText>PAGE   \* MERGEFORMAT</w:instrText>
    </w:r>
    <w:r w:rsidRPr="0098417D">
      <w:fldChar w:fldCharType="separate"/>
    </w:r>
    <w:r w:rsidR="00966012">
      <w:rPr>
        <w:lang w:val="zh-CN"/>
      </w:rPr>
      <w:t>2</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35579"/>
    </w:sdtPr>
    <w:sdtContent>
      <w:p w:rsidR="006B0DDC" w:rsidRDefault="0098417D">
        <w:pPr>
          <w:pStyle w:val="aff7"/>
          <w:jc w:val="center"/>
        </w:pPr>
        <w:r w:rsidRPr="0098417D">
          <w:fldChar w:fldCharType="begin"/>
        </w:r>
        <w:r w:rsidR="00966012">
          <w:instrText xml:space="preserve"> PAGE   \* MERGEFORMAT </w:instrText>
        </w:r>
        <w:r w:rsidRPr="0098417D">
          <w:fldChar w:fldCharType="separate"/>
        </w:r>
        <w:r w:rsidR="009025F6" w:rsidRPr="009025F6">
          <w:rPr>
            <w:noProof/>
            <w:lang w:val="zh-CN"/>
          </w:rPr>
          <w:t>8</w:t>
        </w:r>
        <w:r>
          <w:rPr>
            <w:lang w:val="zh-CN"/>
          </w:rPr>
          <w:fldChar w:fldCharType="end"/>
        </w:r>
      </w:p>
    </w:sdtContent>
  </w:sdt>
  <w:p w:rsidR="006B0DDC" w:rsidRDefault="006B0DDC">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5B" w:rsidRDefault="0088515B" w:rsidP="006B0DDC">
      <w:r>
        <w:separator/>
      </w:r>
    </w:p>
  </w:footnote>
  <w:footnote w:type="continuationSeparator" w:id="0">
    <w:p w:rsidR="0088515B" w:rsidRDefault="0088515B" w:rsidP="006B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C" w:rsidRDefault="006B0DDC">
    <w:pPr>
      <w:pStyle w:val="aff8"/>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C" w:rsidRDefault="006B0DDC">
    <w:pPr>
      <w:pStyle w:val="aff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953" w:hanging="448"/>
      </w:pPr>
      <w:rPr>
        <w:rFonts w:ascii="黑体" w:eastAsia="黑体" w:hint="eastAsia"/>
        <w:b w:val="0"/>
        <w:i w:val="0"/>
        <w:sz w:val="18"/>
        <w:lang w:val="en-US"/>
      </w:rPr>
    </w:lvl>
    <w:lvl w:ilvl="1">
      <w:start w:val="1"/>
      <w:numFmt w:val="lowerLetter"/>
      <w:lvlText w:val="%2)"/>
      <w:lvlJc w:val="left"/>
      <w:pPr>
        <w:tabs>
          <w:tab w:val="left" w:pos="142"/>
        </w:tabs>
        <w:ind w:left="1134" w:hanging="629"/>
      </w:pPr>
      <w:rPr>
        <w:rFonts w:hint="eastAsia"/>
      </w:rPr>
    </w:lvl>
    <w:lvl w:ilvl="2">
      <w:start w:val="1"/>
      <w:numFmt w:val="lowerRoman"/>
      <w:lvlText w:val="%3."/>
      <w:lvlJc w:val="right"/>
      <w:pPr>
        <w:tabs>
          <w:tab w:val="left" w:pos="142"/>
        </w:tabs>
        <w:ind w:left="1134" w:hanging="629"/>
      </w:pPr>
      <w:rPr>
        <w:rFonts w:hint="eastAsia"/>
      </w:rPr>
    </w:lvl>
    <w:lvl w:ilvl="3">
      <w:start w:val="1"/>
      <w:numFmt w:val="decimal"/>
      <w:lvlText w:val="%4."/>
      <w:lvlJc w:val="left"/>
      <w:pPr>
        <w:tabs>
          <w:tab w:val="left" w:pos="142"/>
        </w:tabs>
        <w:ind w:left="1134" w:hanging="629"/>
      </w:pPr>
      <w:rPr>
        <w:rFonts w:hint="eastAsia"/>
      </w:rPr>
    </w:lvl>
    <w:lvl w:ilvl="4">
      <w:start w:val="1"/>
      <w:numFmt w:val="lowerLetter"/>
      <w:lvlText w:val="%5)"/>
      <w:lvlJc w:val="left"/>
      <w:pPr>
        <w:tabs>
          <w:tab w:val="left" w:pos="142"/>
        </w:tabs>
        <w:ind w:left="1134" w:hanging="629"/>
      </w:pPr>
      <w:rPr>
        <w:rFonts w:hint="eastAsia"/>
      </w:rPr>
    </w:lvl>
    <w:lvl w:ilvl="5">
      <w:start w:val="1"/>
      <w:numFmt w:val="lowerRoman"/>
      <w:lvlText w:val="%6."/>
      <w:lvlJc w:val="right"/>
      <w:pPr>
        <w:tabs>
          <w:tab w:val="left" w:pos="142"/>
        </w:tabs>
        <w:ind w:left="1134" w:hanging="629"/>
      </w:pPr>
      <w:rPr>
        <w:rFonts w:hint="eastAsia"/>
      </w:rPr>
    </w:lvl>
    <w:lvl w:ilvl="6">
      <w:start w:val="1"/>
      <w:numFmt w:val="decimal"/>
      <w:lvlText w:val="%7."/>
      <w:lvlJc w:val="left"/>
      <w:pPr>
        <w:tabs>
          <w:tab w:val="left" w:pos="142"/>
        </w:tabs>
        <w:ind w:left="1134" w:hanging="629"/>
      </w:pPr>
      <w:rPr>
        <w:rFonts w:hint="eastAsia"/>
      </w:rPr>
    </w:lvl>
    <w:lvl w:ilvl="7">
      <w:start w:val="1"/>
      <w:numFmt w:val="lowerLetter"/>
      <w:lvlText w:val="%8)"/>
      <w:lvlJc w:val="left"/>
      <w:pPr>
        <w:tabs>
          <w:tab w:val="left" w:pos="142"/>
        </w:tabs>
        <w:ind w:left="1134" w:hanging="629"/>
      </w:pPr>
      <w:rPr>
        <w:rFonts w:hint="eastAsia"/>
      </w:rPr>
    </w:lvl>
    <w:lvl w:ilvl="8">
      <w:start w:val="1"/>
      <w:numFmt w:val="lowerRoman"/>
      <w:lvlText w:val="%9."/>
      <w:lvlJc w:val="right"/>
      <w:pPr>
        <w:tabs>
          <w:tab w:val="left" w:pos="142"/>
        </w:tabs>
        <w:ind w:left="1134"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99B33D3"/>
    <w:multiLevelType w:val="multilevel"/>
    <w:tmpl w:val="099B33D3"/>
    <w:lvl w:ilvl="0">
      <w:start w:val="1"/>
      <w:numFmt w:val="decimal"/>
      <w:pStyle w:val="u1"/>
      <w:suff w:val="space"/>
      <w:lvlText w:val="%1"/>
      <w:lvlJc w:val="left"/>
      <w:pPr>
        <w:ind w:left="425" w:hanging="425"/>
      </w:pPr>
      <w:rPr>
        <w:rFonts w:hint="eastAsia"/>
      </w:rPr>
    </w:lvl>
    <w:lvl w:ilvl="1">
      <w:start w:val="1"/>
      <w:numFmt w:val="decimal"/>
      <w:pStyle w:val="u2"/>
      <w:suff w:val="space"/>
      <w:lvlText w:val="%1.%2"/>
      <w:lvlJc w:val="left"/>
      <w:pPr>
        <w:ind w:left="992" w:hanging="992"/>
      </w:pPr>
      <w:rPr>
        <w:rFonts w:hint="eastAsia"/>
      </w:rPr>
    </w:lvl>
    <w:lvl w:ilvl="2">
      <w:start w:val="1"/>
      <w:numFmt w:val="decimal"/>
      <w:pStyle w:val="u3"/>
      <w:suff w:val="space"/>
      <w:lvlText w:val="%1.%2.%3"/>
      <w:lvlJc w:val="left"/>
      <w:pPr>
        <w:ind w:left="2400" w:hanging="2400"/>
      </w:pPr>
      <w:rPr>
        <w:rFonts w:hint="eastAsia"/>
      </w:rPr>
    </w:lvl>
    <w:lvl w:ilvl="3">
      <w:start w:val="1"/>
      <w:numFmt w:val="decimal"/>
      <w:lvlText w:val="%1.%2.%3.%4"/>
      <w:lvlJc w:val="left"/>
      <w:pPr>
        <w:tabs>
          <w:tab w:val="left" w:pos="4156"/>
        </w:tabs>
        <w:ind w:left="1984" w:hanging="708"/>
      </w:pPr>
      <w:rPr>
        <w:rFonts w:hint="eastAsia"/>
      </w:rPr>
    </w:lvl>
    <w:lvl w:ilvl="4">
      <w:start w:val="1"/>
      <w:numFmt w:val="decimal"/>
      <w:lvlText w:val="%1.%2.%3.%4.%5"/>
      <w:lvlJc w:val="left"/>
      <w:pPr>
        <w:tabs>
          <w:tab w:val="left" w:pos="5301"/>
        </w:tabs>
        <w:ind w:left="2551" w:hanging="850"/>
      </w:pPr>
      <w:rPr>
        <w:rFonts w:hint="eastAsia"/>
      </w:rPr>
    </w:lvl>
    <w:lvl w:ilvl="5">
      <w:start w:val="1"/>
      <w:numFmt w:val="decimal"/>
      <w:lvlText w:val="%1.%2.%3.%4.%5.%6"/>
      <w:lvlJc w:val="left"/>
      <w:pPr>
        <w:tabs>
          <w:tab w:val="left" w:pos="6446"/>
        </w:tabs>
        <w:ind w:left="3260" w:hanging="1134"/>
      </w:pPr>
      <w:rPr>
        <w:rFonts w:hint="eastAsia"/>
      </w:rPr>
    </w:lvl>
    <w:lvl w:ilvl="6">
      <w:start w:val="1"/>
      <w:numFmt w:val="decimal"/>
      <w:lvlText w:val="%1.%2.%3.%4.%5.%6.%7"/>
      <w:lvlJc w:val="left"/>
      <w:pPr>
        <w:tabs>
          <w:tab w:val="left" w:pos="7591"/>
        </w:tabs>
        <w:ind w:left="3827" w:hanging="1276"/>
      </w:pPr>
      <w:rPr>
        <w:rFonts w:hint="eastAsia"/>
      </w:rPr>
    </w:lvl>
    <w:lvl w:ilvl="7">
      <w:start w:val="1"/>
      <w:numFmt w:val="decimal"/>
      <w:lvlText w:val="%1.%2.%3.%4.%5.%6.%7.%8"/>
      <w:lvlJc w:val="left"/>
      <w:pPr>
        <w:tabs>
          <w:tab w:val="left" w:pos="8736"/>
        </w:tabs>
        <w:ind w:left="4394" w:hanging="1418"/>
      </w:pPr>
      <w:rPr>
        <w:rFonts w:hint="eastAsia"/>
      </w:rPr>
    </w:lvl>
    <w:lvl w:ilvl="8">
      <w:start w:val="1"/>
      <w:numFmt w:val="decimal"/>
      <w:lvlText w:val="%1.%2.%3.%4.%5.%6.%7.%8.%9"/>
      <w:lvlJc w:val="left"/>
      <w:pPr>
        <w:tabs>
          <w:tab w:val="left" w:pos="9522"/>
        </w:tabs>
        <w:ind w:left="5102" w:hanging="170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5941120"/>
    <w:multiLevelType w:val="multilevel"/>
    <w:tmpl w:val="15941120"/>
    <w:lvl w:ilvl="0">
      <w:start w:val="1"/>
      <w:numFmt w:val="upperLetter"/>
      <w:pStyle w:val="u"/>
      <w:lvlText w:val="附录%1 "/>
      <w:lvlJc w:val="left"/>
      <w:pPr>
        <w:tabs>
          <w:tab w:val="left" w:pos="907"/>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pStyle w:val="a9"/>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499A69C6"/>
    <w:multiLevelType w:val="multilevel"/>
    <w:tmpl w:val="499A69C6"/>
    <w:lvl w:ilvl="0">
      <w:start w:val="1"/>
      <w:numFmt w:val="decimal"/>
      <w:pStyle w:val="u0"/>
      <w:lvlText w:val="[%1] "/>
      <w:lvlJc w:val="left"/>
      <w:pPr>
        <w:tabs>
          <w:tab w:val="left" w:pos="567"/>
        </w:tabs>
        <w:ind w:left="567" w:hanging="567"/>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4B733A5F"/>
    <w:multiLevelType w:val="multilevel"/>
    <w:tmpl w:val="4B733A5F"/>
    <w:lvl w:ilvl="0">
      <w:start w:val="1"/>
      <w:numFmt w:val="decimal"/>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start w:val="1"/>
      <w:numFmt w:val="upperLetter"/>
      <w:pStyle w:val="af0"/>
      <w:lvlText w:val="%1"/>
      <w:lvlJc w:val="left"/>
      <w:pPr>
        <w:tabs>
          <w:tab w:val="left"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start w:val="1"/>
      <w:numFmt w:val="none"/>
      <w:pStyle w:val="afb"/>
      <w:suff w:val="nothing"/>
      <w:lvlText w:val="%1注："/>
      <w:lvlJc w:val="left"/>
      <w:pPr>
        <w:ind w:left="789"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12"/>
  </w:num>
  <w:num w:numId="3">
    <w:abstractNumId w:val="5"/>
  </w:num>
  <w:num w:numId="4">
    <w:abstractNumId w:val="2"/>
  </w:num>
  <w:num w:numId="5">
    <w:abstractNumId w:val="9"/>
  </w:num>
  <w:num w:numId="6">
    <w:abstractNumId w:val="3"/>
  </w:num>
  <w:num w:numId="7">
    <w:abstractNumId w:val="11"/>
  </w:num>
  <w:num w:numId="8">
    <w:abstractNumId w:val="19"/>
  </w:num>
  <w:num w:numId="9">
    <w:abstractNumId w:val="0"/>
  </w:num>
  <w:num w:numId="10">
    <w:abstractNumId w:val="13"/>
  </w:num>
  <w:num w:numId="11">
    <w:abstractNumId w:val="6"/>
  </w:num>
  <w:num w:numId="12">
    <w:abstractNumId w:val="17"/>
  </w:num>
  <w:num w:numId="13">
    <w:abstractNumId w:val="15"/>
  </w:num>
  <w:num w:numId="14">
    <w:abstractNumId w:val="18"/>
  </w:num>
  <w:num w:numId="15">
    <w:abstractNumId w:val="8"/>
  </w:num>
  <w:num w:numId="16">
    <w:abstractNumId w:val="1"/>
  </w:num>
  <w:num w:numId="17">
    <w:abstractNumId w:val="4"/>
  </w:num>
  <w:num w:numId="18">
    <w:abstractNumId w:val="16"/>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2]">
    <w15:presenceInfo w15:providerId="WPS Office" w15:userId="1623847994"/>
  </w15:person>
  <w15:person w15:author="CSEI">
    <w15:presenceInfo w15:providerId="None" w15:userId="CSEI"/>
  </w15:person>
  <w15:person w15:author="@">
    <w15:presenceInfo w15:providerId="None" w15:userId="@"/>
  </w15:person>
  <w15:person w15:author="践行">
    <w15:presenceInfo w15:providerId="WPS Office" w15:userId="3226536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grammar="clean"/>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471"/>
    <w:rsid w:val="000119C4"/>
    <w:rsid w:val="00014471"/>
    <w:rsid w:val="00017143"/>
    <w:rsid w:val="00032815"/>
    <w:rsid w:val="00032CED"/>
    <w:rsid w:val="00033FCD"/>
    <w:rsid w:val="0004624D"/>
    <w:rsid w:val="00055CB0"/>
    <w:rsid w:val="000632E9"/>
    <w:rsid w:val="00072FEA"/>
    <w:rsid w:val="00083DB6"/>
    <w:rsid w:val="0009293E"/>
    <w:rsid w:val="00094B0A"/>
    <w:rsid w:val="000A5D4E"/>
    <w:rsid w:val="000B0DCA"/>
    <w:rsid w:val="000B3D9B"/>
    <w:rsid w:val="000C7B7C"/>
    <w:rsid w:val="000D46B1"/>
    <w:rsid w:val="000E60DE"/>
    <w:rsid w:val="000E7192"/>
    <w:rsid w:val="000F76F1"/>
    <w:rsid w:val="00101AF0"/>
    <w:rsid w:val="001034B0"/>
    <w:rsid w:val="001054F7"/>
    <w:rsid w:val="00114164"/>
    <w:rsid w:val="001220B5"/>
    <w:rsid w:val="00122984"/>
    <w:rsid w:val="001345BE"/>
    <w:rsid w:val="00141AEB"/>
    <w:rsid w:val="00153107"/>
    <w:rsid w:val="00156463"/>
    <w:rsid w:val="00173ADC"/>
    <w:rsid w:val="00176C08"/>
    <w:rsid w:val="00180471"/>
    <w:rsid w:val="00180A13"/>
    <w:rsid w:val="00181494"/>
    <w:rsid w:val="00191AB1"/>
    <w:rsid w:val="0019353C"/>
    <w:rsid w:val="001B4450"/>
    <w:rsid w:val="001B7169"/>
    <w:rsid w:val="001C2589"/>
    <w:rsid w:val="001D0EB2"/>
    <w:rsid w:val="001F58CE"/>
    <w:rsid w:val="0021317F"/>
    <w:rsid w:val="002132EE"/>
    <w:rsid w:val="00213671"/>
    <w:rsid w:val="002203BF"/>
    <w:rsid w:val="00220EA2"/>
    <w:rsid w:val="0022523E"/>
    <w:rsid w:val="00225861"/>
    <w:rsid w:val="00242AEC"/>
    <w:rsid w:val="00247035"/>
    <w:rsid w:val="00263367"/>
    <w:rsid w:val="00265F8E"/>
    <w:rsid w:val="00266A46"/>
    <w:rsid w:val="00266EA1"/>
    <w:rsid w:val="002766C8"/>
    <w:rsid w:val="00281C74"/>
    <w:rsid w:val="00287CF3"/>
    <w:rsid w:val="00290FB7"/>
    <w:rsid w:val="002A1290"/>
    <w:rsid w:val="002D2922"/>
    <w:rsid w:val="002D2FD7"/>
    <w:rsid w:val="002E2ACF"/>
    <w:rsid w:val="002E43F0"/>
    <w:rsid w:val="002F3EFE"/>
    <w:rsid w:val="00331E6B"/>
    <w:rsid w:val="00342E7A"/>
    <w:rsid w:val="00347806"/>
    <w:rsid w:val="003525B1"/>
    <w:rsid w:val="0035577A"/>
    <w:rsid w:val="00355A84"/>
    <w:rsid w:val="00362C1C"/>
    <w:rsid w:val="00362FAA"/>
    <w:rsid w:val="00382498"/>
    <w:rsid w:val="00393C72"/>
    <w:rsid w:val="003A6B6D"/>
    <w:rsid w:val="003B2307"/>
    <w:rsid w:val="003C5AFF"/>
    <w:rsid w:val="003D0ED4"/>
    <w:rsid w:val="003D680F"/>
    <w:rsid w:val="003D6CD7"/>
    <w:rsid w:val="003E32B3"/>
    <w:rsid w:val="003F3E8E"/>
    <w:rsid w:val="003F6BCC"/>
    <w:rsid w:val="00400956"/>
    <w:rsid w:val="00401D56"/>
    <w:rsid w:val="00402924"/>
    <w:rsid w:val="00416300"/>
    <w:rsid w:val="00425599"/>
    <w:rsid w:val="0043322B"/>
    <w:rsid w:val="004357EA"/>
    <w:rsid w:val="00452998"/>
    <w:rsid w:val="0046160E"/>
    <w:rsid w:val="00462729"/>
    <w:rsid w:val="00473E85"/>
    <w:rsid w:val="00474120"/>
    <w:rsid w:val="00486204"/>
    <w:rsid w:val="00487E35"/>
    <w:rsid w:val="004A1650"/>
    <w:rsid w:val="004A4BEF"/>
    <w:rsid w:val="004A5FAE"/>
    <w:rsid w:val="004A632E"/>
    <w:rsid w:val="004B1405"/>
    <w:rsid w:val="004B57D1"/>
    <w:rsid w:val="004C5FC1"/>
    <w:rsid w:val="004C758F"/>
    <w:rsid w:val="004D47A7"/>
    <w:rsid w:val="004E0FE5"/>
    <w:rsid w:val="004E1971"/>
    <w:rsid w:val="004E378C"/>
    <w:rsid w:val="004F0B2F"/>
    <w:rsid w:val="004F17E4"/>
    <w:rsid w:val="00500B7E"/>
    <w:rsid w:val="00503D0B"/>
    <w:rsid w:val="0051231C"/>
    <w:rsid w:val="00514E1C"/>
    <w:rsid w:val="00516E4B"/>
    <w:rsid w:val="00523F77"/>
    <w:rsid w:val="00547D93"/>
    <w:rsid w:val="00553F7F"/>
    <w:rsid w:val="005628C0"/>
    <w:rsid w:val="00562C72"/>
    <w:rsid w:val="005643D7"/>
    <w:rsid w:val="00575F4D"/>
    <w:rsid w:val="00581BBD"/>
    <w:rsid w:val="005A36A7"/>
    <w:rsid w:val="005C090C"/>
    <w:rsid w:val="005C6658"/>
    <w:rsid w:val="005C6F68"/>
    <w:rsid w:val="005D1BAD"/>
    <w:rsid w:val="005E6078"/>
    <w:rsid w:val="005F4978"/>
    <w:rsid w:val="005F67BF"/>
    <w:rsid w:val="005F6EEE"/>
    <w:rsid w:val="00603B95"/>
    <w:rsid w:val="0060583C"/>
    <w:rsid w:val="006105D5"/>
    <w:rsid w:val="00613272"/>
    <w:rsid w:val="006320A5"/>
    <w:rsid w:val="00650F17"/>
    <w:rsid w:val="006528C9"/>
    <w:rsid w:val="00661463"/>
    <w:rsid w:val="00666B83"/>
    <w:rsid w:val="006727C7"/>
    <w:rsid w:val="006809FE"/>
    <w:rsid w:val="006876CC"/>
    <w:rsid w:val="00691366"/>
    <w:rsid w:val="00692165"/>
    <w:rsid w:val="00693897"/>
    <w:rsid w:val="00695A6D"/>
    <w:rsid w:val="006B0DDC"/>
    <w:rsid w:val="006C6A57"/>
    <w:rsid w:val="006D7AD7"/>
    <w:rsid w:val="006E1931"/>
    <w:rsid w:val="006E63BE"/>
    <w:rsid w:val="006F61A8"/>
    <w:rsid w:val="00710E81"/>
    <w:rsid w:val="007122BA"/>
    <w:rsid w:val="007265EA"/>
    <w:rsid w:val="00733B1B"/>
    <w:rsid w:val="007353BF"/>
    <w:rsid w:val="00740A33"/>
    <w:rsid w:val="00741464"/>
    <w:rsid w:val="00742850"/>
    <w:rsid w:val="007437E8"/>
    <w:rsid w:val="00752FD0"/>
    <w:rsid w:val="0076311F"/>
    <w:rsid w:val="00767572"/>
    <w:rsid w:val="0077796E"/>
    <w:rsid w:val="00787CFA"/>
    <w:rsid w:val="0079600C"/>
    <w:rsid w:val="007B1529"/>
    <w:rsid w:val="007B1D21"/>
    <w:rsid w:val="007B6F9B"/>
    <w:rsid w:val="007E3750"/>
    <w:rsid w:val="007F025B"/>
    <w:rsid w:val="007F0B21"/>
    <w:rsid w:val="007F2BF5"/>
    <w:rsid w:val="008176AE"/>
    <w:rsid w:val="0083084A"/>
    <w:rsid w:val="00845E0B"/>
    <w:rsid w:val="00854DE8"/>
    <w:rsid w:val="00862C6B"/>
    <w:rsid w:val="00863118"/>
    <w:rsid w:val="008732B7"/>
    <w:rsid w:val="008779ED"/>
    <w:rsid w:val="008803AB"/>
    <w:rsid w:val="0088515B"/>
    <w:rsid w:val="00891392"/>
    <w:rsid w:val="00891648"/>
    <w:rsid w:val="00892F70"/>
    <w:rsid w:val="008A01AD"/>
    <w:rsid w:val="008A43D0"/>
    <w:rsid w:val="008A4710"/>
    <w:rsid w:val="008B0DB0"/>
    <w:rsid w:val="008C2C8D"/>
    <w:rsid w:val="008D114F"/>
    <w:rsid w:val="008D3A61"/>
    <w:rsid w:val="008D4CDD"/>
    <w:rsid w:val="008F270B"/>
    <w:rsid w:val="008F47A0"/>
    <w:rsid w:val="00900B20"/>
    <w:rsid w:val="009025F6"/>
    <w:rsid w:val="00904EA5"/>
    <w:rsid w:val="00911D0B"/>
    <w:rsid w:val="00945760"/>
    <w:rsid w:val="009571CC"/>
    <w:rsid w:val="00966012"/>
    <w:rsid w:val="009673A5"/>
    <w:rsid w:val="009675A2"/>
    <w:rsid w:val="00967FA4"/>
    <w:rsid w:val="00970781"/>
    <w:rsid w:val="009777EC"/>
    <w:rsid w:val="00983163"/>
    <w:rsid w:val="0098417D"/>
    <w:rsid w:val="00984243"/>
    <w:rsid w:val="009A5283"/>
    <w:rsid w:val="009D34B1"/>
    <w:rsid w:val="009D3E75"/>
    <w:rsid w:val="009E16F6"/>
    <w:rsid w:val="009E493E"/>
    <w:rsid w:val="009E6779"/>
    <w:rsid w:val="009E765D"/>
    <w:rsid w:val="00A1053F"/>
    <w:rsid w:val="00A10705"/>
    <w:rsid w:val="00A15824"/>
    <w:rsid w:val="00A16A80"/>
    <w:rsid w:val="00A26D46"/>
    <w:rsid w:val="00A27CAF"/>
    <w:rsid w:val="00A61559"/>
    <w:rsid w:val="00A9392E"/>
    <w:rsid w:val="00AC0D07"/>
    <w:rsid w:val="00AC6765"/>
    <w:rsid w:val="00AD420A"/>
    <w:rsid w:val="00AD5F74"/>
    <w:rsid w:val="00AE212A"/>
    <w:rsid w:val="00AE292D"/>
    <w:rsid w:val="00AE34CF"/>
    <w:rsid w:val="00AE655E"/>
    <w:rsid w:val="00B007FC"/>
    <w:rsid w:val="00B223A4"/>
    <w:rsid w:val="00B31F66"/>
    <w:rsid w:val="00B4408A"/>
    <w:rsid w:val="00B4786D"/>
    <w:rsid w:val="00B60DAB"/>
    <w:rsid w:val="00B70FAA"/>
    <w:rsid w:val="00B72F3E"/>
    <w:rsid w:val="00B76EF7"/>
    <w:rsid w:val="00B83227"/>
    <w:rsid w:val="00B83478"/>
    <w:rsid w:val="00B87123"/>
    <w:rsid w:val="00B93E23"/>
    <w:rsid w:val="00B96035"/>
    <w:rsid w:val="00BA0F8E"/>
    <w:rsid w:val="00BA3713"/>
    <w:rsid w:val="00BB0705"/>
    <w:rsid w:val="00BB3659"/>
    <w:rsid w:val="00BB3CF2"/>
    <w:rsid w:val="00BC45E8"/>
    <w:rsid w:val="00BE74D7"/>
    <w:rsid w:val="00BF58B5"/>
    <w:rsid w:val="00C43B91"/>
    <w:rsid w:val="00C4504E"/>
    <w:rsid w:val="00C47D57"/>
    <w:rsid w:val="00C5139E"/>
    <w:rsid w:val="00C5372C"/>
    <w:rsid w:val="00C56B1C"/>
    <w:rsid w:val="00C57238"/>
    <w:rsid w:val="00C75F54"/>
    <w:rsid w:val="00C83E4E"/>
    <w:rsid w:val="00C84283"/>
    <w:rsid w:val="00C95DE1"/>
    <w:rsid w:val="00CA5A93"/>
    <w:rsid w:val="00CC025F"/>
    <w:rsid w:val="00CC7C19"/>
    <w:rsid w:val="00CD5560"/>
    <w:rsid w:val="00CE1872"/>
    <w:rsid w:val="00CE33B0"/>
    <w:rsid w:val="00CE4D05"/>
    <w:rsid w:val="00D039CC"/>
    <w:rsid w:val="00D05F28"/>
    <w:rsid w:val="00D144D2"/>
    <w:rsid w:val="00D23226"/>
    <w:rsid w:val="00D3045C"/>
    <w:rsid w:val="00D37A8E"/>
    <w:rsid w:val="00D60683"/>
    <w:rsid w:val="00D63919"/>
    <w:rsid w:val="00D87951"/>
    <w:rsid w:val="00D94402"/>
    <w:rsid w:val="00DB1CFE"/>
    <w:rsid w:val="00DB2011"/>
    <w:rsid w:val="00DB477E"/>
    <w:rsid w:val="00DB72BA"/>
    <w:rsid w:val="00DC30C6"/>
    <w:rsid w:val="00DC43E1"/>
    <w:rsid w:val="00DC4F5B"/>
    <w:rsid w:val="00DE280B"/>
    <w:rsid w:val="00DE79ED"/>
    <w:rsid w:val="00DF3453"/>
    <w:rsid w:val="00DF4231"/>
    <w:rsid w:val="00E22CF5"/>
    <w:rsid w:val="00E2787B"/>
    <w:rsid w:val="00E333F1"/>
    <w:rsid w:val="00E34DF3"/>
    <w:rsid w:val="00E505A5"/>
    <w:rsid w:val="00E55D07"/>
    <w:rsid w:val="00E60E9B"/>
    <w:rsid w:val="00E61A1B"/>
    <w:rsid w:val="00E77A56"/>
    <w:rsid w:val="00E815ED"/>
    <w:rsid w:val="00E94F94"/>
    <w:rsid w:val="00E9682C"/>
    <w:rsid w:val="00E97F8B"/>
    <w:rsid w:val="00EA7103"/>
    <w:rsid w:val="00EB3517"/>
    <w:rsid w:val="00EB374E"/>
    <w:rsid w:val="00EC3C2B"/>
    <w:rsid w:val="00ED3051"/>
    <w:rsid w:val="00ED4865"/>
    <w:rsid w:val="00ED683F"/>
    <w:rsid w:val="00EE7360"/>
    <w:rsid w:val="00EF2D07"/>
    <w:rsid w:val="00EF7935"/>
    <w:rsid w:val="00F24731"/>
    <w:rsid w:val="00F25390"/>
    <w:rsid w:val="00F32656"/>
    <w:rsid w:val="00F352A2"/>
    <w:rsid w:val="00F365B0"/>
    <w:rsid w:val="00F37AA9"/>
    <w:rsid w:val="00F430A3"/>
    <w:rsid w:val="00F44B71"/>
    <w:rsid w:val="00F527F7"/>
    <w:rsid w:val="00F70E49"/>
    <w:rsid w:val="00F7461C"/>
    <w:rsid w:val="00F95979"/>
    <w:rsid w:val="00FA305A"/>
    <w:rsid w:val="00FA5CBA"/>
    <w:rsid w:val="00FA684E"/>
    <w:rsid w:val="00FB0455"/>
    <w:rsid w:val="00FC473B"/>
    <w:rsid w:val="00FF3BE6"/>
    <w:rsid w:val="0DA22ED6"/>
    <w:rsid w:val="182B11B5"/>
    <w:rsid w:val="187D188E"/>
    <w:rsid w:val="19B17A41"/>
    <w:rsid w:val="1B2C48DC"/>
    <w:rsid w:val="1E8C78AD"/>
    <w:rsid w:val="22250FCC"/>
    <w:rsid w:val="24FD7FDE"/>
    <w:rsid w:val="2BF437BD"/>
    <w:rsid w:val="2D125439"/>
    <w:rsid w:val="2D7D7F0E"/>
    <w:rsid w:val="30676C54"/>
    <w:rsid w:val="31BB2520"/>
    <w:rsid w:val="354B3AD5"/>
    <w:rsid w:val="39BF0F0A"/>
    <w:rsid w:val="3F8E7D59"/>
    <w:rsid w:val="46094B76"/>
    <w:rsid w:val="47482EE3"/>
    <w:rsid w:val="5163762A"/>
    <w:rsid w:val="5A1F5D26"/>
    <w:rsid w:val="5AE1122D"/>
    <w:rsid w:val="60844B35"/>
    <w:rsid w:val="64F32289"/>
    <w:rsid w:val="66B141AA"/>
    <w:rsid w:val="69FF347E"/>
    <w:rsid w:val="6D0A2876"/>
    <w:rsid w:val="740D49E9"/>
    <w:rsid w:val="76DB0DCF"/>
    <w:rsid w:val="79BF6786"/>
    <w:rsid w:val="7A8818D2"/>
    <w:rsid w:val="7A9B2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2"/>
      <o:rules v:ext="edit">
        <o:r id="V:Rule2" type="connector" idref="#AutoShape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lsdException w:name="annotation text" w:semiHidden="1"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rsid w:val="006B0DDC"/>
    <w:pPr>
      <w:widowControl w:val="0"/>
      <w:jc w:val="both"/>
    </w:pPr>
    <w:rPr>
      <w:rFonts w:ascii="Times New Roman" w:hAnsi="Times New Roman"/>
      <w:kern w:val="2"/>
      <w:sz w:val="21"/>
      <w:szCs w:val="22"/>
    </w:rPr>
  </w:style>
  <w:style w:type="paragraph" w:styleId="1">
    <w:name w:val="heading 1"/>
    <w:basedOn w:val="afc"/>
    <w:next w:val="afc"/>
    <w:link w:val="1Char"/>
    <w:uiPriority w:val="9"/>
    <w:qFormat/>
    <w:rsid w:val="006B0DDC"/>
    <w:pPr>
      <w:keepNext/>
      <w:keepLines/>
      <w:spacing w:before="340" w:after="330" w:line="578" w:lineRule="auto"/>
      <w:outlineLvl w:val="0"/>
    </w:pPr>
    <w:rPr>
      <w:b/>
      <w:bCs/>
      <w:kern w:val="44"/>
      <w:sz w:val="44"/>
      <w:szCs w:val="44"/>
    </w:rPr>
  </w:style>
  <w:style w:type="paragraph" w:styleId="2">
    <w:name w:val="heading 2"/>
    <w:basedOn w:val="afc"/>
    <w:next w:val="afc"/>
    <w:link w:val="2Char"/>
    <w:uiPriority w:val="9"/>
    <w:semiHidden/>
    <w:unhideWhenUsed/>
    <w:qFormat/>
    <w:rsid w:val="006B0DDC"/>
    <w:pPr>
      <w:keepNext/>
      <w:keepLines/>
      <w:spacing w:before="260" w:after="260" w:line="416" w:lineRule="auto"/>
      <w:outlineLvl w:val="1"/>
    </w:pPr>
    <w:rPr>
      <w:rFonts w:ascii="Cambria" w:hAnsi="Cambria"/>
      <w:b/>
      <w:bCs/>
      <w:sz w:val="32"/>
      <w:szCs w:val="32"/>
    </w:rPr>
  </w:style>
  <w:style w:type="paragraph" w:styleId="3">
    <w:name w:val="heading 3"/>
    <w:basedOn w:val="afc"/>
    <w:next w:val="afc"/>
    <w:link w:val="3Char"/>
    <w:uiPriority w:val="9"/>
    <w:semiHidden/>
    <w:unhideWhenUsed/>
    <w:qFormat/>
    <w:rsid w:val="006B0DDC"/>
    <w:pPr>
      <w:keepNext/>
      <w:keepLines/>
      <w:spacing w:before="260" w:after="260" w:line="416" w:lineRule="auto"/>
      <w:outlineLvl w:val="2"/>
    </w:pPr>
    <w:rPr>
      <w:b/>
      <w:bCs/>
      <w:sz w:val="32"/>
      <w:szCs w:val="32"/>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7">
    <w:name w:val="toc 7"/>
    <w:basedOn w:val="afc"/>
    <w:next w:val="afc"/>
    <w:semiHidden/>
    <w:qFormat/>
    <w:rsid w:val="006B0DDC"/>
    <w:pPr>
      <w:ind w:left="1260"/>
      <w:jc w:val="left"/>
    </w:pPr>
    <w:rPr>
      <w:rFonts w:asciiTheme="minorHAnsi" w:hAnsiTheme="minorHAnsi"/>
      <w:sz w:val="18"/>
      <w:szCs w:val="18"/>
    </w:rPr>
  </w:style>
  <w:style w:type="paragraph" w:styleId="8">
    <w:name w:val="index 8"/>
    <w:basedOn w:val="afc"/>
    <w:next w:val="afc"/>
    <w:qFormat/>
    <w:rsid w:val="006B0DDC"/>
    <w:pPr>
      <w:ind w:left="1680" w:hanging="210"/>
      <w:jc w:val="left"/>
    </w:pPr>
    <w:rPr>
      <w:rFonts w:ascii="Calibri" w:hAnsi="Calibri"/>
      <w:sz w:val="20"/>
      <w:szCs w:val="20"/>
    </w:rPr>
  </w:style>
  <w:style w:type="paragraph" w:styleId="aff0">
    <w:name w:val="caption"/>
    <w:basedOn w:val="afc"/>
    <w:next w:val="afc"/>
    <w:qFormat/>
    <w:rsid w:val="006B0DDC"/>
    <w:pPr>
      <w:spacing w:before="152" w:after="160"/>
    </w:pPr>
    <w:rPr>
      <w:rFonts w:ascii="Arial" w:eastAsia="黑体" w:hAnsi="Arial" w:cs="Arial"/>
      <w:sz w:val="20"/>
      <w:szCs w:val="20"/>
    </w:rPr>
  </w:style>
  <w:style w:type="paragraph" w:styleId="5">
    <w:name w:val="index 5"/>
    <w:basedOn w:val="afc"/>
    <w:next w:val="afc"/>
    <w:qFormat/>
    <w:rsid w:val="006B0DDC"/>
    <w:pPr>
      <w:ind w:left="1050" w:hanging="210"/>
      <w:jc w:val="left"/>
    </w:pPr>
    <w:rPr>
      <w:rFonts w:ascii="Calibri" w:hAnsi="Calibri"/>
      <w:sz w:val="20"/>
      <w:szCs w:val="20"/>
    </w:rPr>
  </w:style>
  <w:style w:type="paragraph" w:styleId="aff1">
    <w:name w:val="Document Map"/>
    <w:basedOn w:val="afc"/>
    <w:link w:val="Char"/>
    <w:semiHidden/>
    <w:qFormat/>
    <w:rsid w:val="006B0DDC"/>
    <w:pPr>
      <w:shd w:val="clear" w:color="auto" w:fill="000080"/>
    </w:pPr>
    <w:rPr>
      <w:szCs w:val="24"/>
    </w:rPr>
  </w:style>
  <w:style w:type="paragraph" w:styleId="aff2">
    <w:name w:val="annotation text"/>
    <w:basedOn w:val="afc"/>
    <w:link w:val="Char0"/>
    <w:uiPriority w:val="99"/>
    <w:semiHidden/>
    <w:unhideWhenUsed/>
    <w:qFormat/>
    <w:rsid w:val="006B0DDC"/>
    <w:pPr>
      <w:jc w:val="left"/>
    </w:pPr>
  </w:style>
  <w:style w:type="paragraph" w:styleId="6">
    <w:name w:val="index 6"/>
    <w:basedOn w:val="afc"/>
    <w:next w:val="afc"/>
    <w:qFormat/>
    <w:rsid w:val="006B0DDC"/>
    <w:pPr>
      <w:ind w:left="1260" w:hanging="210"/>
      <w:jc w:val="left"/>
    </w:pPr>
    <w:rPr>
      <w:rFonts w:ascii="Calibri" w:hAnsi="Calibri"/>
      <w:sz w:val="20"/>
      <w:szCs w:val="20"/>
    </w:rPr>
  </w:style>
  <w:style w:type="paragraph" w:styleId="aff3">
    <w:name w:val="Body Text"/>
    <w:basedOn w:val="afc"/>
    <w:uiPriority w:val="1"/>
    <w:unhideWhenUsed/>
    <w:qFormat/>
    <w:rsid w:val="006B0DDC"/>
    <w:rPr>
      <w:rFonts w:hint="eastAsia"/>
    </w:rPr>
  </w:style>
  <w:style w:type="paragraph" w:styleId="4">
    <w:name w:val="index 4"/>
    <w:basedOn w:val="afc"/>
    <w:next w:val="afc"/>
    <w:qFormat/>
    <w:rsid w:val="006B0DDC"/>
    <w:pPr>
      <w:ind w:left="840" w:hanging="210"/>
      <w:jc w:val="left"/>
    </w:pPr>
    <w:rPr>
      <w:rFonts w:ascii="Calibri" w:hAnsi="Calibri"/>
      <w:sz w:val="20"/>
      <w:szCs w:val="20"/>
    </w:rPr>
  </w:style>
  <w:style w:type="paragraph" w:styleId="50">
    <w:name w:val="toc 5"/>
    <w:basedOn w:val="afc"/>
    <w:next w:val="afc"/>
    <w:semiHidden/>
    <w:qFormat/>
    <w:rsid w:val="006B0DDC"/>
    <w:pPr>
      <w:ind w:left="840"/>
      <w:jc w:val="left"/>
    </w:pPr>
    <w:rPr>
      <w:rFonts w:asciiTheme="minorHAnsi" w:hAnsiTheme="minorHAnsi"/>
      <w:sz w:val="18"/>
      <w:szCs w:val="18"/>
    </w:rPr>
  </w:style>
  <w:style w:type="paragraph" w:styleId="30">
    <w:name w:val="toc 3"/>
    <w:basedOn w:val="afc"/>
    <w:next w:val="afc"/>
    <w:uiPriority w:val="39"/>
    <w:qFormat/>
    <w:rsid w:val="006B0DDC"/>
    <w:pPr>
      <w:ind w:left="420"/>
      <w:jc w:val="left"/>
    </w:pPr>
    <w:rPr>
      <w:rFonts w:asciiTheme="minorHAnsi" w:hAnsiTheme="minorHAnsi"/>
      <w:i/>
      <w:iCs/>
      <w:sz w:val="20"/>
      <w:szCs w:val="20"/>
    </w:rPr>
  </w:style>
  <w:style w:type="paragraph" w:styleId="aff4">
    <w:name w:val="Plain Text"/>
    <w:basedOn w:val="afc"/>
    <w:link w:val="Char1"/>
    <w:rsid w:val="006B0DDC"/>
    <w:rPr>
      <w:rFonts w:ascii="宋体" w:hAnsi="Courier New"/>
      <w:szCs w:val="20"/>
    </w:rPr>
  </w:style>
  <w:style w:type="paragraph" w:styleId="80">
    <w:name w:val="toc 8"/>
    <w:basedOn w:val="afc"/>
    <w:next w:val="afc"/>
    <w:semiHidden/>
    <w:qFormat/>
    <w:rsid w:val="006B0DDC"/>
    <w:pPr>
      <w:ind w:left="1470"/>
      <w:jc w:val="left"/>
    </w:pPr>
    <w:rPr>
      <w:rFonts w:asciiTheme="minorHAnsi" w:hAnsiTheme="minorHAnsi"/>
      <w:sz w:val="18"/>
      <w:szCs w:val="18"/>
    </w:rPr>
  </w:style>
  <w:style w:type="paragraph" w:styleId="31">
    <w:name w:val="index 3"/>
    <w:basedOn w:val="afc"/>
    <w:next w:val="afc"/>
    <w:qFormat/>
    <w:rsid w:val="006B0DDC"/>
    <w:pPr>
      <w:ind w:left="630" w:hanging="210"/>
      <w:jc w:val="left"/>
    </w:pPr>
    <w:rPr>
      <w:rFonts w:ascii="Calibri" w:hAnsi="Calibri"/>
      <w:sz w:val="20"/>
      <w:szCs w:val="20"/>
    </w:rPr>
  </w:style>
  <w:style w:type="paragraph" w:styleId="aff5">
    <w:name w:val="endnote text"/>
    <w:basedOn w:val="afc"/>
    <w:link w:val="Char2"/>
    <w:semiHidden/>
    <w:qFormat/>
    <w:rsid w:val="006B0DDC"/>
    <w:pPr>
      <w:snapToGrid w:val="0"/>
      <w:jc w:val="left"/>
    </w:pPr>
    <w:rPr>
      <w:szCs w:val="24"/>
    </w:rPr>
  </w:style>
  <w:style w:type="paragraph" w:styleId="aff6">
    <w:name w:val="Balloon Text"/>
    <w:basedOn w:val="afc"/>
    <w:link w:val="Char3"/>
    <w:rsid w:val="006B0DDC"/>
    <w:rPr>
      <w:sz w:val="18"/>
      <w:szCs w:val="18"/>
    </w:rPr>
  </w:style>
  <w:style w:type="paragraph" w:styleId="aff7">
    <w:name w:val="footer"/>
    <w:basedOn w:val="afc"/>
    <w:link w:val="Char4"/>
    <w:uiPriority w:val="99"/>
    <w:unhideWhenUsed/>
    <w:qFormat/>
    <w:rsid w:val="006B0DDC"/>
    <w:pPr>
      <w:tabs>
        <w:tab w:val="center" w:pos="4153"/>
        <w:tab w:val="right" w:pos="8306"/>
      </w:tabs>
      <w:snapToGrid w:val="0"/>
      <w:jc w:val="left"/>
    </w:pPr>
    <w:rPr>
      <w:sz w:val="18"/>
      <w:szCs w:val="18"/>
    </w:rPr>
  </w:style>
  <w:style w:type="paragraph" w:styleId="aff8">
    <w:name w:val="header"/>
    <w:basedOn w:val="afc"/>
    <w:link w:val="Char5"/>
    <w:unhideWhenUsed/>
    <w:qFormat/>
    <w:rsid w:val="006B0DDC"/>
    <w:pPr>
      <w:pBdr>
        <w:bottom w:val="single" w:sz="6" w:space="1" w:color="auto"/>
      </w:pBdr>
      <w:tabs>
        <w:tab w:val="center" w:pos="4153"/>
        <w:tab w:val="right" w:pos="8306"/>
      </w:tabs>
      <w:snapToGrid w:val="0"/>
      <w:jc w:val="center"/>
    </w:pPr>
    <w:rPr>
      <w:sz w:val="18"/>
      <w:szCs w:val="18"/>
    </w:rPr>
  </w:style>
  <w:style w:type="paragraph" w:styleId="10">
    <w:name w:val="toc 1"/>
    <w:basedOn w:val="afc"/>
    <w:next w:val="afc"/>
    <w:uiPriority w:val="39"/>
    <w:qFormat/>
    <w:rsid w:val="006B0DDC"/>
    <w:pPr>
      <w:spacing w:before="120" w:after="120"/>
      <w:jc w:val="left"/>
    </w:pPr>
    <w:rPr>
      <w:rFonts w:asciiTheme="minorHAnsi" w:hAnsiTheme="minorHAnsi"/>
      <w:b/>
      <w:bCs/>
      <w:caps/>
      <w:sz w:val="20"/>
      <w:szCs w:val="20"/>
    </w:rPr>
  </w:style>
  <w:style w:type="paragraph" w:styleId="40">
    <w:name w:val="toc 4"/>
    <w:basedOn w:val="afc"/>
    <w:next w:val="afc"/>
    <w:semiHidden/>
    <w:rsid w:val="006B0DDC"/>
    <w:pPr>
      <w:ind w:left="630"/>
      <w:jc w:val="left"/>
    </w:pPr>
    <w:rPr>
      <w:rFonts w:asciiTheme="minorHAnsi" w:hAnsiTheme="minorHAnsi"/>
      <w:sz w:val="18"/>
      <w:szCs w:val="18"/>
    </w:rPr>
  </w:style>
  <w:style w:type="paragraph" w:styleId="aff9">
    <w:name w:val="index heading"/>
    <w:basedOn w:val="afc"/>
    <w:next w:val="11"/>
    <w:qFormat/>
    <w:rsid w:val="006B0DDC"/>
    <w:pPr>
      <w:spacing w:before="120" w:after="120"/>
      <w:jc w:val="center"/>
    </w:pPr>
    <w:rPr>
      <w:rFonts w:ascii="Calibri" w:hAnsi="Calibri"/>
      <w:b/>
      <w:bCs/>
      <w:iCs/>
      <w:szCs w:val="20"/>
    </w:rPr>
  </w:style>
  <w:style w:type="paragraph" w:styleId="11">
    <w:name w:val="index 1"/>
    <w:basedOn w:val="afc"/>
    <w:next w:val="affa"/>
    <w:rsid w:val="006B0DDC"/>
    <w:pPr>
      <w:tabs>
        <w:tab w:val="right" w:leader="dot" w:pos="9299"/>
      </w:tabs>
      <w:jc w:val="left"/>
    </w:pPr>
    <w:rPr>
      <w:rFonts w:ascii="宋体"/>
      <w:szCs w:val="21"/>
    </w:rPr>
  </w:style>
  <w:style w:type="paragraph" w:customStyle="1" w:styleId="affa">
    <w:name w:val="段"/>
    <w:link w:val="Char6"/>
    <w:qFormat/>
    <w:rsid w:val="006B0DDC"/>
    <w:pPr>
      <w:tabs>
        <w:tab w:val="center" w:pos="4201"/>
        <w:tab w:val="right" w:leader="dot" w:pos="9298"/>
      </w:tabs>
      <w:autoSpaceDE w:val="0"/>
      <w:autoSpaceDN w:val="0"/>
      <w:ind w:firstLineChars="200" w:firstLine="420"/>
      <w:jc w:val="both"/>
    </w:pPr>
    <w:rPr>
      <w:rFonts w:ascii="宋体" w:hAnsi="Times New Roman"/>
      <w:sz w:val="21"/>
    </w:rPr>
  </w:style>
  <w:style w:type="paragraph" w:styleId="aa">
    <w:name w:val="footnote text"/>
    <w:basedOn w:val="afc"/>
    <w:link w:val="Char7"/>
    <w:rsid w:val="006B0DDC"/>
    <w:pPr>
      <w:numPr>
        <w:numId w:val="1"/>
      </w:numPr>
      <w:snapToGrid w:val="0"/>
      <w:jc w:val="left"/>
    </w:pPr>
    <w:rPr>
      <w:rFonts w:ascii="宋体"/>
      <w:sz w:val="18"/>
      <w:szCs w:val="18"/>
    </w:rPr>
  </w:style>
  <w:style w:type="paragraph" w:styleId="60">
    <w:name w:val="toc 6"/>
    <w:basedOn w:val="afc"/>
    <w:next w:val="afc"/>
    <w:semiHidden/>
    <w:qFormat/>
    <w:rsid w:val="006B0DDC"/>
    <w:pPr>
      <w:ind w:left="1050"/>
      <w:jc w:val="left"/>
    </w:pPr>
    <w:rPr>
      <w:rFonts w:asciiTheme="minorHAnsi" w:hAnsiTheme="minorHAnsi"/>
      <w:sz w:val="18"/>
      <w:szCs w:val="18"/>
    </w:rPr>
  </w:style>
  <w:style w:type="paragraph" w:styleId="70">
    <w:name w:val="index 7"/>
    <w:basedOn w:val="afc"/>
    <w:next w:val="afc"/>
    <w:qFormat/>
    <w:rsid w:val="006B0DDC"/>
    <w:pPr>
      <w:ind w:left="1470" w:hanging="210"/>
      <w:jc w:val="left"/>
    </w:pPr>
    <w:rPr>
      <w:rFonts w:ascii="Calibri" w:hAnsi="Calibri"/>
      <w:sz w:val="20"/>
      <w:szCs w:val="20"/>
    </w:rPr>
  </w:style>
  <w:style w:type="paragraph" w:styleId="9">
    <w:name w:val="index 9"/>
    <w:basedOn w:val="afc"/>
    <w:next w:val="afc"/>
    <w:qFormat/>
    <w:rsid w:val="006B0DDC"/>
    <w:pPr>
      <w:ind w:left="1890" w:hanging="210"/>
      <w:jc w:val="left"/>
    </w:pPr>
    <w:rPr>
      <w:rFonts w:ascii="Calibri" w:hAnsi="Calibri"/>
      <w:sz w:val="20"/>
      <w:szCs w:val="20"/>
    </w:rPr>
  </w:style>
  <w:style w:type="paragraph" w:styleId="20">
    <w:name w:val="toc 2"/>
    <w:basedOn w:val="afc"/>
    <w:next w:val="afc"/>
    <w:uiPriority w:val="39"/>
    <w:qFormat/>
    <w:rsid w:val="006B0DDC"/>
    <w:pPr>
      <w:ind w:left="210"/>
      <w:jc w:val="left"/>
    </w:pPr>
    <w:rPr>
      <w:rFonts w:asciiTheme="minorHAnsi" w:hAnsiTheme="minorHAnsi"/>
      <w:smallCaps/>
      <w:sz w:val="20"/>
      <w:szCs w:val="20"/>
    </w:rPr>
  </w:style>
  <w:style w:type="paragraph" w:styleId="90">
    <w:name w:val="toc 9"/>
    <w:basedOn w:val="afc"/>
    <w:next w:val="afc"/>
    <w:semiHidden/>
    <w:qFormat/>
    <w:rsid w:val="006B0DDC"/>
    <w:pPr>
      <w:ind w:left="1680"/>
      <w:jc w:val="left"/>
    </w:pPr>
    <w:rPr>
      <w:rFonts w:asciiTheme="minorHAnsi" w:hAnsiTheme="minorHAnsi"/>
      <w:sz w:val="18"/>
      <w:szCs w:val="18"/>
    </w:rPr>
  </w:style>
  <w:style w:type="paragraph" w:styleId="21">
    <w:name w:val="index 2"/>
    <w:basedOn w:val="afc"/>
    <w:next w:val="afc"/>
    <w:qFormat/>
    <w:rsid w:val="006B0DDC"/>
    <w:pPr>
      <w:ind w:left="420" w:hanging="210"/>
      <w:jc w:val="left"/>
    </w:pPr>
    <w:rPr>
      <w:rFonts w:ascii="Calibri" w:hAnsi="Calibri"/>
      <w:sz w:val="20"/>
      <w:szCs w:val="20"/>
    </w:rPr>
  </w:style>
  <w:style w:type="paragraph" w:styleId="affb">
    <w:name w:val="annotation subject"/>
    <w:basedOn w:val="aff2"/>
    <w:next w:val="aff2"/>
    <w:link w:val="Char8"/>
    <w:uiPriority w:val="99"/>
    <w:semiHidden/>
    <w:unhideWhenUsed/>
    <w:qFormat/>
    <w:rsid w:val="006B0DDC"/>
    <w:rPr>
      <w:b/>
      <w:bCs/>
    </w:rPr>
  </w:style>
  <w:style w:type="table" w:styleId="affc">
    <w:name w:val="Table Grid"/>
    <w:basedOn w:val="afe"/>
    <w:uiPriority w:val="59"/>
    <w:qFormat/>
    <w:rsid w:val="006B0DDC"/>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Strong"/>
    <w:uiPriority w:val="22"/>
    <w:qFormat/>
    <w:rsid w:val="006B0DDC"/>
    <w:rPr>
      <w:b/>
      <w:bCs/>
    </w:rPr>
  </w:style>
  <w:style w:type="character" w:styleId="affe">
    <w:name w:val="endnote reference"/>
    <w:semiHidden/>
    <w:qFormat/>
    <w:rsid w:val="006B0DDC"/>
    <w:rPr>
      <w:vertAlign w:val="superscript"/>
    </w:rPr>
  </w:style>
  <w:style w:type="character" w:styleId="afff">
    <w:name w:val="page number"/>
    <w:qFormat/>
    <w:rsid w:val="006B0DDC"/>
    <w:rPr>
      <w:rFonts w:ascii="Times New Roman" w:eastAsia="宋体" w:hAnsi="Times New Roman"/>
      <w:sz w:val="18"/>
    </w:rPr>
  </w:style>
  <w:style w:type="character" w:styleId="afff0">
    <w:name w:val="FollowedHyperlink"/>
    <w:uiPriority w:val="99"/>
    <w:semiHidden/>
    <w:unhideWhenUsed/>
    <w:qFormat/>
    <w:rsid w:val="006B0DDC"/>
    <w:rPr>
      <w:color w:val="800080"/>
      <w:u w:val="single"/>
    </w:rPr>
  </w:style>
  <w:style w:type="character" w:styleId="afff1">
    <w:name w:val="Emphasis"/>
    <w:basedOn w:val="afd"/>
    <w:uiPriority w:val="20"/>
    <w:qFormat/>
    <w:rsid w:val="006B0DDC"/>
    <w:rPr>
      <w:i/>
      <w:iCs/>
    </w:rPr>
  </w:style>
  <w:style w:type="character" w:styleId="afff2">
    <w:name w:val="Hyperlink"/>
    <w:uiPriority w:val="99"/>
    <w:qFormat/>
    <w:rsid w:val="006B0DDC"/>
    <w:rPr>
      <w:color w:val="0000FF"/>
      <w:spacing w:val="0"/>
      <w:w w:val="100"/>
      <w:szCs w:val="21"/>
      <w:u w:val="single"/>
    </w:rPr>
  </w:style>
  <w:style w:type="character" w:styleId="HTML">
    <w:name w:val="HTML Code"/>
    <w:qFormat/>
    <w:rsid w:val="006B0DDC"/>
    <w:rPr>
      <w:rFonts w:ascii="Courier New" w:hAnsi="Courier New"/>
      <w:sz w:val="20"/>
      <w:szCs w:val="20"/>
    </w:rPr>
  </w:style>
  <w:style w:type="character" w:styleId="afff3">
    <w:name w:val="annotation reference"/>
    <w:basedOn w:val="afd"/>
    <w:uiPriority w:val="99"/>
    <w:semiHidden/>
    <w:unhideWhenUsed/>
    <w:qFormat/>
    <w:rsid w:val="006B0DDC"/>
    <w:rPr>
      <w:sz w:val="21"/>
      <w:szCs w:val="21"/>
    </w:rPr>
  </w:style>
  <w:style w:type="character" w:styleId="afff4">
    <w:name w:val="footnote reference"/>
    <w:semiHidden/>
    <w:qFormat/>
    <w:rsid w:val="006B0DDC"/>
    <w:rPr>
      <w:vertAlign w:val="superscript"/>
    </w:rPr>
  </w:style>
  <w:style w:type="character" w:customStyle="1" w:styleId="1Char">
    <w:name w:val="标题 1 Char"/>
    <w:link w:val="1"/>
    <w:uiPriority w:val="9"/>
    <w:qFormat/>
    <w:rsid w:val="006B0DDC"/>
    <w:rPr>
      <w:rFonts w:ascii="Times New Roman" w:hAnsi="Times New Roman"/>
      <w:b/>
      <w:bCs/>
      <w:kern w:val="44"/>
      <w:sz w:val="44"/>
      <w:szCs w:val="44"/>
    </w:rPr>
  </w:style>
  <w:style w:type="character" w:customStyle="1" w:styleId="2Char">
    <w:name w:val="标题 2 Char"/>
    <w:link w:val="2"/>
    <w:uiPriority w:val="9"/>
    <w:semiHidden/>
    <w:qFormat/>
    <w:rsid w:val="006B0DDC"/>
    <w:rPr>
      <w:rFonts w:ascii="Cambria" w:eastAsia="宋体" w:hAnsi="Cambria" w:cs="Times New Roman"/>
      <w:b/>
      <w:bCs/>
      <w:sz w:val="32"/>
      <w:szCs w:val="32"/>
    </w:rPr>
  </w:style>
  <w:style w:type="character" w:customStyle="1" w:styleId="3Char">
    <w:name w:val="标题 3 Char"/>
    <w:link w:val="3"/>
    <w:uiPriority w:val="9"/>
    <w:semiHidden/>
    <w:qFormat/>
    <w:rsid w:val="006B0DDC"/>
    <w:rPr>
      <w:rFonts w:ascii="Times New Roman" w:hAnsi="Times New Roman"/>
      <w:b/>
      <w:bCs/>
      <w:sz w:val="32"/>
      <w:szCs w:val="32"/>
    </w:rPr>
  </w:style>
  <w:style w:type="paragraph" w:customStyle="1" w:styleId="u4">
    <w:name w:val="u标题"/>
    <w:basedOn w:val="1"/>
    <w:next w:val="afc"/>
    <w:qFormat/>
    <w:rsid w:val="006B0DDC"/>
    <w:pPr>
      <w:jc w:val="center"/>
    </w:pPr>
    <w:rPr>
      <w:rFonts w:eastAsia="黑体"/>
      <w:sz w:val="30"/>
    </w:rPr>
  </w:style>
  <w:style w:type="paragraph" w:customStyle="1" w:styleId="u5">
    <w:name w:val="u标题 不入目录"/>
    <w:basedOn w:val="afc"/>
    <w:qFormat/>
    <w:rsid w:val="006B0DDC"/>
    <w:pPr>
      <w:jc w:val="center"/>
    </w:pPr>
    <w:rPr>
      <w:rFonts w:eastAsia="黑体"/>
      <w:b/>
      <w:sz w:val="30"/>
      <w:szCs w:val="30"/>
    </w:rPr>
  </w:style>
  <w:style w:type="paragraph" w:customStyle="1" w:styleId="u6">
    <w:name w:val="u标题 自动分页"/>
    <w:basedOn w:val="u4"/>
    <w:next w:val="afc"/>
    <w:qFormat/>
    <w:rsid w:val="006B0DDC"/>
    <w:pPr>
      <w:pageBreakBefore/>
    </w:pPr>
  </w:style>
  <w:style w:type="paragraph" w:customStyle="1" w:styleId="u7">
    <w:name w:val="u表标题"/>
    <w:basedOn w:val="afc"/>
    <w:qFormat/>
    <w:rsid w:val="006B0DDC"/>
    <w:pPr>
      <w:spacing w:beforeLines="150" w:afterLines="50" w:line="360" w:lineRule="auto"/>
      <w:jc w:val="center"/>
    </w:pPr>
    <w:rPr>
      <w:rFonts w:eastAsia="黑体"/>
      <w:b/>
      <w:szCs w:val="24"/>
    </w:rPr>
  </w:style>
  <w:style w:type="paragraph" w:customStyle="1" w:styleId="u0">
    <w:name w:val="u参考文献条目顺序编码制"/>
    <w:basedOn w:val="afc"/>
    <w:qFormat/>
    <w:rsid w:val="006B0DDC"/>
    <w:pPr>
      <w:numPr>
        <w:numId w:val="2"/>
      </w:numPr>
      <w:spacing w:before="100" w:beforeAutospacing="1" w:after="100" w:afterAutospacing="1" w:line="312" w:lineRule="auto"/>
    </w:pPr>
    <w:rPr>
      <w:sz w:val="24"/>
      <w:szCs w:val="24"/>
    </w:rPr>
  </w:style>
  <w:style w:type="paragraph" w:customStyle="1" w:styleId="u8">
    <w:name w:val="u参考文献条目著者出版年制"/>
    <w:basedOn w:val="afc"/>
    <w:qFormat/>
    <w:rsid w:val="006B0DDC"/>
    <w:pPr>
      <w:spacing w:line="312" w:lineRule="auto"/>
      <w:ind w:left="200" w:hangingChars="200" w:hanging="200"/>
    </w:pPr>
    <w:rPr>
      <w:sz w:val="24"/>
      <w:szCs w:val="24"/>
    </w:rPr>
  </w:style>
  <w:style w:type="paragraph" w:customStyle="1" w:styleId="u">
    <w:name w:val="u附录标题"/>
    <w:basedOn w:val="u6"/>
    <w:qFormat/>
    <w:rsid w:val="006B0DDC"/>
    <w:pPr>
      <w:pageBreakBefore w:val="0"/>
      <w:numPr>
        <w:numId w:val="3"/>
      </w:numPr>
      <w:jc w:val="left"/>
    </w:pPr>
  </w:style>
  <w:style w:type="character" w:customStyle="1" w:styleId="u9">
    <w:name w:val="u关键词"/>
    <w:qFormat/>
    <w:rsid w:val="006B0DDC"/>
    <w:rPr>
      <w:rFonts w:ascii="Times New Roman" w:eastAsia="黑体" w:hAnsi="Times New Roman"/>
      <w:b/>
      <w:sz w:val="24"/>
    </w:rPr>
  </w:style>
  <w:style w:type="paragraph" w:customStyle="1" w:styleId="ua">
    <w:name w:val="u脚注"/>
    <w:basedOn w:val="afc"/>
    <w:qFormat/>
    <w:rsid w:val="006B0DDC"/>
    <w:pPr>
      <w:spacing w:before="100" w:beforeAutospacing="1" w:after="100" w:afterAutospacing="1"/>
    </w:pPr>
    <w:rPr>
      <w:szCs w:val="24"/>
    </w:rPr>
  </w:style>
  <w:style w:type="paragraph" w:customStyle="1" w:styleId="ub">
    <w:name w:val="u图标题"/>
    <w:basedOn w:val="afc"/>
    <w:next w:val="afc"/>
    <w:rsid w:val="006B0DDC"/>
    <w:pPr>
      <w:spacing w:beforeLines="50" w:afterLines="150" w:line="360" w:lineRule="auto"/>
      <w:jc w:val="center"/>
    </w:pPr>
    <w:rPr>
      <w:rFonts w:eastAsia="黑体"/>
      <w:b/>
      <w:szCs w:val="24"/>
    </w:rPr>
  </w:style>
  <w:style w:type="paragraph" w:customStyle="1" w:styleId="uc">
    <w:name w:val="u页眉"/>
    <w:basedOn w:val="afc"/>
    <w:qFormat/>
    <w:rsid w:val="006B0DDC"/>
    <w:pPr>
      <w:pBdr>
        <w:bottom w:val="single" w:sz="4" w:space="1" w:color="auto"/>
      </w:pBdr>
      <w:jc w:val="center"/>
    </w:pPr>
    <w:rPr>
      <w:szCs w:val="24"/>
    </w:rPr>
  </w:style>
  <w:style w:type="paragraph" w:customStyle="1" w:styleId="ud">
    <w:name w:val="u正文"/>
    <w:basedOn w:val="afc"/>
    <w:link w:val="uChar"/>
    <w:qFormat/>
    <w:rsid w:val="006B0DDC"/>
    <w:pPr>
      <w:spacing w:beforeLines="10" w:afterLines="10" w:line="312" w:lineRule="auto"/>
      <w:ind w:firstLineChars="200" w:firstLine="200"/>
    </w:pPr>
    <w:rPr>
      <w:rFonts w:cs="宋体"/>
      <w:sz w:val="24"/>
      <w:szCs w:val="20"/>
    </w:rPr>
  </w:style>
  <w:style w:type="character" w:customStyle="1" w:styleId="uChar">
    <w:name w:val="u正文 Char"/>
    <w:link w:val="ud"/>
    <w:rsid w:val="006B0DDC"/>
    <w:rPr>
      <w:rFonts w:ascii="Times New Roman" w:eastAsia="宋体" w:hAnsi="Times New Roman" w:cs="宋体"/>
      <w:sz w:val="24"/>
      <w:szCs w:val="20"/>
    </w:rPr>
  </w:style>
  <w:style w:type="paragraph" w:customStyle="1" w:styleId="u2052">
    <w:name w:val="u正文 + 首行缩进:  2 字符 段前: 0.5 行2"/>
    <w:basedOn w:val="ud"/>
    <w:rsid w:val="006B0DDC"/>
    <w:pPr>
      <w:spacing w:beforeLines="20"/>
    </w:pPr>
    <w:rPr>
      <w:kern w:val="0"/>
    </w:rPr>
  </w:style>
  <w:style w:type="paragraph" w:customStyle="1" w:styleId="u1">
    <w:name w:val="u正文1级标题"/>
    <w:basedOn w:val="1"/>
    <w:next w:val="ud"/>
    <w:qFormat/>
    <w:rsid w:val="006B0DDC"/>
    <w:pPr>
      <w:pageBreakBefore/>
      <w:numPr>
        <w:numId w:val="4"/>
      </w:numPr>
      <w:spacing w:after="340" w:line="312" w:lineRule="auto"/>
    </w:pPr>
    <w:rPr>
      <w:rFonts w:eastAsia="黑体"/>
      <w:sz w:val="30"/>
    </w:rPr>
  </w:style>
  <w:style w:type="paragraph" w:customStyle="1" w:styleId="u2">
    <w:name w:val="u正文2级标题"/>
    <w:basedOn w:val="2"/>
    <w:next w:val="ud"/>
    <w:rsid w:val="006B0DDC"/>
    <w:pPr>
      <w:numPr>
        <w:ilvl w:val="1"/>
        <w:numId w:val="4"/>
      </w:numPr>
      <w:spacing w:line="312" w:lineRule="auto"/>
    </w:pPr>
    <w:rPr>
      <w:rFonts w:ascii="Times New Roman" w:eastAsia="黑体" w:hAnsi="Times New Roman"/>
      <w:sz w:val="28"/>
    </w:rPr>
  </w:style>
  <w:style w:type="paragraph" w:customStyle="1" w:styleId="u3">
    <w:name w:val="u正文3级标题"/>
    <w:basedOn w:val="3"/>
    <w:next w:val="ud"/>
    <w:qFormat/>
    <w:rsid w:val="006B0DDC"/>
    <w:pPr>
      <w:numPr>
        <w:ilvl w:val="2"/>
        <w:numId w:val="4"/>
      </w:numPr>
      <w:spacing w:line="312" w:lineRule="auto"/>
    </w:pPr>
    <w:rPr>
      <w:rFonts w:eastAsia="黑体"/>
      <w:sz w:val="28"/>
    </w:rPr>
  </w:style>
  <w:style w:type="character" w:customStyle="1" w:styleId="z">
    <w:name w:val="z封二其他"/>
    <w:qFormat/>
    <w:rsid w:val="006B0DDC"/>
    <w:rPr>
      <w:rFonts w:ascii="Times New Roman" w:eastAsia="宋体" w:hAnsi="Times New Roman"/>
      <w:sz w:val="24"/>
    </w:rPr>
  </w:style>
  <w:style w:type="character" w:customStyle="1" w:styleId="z0">
    <w:name w:val="z封二题名"/>
    <w:qFormat/>
    <w:rsid w:val="006B0DDC"/>
    <w:rPr>
      <w:rFonts w:ascii="Times New Roman" w:eastAsia="宋体" w:hAnsi="Times New Roman"/>
      <w:sz w:val="36"/>
    </w:rPr>
  </w:style>
  <w:style w:type="character" w:customStyle="1" w:styleId="z1">
    <w:name w:val="z封面其他"/>
    <w:qFormat/>
    <w:rsid w:val="006B0DDC"/>
    <w:rPr>
      <w:rFonts w:ascii="Times New Roman" w:eastAsia="宋体" w:hAnsi="Times New Roman"/>
      <w:spacing w:val="0"/>
      <w:sz w:val="30"/>
    </w:rPr>
  </w:style>
  <w:style w:type="character" w:customStyle="1" w:styleId="z2">
    <w:name w:val="z封面题名"/>
    <w:qFormat/>
    <w:rsid w:val="006B0DDC"/>
    <w:rPr>
      <w:rFonts w:ascii="Times New Roman" w:eastAsia="宋体" w:hAnsi="Times New Roman"/>
      <w:b/>
      <w:spacing w:val="0"/>
      <w:sz w:val="36"/>
    </w:rPr>
  </w:style>
  <w:style w:type="character" w:customStyle="1" w:styleId="z3">
    <w:name w:val="z书脊"/>
    <w:qFormat/>
    <w:rsid w:val="006B0DDC"/>
    <w:rPr>
      <w:rFonts w:ascii="Times New Roman" w:eastAsia="宋体" w:hAnsi="Times New Roman"/>
      <w:b/>
      <w:sz w:val="32"/>
    </w:rPr>
  </w:style>
  <w:style w:type="character" w:customStyle="1" w:styleId="z4">
    <w:name w:val="z题名页其他"/>
    <w:qFormat/>
    <w:rsid w:val="006B0DDC"/>
    <w:rPr>
      <w:rFonts w:ascii="Times New Roman" w:eastAsia="宋体" w:hAnsi="Times New Roman"/>
      <w:sz w:val="21"/>
    </w:rPr>
  </w:style>
  <w:style w:type="character" w:customStyle="1" w:styleId="z5">
    <w:name w:val="z题名页日期"/>
    <w:qFormat/>
    <w:rsid w:val="006B0DDC"/>
    <w:rPr>
      <w:rFonts w:ascii="Times New Roman" w:eastAsia="宋体" w:hAnsi="Times New Roman"/>
      <w:spacing w:val="0"/>
      <w:sz w:val="28"/>
    </w:rPr>
  </w:style>
  <w:style w:type="character" w:customStyle="1" w:styleId="z6">
    <w:name w:val="z题名页题名"/>
    <w:qFormat/>
    <w:rsid w:val="006B0DDC"/>
    <w:rPr>
      <w:rFonts w:ascii="Times New Roman" w:eastAsia="宋体" w:hAnsi="Times New Roman"/>
      <w:sz w:val="28"/>
    </w:rPr>
  </w:style>
  <w:style w:type="character" w:customStyle="1" w:styleId="z7">
    <w:name w:val="z题名页作者"/>
    <w:qFormat/>
    <w:rsid w:val="006B0DDC"/>
  </w:style>
  <w:style w:type="character" w:customStyle="1" w:styleId="Char5">
    <w:name w:val="页眉 Char"/>
    <w:link w:val="aff8"/>
    <w:qFormat/>
    <w:rsid w:val="006B0DDC"/>
    <w:rPr>
      <w:rFonts w:ascii="Times New Roman" w:hAnsi="Times New Roman"/>
      <w:sz w:val="18"/>
      <w:szCs w:val="18"/>
    </w:rPr>
  </w:style>
  <w:style w:type="character" w:customStyle="1" w:styleId="Char4">
    <w:name w:val="页脚 Char"/>
    <w:link w:val="aff7"/>
    <w:uiPriority w:val="99"/>
    <w:qFormat/>
    <w:rsid w:val="006B0DDC"/>
    <w:rPr>
      <w:rFonts w:ascii="Times New Roman" w:hAnsi="Times New Roman"/>
      <w:sz w:val="18"/>
      <w:szCs w:val="18"/>
    </w:rPr>
  </w:style>
  <w:style w:type="character" w:customStyle="1" w:styleId="Char6">
    <w:name w:val="段 Char"/>
    <w:link w:val="affa"/>
    <w:qFormat/>
    <w:rsid w:val="006B0DDC"/>
    <w:rPr>
      <w:rFonts w:ascii="宋体" w:eastAsia="宋体" w:hAnsi="Times New Roman" w:cs="Times New Roman"/>
      <w:kern w:val="0"/>
      <w:szCs w:val="20"/>
    </w:rPr>
  </w:style>
  <w:style w:type="paragraph" w:customStyle="1" w:styleId="afff5">
    <w:name w:val="一级条标题"/>
    <w:next w:val="affa"/>
    <w:link w:val="Char20"/>
    <w:qFormat/>
    <w:rsid w:val="006B0DDC"/>
    <w:pPr>
      <w:spacing w:beforeLines="50" w:afterLines="50"/>
      <w:outlineLvl w:val="2"/>
    </w:pPr>
    <w:rPr>
      <w:rFonts w:ascii="黑体" w:eastAsia="黑体" w:hAnsi="Times New Roman"/>
      <w:sz w:val="21"/>
      <w:szCs w:val="21"/>
    </w:rPr>
  </w:style>
  <w:style w:type="paragraph" w:customStyle="1" w:styleId="afff6">
    <w:name w:val="标准书脚_奇数页"/>
    <w:qFormat/>
    <w:rsid w:val="006B0DDC"/>
    <w:pPr>
      <w:spacing w:before="120"/>
      <w:ind w:right="198"/>
      <w:jc w:val="right"/>
    </w:pPr>
    <w:rPr>
      <w:rFonts w:ascii="宋体" w:hAnsi="Times New Roman"/>
      <w:sz w:val="18"/>
      <w:szCs w:val="18"/>
    </w:rPr>
  </w:style>
  <w:style w:type="paragraph" w:customStyle="1" w:styleId="afff7">
    <w:name w:val="标准书眉_奇数页"/>
    <w:next w:val="afc"/>
    <w:qFormat/>
    <w:rsid w:val="006B0DDC"/>
    <w:pPr>
      <w:tabs>
        <w:tab w:val="center" w:pos="4154"/>
        <w:tab w:val="right" w:pos="8306"/>
      </w:tabs>
      <w:spacing w:after="220"/>
      <w:jc w:val="right"/>
    </w:pPr>
    <w:rPr>
      <w:rFonts w:ascii="黑体" w:eastAsia="黑体" w:hAnsi="Times New Roman"/>
      <w:sz w:val="21"/>
      <w:szCs w:val="21"/>
    </w:rPr>
  </w:style>
  <w:style w:type="paragraph" w:customStyle="1" w:styleId="afff8">
    <w:name w:val="章标题"/>
    <w:next w:val="affa"/>
    <w:qFormat/>
    <w:rsid w:val="006B0DDC"/>
    <w:pPr>
      <w:spacing w:beforeLines="100" w:afterLines="100"/>
      <w:jc w:val="both"/>
      <w:outlineLvl w:val="1"/>
    </w:pPr>
    <w:rPr>
      <w:rFonts w:ascii="黑体" w:eastAsia="黑体" w:hAnsi="Times New Roman"/>
      <w:sz w:val="21"/>
    </w:rPr>
  </w:style>
  <w:style w:type="paragraph" w:customStyle="1" w:styleId="afff9">
    <w:name w:val="二级条标题"/>
    <w:basedOn w:val="afff5"/>
    <w:next w:val="affa"/>
    <w:qFormat/>
    <w:rsid w:val="006B0DDC"/>
    <w:pPr>
      <w:spacing w:before="50" w:after="50"/>
      <w:outlineLvl w:val="3"/>
    </w:pPr>
  </w:style>
  <w:style w:type="paragraph" w:customStyle="1" w:styleId="22">
    <w:name w:val="封面标准号2"/>
    <w:qFormat/>
    <w:rsid w:val="006B0DDC"/>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6">
    <w:name w:val="列项——（一级）"/>
    <w:qFormat/>
    <w:rsid w:val="006B0DDC"/>
    <w:pPr>
      <w:widowControl w:val="0"/>
      <w:numPr>
        <w:numId w:val="5"/>
      </w:numPr>
      <w:jc w:val="both"/>
    </w:pPr>
    <w:rPr>
      <w:rFonts w:ascii="宋体" w:hAnsi="Times New Roman"/>
      <w:sz w:val="21"/>
    </w:rPr>
  </w:style>
  <w:style w:type="paragraph" w:customStyle="1" w:styleId="a7">
    <w:name w:val="列项●（二级）"/>
    <w:qFormat/>
    <w:rsid w:val="006B0DDC"/>
    <w:pPr>
      <w:numPr>
        <w:ilvl w:val="1"/>
        <w:numId w:val="5"/>
      </w:numPr>
      <w:tabs>
        <w:tab w:val="left" w:pos="840"/>
      </w:tabs>
      <w:jc w:val="both"/>
    </w:pPr>
    <w:rPr>
      <w:rFonts w:ascii="宋体" w:hAnsi="Times New Roman"/>
      <w:sz w:val="21"/>
    </w:rPr>
  </w:style>
  <w:style w:type="paragraph" w:customStyle="1" w:styleId="afffa">
    <w:name w:val="目次、标准名称标题"/>
    <w:basedOn w:val="afc"/>
    <w:next w:val="affa"/>
    <w:qFormat/>
    <w:rsid w:val="006B0DD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b">
    <w:name w:val="三级条标题"/>
    <w:basedOn w:val="afff9"/>
    <w:next w:val="affa"/>
    <w:qFormat/>
    <w:rsid w:val="006B0DDC"/>
    <w:pPr>
      <w:outlineLvl w:val="4"/>
    </w:pPr>
  </w:style>
  <w:style w:type="paragraph" w:customStyle="1" w:styleId="a1">
    <w:name w:val="示例"/>
    <w:next w:val="afffc"/>
    <w:qFormat/>
    <w:rsid w:val="006B0DDC"/>
    <w:pPr>
      <w:widowControl w:val="0"/>
      <w:numPr>
        <w:numId w:val="6"/>
      </w:numPr>
      <w:jc w:val="both"/>
    </w:pPr>
    <w:rPr>
      <w:rFonts w:ascii="宋体" w:hAnsi="Times New Roman"/>
      <w:sz w:val="18"/>
      <w:szCs w:val="18"/>
    </w:rPr>
  </w:style>
  <w:style w:type="paragraph" w:customStyle="1" w:styleId="afffc">
    <w:name w:val="示例内容"/>
    <w:qFormat/>
    <w:rsid w:val="006B0DDC"/>
    <w:pPr>
      <w:ind w:firstLineChars="200" w:firstLine="200"/>
    </w:pPr>
    <w:rPr>
      <w:rFonts w:ascii="宋体" w:hAnsi="Times New Roman"/>
      <w:sz w:val="18"/>
      <w:szCs w:val="18"/>
    </w:rPr>
  </w:style>
  <w:style w:type="paragraph" w:customStyle="1" w:styleId="ac">
    <w:name w:val="数字编号列项（二级）"/>
    <w:qFormat/>
    <w:rsid w:val="006B0DDC"/>
    <w:pPr>
      <w:numPr>
        <w:ilvl w:val="1"/>
        <w:numId w:val="7"/>
      </w:numPr>
      <w:jc w:val="both"/>
    </w:pPr>
    <w:rPr>
      <w:rFonts w:ascii="宋体" w:hAnsi="Times New Roman"/>
      <w:sz w:val="21"/>
    </w:rPr>
  </w:style>
  <w:style w:type="paragraph" w:customStyle="1" w:styleId="afffd">
    <w:name w:val="四级条标题"/>
    <w:basedOn w:val="afffb"/>
    <w:next w:val="affa"/>
    <w:qFormat/>
    <w:rsid w:val="006B0DDC"/>
    <w:pPr>
      <w:outlineLvl w:val="5"/>
    </w:pPr>
  </w:style>
  <w:style w:type="paragraph" w:customStyle="1" w:styleId="afffe">
    <w:name w:val="五级条标题"/>
    <w:basedOn w:val="afffd"/>
    <w:next w:val="affa"/>
    <w:qFormat/>
    <w:rsid w:val="006B0DDC"/>
    <w:pPr>
      <w:tabs>
        <w:tab w:val="left" w:pos="360"/>
      </w:tabs>
      <w:outlineLvl w:val="6"/>
    </w:pPr>
  </w:style>
  <w:style w:type="paragraph" w:customStyle="1" w:styleId="afb">
    <w:name w:val="注："/>
    <w:next w:val="affa"/>
    <w:qFormat/>
    <w:rsid w:val="006B0DDC"/>
    <w:pPr>
      <w:widowControl w:val="0"/>
      <w:numPr>
        <w:numId w:val="8"/>
      </w:numPr>
      <w:autoSpaceDE w:val="0"/>
      <w:autoSpaceDN w:val="0"/>
      <w:ind w:left="726"/>
      <w:jc w:val="both"/>
    </w:pPr>
    <w:rPr>
      <w:rFonts w:ascii="宋体" w:hAnsi="Times New Roman"/>
      <w:sz w:val="18"/>
      <w:szCs w:val="18"/>
    </w:rPr>
  </w:style>
  <w:style w:type="paragraph" w:customStyle="1" w:styleId="a">
    <w:name w:val="注×："/>
    <w:qFormat/>
    <w:rsid w:val="006B0DDC"/>
    <w:pPr>
      <w:widowControl w:val="0"/>
      <w:numPr>
        <w:numId w:val="9"/>
      </w:numPr>
      <w:autoSpaceDE w:val="0"/>
      <w:autoSpaceDN w:val="0"/>
      <w:jc w:val="both"/>
    </w:pPr>
    <w:rPr>
      <w:rFonts w:ascii="宋体" w:hAnsi="Times New Roman"/>
      <w:sz w:val="18"/>
      <w:szCs w:val="18"/>
    </w:rPr>
  </w:style>
  <w:style w:type="paragraph" w:customStyle="1" w:styleId="ab">
    <w:name w:val="字母编号列项（一级）"/>
    <w:qFormat/>
    <w:rsid w:val="006B0DDC"/>
    <w:pPr>
      <w:numPr>
        <w:numId w:val="7"/>
      </w:numPr>
      <w:jc w:val="both"/>
    </w:pPr>
    <w:rPr>
      <w:rFonts w:ascii="宋体" w:hAnsi="Times New Roman"/>
      <w:sz w:val="21"/>
    </w:rPr>
  </w:style>
  <w:style w:type="paragraph" w:customStyle="1" w:styleId="a8">
    <w:name w:val="列项◆（三级）"/>
    <w:basedOn w:val="afc"/>
    <w:qFormat/>
    <w:rsid w:val="006B0DDC"/>
    <w:pPr>
      <w:numPr>
        <w:ilvl w:val="2"/>
        <w:numId w:val="5"/>
      </w:numPr>
    </w:pPr>
    <w:rPr>
      <w:rFonts w:ascii="宋体"/>
      <w:szCs w:val="21"/>
    </w:rPr>
  </w:style>
  <w:style w:type="paragraph" w:customStyle="1" w:styleId="ad">
    <w:name w:val="编号列项（三级）"/>
    <w:qFormat/>
    <w:rsid w:val="006B0DDC"/>
    <w:pPr>
      <w:numPr>
        <w:ilvl w:val="2"/>
        <w:numId w:val="7"/>
      </w:numPr>
    </w:pPr>
    <w:rPr>
      <w:rFonts w:ascii="宋体" w:hAnsi="Times New Roman"/>
      <w:sz w:val="21"/>
    </w:rPr>
  </w:style>
  <w:style w:type="paragraph" w:customStyle="1" w:styleId="ae">
    <w:name w:val="示例×："/>
    <w:basedOn w:val="afff8"/>
    <w:qFormat/>
    <w:rsid w:val="006B0DDC"/>
    <w:pPr>
      <w:numPr>
        <w:numId w:val="10"/>
      </w:numPr>
      <w:spacing w:beforeLines="0" w:afterLines="0"/>
      <w:outlineLvl w:val="9"/>
    </w:pPr>
    <w:rPr>
      <w:rFonts w:ascii="宋体" w:eastAsia="宋体"/>
      <w:sz w:val="18"/>
      <w:szCs w:val="18"/>
    </w:rPr>
  </w:style>
  <w:style w:type="paragraph" w:customStyle="1" w:styleId="affff">
    <w:name w:val="二级无"/>
    <w:basedOn w:val="afff9"/>
    <w:qFormat/>
    <w:rsid w:val="006B0DDC"/>
    <w:pPr>
      <w:spacing w:beforeLines="0" w:afterLines="0"/>
    </w:pPr>
    <w:rPr>
      <w:rFonts w:ascii="宋体" w:eastAsia="宋体"/>
    </w:rPr>
  </w:style>
  <w:style w:type="paragraph" w:customStyle="1" w:styleId="affff0">
    <w:name w:val="注：（正文）"/>
    <w:basedOn w:val="afb"/>
    <w:next w:val="affa"/>
    <w:qFormat/>
    <w:rsid w:val="006B0DDC"/>
  </w:style>
  <w:style w:type="paragraph" w:customStyle="1" w:styleId="a3">
    <w:name w:val="注×：（正文）"/>
    <w:qFormat/>
    <w:rsid w:val="006B0DDC"/>
    <w:pPr>
      <w:numPr>
        <w:numId w:val="11"/>
      </w:numPr>
      <w:jc w:val="both"/>
    </w:pPr>
    <w:rPr>
      <w:rFonts w:ascii="宋体" w:hAnsi="Times New Roman"/>
      <w:sz w:val="18"/>
      <w:szCs w:val="18"/>
    </w:rPr>
  </w:style>
  <w:style w:type="paragraph" w:customStyle="1" w:styleId="affff1">
    <w:name w:val="标准标志"/>
    <w:next w:val="afc"/>
    <w:qFormat/>
    <w:rsid w:val="006B0DDC"/>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f2">
    <w:name w:val="标准称谓"/>
    <w:next w:val="afc"/>
    <w:qFormat/>
    <w:rsid w:val="006B0DD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3">
    <w:name w:val="标准书脚_偶数页"/>
    <w:qFormat/>
    <w:rsid w:val="006B0DDC"/>
    <w:pPr>
      <w:spacing w:before="120"/>
      <w:ind w:left="221"/>
    </w:pPr>
    <w:rPr>
      <w:rFonts w:ascii="宋体" w:hAnsi="Times New Roman"/>
      <w:sz w:val="18"/>
      <w:szCs w:val="18"/>
    </w:rPr>
  </w:style>
  <w:style w:type="paragraph" w:customStyle="1" w:styleId="affff4">
    <w:name w:val="标准书眉_偶数页"/>
    <w:basedOn w:val="afff7"/>
    <w:next w:val="afc"/>
    <w:qFormat/>
    <w:rsid w:val="006B0DDC"/>
    <w:pPr>
      <w:jc w:val="left"/>
    </w:pPr>
  </w:style>
  <w:style w:type="paragraph" w:customStyle="1" w:styleId="affff5">
    <w:name w:val="标准书眉一"/>
    <w:qFormat/>
    <w:rsid w:val="006B0DDC"/>
    <w:pPr>
      <w:jc w:val="both"/>
    </w:pPr>
    <w:rPr>
      <w:rFonts w:ascii="Times New Roman" w:hAnsi="Times New Roman"/>
    </w:rPr>
  </w:style>
  <w:style w:type="paragraph" w:customStyle="1" w:styleId="affff6">
    <w:name w:val="参考文献"/>
    <w:basedOn w:val="afc"/>
    <w:next w:val="affa"/>
    <w:qFormat/>
    <w:rsid w:val="006B0DD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c"/>
    <w:next w:val="affa"/>
    <w:qFormat/>
    <w:rsid w:val="006B0DD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sid w:val="006B0DDC"/>
    <w:rPr>
      <w:rFonts w:ascii="黑体" w:eastAsia="黑体"/>
      <w:spacing w:val="85"/>
      <w:w w:val="100"/>
      <w:position w:val="3"/>
      <w:sz w:val="28"/>
      <w:szCs w:val="28"/>
    </w:rPr>
  </w:style>
  <w:style w:type="paragraph" w:customStyle="1" w:styleId="affff9">
    <w:name w:val="发布部门"/>
    <w:next w:val="affa"/>
    <w:qFormat/>
    <w:rsid w:val="006B0DDC"/>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a">
    <w:name w:val="发布日期"/>
    <w:qFormat/>
    <w:rsid w:val="006B0DDC"/>
    <w:pPr>
      <w:framePr w:w="3997" w:h="471" w:hRule="exact" w:vSpace="181" w:wrap="around" w:hAnchor="page" w:x="7089" w:y="14097" w:anchorLock="1"/>
    </w:pPr>
    <w:rPr>
      <w:rFonts w:ascii="Times New Roman" w:eastAsia="黑体" w:hAnsi="Times New Roman"/>
      <w:sz w:val="28"/>
    </w:rPr>
  </w:style>
  <w:style w:type="paragraph" w:customStyle="1" w:styleId="affffb">
    <w:name w:val="封面标准代替信息"/>
    <w:qFormat/>
    <w:rsid w:val="006B0DDC"/>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2">
    <w:name w:val="封面标准号1"/>
    <w:qFormat/>
    <w:rsid w:val="006B0DDC"/>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c">
    <w:name w:val="封面标准名称"/>
    <w:qFormat/>
    <w:rsid w:val="006B0DDC"/>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d">
    <w:name w:val="封面标准英文名称"/>
    <w:basedOn w:val="affffc"/>
    <w:qFormat/>
    <w:rsid w:val="006B0DDC"/>
    <w:pPr>
      <w:framePr w:wrap="around"/>
      <w:spacing w:before="370" w:line="400" w:lineRule="exact"/>
    </w:pPr>
    <w:rPr>
      <w:rFonts w:ascii="Times New Roman"/>
      <w:sz w:val="28"/>
      <w:szCs w:val="28"/>
    </w:rPr>
  </w:style>
  <w:style w:type="paragraph" w:customStyle="1" w:styleId="affffe">
    <w:name w:val="封面一致性程度标识"/>
    <w:basedOn w:val="affffd"/>
    <w:qFormat/>
    <w:rsid w:val="006B0DDC"/>
    <w:pPr>
      <w:framePr w:wrap="around"/>
      <w:spacing w:before="440"/>
    </w:pPr>
    <w:rPr>
      <w:rFonts w:ascii="宋体" w:eastAsia="宋体"/>
    </w:rPr>
  </w:style>
  <w:style w:type="paragraph" w:customStyle="1" w:styleId="afffff">
    <w:name w:val="封面标准文稿类别"/>
    <w:basedOn w:val="affffe"/>
    <w:qFormat/>
    <w:rsid w:val="006B0DDC"/>
    <w:pPr>
      <w:framePr w:wrap="around"/>
      <w:spacing w:after="160" w:line="240" w:lineRule="auto"/>
    </w:pPr>
    <w:rPr>
      <w:sz w:val="24"/>
    </w:rPr>
  </w:style>
  <w:style w:type="paragraph" w:customStyle="1" w:styleId="afffff0">
    <w:name w:val="封面标准文稿编辑信息"/>
    <w:basedOn w:val="afffff"/>
    <w:qFormat/>
    <w:rsid w:val="006B0DDC"/>
    <w:pPr>
      <w:framePr w:wrap="around"/>
      <w:spacing w:before="180" w:line="180" w:lineRule="exact"/>
    </w:pPr>
    <w:rPr>
      <w:sz w:val="21"/>
    </w:rPr>
  </w:style>
  <w:style w:type="paragraph" w:customStyle="1" w:styleId="afffff1">
    <w:name w:val="封面正文"/>
    <w:qFormat/>
    <w:rsid w:val="006B0DDC"/>
    <w:pPr>
      <w:jc w:val="both"/>
    </w:pPr>
    <w:rPr>
      <w:rFonts w:ascii="Times New Roman" w:hAnsi="Times New Roman"/>
    </w:rPr>
  </w:style>
  <w:style w:type="paragraph" w:customStyle="1" w:styleId="af3">
    <w:name w:val="附录标识"/>
    <w:basedOn w:val="afc"/>
    <w:next w:val="affa"/>
    <w:qFormat/>
    <w:rsid w:val="006B0DDC"/>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a"/>
    <w:next w:val="affa"/>
    <w:qFormat/>
    <w:rsid w:val="006B0DDC"/>
    <w:pPr>
      <w:ind w:firstLineChars="0" w:firstLine="0"/>
      <w:jc w:val="center"/>
    </w:pPr>
    <w:rPr>
      <w:rFonts w:ascii="黑体" w:eastAsia="黑体"/>
    </w:rPr>
  </w:style>
  <w:style w:type="paragraph" w:customStyle="1" w:styleId="af0">
    <w:name w:val="附录表标号"/>
    <w:basedOn w:val="afc"/>
    <w:next w:val="affa"/>
    <w:qFormat/>
    <w:rsid w:val="006B0DDC"/>
    <w:pPr>
      <w:numPr>
        <w:numId w:val="13"/>
      </w:numPr>
      <w:tabs>
        <w:tab w:val="clear" w:pos="0"/>
      </w:tabs>
      <w:spacing w:line="14" w:lineRule="exact"/>
      <w:ind w:left="811" w:hanging="448"/>
      <w:jc w:val="center"/>
      <w:outlineLvl w:val="0"/>
    </w:pPr>
    <w:rPr>
      <w:color w:val="FFFFFF"/>
      <w:szCs w:val="24"/>
    </w:rPr>
  </w:style>
  <w:style w:type="paragraph" w:customStyle="1" w:styleId="af1">
    <w:name w:val="附录表标题"/>
    <w:basedOn w:val="afc"/>
    <w:next w:val="affa"/>
    <w:qFormat/>
    <w:rsid w:val="006B0DDC"/>
    <w:pPr>
      <w:numPr>
        <w:ilvl w:val="1"/>
        <w:numId w:val="13"/>
      </w:numPr>
      <w:tabs>
        <w:tab w:val="left" w:pos="180"/>
      </w:tabs>
      <w:spacing w:beforeLines="50" w:afterLines="50"/>
      <w:ind w:left="0" w:firstLine="0"/>
      <w:jc w:val="center"/>
    </w:pPr>
    <w:rPr>
      <w:rFonts w:ascii="黑体" w:eastAsia="黑体"/>
      <w:szCs w:val="21"/>
    </w:rPr>
  </w:style>
  <w:style w:type="paragraph" w:customStyle="1" w:styleId="af6">
    <w:name w:val="附录二级条标题"/>
    <w:basedOn w:val="afc"/>
    <w:next w:val="affa"/>
    <w:qFormat/>
    <w:rsid w:val="006B0DDC"/>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3">
    <w:name w:val="附录二级无"/>
    <w:basedOn w:val="af6"/>
    <w:qFormat/>
    <w:rsid w:val="006B0DDC"/>
    <w:pPr>
      <w:tabs>
        <w:tab w:val="clear" w:pos="360"/>
      </w:tabs>
      <w:spacing w:beforeLines="0" w:afterLines="0"/>
    </w:pPr>
    <w:rPr>
      <w:rFonts w:ascii="宋体" w:eastAsia="宋体"/>
      <w:szCs w:val="21"/>
    </w:rPr>
  </w:style>
  <w:style w:type="paragraph" w:customStyle="1" w:styleId="afffff4">
    <w:name w:val="附录公式"/>
    <w:basedOn w:val="affa"/>
    <w:next w:val="affa"/>
    <w:link w:val="Char9"/>
    <w:qFormat/>
    <w:rsid w:val="006B0DDC"/>
  </w:style>
  <w:style w:type="character" w:customStyle="1" w:styleId="Char9">
    <w:name w:val="附录公式 Char"/>
    <w:link w:val="afffff4"/>
    <w:qFormat/>
    <w:rsid w:val="006B0DDC"/>
  </w:style>
  <w:style w:type="paragraph" w:customStyle="1" w:styleId="afffff5">
    <w:name w:val="附录公式编号制表符"/>
    <w:basedOn w:val="afc"/>
    <w:next w:val="affa"/>
    <w:qFormat/>
    <w:rsid w:val="006B0DDC"/>
    <w:pPr>
      <w:widowControl/>
      <w:tabs>
        <w:tab w:val="center" w:pos="4201"/>
        <w:tab w:val="right" w:leader="dot" w:pos="9298"/>
      </w:tabs>
      <w:autoSpaceDE w:val="0"/>
      <w:autoSpaceDN w:val="0"/>
    </w:pPr>
    <w:rPr>
      <w:rFonts w:ascii="宋体"/>
      <w:kern w:val="0"/>
      <w:szCs w:val="20"/>
    </w:rPr>
  </w:style>
  <w:style w:type="paragraph" w:customStyle="1" w:styleId="af7">
    <w:name w:val="附录三级条标题"/>
    <w:basedOn w:val="af6"/>
    <w:next w:val="affa"/>
    <w:qFormat/>
    <w:rsid w:val="006B0DDC"/>
    <w:pPr>
      <w:numPr>
        <w:ilvl w:val="5"/>
      </w:numPr>
      <w:outlineLvl w:val="4"/>
    </w:pPr>
  </w:style>
  <w:style w:type="paragraph" w:customStyle="1" w:styleId="afffff6">
    <w:name w:val="附录三级无"/>
    <w:basedOn w:val="af7"/>
    <w:qFormat/>
    <w:rsid w:val="006B0DDC"/>
    <w:pPr>
      <w:tabs>
        <w:tab w:val="clear" w:pos="360"/>
      </w:tabs>
      <w:spacing w:beforeLines="0" w:afterLines="0"/>
    </w:pPr>
    <w:rPr>
      <w:rFonts w:ascii="宋体" w:eastAsia="宋体"/>
      <w:szCs w:val="21"/>
    </w:rPr>
  </w:style>
  <w:style w:type="paragraph" w:customStyle="1" w:styleId="afa">
    <w:name w:val="附录数字编号列项（二级）"/>
    <w:qFormat/>
    <w:rsid w:val="006B0DDC"/>
    <w:pPr>
      <w:numPr>
        <w:ilvl w:val="1"/>
        <w:numId w:val="14"/>
      </w:numPr>
    </w:pPr>
    <w:rPr>
      <w:rFonts w:ascii="宋体" w:hAnsi="Times New Roman"/>
      <w:sz w:val="21"/>
    </w:rPr>
  </w:style>
  <w:style w:type="paragraph" w:customStyle="1" w:styleId="a9">
    <w:name w:val="附录四级条标题"/>
    <w:basedOn w:val="af7"/>
    <w:next w:val="affa"/>
    <w:qFormat/>
    <w:rsid w:val="006B0DDC"/>
    <w:pPr>
      <w:numPr>
        <w:numId w:val="5"/>
      </w:numPr>
      <w:outlineLvl w:val="5"/>
    </w:pPr>
  </w:style>
  <w:style w:type="paragraph" w:customStyle="1" w:styleId="af8">
    <w:name w:val="附录四级无"/>
    <w:basedOn w:val="a9"/>
    <w:qFormat/>
    <w:rsid w:val="006B0DDC"/>
    <w:pPr>
      <w:numPr>
        <w:ilvl w:val="6"/>
        <w:numId w:val="12"/>
      </w:numPr>
      <w:spacing w:beforeLines="0" w:afterLines="0"/>
    </w:pPr>
    <w:rPr>
      <w:rFonts w:ascii="宋体" w:eastAsia="宋体"/>
      <w:szCs w:val="21"/>
    </w:rPr>
  </w:style>
  <w:style w:type="paragraph" w:customStyle="1" w:styleId="a4">
    <w:name w:val="附录图标号"/>
    <w:basedOn w:val="afc"/>
    <w:qFormat/>
    <w:rsid w:val="006B0DDC"/>
    <w:pPr>
      <w:keepNext/>
      <w:pageBreakBefore/>
      <w:widowControl/>
      <w:numPr>
        <w:numId w:val="15"/>
      </w:numPr>
      <w:spacing w:line="14" w:lineRule="exact"/>
      <w:ind w:left="0" w:firstLine="363"/>
      <w:jc w:val="center"/>
      <w:outlineLvl w:val="0"/>
    </w:pPr>
    <w:rPr>
      <w:color w:val="FFFFFF"/>
      <w:szCs w:val="24"/>
    </w:rPr>
  </w:style>
  <w:style w:type="paragraph" w:customStyle="1" w:styleId="a5">
    <w:name w:val="附录图标题"/>
    <w:basedOn w:val="afc"/>
    <w:next w:val="affa"/>
    <w:qFormat/>
    <w:rsid w:val="006B0DDC"/>
    <w:pPr>
      <w:numPr>
        <w:ilvl w:val="1"/>
        <w:numId w:val="15"/>
      </w:numPr>
      <w:tabs>
        <w:tab w:val="left" w:pos="363"/>
      </w:tabs>
      <w:spacing w:beforeLines="50" w:afterLines="50"/>
      <w:ind w:left="0" w:firstLine="0"/>
      <w:jc w:val="center"/>
    </w:pPr>
    <w:rPr>
      <w:rFonts w:ascii="黑体" w:eastAsia="黑体"/>
      <w:szCs w:val="21"/>
    </w:rPr>
  </w:style>
  <w:style w:type="paragraph" w:customStyle="1" w:styleId="af5">
    <w:name w:val="附录五级条标题"/>
    <w:basedOn w:val="a9"/>
    <w:next w:val="affa"/>
    <w:qFormat/>
    <w:rsid w:val="006B0DDC"/>
    <w:pPr>
      <w:numPr>
        <w:ilvl w:val="2"/>
        <w:numId w:val="12"/>
      </w:numPr>
      <w:outlineLvl w:val="6"/>
    </w:pPr>
  </w:style>
  <w:style w:type="paragraph" w:customStyle="1" w:styleId="afffff7">
    <w:name w:val="附录五级无"/>
    <w:basedOn w:val="af5"/>
    <w:qFormat/>
    <w:rsid w:val="006B0DDC"/>
    <w:pPr>
      <w:tabs>
        <w:tab w:val="clear" w:pos="360"/>
      </w:tabs>
      <w:spacing w:beforeLines="0" w:afterLines="0"/>
    </w:pPr>
    <w:rPr>
      <w:rFonts w:ascii="宋体" w:eastAsia="宋体"/>
      <w:szCs w:val="21"/>
    </w:rPr>
  </w:style>
  <w:style w:type="paragraph" w:customStyle="1" w:styleId="af4">
    <w:name w:val="附录章标题"/>
    <w:next w:val="affa"/>
    <w:qFormat/>
    <w:rsid w:val="006B0DDC"/>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8">
    <w:name w:val="附录一级条标题"/>
    <w:basedOn w:val="af4"/>
    <w:next w:val="affa"/>
    <w:qFormat/>
    <w:rsid w:val="006B0DDC"/>
    <w:pPr>
      <w:numPr>
        <w:ilvl w:val="0"/>
        <w:numId w:val="0"/>
      </w:numPr>
      <w:autoSpaceDN w:val="0"/>
      <w:spacing w:beforeLines="50" w:afterLines="50"/>
      <w:outlineLvl w:val="2"/>
    </w:pPr>
  </w:style>
  <w:style w:type="paragraph" w:customStyle="1" w:styleId="afffff9">
    <w:name w:val="附录一级无"/>
    <w:basedOn w:val="afffff8"/>
    <w:qFormat/>
    <w:rsid w:val="006B0DDC"/>
    <w:pPr>
      <w:tabs>
        <w:tab w:val="clear" w:pos="360"/>
      </w:tabs>
      <w:spacing w:beforeLines="0" w:afterLines="0"/>
    </w:pPr>
    <w:rPr>
      <w:rFonts w:ascii="宋体" w:eastAsia="宋体"/>
      <w:szCs w:val="21"/>
    </w:rPr>
  </w:style>
  <w:style w:type="paragraph" w:customStyle="1" w:styleId="af9">
    <w:name w:val="附录字母编号列项（一级）"/>
    <w:qFormat/>
    <w:rsid w:val="006B0DDC"/>
    <w:pPr>
      <w:numPr>
        <w:numId w:val="14"/>
      </w:numPr>
    </w:pPr>
    <w:rPr>
      <w:rFonts w:ascii="宋体" w:hAnsi="Times New Roman"/>
      <w:sz w:val="21"/>
    </w:rPr>
  </w:style>
  <w:style w:type="character" w:customStyle="1" w:styleId="Char7">
    <w:name w:val="脚注文本 Char"/>
    <w:link w:val="aa"/>
    <w:qFormat/>
    <w:rsid w:val="006B0DDC"/>
    <w:rPr>
      <w:rFonts w:ascii="宋体" w:hAnsi="Times New Roman"/>
      <w:kern w:val="2"/>
      <w:sz w:val="18"/>
      <w:szCs w:val="18"/>
    </w:rPr>
  </w:style>
  <w:style w:type="paragraph" w:customStyle="1" w:styleId="afffffa">
    <w:name w:val="列项说明"/>
    <w:basedOn w:val="afc"/>
    <w:qFormat/>
    <w:rsid w:val="006B0DDC"/>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qFormat/>
    <w:rsid w:val="006B0DDC"/>
    <w:pPr>
      <w:ind w:leftChars="400" w:left="600" w:hangingChars="200" w:hanging="200"/>
    </w:pPr>
    <w:rPr>
      <w:rFonts w:ascii="宋体" w:hAnsi="Times New Roman"/>
      <w:sz w:val="21"/>
    </w:rPr>
  </w:style>
  <w:style w:type="paragraph" w:customStyle="1" w:styleId="afffffc">
    <w:name w:val="目次、索引正文"/>
    <w:qFormat/>
    <w:rsid w:val="006B0DDC"/>
    <w:pPr>
      <w:spacing w:line="320" w:lineRule="exact"/>
      <w:jc w:val="both"/>
    </w:pPr>
    <w:rPr>
      <w:rFonts w:ascii="宋体" w:hAnsi="Times New Roman"/>
      <w:sz w:val="21"/>
    </w:rPr>
  </w:style>
  <w:style w:type="paragraph" w:customStyle="1" w:styleId="afffffd">
    <w:name w:val="其他标准标志"/>
    <w:basedOn w:val="affff1"/>
    <w:qFormat/>
    <w:rsid w:val="006B0DDC"/>
    <w:pPr>
      <w:framePr w:w="6101" w:wrap="around" w:vAnchor="page" w:hAnchor="page" w:x="4673" w:y="942"/>
    </w:pPr>
    <w:rPr>
      <w:w w:val="130"/>
    </w:rPr>
  </w:style>
  <w:style w:type="paragraph" w:customStyle="1" w:styleId="afffffe">
    <w:name w:val="其他标准称谓"/>
    <w:next w:val="afc"/>
    <w:qFormat/>
    <w:rsid w:val="006B0DD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9"/>
    <w:qFormat/>
    <w:rsid w:val="006B0DDC"/>
    <w:pPr>
      <w:framePr w:wrap="around" w:y="15310"/>
      <w:spacing w:line="0" w:lineRule="atLeast"/>
    </w:pPr>
    <w:rPr>
      <w:rFonts w:ascii="黑体" w:eastAsia="黑体"/>
      <w:b w:val="0"/>
    </w:rPr>
  </w:style>
  <w:style w:type="paragraph" w:customStyle="1" w:styleId="affffff0">
    <w:name w:val="前言、引言标题"/>
    <w:next w:val="affa"/>
    <w:qFormat/>
    <w:rsid w:val="006B0DDC"/>
    <w:pPr>
      <w:keepNext/>
      <w:pageBreakBefore/>
      <w:shd w:val="clear" w:color="FFFFFF" w:fill="FFFFFF"/>
      <w:spacing w:before="640" w:after="560"/>
      <w:jc w:val="center"/>
      <w:outlineLvl w:val="0"/>
    </w:pPr>
    <w:rPr>
      <w:rFonts w:ascii="黑体" w:eastAsia="黑体" w:hAnsi="Times New Roman"/>
      <w:sz w:val="32"/>
    </w:rPr>
  </w:style>
  <w:style w:type="paragraph" w:customStyle="1" w:styleId="affffff1">
    <w:name w:val="三级无"/>
    <w:basedOn w:val="afffb"/>
    <w:qFormat/>
    <w:rsid w:val="006B0DDC"/>
    <w:pPr>
      <w:spacing w:beforeLines="0" w:afterLines="0"/>
    </w:pPr>
    <w:rPr>
      <w:rFonts w:ascii="宋体" w:eastAsia="宋体"/>
    </w:rPr>
  </w:style>
  <w:style w:type="paragraph" w:customStyle="1" w:styleId="affffff2">
    <w:name w:val="实施日期"/>
    <w:basedOn w:val="affffa"/>
    <w:qFormat/>
    <w:rsid w:val="006B0DDC"/>
    <w:pPr>
      <w:framePr w:wrap="around" w:vAnchor="page" w:hAnchor="text"/>
      <w:jc w:val="right"/>
    </w:pPr>
  </w:style>
  <w:style w:type="paragraph" w:customStyle="1" w:styleId="affffff3">
    <w:name w:val="示例后文字"/>
    <w:basedOn w:val="affa"/>
    <w:next w:val="affa"/>
    <w:qFormat/>
    <w:rsid w:val="006B0DDC"/>
    <w:pPr>
      <w:ind w:firstLine="360"/>
    </w:pPr>
    <w:rPr>
      <w:sz w:val="18"/>
    </w:rPr>
  </w:style>
  <w:style w:type="paragraph" w:customStyle="1" w:styleId="a0">
    <w:name w:val="首示例"/>
    <w:next w:val="affa"/>
    <w:link w:val="Chara"/>
    <w:qFormat/>
    <w:rsid w:val="006B0DDC"/>
    <w:pPr>
      <w:numPr>
        <w:numId w:val="16"/>
      </w:numPr>
      <w:tabs>
        <w:tab w:val="left" w:pos="360"/>
      </w:tabs>
      <w:ind w:firstLine="0"/>
    </w:pPr>
    <w:rPr>
      <w:rFonts w:ascii="宋体" w:hAnsi="宋体"/>
      <w:kern w:val="2"/>
      <w:sz w:val="18"/>
      <w:szCs w:val="18"/>
    </w:rPr>
  </w:style>
  <w:style w:type="character" w:customStyle="1" w:styleId="Chara">
    <w:name w:val="首示例 Char"/>
    <w:link w:val="a0"/>
    <w:qFormat/>
    <w:rsid w:val="006B0DDC"/>
    <w:rPr>
      <w:rFonts w:ascii="宋体" w:hAnsi="宋体"/>
      <w:kern w:val="2"/>
      <w:sz w:val="18"/>
      <w:szCs w:val="18"/>
    </w:rPr>
  </w:style>
  <w:style w:type="paragraph" w:customStyle="1" w:styleId="affffff4">
    <w:name w:val="四级无"/>
    <w:basedOn w:val="afffd"/>
    <w:qFormat/>
    <w:rsid w:val="006B0DDC"/>
    <w:pPr>
      <w:spacing w:beforeLines="0" w:afterLines="0"/>
    </w:pPr>
    <w:rPr>
      <w:rFonts w:ascii="宋体" w:eastAsia="宋体"/>
    </w:rPr>
  </w:style>
  <w:style w:type="paragraph" w:customStyle="1" w:styleId="affffff5">
    <w:name w:val="条文脚注"/>
    <w:basedOn w:val="aa"/>
    <w:qFormat/>
    <w:rsid w:val="006B0DDC"/>
    <w:pPr>
      <w:numPr>
        <w:numId w:val="0"/>
      </w:numPr>
      <w:jc w:val="both"/>
    </w:pPr>
  </w:style>
  <w:style w:type="paragraph" w:customStyle="1" w:styleId="affffff6">
    <w:name w:val="图标脚注说明"/>
    <w:basedOn w:val="affa"/>
    <w:qFormat/>
    <w:rsid w:val="006B0DDC"/>
    <w:pPr>
      <w:ind w:left="840" w:firstLineChars="0" w:hanging="420"/>
    </w:pPr>
    <w:rPr>
      <w:sz w:val="18"/>
      <w:szCs w:val="18"/>
    </w:rPr>
  </w:style>
  <w:style w:type="paragraph" w:customStyle="1" w:styleId="a2">
    <w:name w:val="图表脚注说明"/>
    <w:basedOn w:val="afc"/>
    <w:qFormat/>
    <w:rsid w:val="006B0DDC"/>
    <w:pPr>
      <w:numPr>
        <w:numId w:val="17"/>
      </w:numPr>
    </w:pPr>
    <w:rPr>
      <w:rFonts w:ascii="宋体"/>
      <w:sz w:val="18"/>
      <w:szCs w:val="18"/>
    </w:rPr>
  </w:style>
  <w:style w:type="paragraph" w:customStyle="1" w:styleId="affffff7">
    <w:name w:val="图的脚注"/>
    <w:next w:val="affa"/>
    <w:qFormat/>
    <w:rsid w:val="006B0DDC"/>
    <w:pPr>
      <w:widowControl w:val="0"/>
      <w:ind w:leftChars="200" w:left="840" w:hangingChars="200" w:hanging="420"/>
      <w:jc w:val="both"/>
    </w:pPr>
    <w:rPr>
      <w:rFonts w:ascii="宋体" w:hAnsi="Times New Roman"/>
      <w:sz w:val="18"/>
    </w:rPr>
  </w:style>
  <w:style w:type="character" w:customStyle="1" w:styleId="Char2">
    <w:name w:val="尾注文本 Char"/>
    <w:link w:val="aff5"/>
    <w:semiHidden/>
    <w:qFormat/>
    <w:rsid w:val="006B0DDC"/>
    <w:rPr>
      <w:rFonts w:ascii="Times New Roman" w:eastAsia="宋体" w:hAnsi="Times New Roman" w:cs="Times New Roman"/>
      <w:szCs w:val="24"/>
    </w:rPr>
  </w:style>
  <w:style w:type="character" w:customStyle="1" w:styleId="Char">
    <w:name w:val="文档结构图 Char"/>
    <w:link w:val="aff1"/>
    <w:semiHidden/>
    <w:qFormat/>
    <w:rsid w:val="006B0DDC"/>
    <w:rPr>
      <w:rFonts w:ascii="Times New Roman" w:eastAsia="宋体" w:hAnsi="Times New Roman" w:cs="Times New Roman"/>
      <w:szCs w:val="24"/>
      <w:shd w:val="clear" w:color="auto" w:fill="000080"/>
    </w:rPr>
  </w:style>
  <w:style w:type="paragraph" w:customStyle="1" w:styleId="affffff8">
    <w:name w:val="文献分类号"/>
    <w:qFormat/>
    <w:rsid w:val="006B0DDC"/>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9">
    <w:name w:val="五级无"/>
    <w:basedOn w:val="afffe"/>
    <w:qFormat/>
    <w:rsid w:val="006B0DDC"/>
    <w:pPr>
      <w:spacing w:beforeLines="0" w:afterLines="0"/>
    </w:pPr>
    <w:rPr>
      <w:rFonts w:ascii="宋体" w:eastAsia="宋体"/>
    </w:rPr>
  </w:style>
  <w:style w:type="paragraph" w:customStyle="1" w:styleId="affffffa">
    <w:name w:val="一级无"/>
    <w:basedOn w:val="afff5"/>
    <w:qFormat/>
    <w:rsid w:val="006B0DDC"/>
    <w:pPr>
      <w:spacing w:beforeLines="0" w:afterLines="0"/>
    </w:pPr>
    <w:rPr>
      <w:rFonts w:ascii="宋体" w:eastAsia="宋体"/>
    </w:rPr>
  </w:style>
  <w:style w:type="paragraph" w:customStyle="1" w:styleId="af2">
    <w:name w:val="正文表标题"/>
    <w:next w:val="affa"/>
    <w:qFormat/>
    <w:rsid w:val="006B0DDC"/>
    <w:pPr>
      <w:numPr>
        <w:numId w:val="18"/>
      </w:numPr>
      <w:tabs>
        <w:tab w:val="left" w:pos="360"/>
      </w:tabs>
      <w:spacing w:beforeLines="50" w:afterLines="50"/>
      <w:jc w:val="center"/>
    </w:pPr>
    <w:rPr>
      <w:rFonts w:ascii="黑体" w:eastAsia="黑体" w:hAnsi="Times New Roman"/>
      <w:sz w:val="21"/>
    </w:rPr>
  </w:style>
  <w:style w:type="paragraph" w:customStyle="1" w:styleId="affffffb">
    <w:name w:val="正文公式编号制表符"/>
    <w:basedOn w:val="affa"/>
    <w:next w:val="affa"/>
    <w:qFormat/>
    <w:rsid w:val="006B0DDC"/>
    <w:pPr>
      <w:ind w:firstLineChars="0" w:firstLine="0"/>
    </w:pPr>
  </w:style>
  <w:style w:type="paragraph" w:customStyle="1" w:styleId="af">
    <w:name w:val="正文图标题"/>
    <w:next w:val="affa"/>
    <w:qFormat/>
    <w:rsid w:val="006B0DDC"/>
    <w:pPr>
      <w:numPr>
        <w:numId w:val="19"/>
      </w:numPr>
      <w:tabs>
        <w:tab w:val="left" w:pos="360"/>
      </w:tabs>
      <w:spacing w:beforeLines="50" w:afterLines="50"/>
      <w:jc w:val="center"/>
    </w:pPr>
    <w:rPr>
      <w:rFonts w:ascii="黑体" w:eastAsia="黑体" w:hAnsi="Times New Roman"/>
      <w:sz w:val="21"/>
    </w:rPr>
  </w:style>
  <w:style w:type="paragraph" w:customStyle="1" w:styleId="affffffc">
    <w:name w:val="终结线"/>
    <w:basedOn w:val="afc"/>
    <w:qFormat/>
    <w:rsid w:val="006B0DDC"/>
    <w:pPr>
      <w:framePr w:hSpace="181" w:vSpace="181" w:wrap="around" w:vAnchor="text" w:hAnchor="margin" w:xAlign="center" w:y="285"/>
    </w:pPr>
    <w:rPr>
      <w:szCs w:val="24"/>
    </w:rPr>
  </w:style>
  <w:style w:type="paragraph" w:customStyle="1" w:styleId="affffffd">
    <w:name w:val="其他发布日期"/>
    <w:basedOn w:val="affffa"/>
    <w:qFormat/>
    <w:rsid w:val="006B0DDC"/>
    <w:pPr>
      <w:framePr w:wrap="around" w:vAnchor="page" w:hAnchor="text" w:x="1419"/>
    </w:pPr>
  </w:style>
  <w:style w:type="paragraph" w:customStyle="1" w:styleId="affffffe">
    <w:name w:val="其他实施日期"/>
    <w:basedOn w:val="affffff2"/>
    <w:qFormat/>
    <w:rsid w:val="006B0DDC"/>
    <w:pPr>
      <w:framePr w:wrap="around"/>
    </w:pPr>
  </w:style>
  <w:style w:type="paragraph" w:customStyle="1" w:styleId="23">
    <w:name w:val="封面标准名称2"/>
    <w:basedOn w:val="affffc"/>
    <w:qFormat/>
    <w:rsid w:val="006B0DDC"/>
    <w:pPr>
      <w:framePr w:wrap="around" w:y="4469"/>
      <w:spacing w:beforeLines="630"/>
    </w:pPr>
  </w:style>
  <w:style w:type="paragraph" w:customStyle="1" w:styleId="24">
    <w:name w:val="封面标准英文名称2"/>
    <w:basedOn w:val="affffd"/>
    <w:qFormat/>
    <w:rsid w:val="006B0DDC"/>
    <w:pPr>
      <w:framePr w:wrap="around" w:y="4469"/>
    </w:pPr>
  </w:style>
  <w:style w:type="paragraph" w:customStyle="1" w:styleId="25">
    <w:name w:val="封面一致性程度标识2"/>
    <w:basedOn w:val="affffe"/>
    <w:qFormat/>
    <w:rsid w:val="006B0DDC"/>
    <w:pPr>
      <w:framePr w:wrap="around" w:y="4469"/>
    </w:pPr>
  </w:style>
  <w:style w:type="paragraph" w:customStyle="1" w:styleId="26">
    <w:name w:val="封面标准文稿类别2"/>
    <w:basedOn w:val="afffff"/>
    <w:qFormat/>
    <w:rsid w:val="006B0DDC"/>
    <w:pPr>
      <w:framePr w:wrap="around" w:y="4469"/>
    </w:pPr>
  </w:style>
  <w:style w:type="paragraph" w:customStyle="1" w:styleId="27">
    <w:name w:val="封面标准文稿编辑信息2"/>
    <w:basedOn w:val="afffff0"/>
    <w:qFormat/>
    <w:rsid w:val="006B0DDC"/>
    <w:pPr>
      <w:framePr w:wrap="around" w:y="4469"/>
    </w:pPr>
  </w:style>
  <w:style w:type="character" w:customStyle="1" w:styleId="Char3">
    <w:name w:val="批注框文本 Char"/>
    <w:link w:val="aff6"/>
    <w:qFormat/>
    <w:rsid w:val="006B0DDC"/>
    <w:rPr>
      <w:rFonts w:ascii="Times New Roman" w:eastAsia="宋体" w:hAnsi="Times New Roman" w:cs="Times New Roman"/>
      <w:sz w:val="18"/>
      <w:szCs w:val="18"/>
    </w:rPr>
  </w:style>
  <w:style w:type="paragraph" w:customStyle="1" w:styleId="13">
    <w:name w:val="修订1"/>
    <w:hidden/>
    <w:uiPriority w:val="99"/>
    <w:semiHidden/>
    <w:qFormat/>
    <w:rsid w:val="006B0DDC"/>
    <w:rPr>
      <w:rFonts w:ascii="Times New Roman" w:hAnsi="Times New Roman"/>
      <w:kern w:val="2"/>
      <w:sz w:val="21"/>
      <w:szCs w:val="22"/>
    </w:rPr>
  </w:style>
  <w:style w:type="paragraph" w:customStyle="1" w:styleId="HeaderLeft">
    <w:name w:val="Header Left"/>
    <w:basedOn w:val="aff8"/>
    <w:uiPriority w:val="35"/>
    <w:qFormat/>
    <w:rsid w:val="006B0DDC"/>
    <w:pPr>
      <w:widowControl/>
      <w:pBdr>
        <w:bottom w:val="dashed" w:sz="4" w:space="18" w:color="7F7F7F"/>
      </w:pBdr>
      <w:tabs>
        <w:tab w:val="clear" w:pos="4153"/>
        <w:tab w:val="clear" w:pos="8306"/>
        <w:tab w:val="center" w:pos="4320"/>
        <w:tab w:val="right" w:pos="8640"/>
      </w:tabs>
      <w:snapToGrid/>
      <w:spacing w:after="200" w:line="396" w:lineRule="auto"/>
      <w:jc w:val="left"/>
    </w:pPr>
    <w:rPr>
      <w:rFonts w:ascii="Calibri" w:hAnsi="Calibri"/>
      <w:color w:val="7F7F7F"/>
      <w:kern w:val="0"/>
      <w:sz w:val="20"/>
      <w:szCs w:val="20"/>
    </w:rPr>
  </w:style>
  <w:style w:type="character" w:customStyle="1" w:styleId="fontstyle01">
    <w:name w:val="fontstyle01"/>
    <w:qFormat/>
    <w:rsid w:val="006B0DDC"/>
    <w:rPr>
      <w:rFonts w:ascii="黑体" w:eastAsia="黑体" w:hAnsi="黑体" w:hint="eastAsia"/>
      <w:color w:val="000000"/>
      <w:sz w:val="22"/>
      <w:szCs w:val="22"/>
    </w:rPr>
  </w:style>
  <w:style w:type="paragraph" w:customStyle="1" w:styleId="Default">
    <w:name w:val="Default"/>
    <w:qFormat/>
    <w:rsid w:val="006B0DDC"/>
    <w:pPr>
      <w:widowControl w:val="0"/>
      <w:autoSpaceDE w:val="0"/>
      <w:autoSpaceDN w:val="0"/>
      <w:adjustRightInd w:val="0"/>
    </w:pPr>
    <w:rPr>
      <w:rFonts w:ascii="Times New Roman" w:hAnsi="Times New Roman"/>
      <w:color w:val="000000"/>
      <w:sz w:val="24"/>
      <w:szCs w:val="24"/>
    </w:rPr>
  </w:style>
  <w:style w:type="character" w:customStyle="1" w:styleId="Char1">
    <w:name w:val="纯文本 Char"/>
    <w:link w:val="aff4"/>
    <w:qFormat/>
    <w:rsid w:val="006B0DDC"/>
    <w:rPr>
      <w:rFonts w:ascii="宋体" w:hAnsi="Courier New"/>
      <w:kern w:val="2"/>
      <w:sz w:val="21"/>
    </w:rPr>
  </w:style>
  <w:style w:type="character" w:customStyle="1" w:styleId="Char20">
    <w:name w:val="一级条标题 Char2"/>
    <w:link w:val="afff5"/>
    <w:qFormat/>
    <w:rsid w:val="006B0DDC"/>
    <w:rPr>
      <w:rFonts w:ascii="黑体" w:eastAsia="黑体" w:hAnsi="Times New Roman"/>
      <w:sz w:val="21"/>
      <w:szCs w:val="21"/>
    </w:rPr>
  </w:style>
  <w:style w:type="paragraph" w:styleId="afffffff">
    <w:name w:val="List Paragraph"/>
    <w:basedOn w:val="afc"/>
    <w:uiPriority w:val="99"/>
    <w:unhideWhenUsed/>
    <w:qFormat/>
    <w:rsid w:val="006B0DDC"/>
    <w:pPr>
      <w:ind w:left="735" w:hanging="630"/>
    </w:pPr>
    <w:rPr>
      <w:rFonts w:hint="eastAsia"/>
      <w:sz w:val="24"/>
    </w:rPr>
  </w:style>
  <w:style w:type="paragraph" w:customStyle="1" w:styleId="paragraphlzhxo2">
    <w:name w:val="_paragraph_lzhxo_2"/>
    <w:basedOn w:val="afc"/>
    <w:rsid w:val="006B0DDC"/>
    <w:pPr>
      <w:widowControl/>
      <w:spacing w:before="100" w:beforeAutospacing="1" w:after="100" w:afterAutospacing="1"/>
      <w:jc w:val="left"/>
    </w:pPr>
    <w:rPr>
      <w:rFonts w:ascii="宋体" w:hAnsi="宋体" w:cs="宋体"/>
      <w:kern w:val="0"/>
      <w:sz w:val="24"/>
      <w:szCs w:val="24"/>
    </w:rPr>
  </w:style>
  <w:style w:type="character" w:customStyle="1" w:styleId="Char0">
    <w:name w:val="批注文字 Char"/>
    <w:basedOn w:val="afd"/>
    <w:link w:val="aff2"/>
    <w:uiPriority w:val="99"/>
    <w:semiHidden/>
    <w:qFormat/>
    <w:rsid w:val="006B0DDC"/>
    <w:rPr>
      <w:rFonts w:ascii="Times New Roman" w:hAnsi="Times New Roman"/>
      <w:kern w:val="2"/>
      <w:sz w:val="21"/>
      <w:szCs w:val="22"/>
    </w:rPr>
  </w:style>
  <w:style w:type="character" w:customStyle="1" w:styleId="Char8">
    <w:name w:val="批注主题 Char"/>
    <w:basedOn w:val="Char0"/>
    <w:link w:val="affb"/>
    <w:uiPriority w:val="99"/>
    <w:semiHidden/>
    <w:qFormat/>
    <w:rsid w:val="006B0DD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4BFB5-0508-4F4E-833F-983D18CE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1188</Words>
  <Characters>6775</Characters>
  <Application>Microsoft Office Word</Application>
  <DocSecurity>0</DocSecurity>
  <Lines>56</Lines>
  <Paragraphs>15</Paragraphs>
  <ScaleCrop>false</ScaleCrop>
  <Company>Lenovo</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WP-NCS</dc:creator>
  <cp:lastModifiedBy>陈祖志</cp:lastModifiedBy>
  <cp:revision>89</cp:revision>
  <cp:lastPrinted>2020-09-10T09:07:00Z</cp:lastPrinted>
  <dcterms:created xsi:type="dcterms:W3CDTF">2021-01-21T07:32:00Z</dcterms:created>
  <dcterms:modified xsi:type="dcterms:W3CDTF">2025-09-03T08:56:00Z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eyJoZGlkIjoiZWE3M2Y1ZGY2ZjRiYWM4OTQzZmRiNjQzNDZjMDQwMjkiLCJ1c2VySWQiOiI2NjEwMTk5MzMifQ==</vt:lpwstr>
  </property>
  <property fmtid="{D5CDD505-2E9C-101B-9397-08002B2CF9AE}" pid="4" name="ICV">
    <vt:lpwstr>517288D4A28744CE8C91E5D0F93C91B6_13</vt:lpwstr>
  </property>
</Properties>
</file>