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7090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1D13341">
            <w:pPr>
              <w:pStyle w:val="18"/>
              <w:framePr w:wrap="notBeside" w:vAnchor="page" w:hAnchor="page" w:x="1372" w:y="568"/>
              <w:tabs>
                <w:tab w:val="clear" w:pos="4153"/>
                <w:tab w:val="clear" w:pos="8306"/>
              </w:tabs>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16496C">
            <w:pPr>
              <w:pStyle w:val="18"/>
              <w:framePr w:wrap="notBeside" w:vAnchor="page" w:hAnchor="page" w:x="1372" w:y="568"/>
              <w:tabs>
                <w:tab w:val="clear" w:pos="4153"/>
                <w:tab w:val="clear" w:pos="8306"/>
              </w:tabs>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65.020</w:t>
            </w:r>
            <w:r>
              <w:rPr>
                <w:rFonts w:ascii="黑体" w:hAnsi="黑体" w:eastAsia="黑体"/>
                <w:sz w:val="21"/>
                <w:szCs w:val="21"/>
              </w:rPr>
              <w:fldChar w:fldCharType="end"/>
            </w:r>
            <w:bookmarkEnd w:id="0"/>
          </w:p>
        </w:tc>
      </w:tr>
      <w:tr w14:paraId="2E71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17FF8DA">
            <w:pPr>
              <w:pStyle w:val="18"/>
              <w:framePr w:wrap="notBeside" w:vAnchor="page" w:hAnchor="page" w:x="1372" w:y="568"/>
              <w:tabs>
                <w:tab w:val="clear" w:pos="4153"/>
                <w:tab w:val="clear" w:pos="8306"/>
              </w:tabs>
              <w:spacing w:before="40"/>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E186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C090475">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GXAS</w:t>
                  </w:r>
                  <w:r>
                    <w:fldChar w:fldCharType="end"/>
                  </w:r>
                  <w:bookmarkEnd w:id="1"/>
                </w:p>
              </w:tc>
            </w:tr>
          </w:tbl>
          <w:p w14:paraId="1C468959">
            <w:pPr>
              <w:pStyle w:val="18"/>
              <w:framePr w:wrap="notBeside" w:vAnchor="page" w:hAnchor="page" w:x="1372" w:y="568"/>
              <w:tabs>
                <w:tab w:val="clear" w:pos="4153"/>
                <w:tab w:val="clear" w:pos="8306"/>
              </w:tabs>
              <w:spacing w:before="40"/>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B 30</w:t>
            </w:r>
            <w:r>
              <w:rPr>
                <w:rFonts w:ascii="黑体" w:hAnsi="黑体" w:eastAsia="黑体"/>
                <w:sz w:val="21"/>
                <w:szCs w:val="21"/>
              </w:rPr>
              <w:fldChar w:fldCharType="end"/>
            </w:r>
            <w:bookmarkEnd w:id="2"/>
          </w:p>
        </w:tc>
      </w:tr>
    </w:tbl>
    <w:p w14:paraId="3982BE09">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团体标准</w:t>
      </w:r>
      <w:r>
        <w:rPr>
          <w:rFonts w:ascii="黑体" w:eastAsia="黑体"/>
          <w:b w:val="0"/>
          <w:w w:val="100"/>
          <w:sz w:val="48"/>
        </w:rPr>
        <w:fldChar w:fldCharType="end"/>
      </w:r>
      <w:bookmarkEnd w:id="4"/>
    </w:p>
    <w:bookmarkEnd w:id="3"/>
    <w:p w14:paraId="3CC39BFC">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GXAS</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2025</w:t>
      </w:r>
      <w:r>
        <w:fldChar w:fldCharType="end"/>
      </w:r>
      <w:bookmarkEnd w:id="7"/>
    </w:p>
    <w:p w14:paraId="35C20CE4">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822840F">
      <w:pPr>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3B3A418">
      <w:pPr>
        <w:pStyle w:val="50"/>
        <w:framePr w:w="9639" w:h="6976" w:hRule="exact" w:hSpace="0" w:vSpace="0" w:wrap="around" w:hAnchor="page" w:y="6408"/>
        <w:jc w:val="center"/>
        <w:rPr>
          <w:rFonts w:ascii="黑体" w:hAnsi="黑体" w:eastAsia="黑体"/>
          <w:b w:val="0"/>
          <w:bCs w:val="0"/>
          <w:w w:val="100"/>
        </w:rPr>
      </w:pPr>
    </w:p>
    <w:p w14:paraId="4877A513">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桉树人工林土壤调酸补镁技术规程</w:t>
      </w:r>
      <w:r>
        <w:fldChar w:fldCharType="end"/>
      </w:r>
      <w:bookmarkEnd w:id="9"/>
    </w:p>
    <w:p w14:paraId="5D934F99">
      <w:pPr>
        <w:framePr w:w="9639" w:h="6974" w:hRule="exact" w:wrap="around" w:vAnchor="page" w:hAnchor="page" w:x="1419" w:y="6408" w:anchorLock="1"/>
        <w:ind w:left="-1418"/>
      </w:pPr>
    </w:p>
    <w:p w14:paraId="4D86642F">
      <w:pPr>
        <w:pStyle w:val="125"/>
        <w:framePr w:w="9639" w:h="6974" w:hRule="exact" w:wrap="around" w:vAnchor="page" w:hAnchor="page" w:x="1419" w:y="6408" w:anchorLock="1"/>
        <w:textAlignment w:val="bottom"/>
        <w:rPr>
          <w:rFonts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ascii="黑体" w:hAnsi="黑体" w:eastAsia="黑体"/>
          <w:szCs w:val="28"/>
        </w:rPr>
        <w:t>Technical code of practice for soil acidification and magnesium supplementation in eucalyptus plantations</w:t>
      </w:r>
      <w:r>
        <w:rPr>
          <w:rFonts w:ascii="黑体" w:hAnsi="黑体" w:eastAsia="黑体"/>
          <w:szCs w:val="28"/>
        </w:rPr>
        <w:fldChar w:fldCharType="end"/>
      </w:r>
      <w:bookmarkEnd w:id="10"/>
    </w:p>
    <w:p w14:paraId="3545F3E7">
      <w:pPr>
        <w:framePr w:w="9639" w:h="6974" w:hRule="exact" w:wrap="around" w:vAnchor="page" w:hAnchor="page" w:x="1419" w:y="6408" w:anchorLock="1"/>
        <w:spacing w:line="760" w:lineRule="exact"/>
        <w:ind w:left="-1418"/>
      </w:pPr>
    </w:p>
    <w:p w14:paraId="7D1AA272">
      <w:pPr>
        <w:pStyle w:val="125"/>
        <w:framePr w:w="9639" w:h="6974" w:hRule="exact" w:wrap="around" w:vAnchor="page" w:hAnchor="page" w:x="1419" w:y="6408" w:anchorLock="1"/>
        <w:textAlignment w:val="bottom"/>
        <w:rPr>
          <w:rFonts w:eastAsia="黑体"/>
          <w:szCs w:val="28"/>
        </w:rPr>
      </w:pPr>
    </w:p>
    <w:p w14:paraId="28AAC4F7">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E0EF5C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114D752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5E7B9F2">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427A80DA">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6B012FA6">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w:t>
      </w:r>
      <w:r>
        <w:rPr>
          <w:rFonts w:hAnsi="黑体"/>
          <w:w w:val="100"/>
          <w:sz w:val="28"/>
        </w:rPr>
        <w:t>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FBEE383">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18137F">
      <w:pPr>
        <w:pStyle w:val="91"/>
        <w:spacing w:after="360"/>
      </w:pPr>
      <w:bookmarkStart w:id="21" w:name="BookMark1"/>
      <w:bookmarkStart w:id="22" w:name="_Toc203065001"/>
      <w:bookmarkStart w:id="23" w:name="_Toc19073"/>
      <w:bookmarkStart w:id="24" w:name="_Toc202821809"/>
      <w:bookmarkStart w:id="25" w:name="_Toc202821452"/>
      <w:r>
        <w:rPr>
          <w:rFonts w:hint="eastAsia"/>
          <w:spacing w:val="320"/>
        </w:rPr>
        <w:t>目</w:t>
      </w:r>
      <w:r>
        <w:rPr>
          <w:rFonts w:hint="eastAsia"/>
        </w:rPr>
        <w:t>次</w:t>
      </w:r>
    </w:p>
    <w:p w14:paraId="4A788F8B">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"_Toc207215359" </w:instrText>
      </w:r>
      <w:r>
        <w:fldChar w:fldCharType="separate"/>
      </w:r>
      <w:r>
        <w:rPr>
          <w:rStyle w:val="32"/>
        </w:rPr>
        <w:t>前言</w:t>
      </w:r>
      <w:r>
        <w:tab/>
      </w:r>
      <w:r>
        <w:fldChar w:fldCharType="begin"/>
      </w:r>
      <w:r>
        <w:instrText xml:space="preserve"> PAGEREF _Toc207215359 \h </w:instrText>
      </w:r>
      <w:r>
        <w:fldChar w:fldCharType="separate"/>
      </w:r>
      <w:r>
        <w:t>II</w:t>
      </w:r>
      <w:r>
        <w:fldChar w:fldCharType="end"/>
      </w:r>
      <w:r>
        <w:fldChar w:fldCharType="end"/>
      </w:r>
    </w:p>
    <w:p w14:paraId="0AEE4F09">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"_Toc207215360" </w:instrText>
      </w:r>
      <w:r>
        <w:fldChar w:fldCharType="separate"/>
      </w:r>
      <w:r>
        <w:rPr>
          <w:rStyle w:val="32"/>
        </w:rPr>
        <w:t>1  范围</w:t>
      </w:r>
      <w:r>
        <w:tab/>
      </w:r>
      <w:r>
        <w:fldChar w:fldCharType="begin"/>
      </w:r>
      <w:r>
        <w:instrText xml:space="preserve"> PAGEREF _Toc207215360 \h </w:instrText>
      </w:r>
      <w:r>
        <w:fldChar w:fldCharType="separate"/>
      </w:r>
      <w:r>
        <w:t>1</w:t>
      </w:r>
      <w:r>
        <w:fldChar w:fldCharType="end"/>
      </w:r>
      <w:r>
        <w:fldChar w:fldCharType="end"/>
      </w:r>
    </w:p>
    <w:p w14:paraId="781D1FD4">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"_Toc207215361" </w:instrText>
      </w:r>
      <w:r>
        <w:fldChar w:fldCharType="separate"/>
      </w:r>
      <w:r>
        <w:rPr>
          <w:rStyle w:val="32"/>
        </w:rPr>
        <w:t>2  规范性引用文件</w:t>
      </w:r>
      <w:r>
        <w:tab/>
      </w:r>
      <w:r>
        <w:fldChar w:fldCharType="begin"/>
      </w:r>
      <w:r>
        <w:instrText xml:space="preserve"> PAGEREF _Toc207215361 \h </w:instrText>
      </w:r>
      <w:r>
        <w:fldChar w:fldCharType="separate"/>
      </w:r>
      <w:r>
        <w:t>1</w:t>
      </w:r>
      <w:r>
        <w:fldChar w:fldCharType="end"/>
      </w:r>
      <w:r>
        <w:fldChar w:fldCharType="end"/>
      </w:r>
    </w:p>
    <w:p w14:paraId="29400C81">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"_Toc207215362" </w:instrText>
      </w:r>
      <w:r>
        <w:fldChar w:fldCharType="separate"/>
      </w:r>
      <w:r>
        <w:rPr>
          <w:rStyle w:val="32"/>
        </w:rPr>
        <w:t>3  术语和定义</w:t>
      </w:r>
      <w:r>
        <w:tab/>
      </w:r>
      <w:r>
        <w:fldChar w:fldCharType="begin"/>
      </w:r>
      <w:r>
        <w:instrText xml:space="preserve"> PAGEREF _Toc207215362 \h </w:instrText>
      </w:r>
      <w:r>
        <w:fldChar w:fldCharType="separate"/>
      </w:r>
      <w:r>
        <w:t>1</w:t>
      </w:r>
      <w:r>
        <w:fldChar w:fldCharType="end"/>
      </w:r>
      <w:r>
        <w:fldChar w:fldCharType="end"/>
      </w:r>
    </w:p>
    <w:p w14:paraId="77D56D54">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"_Toc207215363" </w:instrText>
      </w:r>
      <w:r>
        <w:fldChar w:fldCharType="separate"/>
      </w:r>
      <w:r>
        <w:rPr>
          <w:rStyle w:val="32"/>
        </w:rPr>
        <w:t>4  土壤状况调查</w:t>
      </w:r>
      <w:r>
        <w:tab/>
      </w:r>
      <w:r>
        <w:fldChar w:fldCharType="begin"/>
      </w:r>
      <w:r>
        <w:instrText xml:space="preserve"> PAGEREF _Toc207215363 \h </w:instrText>
      </w:r>
      <w:r>
        <w:fldChar w:fldCharType="separate"/>
      </w:r>
      <w:r>
        <w:t>1</w:t>
      </w:r>
      <w:r>
        <w:fldChar w:fldCharType="end"/>
      </w:r>
      <w:r>
        <w:fldChar w:fldCharType="end"/>
      </w:r>
    </w:p>
    <w:p w14:paraId="741EBA9E">
      <w:pPr>
        <w:pStyle w:val="24"/>
        <w:rPr>
          <w:rFonts w:asciiTheme="minorHAnsi" w:hAnsiTheme="minorHAnsi" w:eastAsiaTheme="minorEastAsia" w:cstheme="minorBidi"/>
          <w:szCs w:val="22"/>
        </w:rPr>
      </w:pPr>
      <w:r>
        <w:fldChar w:fldCharType="begin"/>
      </w:r>
      <w:r>
        <w:instrText xml:space="preserve"> HYPERLINK \l "_Toc207215364" </w:instrText>
      </w:r>
      <w:r>
        <w:fldChar w:fldCharType="separate"/>
      </w:r>
      <w:r>
        <w:rPr>
          <w:rStyle w:val="32"/>
          <w14:scene3d>
            <w14:lightRig w14:rig="threePt" w14:dir="t">
              <w14:rot w14:lat="0" w14:lon="0" w14:rev="0"/>
            </w14:lightRig>
          </w14:scene3d>
        </w:rPr>
        <w:t xml:space="preserve">4.1 </w:t>
      </w:r>
      <w:r>
        <w:rPr>
          <w:rStyle w:val="32"/>
        </w:rPr>
        <w:t xml:space="preserve"> 调查对象</w:t>
      </w:r>
      <w:r>
        <w:tab/>
      </w:r>
      <w:r>
        <w:fldChar w:fldCharType="begin"/>
      </w:r>
      <w:r>
        <w:instrText xml:space="preserve"> PAGEREF _Toc207215364 \h </w:instrText>
      </w:r>
      <w:r>
        <w:fldChar w:fldCharType="separate"/>
      </w:r>
      <w:r>
        <w:t>1</w:t>
      </w:r>
      <w:r>
        <w:fldChar w:fldCharType="end"/>
      </w:r>
      <w:r>
        <w:fldChar w:fldCharType="end"/>
      </w:r>
    </w:p>
    <w:p w14:paraId="665D8C3D">
      <w:pPr>
        <w:pStyle w:val="24"/>
        <w:rPr>
          <w:rFonts w:asciiTheme="minorHAnsi" w:hAnsiTheme="minorHAnsi" w:eastAsiaTheme="minorEastAsia" w:cstheme="minorBidi"/>
          <w:szCs w:val="22"/>
        </w:rPr>
      </w:pPr>
      <w:r>
        <w:fldChar w:fldCharType="begin"/>
      </w:r>
      <w:r>
        <w:instrText xml:space="preserve"> HYPERLINK \l "_Toc207215365" </w:instrText>
      </w:r>
      <w:r>
        <w:fldChar w:fldCharType="separate"/>
      </w:r>
      <w:r>
        <w:rPr>
          <w:rStyle w:val="32"/>
          <w14:scene3d>
            <w14:lightRig w14:rig="threePt" w14:dir="t">
              <w14:rot w14:lat="0" w14:lon="0" w14:rev="0"/>
            </w14:lightRig>
          </w14:scene3d>
        </w:rPr>
        <w:t xml:space="preserve">4.2 </w:t>
      </w:r>
      <w:r>
        <w:rPr>
          <w:rStyle w:val="32"/>
        </w:rPr>
        <w:t xml:space="preserve"> 采样时间</w:t>
      </w:r>
      <w:r>
        <w:tab/>
      </w:r>
      <w:r>
        <w:fldChar w:fldCharType="begin"/>
      </w:r>
      <w:r>
        <w:instrText xml:space="preserve"> PAGEREF _Toc207215365 \h </w:instrText>
      </w:r>
      <w:r>
        <w:fldChar w:fldCharType="separate"/>
      </w:r>
      <w:r>
        <w:t>1</w:t>
      </w:r>
      <w:r>
        <w:fldChar w:fldCharType="end"/>
      </w:r>
      <w:r>
        <w:fldChar w:fldCharType="end"/>
      </w:r>
    </w:p>
    <w:p w14:paraId="48B10029">
      <w:pPr>
        <w:pStyle w:val="24"/>
        <w:rPr>
          <w:rFonts w:asciiTheme="minorHAnsi" w:hAnsiTheme="minorHAnsi" w:eastAsiaTheme="minorEastAsia" w:cstheme="minorBidi"/>
          <w:szCs w:val="22"/>
        </w:rPr>
      </w:pPr>
      <w:r>
        <w:fldChar w:fldCharType="begin"/>
      </w:r>
      <w:r>
        <w:instrText xml:space="preserve"> HYPERLINK \l "_Toc207215366" </w:instrText>
      </w:r>
      <w:r>
        <w:fldChar w:fldCharType="separate"/>
      </w:r>
      <w:r>
        <w:rPr>
          <w:rStyle w:val="32"/>
          <w14:scene3d>
            <w14:lightRig w14:rig="threePt" w14:dir="t">
              <w14:rot w14:lat="0" w14:lon="0" w14:rev="0"/>
            </w14:lightRig>
          </w14:scene3d>
        </w:rPr>
        <w:t xml:space="preserve">4.3 </w:t>
      </w:r>
      <w:r>
        <w:rPr>
          <w:rStyle w:val="32"/>
        </w:rPr>
        <w:t xml:space="preserve"> 采样布点</w:t>
      </w:r>
      <w:r>
        <w:tab/>
      </w:r>
      <w:r>
        <w:fldChar w:fldCharType="begin"/>
      </w:r>
      <w:r>
        <w:instrText xml:space="preserve"> PAGEREF _Toc207215366 \h </w:instrText>
      </w:r>
      <w:r>
        <w:fldChar w:fldCharType="separate"/>
      </w:r>
      <w:r>
        <w:t>1</w:t>
      </w:r>
      <w:r>
        <w:fldChar w:fldCharType="end"/>
      </w:r>
      <w:r>
        <w:fldChar w:fldCharType="end"/>
      </w:r>
    </w:p>
    <w:p w14:paraId="46DF9252">
      <w:pPr>
        <w:pStyle w:val="24"/>
        <w:rPr>
          <w:rFonts w:asciiTheme="minorHAnsi" w:hAnsiTheme="minorHAnsi" w:eastAsiaTheme="minorEastAsia" w:cstheme="minorBidi"/>
          <w:szCs w:val="22"/>
        </w:rPr>
      </w:pPr>
      <w:r>
        <w:fldChar w:fldCharType="begin"/>
      </w:r>
      <w:r>
        <w:instrText xml:space="preserve"> HYPERLINK \l "_Toc207215367" </w:instrText>
      </w:r>
      <w:r>
        <w:fldChar w:fldCharType="separate"/>
      </w:r>
      <w:r>
        <w:rPr>
          <w:rStyle w:val="32"/>
          <w14:scene3d>
            <w14:lightRig w14:rig="threePt" w14:dir="t">
              <w14:rot w14:lat="0" w14:lon="0" w14:rev="0"/>
            </w14:lightRig>
          </w14:scene3d>
        </w:rPr>
        <w:t xml:space="preserve">4.4 </w:t>
      </w:r>
      <w:r>
        <w:rPr>
          <w:rStyle w:val="32"/>
        </w:rPr>
        <w:t xml:space="preserve"> 样品处理与检测</w:t>
      </w:r>
      <w:r>
        <w:tab/>
      </w:r>
      <w:r>
        <w:fldChar w:fldCharType="begin"/>
      </w:r>
      <w:r>
        <w:instrText xml:space="preserve"> PAGEREF _Toc207215367 \h </w:instrText>
      </w:r>
      <w:r>
        <w:fldChar w:fldCharType="separate"/>
      </w:r>
      <w:r>
        <w:t>1</w:t>
      </w:r>
      <w:r>
        <w:fldChar w:fldCharType="end"/>
      </w:r>
      <w:r>
        <w:fldChar w:fldCharType="end"/>
      </w:r>
    </w:p>
    <w:p w14:paraId="4261CE1B">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"_Toc207215368" </w:instrText>
      </w:r>
      <w:r>
        <w:fldChar w:fldCharType="separate"/>
      </w:r>
      <w:r>
        <w:rPr>
          <w:rStyle w:val="32"/>
        </w:rPr>
        <w:t>5  改良目标</w:t>
      </w:r>
      <w:r>
        <w:tab/>
      </w:r>
      <w:r>
        <w:fldChar w:fldCharType="begin"/>
      </w:r>
      <w:r>
        <w:instrText xml:space="preserve"> PAGEREF _Toc207215368 \h </w:instrText>
      </w:r>
      <w:r>
        <w:fldChar w:fldCharType="separate"/>
      </w:r>
      <w:r>
        <w:t>1</w:t>
      </w:r>
      <w:r>
        <w:fldChar w:fldCharType="end"/>
      </w:r>
      <w:r>
        <w:fldChar w:fldCharType="end"/>
      </w:r>
    </w:p>
    <w:p w14:paraId="20A5BC2C">
      <w:pPr>
        <w:pStyle w:val="24"/>
        <w:rPr>
          <w:rFonts w:asciiTheme="minorHAnsi" w:hAnsiTheme="minorHAnsi" w:eastAsiaTheme="minorEastAsia" w:cstheme="minorBidi"/>
          <w:szCs w:val="22"/>
        </w:rPr>
      </w:pPr>
      <w:r>
        <w:fldChar w:fldCharType="begin"/>
      </w:r>
      <w:r>
        <w:instrText xml:space="preserve"> HYPERLINK \l "_Toc207215369" </w:instrText>
      </w:r>
      <w:r>
        <w:fldChar w:fldCharType="separate"/>
      </w:r>
      <w:r>
        <w:rPr>
          <w:rStyle w:val="32"/>
          <w14:scene3d>
            <w14:lightRig w14:rig="threePt" w14:dir="t">
              <w14:rot w14:lat="0" w14:lon="0" w14:rev="0"/>
            </w14:lightRig>
          </w14:scene3d>
        </w:rPr>
        <w:t xml:space="preserve">5.1 </w:t>
      </w:r>
      <w:r>
        <w:rPr>
          <w:rStyle w:val="32"/>
        </w:rPr>
        <w:t xml:space="preserve"> 调酸目标</w:t>
      </w:r>
      <w:r>
        <w:tab/>
      </w:r>
      <w:r>
        <w:fldChar w:fldCharType="begin"/>
      </w:r>
      <w:r>
        <w:instrText xml:space="preserve"> PAGEREF _Toc207215369 \h </w:instrText>
      </w:r>
      <w:r>
        <w:fldChar w:fldCharType="separate"/>
      </w:r>
      <w:r>
        <w:t>1</w:t>
      </w:r>
      <w:r>
        <w:fldChar w:fldCharType="end"/>
      </w:r>
      <w:r>
        <w:fldChar w:fldCharType="end"/>
      </w:r>
    </w:p>
    <w:p w14:paraId="683C9992">
      <w:pPr>
        <w:pStyle w:val="24"/>
        <w:rPr>
          <w:rFonts w:asciiTheme="minorHAnsi" w:hAnsiTheme="minorHAnsi" w:eastAsiaTheme="minorEastAsia" w:cstheme="minorBidi"/>
          <w:szCs w:val="22"/>
        </w:rPr>
      </w:pPr>
      <w:r>
        <w:fldChar w:fldCharType="begin"/>
      </w:r>
      <w:r>
        <w:instrText xml:space="preserve"> HYPERLINK \l "_Toc207215370" </w:instrText>
      </w:r>
      <w:r>
        <w:fldChar w:fldCharType="separate"/>
      </w:r>
      <w:r>
        <w:rPr>
          <w:rStyle w:val="32"/>
          <w14:scene3d>
            <w14:lightRig w14:rig="threePt" w14:dir="t">
              <w14:rot w14:lat="0" w14:lon="0" w14:rev="0"/>
            </w14:lightRig>
          </w14:scene3d>
        </w:rPr>
        <w:t xml:space="preserve">5.2 </w:t>
      </w:r>
      <w:r>
        <w:rPr>
          <w:rStyle w:val="32"/>
        </w:rPr>
        <w:t xml:space="preserve"> 补镁目标</w:t>
      </w:r>
      <w:r>
        <w:tab/>
      </w:r>
      <w:r>
        <w:fldChar w:fldCharType="begin"/>
      </w:r>
      <w:r>
        <w:instrText xml:space="preserve"> PAGEREF _Toc207215370 \h </w:instrText>
      </w:r>
      <w:r>
        <w:fldChar w:fldCharType="separate"/>
      </w:r>
      <w:r>
        <w:t>1</w:t>
      </w:r>
      <w:r>
        <w:fldChar w:fldCharType="end"/>
      </w:r>
      <w:r>
        <w:fldChar w:fldCharType="end"/>
      </w:r>
    </w:p>
    <w:p w14:paraId="6517433F">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"_Toc207215371" </w:instrText>
      </w:r>
      <w:r>
        <w:fldChar w:fldCharType="separate"/>
      </w:r>
      <w:r>
        <w:rPr>
          <w:rStyle w:val="32"/>
        </w:rPr>
        <w:t>6  调酸补镁材料</w:t>
      </w:r>
      <w:r>
        <w:tab/>
      </w:r>
      <w:r>
        <w:fldChar w:fldCharType="begin"/>
      </w:r>
      <w:r>
        <w:instrText xml:space="preserve"> PAGEREF _Toc207215371 \h </w:instrText>
      </w:r>
      <w:r>
        <w:fldChar w:fldCharType="separate"/>
      </w:r>
      <w:r>
        <w:t>2</w:t>
      </w:r>
      <w:r>
        <w:fldChar w:fldCharType="end"/>
      </w:r>
      <w:r>
        <w:fldChar w:fldCharType="end"/>
      </w:r>
    </w:p>
    <w:p w14:paraId="6C41B245">
      <w:pPr>
        <w:pStyle w:val="24"/>
        <w:rPr>
          <w:rFonts w:asciiTheme="minorHAnsi" w:hAnsiTheme="minorHAnsi" w:eastAsiaTheme="minorEastAsia" w:cstheme="minorBidi"/>
          <w:szCs w:val="22"/>
        </w:rPr>
      </w:pPr>
      <w:r>
        <w:fldChar w:fldCharType="begin"/>
      </w:r>
      <w:r>
        <w:instrText xml:space="preserve"> HYPERLINK \l "_Toc207215372" </w:instrText>
      </w:r>
      <w:r>
        <w:fldChar w:fldCharType="separate"/>
      </w:r>
      <w:r>
        <w:rPr>
          <w:rStyle w:val="32"/>
          <w14:scene3d>
            <w14:lightRig w14:rig="threePt" w14:dir="t">
              <w14:rot w14:lat="0" w14:lon="0" w14:rev="0"/>
            </w14:lightRig>
          </w14:scene3d>
        </w:rPr>
        <w:t xml:space="preserve">6.1 </w:t>
      </w:r>
      <w:r>
        <w:rPr>
          <w:rStyle w:val="32"/>
        </w:rPr>
        <w:t xml:space="preserve"> 牡蛎壳调酸</w:t>
      </w:r>
      <w:r>
        <w:rPr>
          <w:rStyle w:val="32"/>
          <w:b w:val="0"/>
          <w:bCs w:val="0"/>
        </w:rPr>
        <w:t>补镁</w:t>
      </w:r>
      <w:r>
        <w:rPr>
          <w:rStyle w:val="32"/>
        </w:rPr>
        <w:t>剂</w:t>
      </w:r>
      <w:r>
        <w:tab/>
      </w:r>
      <w:r>
        <w:fldChar w:fldCharType="begin"/>
      </w:r>
      <w:r>
        <w:instrText xml:space="preserve"> PAGEREF _Toc207215372 \h </w:instrText>
      </w:r>
      <w:r>
        <w:fldChar w:fldCharType="separate"/>
      </w:r>
      <w:r>
        <w:t>2</w:t>
      </w:r>
      <w:r>
        <w:fldChar w:fldCharType="end"/>
      </w:r>
      <w:r>
        <w:fldChar w:fldCharType="end"/>
      </w:r>
    </w:p>
    <w:p w14:paraId="09415490">
      <w:pPr>
        <w:pStyle w:val="24"/>
        <w:rPr>
          <w:rFonts w:asciiTheme="minorHAnsi" w:hAnsiTheme="minorHAnsi" w:eastAsiaTheme="minorEastAsia" w:cstheme="minorBidi"/>
          <w:szCs w:val="22"/>
        </w:rPr>
      </w:pPr>
      <w:r>
        <w:fldChar w:fldCharType="begin"/>
      </w:r>
      <w:r>
        <w:instrText xml:space="preserve"> HYPERLINK \l "_Toc207215373" </w:instrText>
      </w:r>
      <w:r>
        <w:fldChar w:fldCharType="separate"/>
      </w:r>
      <w:r>
        <w:rPr>
          <w:rStyle w:val="32"/>
          <w14:scene3d>
            <w14:lightRig w14:rig="threePt" w14:dir="t">
              <w14:rot w14:lat="0" w14:lon="0" w14:rev="0"/>
            </w14:lightRig>
          </w14:scene3d>
        </w:rPr>
        <w:t xml:space="preserve">6.2 </w:t>
      </w:r>
      <w:r>
        <w:rPr>
          <w:rStyle w:val="32"/>
        </w:rPr>
        <w:t xml:space="preserve"> 有机无机复配调酸剂</w:t>
      </w:r>
      <w:r>
        <w:tab/>
      </w:r>
      <w:r>
        <w:fldChar w:fldCharType="begin"/>
      </w:r>
      <w:r>
        <w:instrText xml:space="preserve"> PAGEREF _Toc207215373 \h </w:instrText>
      </w:r>
      <w:r>
        <w:fldChar w:fldCharType="separate"/>
      </w:r>
      <w:r>
        <w:t>2</w:t>
      </w:r>
      <w:r>
        <w:fldChar w:fldCharType="end"/>
      </w:r>
      <w:r>
        <w:fldChar w:fldCharType="end"/>
      </w:r>
    </w:p>
    <w:p w14:paraId="6934D30B">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"_Toc207215374" </w:instrText>
      </w:r>
      <w:r>
        <w:fldChar w:fldCharType="separate"/>
      </w:r>
      <w:r>
        <w:rPr>
          <w:rStyle w:val="32"/>
        </w:rPr>
        <w:t>7  调酸补镁操作</w:t>
      </w:r>
      <w:r>
        <w:tab/>
      </w:r>
      <w:r>
        <w:fldChar w:fldCharType="begin"/>
      </w:r>
      <w:r>
        <w:instrText xml:space="preserve"> PAGEREF _Toc207215374 \h </w:instrText>
      </w:r>
      <w:r>
        <w:fldChar w:fldCharType="separate"/>
      </w:r>
      <w:r>
        <w:t>2</w:t>
      </w:r>
      <w:r>
        <w:fldChar w:fldCharType="end"/>
      </w:r>
      <w:r>
        <w:fldChar w:fldCharType="end"/>
      </w:r>
    </w:p>
    <w:p w14:paraId="33532833">
      <w:pPr>
        <w:pStyle w:val="24"/>
        <w:rPr>
          <w:rFonts w:asciiTheme="minorHAnsi" w:hAnsiTheme="minorHAnsi" w:eastAsiaTheme="minorEastAsia" w:cstheme="minorBidi"/>
          <w:szCs w:val="22"/>
        </w:rPr>
      </w:pPr>
      <w:r>
        <w:fldChar w:fldCharType="begin"/>
      </w:r>
      <w:r>
        <w:instrText xml:space="preserve"> HYPERLINK \l "_Toc207215375" </w:instrText>
      </w:r>
      <w:r>
        <w:fldChar w:fldCharType="separate"/>
      </w:r>
      <w:r>
        <w:rPr>
          <w:rStyle w:val="32"/>
          <w14:scene3d>
            <w14:lightRig w14:rig="threePt" w14:dir="t">
              <w14:rot w14:lat="0" w14:lon="0" w14:rev="0"/>
            </w14:lightRig>
          </w14:scene3d>
        </w:rPr>
        <w:t xml:space="preserve">7.1 </w:t>
      </w:r>
      <w:r>
        <w:rPr>
          <w:rStyle w:val="32"/>
        </w:rPr>
        <w:t xml:space="preserve"> 施用对象</w:t>
      </w:r>
      <w:r>
        <w:tab/>
      </w:r>
      <w:r>
        <w:fldChar w:fldCharType="begin"/>
      </w:r>
      <w:r>
        <w:instrText xml:space="preserve"> PAGEREF _Toc207215375 \h </w:instrText>
      </w:r>
      <w:r>
        <w:fldChar w:fldCharType="separate"/>
      </w:r>
      <w:r>
        <w:t>2</w:t>
      </w:r>
      <w:r>
        <w:fldChar w:fldCharType="end"/>
      </w:r>
      <w:r>
        <w:fldChar w:fldCharType="end"/>
      </w:r>
    </w:p>
    <w:p w14:paraId="6D8E4F15">
      <w:pPr>
        <w:pStyle w:val="24"/>
        <w:rPr>
          <w:rFonts w:asciiTheme="minorHAnsi" w:hAnsiTheme="minorHAnsi" w:eastAsiaTheme="minorEastAsia" w:cstheme="minorBidi"/>
          <w:szCs w:val="22"/>
        </w:rPr>
      </w:pPr>
      <w:r>
        <w:fldChar w:fldCharType="begin"/>
      </w:r>
      <w:r>
        <w:instrText xml:space="preserve"> HYPERLINK \l "_Toc207215376" </w:instrText>
      </w:r>
      <w:r>
        <w:fldChar w:fldCharType="separate"/>
      </w:r>
      <w:r>
        <w:rPr>
          <w:rStyle w:val="32"/>
          <w14:scene3d>
            <w14:lightRig w14:rig="threePt" w14:dir="t">
              <w14:rot w14:lat="0" w14:lon="0" w14:rev="0"/>
            </w14:lightRig>
          </w14:scene3d>
        </w:rPr>
        <w:t xml:space="preserve">7.2 </w:t>
      </w:r>
      <w:r>
        <w:rPr>
          <w:rStyle w:val="32"/>
        </w:rPr>
        <w:t xml:space="preserve"> 施用时间</w:t>
      </w:r>
      <w:r>
        <w:tab/>
      </w:r>
      <w:r>
        <w:fldChar w:fldCharType="begin"/>
      </w:r>
      <w:r>
        <w:instrText xml:space="preserve"> PAGEREF _Toc207215376 \h </w:instrText>
      </w:r>
      <w:r>
        <w:fldChar w:fldCharType="separate"/>
      </w:r>
      <w:r>
        <w:t>2</w:t>
      </w:r>
      <w:r>
        <w:fldChar w:fldCharType="end"/>
      </w:r>
      <w:r>
        <w:fldChar w:fldCharType="end"/>
      </w:r>
    </w:p>
    <w:p w14:paraId="6C91F053">
      <w:pPr>
        <w:pStyle w:val="24"/>
        <w:rPr>
          <w:rFonts w:asciiTheme="minorHAnsi" w:hAnsiTheme="minorHAnsi" w:eastAsiaTheme="minorEastAsia" w:cstheme="minorBidi"/>
          <w:szCs w:val="22"/>
        </w:rPr>
      </w:pPr>
      <w:r>
        <w:fldChar w:fldCharType="begin"/>
      </w:r>
      <w:r>
        <w:instrText xml:space="preserve"> HYPERLINK \l "_Toc207215377" </w:instrText>
      </w:r>
      <w:r>
        <w:fldChar w:fldCharType="separate"/>
      </w:r>
      <w:r>
        <w:rPr>
          <w:rStyle w:val="32"/>
          <w14:scene3d>
            <w14:lightRig w14:rig="threePt" w14:dir="t">
              <w14:rot w14:lat="0" w14:lon="0" w14:rev="0"/>
            </w14:lightRig>
          </w14:scene3d>
        </w:rPr>
        <w:t xml:space="preserve">7.3 </w:t>
      </w:r>
      <w:r>
        <w:rPr>
          <w:rStyle w:val="32"/>
        </w:rPr>
        <w:t xml:space="preserve"> 施用方法</w:t>
      </w:r>
      <w:r>
        <w:tab/>
      </w:r>
      <w:r>
        <w:fldChar w:fldCharType="begin"/>
      </w:r>
      <w:r>
        <w:instrText xml:space="preserve"> PAGEREF _Toc207215377 \h </w:instrText>
      </w:r>
      <w:r>
        <w:fldChar w:fldCharType="separate"/>
      </w:r>
      <w:r>
        <w:t>2</w:t>
      </w:r>
      <w:r>
        <w:fldChar w:fldCharType="end"/>
      </w:r>
      <w:r>
        <w:fldChar w:fldCharType="end"/>
      </w:r>
    </w:p>
    <w:p w14:paraId="610A3BF7">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"_Toc207215378" </w:instrText>
      </w:r>
      <w:r>
        <w:fldChar w:fldCharType="separate"/>
      </w:r>
      <w:r>
        <w:rPr>
          <w:rStyle w:val="32"/>
        </w:rPr>
        <w:t>8  效果评价</w:t>
      </w:r>
      <w:r>
        <w:tab/>
      </w:r>
      <w:r>
        <w:fldChar w:fldCharType="begin"/>
      </w:r>
      <w:r>
        <w:instrText xml:space="preserve"> PAGEREF _Toc207215378 \h </w:instrText>
      </w:r>
      <w:r>
        <w:fldChar w:fldCharType="separate"/>
      </w:r>
      <w:r>
        <w:t>2</w:t>
      </w:r>
      <w:r>
        <w:fldChar w:fldCharType="end"/>
      </w:r>
      <w:r>
        <w:fldChar w:fldCharType="end"/>
      </w:r>
    </w:p>
    <w:p w14:paraId="39AD7E16">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"_Toc207215379" </w:instrText>
      </w:r>
      <w:r>
        <w:fldChar w:fldCharType="separate"/>
      </w:r>
      <w:r>
        <w:rPr>
          <w:rStyle w:val="32"/>
        </w:rPr>
        <w:t>9  档案记录</w:t>
      </w:r>
      <w:r>
        <w:tab/>
      </w:r>
      <w:r>
        <w:fldChar w:fldCharType="begin"/>
      </w:r>
      <w:r>
        <w:instrText xml:space="preserve"> PAGEREF _Toc207215379 \h </w:instrText>
      </w:r>
      <w:r>
        <w:fldChar w:fldCharType="separate"/>
      </w:r>
      <w:r>
        <w:t>2</w:t>
      </w:r>
      <w:r>
        <w:fldChar w:fldCharType="end"/>
      </w:r>
      <w:r>
        <w:fldChar w:fldCharType="end"/>
      </w:r>
    </w:p>
    <w:p w14:paraId="66F3128B">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"_Toc207215380" </w:instrText>
      </w:r>
      <w:r>
        <w:fldChar w:fldCharType="separate"/>
      </w:r>
      <w:r>
        <w:rPr>
          <w:rStyle w:val="32"/>
        </w:rPr>
        <w:t>附录A（资料性）  施用记录表</w:t>
      </w:r>
      <w:r>
        <w:tab/>
      </w:r>
      <w:r>
        <w:fldChar w:fldCharType="begin"/>
      </w:r>
      <w:r>
        <w:instrText xml:space="preserve"> PAGEREF _Toc207215380 \h </w:instrText>
      </w:r>
      <w:r>
        <w:fldChar w:fldCharType="separate"/>
      </w:r>
      <w:r>
        <w:t>3</w:t>
      </w:r>
      <w:r>
        <w:fldChar w:fldCharType="end"/>
      </w:r>
      <w:r>
        <w:fldChar w:fldCharType="end"/>
      </w:r>
    </w:p>
    <w:p w14:paraId="2858C81B">
      <w:pPr>
        <w:pStyle w:val="19"/>
        <w:tabs>
          <w:tab w:val="right" w:leader="dot" w:pos="9344"/>
        </w:tabs>
        <w:rPr>
          <w:rFonts w:asciiTheme="minorHAnsi" w:hAnsiTheme="minorHAnsi" w:eastAsiaTheme="minorEastAsia" w:cstheme="minorBidi"/>
          <w:szCs w:val="22"/>
        </w:rPr>
      </w:pPr>
      <w:r>
        <w:fldChar w:fldCharType="begin"/>
      </w:r>
      <w:r>
        <w:instrText xml:space="preserve"> HYPERLINK \l "_Toc207215381" </w:instrText>
      </w:r>
      <w:r>
        <w:fldChar w:fldCharType="separate"/>
      </w:r>
      <w:r>
        <w:rPr>
          <w:rStyle w:val="32"/>
        </w:rPr>
        <w:t>参考文献</w:t>
      </w:r>
      <w:r>
        <w:tab/>
      </w:r>
      <w:r>
        <w:fldChar w:fldCharType="begin"/>
      </w:r>
      <w:r>
        <w:instrText xml:space="preserve"> PAGEREF _Toc207215381 \h </w:instrText>
      </w:r>
      <w:r>
        <w:fldChar w:fldCharType="separate"/>
      </w:r>
      <w:r>
        <w:t>4</w:t>
      </w:r>
      <w:r>
        <w:fldChar w:fldCharType="end"/>
      </w:r>
      <w:r>
        <w:fldChar w:fldCharType="end"/>
      </w:r>
    </w:p>
    <w:p w14:paraId="5242FFA9">
      <w:pPr>
        <w:pStyle w:val="91"/>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2CF5689F">
      <w:pPr>
        <w:pStyle w:val="89"/>
        <w:spacing w:before="900" w:after="360"/>
      </w:pPr>
      <w:bookmarkStart w:id="26" w:name="_Toc207215359"/>
      <w:bookmarkStart w:id="27" w:name="BookMark2"/>
      <w:r>
        <w:rPr>
          <w:spacing w:val="320"/>
        </w:rPr>
        <w:t>前</w:t>
      </w:r>
      <w:r>
        <w:t>言</w:t>
      </w:r>
      <w:bookmarkEnd w:id="22"/>
      <w:bookmarkEnd w:id="23"/>
      <w:bookmarkEnd w:id="24"/>
      <w:bookmarkEnd w:id="25"/>
      <w:bookmarkEnd w:id="26"/>
    </w:p>
    <w:p w14:paraId="77211EB5">
      <w:pPr>
        <w:pStyle w:val="56"/>
        <w:ind w:firstLine="420"/>
      </w:pPr>
      <w:r>
        <w:rPr>
          <w:rFonts w:hint="eastAsia"/>
        </w:rPr>
        <w:t>本文件参照GB/T 1.1—2020《标准化工作导则  第1部分：标准化文件的结构和起草规则》的规定起草。</w:t>
      </w:r>
    </w:p>
    <w:p w14:paraId="20332061">
      <w:pPr>
        <w:pStyle w:val="56"/>
        <w:ind w:firstLine="420"/>
      </w:pPr>
      <w:r>
        <w:rPr>
          <w:rFonts w:hint="eastAsia"/>
        </w:rPr>
        <w:t>请注意本文件的某些内容可能涉及专利。本文件的发布机构不承担识别专利的责任。</w:t>
      </w:r>
    </w:p>
    <w:p w14:paraId="4C897595">
      <w:pPr>
        <w:pStyle w:val="56"/>
        <w:ind w:firstLine="420"/>
      </w:pPr>
      <w:r>
        <w:rPr>
          <w:rFonts w:hint="eastAsia"/>
        </w:rPr>
        <w:t>本文件由广西壮族自治区林业科学研究院提出并宣贯。</w:t>
      </w:r>
    </w:p>
    <w:p w14:paraId="5C8F33F3">
      <w:pPr>
        <w:pStyle w:val="56"/>
        <w:ind w:firstLine="420"/>
      </w:pPr>
      <w:r>
        <w:rPr>
          <w:rFonts w:hint="eastAsia"/>
        </w:rPr>
        <w:t>本文件由广西标准化协会归口。</w:t>
      </w:r>
    </w:p>
    <w:p w14:paraId="138E297E">
      <w:pPr>
        <w:pStyle w:val="56"/>
        <w:ind w:firstLine="420"/>
      </w:pPr>
      <w:r>
        <w:rPr>
          <w:rFonts w:hint="eastAsia"/>
        </w:rPr>
        <w:t>本文件起草单位：广西壮族自治区林业科学研究院、广西壮族自治区国有三门江林场、广西壮族自治区国有博白林</w:t>
      </w:r>
      <w:bookmarkStart w:id="28" w:name="OLE_LINK4"/>
      <w:bookmarkStart w:id="29" w:name="OLE_LINK5"/>
      <w:r>
        <w:rPr>
          <w:rFonts w:hint="eastAsia"/>
        </w:rPr>
        <w:t>场、广西华沃特集团股份有限公司、广西博世科环保科技股份有限公司、广西壮族自治区国有大桂山林场、中南林业科技大学、广西森林资源与生态环境监测中心、广西壮族自治区农业科学院农业资源与环境研究所、广西壮族自治区国有七坡林场、广西壮族自治区林业勘测设计院、广西壮族自治区国有东门林场、广西壮族自治区国有高峰林场、广西壮族自治区国有黄冕林场、广西壮族自治区国有六万林场、广西壮族自治区国有维都林场、中国林业科学研究院热带林业实验中心。</w:t>
      </w:r>
      <w:bookmarkEnd w:id="28"/>
      <w:bookmarkEnd w:id="29"/>
    </w:p>
    <w:p w14:paraId="2D73FFFA">
      <w:pPr>
        <w:pStyle w:val="56"/>
        <w:ind w:firstLine="420"/>
      </w:pPr>
      <w:r>
        <w:rPr>
          <w:rFonts w:hint="eastAsia"/>
        </w:rPr>
        <w:t>本文件主要起草人：唐健、柯琴、覃祚玉、赵隽宇、石媛媛、宋贤冲、蒋湖波、肖崇福、陈柳、冯青青、罗江丽、林海能、杨瑞青、涂华龙、林宏飞、何通、周娟、戴舒琼、吴立潮、陈利军、卢峰、何铁光、苏天明、邓善宝、张挺、江锦烽、周料、唐华昌、黄永珍、陈琳、唐黎明、姜仪民</w:t>
      </w:r>
      <w:r>
        <w:rPr>
          <w:rFonts w:hint="eastAsia"/>
          <w:color w:val="auto"/>
        </w:rPr>
        <w:t>。</w:t>
      </w:r>
    </w:p>
    <w:p w14:paraId="1C27994C">
      <w:pPr>
        <w:pStyle w:val="56"/>
        <w:ind w:firstLine="420"/>
      </w:pPr>
    </w:p>
    <w:p w14:paraId="269CF0E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7"/>
    <w:p w14:paraId="483BC7E4">
      <w:pPr>
        <w:spacing w:line="20" w:lineRule="exact"/>
        <w:jc w:val="center"/>
        <w:rPr>
          <w:rFonts w:ascii="黑体" w:hAnsi="黑体" w:eastAsia="黑体"/>
          <w:sz w:val="32"/>
          <w:szCs w:val="32"/>
        </w:rPr>
      </w:pPr>
      <w:bookmarkStart w:id="30" w:name="BookMark4"/>
    </w:p>
    <w:p w14:paraId="6CAC50E6">
      <w:pPr>
        <w:spacing w:line="20" w:lineRule="exact"/>
        <w:jc w:val="center"/>
        <w:rPr>
          <w:rFonts w:ascii="黑体" w:hAnsi="黑体" w:eastAsia="黑体"/>
          <w:sz w:val="32"/>
          <w:szCs w:val="32"/>
        </w:rPr>
      </w:pPr>
    </w:p>
    <w:sdt>
      <w:sdtPr>
        <w:tag w:val="NEW_STAND_NAME"/>
        <w:id w:val="595910757"/>
        <w:lock w:val="sdtLocked"/>
        <w:placeholder>
          <w:docPart w:val="246B0634373441E2B14A4AC190FE721A"/>
        </w:placeholder>
      </w:sdtPr>
      <w:sdtContent>
        <w:p w14:paraId="4CCFCF9A">
          <w:pPr>
            <w:pStyle w:val="177"/>
            <w:spacing w:before="240" w:beforeLines="100" w:after="528" w:afterLines="220"/>
          </w:pPr>
          <w:bookmarkStart w:id="31" w:name="NEW_STAND_NAME"/>
          <w:r>
            <w:rPr>
              <w:rFonts w:hint="eastAsia"/>
            </w:rPr>
            <w:t>桉树人工林土壤调酸补镁技术规程</w:t>
          </w:r>
        </w:p>
      </w:sdtContent>
    </w:sdt>
    <w:bookmarkEnd w:id="31"/>
    <w:p w14:paraId="51A8FAA2">
      <w:pPr>
        <w:pStyle w:val="104"/>
        <w:spacing w:before="240" w:after="240"/>
      </w:pPr>
      <w:bookmarkStart w:id="32" w:name="_Toc207215360"/>
      <w:bookmarkStart w:id="33" w:name="_Toc17233325"/>
      <w:bookmarkStart w:id="34" w:name="_Toc24884218"/>
      <w:bookmarkStart w:id="35" w:name="_Toc202821453"/>
      <w:bookmarkStart w:id="36" w:name="_Toc26986530"/>
      <w:bookmarkStart w:id="37" w:name="_Toc17233333"/>
      <w:bookmarkStart w:id="38" w:name="_Toc97192964"/>
      <w:bookmarkStart w:id="39" w:name="_Toc26986771"/>
      <w:bookmarkStart w:id="40" w:name="_Toc203065002"/>
      <w:bookmarkStart w:id="41" w:name="_Toc24884211"/>
      <w:bookmarkStart w:id="42" w:name="_Toc202821810"/>
      <w:bookmarkStart w:id="43" w:name="_Toc26648465"/>
      <w:bookmarkStart w:id="44" w:name="_Toc26718930"/>
      <w:bookmarkStart w:id="45" w:name="_Toc24805"/>
      <w:r>
        <w:rPr>
          <w:rFonts w:hint="eastAsia"/>
        </w:rPr>
        <w:t>范围</w:t>
      </w:r>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04788F9">
      <w:pPr>
        <w:pStyle w:val="56"/>
        <w:ind w:firstLine="420"/>
      </w:pPr>
      <w:bookmarkStart w:id="46" w:name="_Toc24884212"/>
      <w:bookmarkStart w:id="47" w:name="_Toc24884219"/>
      <w:bookmarkStart w:id="48" w:name="_Toc17233334"/>
      <w:bookmarkStart w:id="49" w:name="_Toc17233326"/>
      <w:bookmarkStart w:id="50" w:name="_Toc26648466"/>
      <w:r>
        <w:rPr>
          <w:rFonts w:hint="eastAsia"/>
        </w:rPr>
        <w:t>本文件</w:t>
      </w:r>
      <w:r>
        <w:rPr>
          <w:rFonts w:hint="eastAsia"/>
          <w:lang w:eastAsia="zh-CN"/>
        </w:rPr>
        <w:t>确立了桉树人工林土壤调酸补镁技术的程序，</w:t>
      </w:r>
      <w:r>
        <w:rPr>
          <w:rFonts w:hint="eastAsia"/>
        </w:rPr>
        <w:t>规定了土壤状况调查、改良目标</w:t>
      </w:r>
      <w:r>
        <w:rPr>
          <w:rFonts w:hint="eastAsia"/>
          <w:lang w:eastAsia="zh-CN"/>
        </w:rPr>
        <w:t>确定</w:t>
      </w:r>
      <w:r>
        <w:rPr>
          <w:rFonts w:hint="eastAsia"/>
        </w:rPr>
        <w:t>、调酸补镁材料</w:t>
      </w:r>
      <w:r>
        <w:rPr>
          <w:rFonts w:hint="eastAsia"/>
          <w:lang w:eastAsia="zh-CN"/>
        </w:rPr>
        <w:t>选择</w:t>
      </w:r>
      <w:r>
        <w:rPr>
          <w:rFonts w:hint="eastAsia"/>
        </w:rPr>
        <w:t>、调酸补镁</w:t>
      </w:r>
      <w:r>
        <w:rPr>
          <w:rFonts w:hint="eastAsia"/>
          <w:lang w:eastAsia="zh-CN"/>
        </w:rPr>
        <w:t>材料施用实施</w:t>
      </w:r>
      <w:r>
        <w:rPr>
          <w:rFonts w:hint="eastAsia"/>
        </w:rPr>
        <w:t>、效果评价</w:t>
      </w:r>
      <w:r>
        <w:rPr>
          <w:rFonts w:hint="eastAsia"/>
          <w:lang w:eastAsia="zh-CN"/>
        </w:rPr>
        <w:t>的操作指示</w:t>
      </w:r>
      <w:r>
        <w:rPr>
          <w:rFonts w:hint="eastAsia"/>
        </w:rPr>
        <w:t>，描述了调酸补镁过程信息的追溯方法。</w:t>
      </w:r>
    </w:p>
    <w:p w14:paraId="03B36314">
      <w:pPr>
        <w:pStyle w:val="56"/>
        <w:ind w:firstLine="420"/>
      </w:pPr>
      <w:r>
        <w:rPr>
          <w:rFonts w:hint="eastAsia"/>
        </w:rPr>
        <w:t>本文件适用于桉树人工林土壤</w:t>
      </w:r>
      <w:r>
        <w:rPr>
          <w:rFonts w:hint="eastAsia"/>
          <w:lang w:eastAsia="zh-CN"/>
        </w:rPr>
        <w:t>的</w:t>
      </w:r>
      <w:r>
        <w:rPr>
          <w:rFonts w:hint="eastAsia"/>
        </w:rPr>
        <w:t>调酸补镁</w:t>
      </w:r>
      <w:r>
        <w:rPr>
          <w:rFonts w:hint="eastAsia"/>
          <w:lang w:eastAsia="zh-CN"/>
        </w:rPr>
        <w:t>操作</w:t>
      </w:r>
      <w:r>
        <w:rPr>
          <w:rFonts w:hint="eastAsia"/>
        </w:rPr>
        <w:t>，其他</w:t>
      </w:r>
      <w:r>
        <w:rPr>
          <w:rFonts w:hint="eastAsia"/>
          <w:lang w:eastAsia="zh-CN"/>
        </w:rPr>
        <w:t>类型</w:t>
      </w:r>
      <w:r>
        <w:rPr>
          <w:rFonts w:hint="eastAsia"/>
        </w:rPr>
        <w:t>酸性土壤</w:t>
      </w:r>
      <w:r>
        <w:rPr>
          <w:rFonts w:hint="eastAsia"/>
          <w:lang w:eastAsia="zh-CN"/>
        </w:rPr>
        <w:t>调节</w:t>
      </w:r>
      <w:r>
        <w:rPr>
          <w:rFonts w:hint="eastAsia"/>
        </w:rPr>
        <w:t>可参照</w:t>
      </w:r>
      <w:r>
        <w:rPr>
          <w:rFonts w:hint="eastAsia"/>
          <w:lang w:eastAsia="zh-CN"/>
        </w:rPr>
        <w:t>执行</w:t>
      </w:r>
      <w:r>
        <w:rPr>
          <w:rFonts w:hint="eastAsia"/>
        </w:rPr>
        <w:t>。</w:t>
      </w:r>
    </w:p>
    <w:p w14:paraId="15B8C264">
      <w:pPr>
        <w:pStyle w:val="104"/>
        <w:spacing w:before="240" w:after="240"/>
      </w:pPr>
      <w:bookmarkStart w:id="51" w:name="_Toc97192965"/>
      <w:bookmarkStart w:id="52" w:name="_Toc207215361"/>
      <w:bookmarkStart w:id="53" w:name="_Toc15859"/>
      <w:bookmarkStart w:id="54" w:name="_Toc202821811"/>
      <w:bookmarkStart w:id="55" w:name="_Toc26986772"/>
      <w:bookmarkStart w:id="56" w:name="_Toc203065003"/>
      <w:bookmarkStart w:id="57" w:name="_Toc202821454"/>
      <w:bookmarkStart w:id="58" w:name="_Toc26718931"/>
      <w:bookmarkStart w:id="59" w:name="_Toc26986531"/>
      <w:r>
        <w:rPr>
          <w:rFonts w:hint="eastAsia"/>
        </w:rPr>
        <w:t>规范性引用文件</w:t>
      </w:r>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E91E8135723F43EEA44249300EEC364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6812B77">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C56E50">
      <w:pPr>
        <w:pStyle w:val="56"/>
        <w:ind w:firstLine="420"/>
      </w:pPr>
      <w:r>
        <w:rPr>
          <w:rFonts w:hint="eastAsia"/>
        </w:rPr>
        <w:t>GB/T 6274</w:t>
      </w:r>
      <w:r>
        <w:t xml:space="preserve"> </w:t>
      </w:r>
      <w:r>
        <w:rPr>
          <w:rFonts w:hint="eastAsia"/>
        </w:rPr>
        <w:t xml:space="preserve"> 肥料和土壤调理剂 </w:t>
      </w:r>
      <w:r>
        <w:t xml:space="preserve"> </w:t>
      </w:r>
      <w:r>
        <w:rPr>
          <w:rFonts w:hint="eastAsia"/>
        </w:rPr>
        <w:t>术语</w:t>
      </w:r>
    </w:p>
    <w:p w14:paraId="3D4DE83F">
      <w:pPr>
        <w:pStyle w:val="56"/>
        <w:ind w:firstLine="420"/>
      </w:pPr>
      <w:r>
        <w:rPr>
          <w:rFonts w:hint="eastAsia"/>
        </w:rPr>
        <w:t>GB 38400</w:t>
      </w:r>
      <w:r>
        <w:t xml:space="preserve">  </w:t>
      </w:r>
      <w:r>
        <w:rPr>
          <w:rFonts w:hint="eastAsia"/>
        </w:rPr>
        <w:t>肥料中有毒有害物质的限量要求</w:t>
      </w:r>
    </w:p>
    <w:p w14:paraId="18090E56">
      <w:pPr>
        <w:pStyle w:val="56"/>
        <w:ind w:firstLine="420"/>
      </w:pPr>
      <w:r>
        <w:rPr>
          <w:rFonts w:hint="eastAsia"/>
        </w:rPr>
        <w:t>LY/T 1245  森林土壤交换性钙与镁的测定</w:t>
      </w:r>
    </w:p>
    <w:p w14:paraId="2B74F7BD">
      <w:pPr>
        <w:pStyle w:val="56"/>
        <w:ind w:firstLine="420"/>
      </w:pPr>
      <w:r>
        <w:rPr>
          <w:rFonts w:hint="eastAsia"/>
        </w:rPr>
        <w:t>NY/T 1121.2  土壤检测  第2部分：土壤pH的测定</w:t>
      </w:r>
    </w:p>
    <w:p w14:paraId="05EB3308">
      <w:pPr>
        <w:pStyle w:val="104"/>
        <w:spacing w:before="240" w:after="240"/>
      </w:pPr>
      <w:bookmarkStart w:id="60" w:name="_Toc202821455"/>
      <w:bookmarkStart w:id="61" w:name="_Toc207215362"/>
      <w:bookmarkStart w:id="62" w:name="_Toc203065004"/>
      <w:bookmarkStart w:id="63" w:name="_Toc25865"/>
      <w:bookmarkStart w:id="64" w:name="_Toc97192966"/>
      <w:bookmarkStart w:id="65" w:name="_Toc202821812"/>
      <w:r>
        <w:rPr>
          <w:rFonts w:hint="eastAsia"/>
          <w:szCs w:val="21"/>
        </w:rPr>
        <w:t>术语和定义</w:t>
      </w:r>
      <w:bookmarkEnd w:id="60"/>
      <w:bookmarkEnd w:id="61"/>
      <w:bookmarkEnd w:id="62"/>
      <w:bookmarkEnd w:id="63"/>
      <w:bookmarkEnd w:id="64"/>
      <w:bookmarkEnd w:id="65"/>
    </w:p>
    <w:sdt>
      <w:sdtPr>
        <w:rPr>
          <w:shd w:val="clear" w:color="auto" w:fill="FFFFFF"/>
        </w:rPr>
        <w:id w:val="-1909835108"/>
        <w:placeholder>
          <w:docPart w:val="952B348A93854B0D919AFB215C752B0C"/>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shd w:val="clear" w:color="auto" w:fill="FFFFFF"/>
        </w:rPr>
      </w:sdtEndPr>
      <w:sdtContent>
        <w:p w14:paraId="48F86D0F">
          <w:pPr>
            <w:pStyle w:val="56"/>
            <w:ind w:firstLine="420"/>
          </w:pPr>
          <w:bookmarkStart w:id="66" w:name="_Toc26986532"/>
          <w:bookmarkEnd w:id="66"/>
          <w:r>
            <w:rPr>
              <w:rFonts w:ascii="宋体" w:hAnsi="Times New Roman" w:eastAsia="宋体" w:cs="Times New Roman"/>
              <w:sz w:val="21"/>
              <w:shd w:val="clear" w:color="auto" w:fill="FFFFFF"/>
              <w:lang w:val="en-US" w:eastAsia="zh-CN" w:bidi="ar-SA"/>
            </w:rPr>
            <w:t>本文件没有需要界定的术语和定义。</w:t>
          </w:r>
        </w:p>
      </w:sdtContent>
    </w:sdt>
    <w:p w14:paraId="0C3527EF">
      <w:pPr>
        <w:pStyle w:val="104"/>
        <w:spacing w:before="240" w:after="240"/>
      </w:pPr>
      <w:bookmarkStart w:id="67" w:name="_Toc207215363"/>
      <w:bookmarkStart w:id="68" w:name="_Toc6201"/>
      <w:bookmarkStart w:id="69" w:name="_Toc203065005"/>
      <w:bookmarkStart w:id="70" w:name="_Toc202821813"/>
      <w:bookmarkStart w:id="71" w:name="_Toc202821456"/>
      <w:r>
        <w:rPr>
          <w:rFonts w:hint="eastAsia"/>
        </w:rPr>
        <w:t>土壤状况调查</w:t>
      </w:r>
      <w:bookmarkEnd w:id="67"/>
      <w:bookmarkEnd w:id="68"/>
    </w:p>
    <w:p w14:paraId="7BF97411">
      <w:pPr>
        <w:pStyle w:val="105"/>
        <w:spacing w:before="120" w:after="120"/>
      </w:pPr>
      <w:bookmarkStart w:id="72" w:name="_Toc7105"/>
      <w:bookmarkStart w:id="73" w:name="_Toc207215364"/>
      <w:r>
        <w:rPr>
          <w:rFonts w:hint="eastAsia"/>
        </w:rPr>
        <w:t>调查对象</w:t>
      </w:r>
      <w:bookmarkEnd w:id="72"/>
      <w:bookmarkEnd w:id="73"/>
    </w:p>
    <w:p w14:paraId="57B313F4">
      <w:pPr>
        <w:pStyle w:val="56"/>
        <w:ind w:firstLine="420"/>
      </w:pPr>
      <w:r>
        <w:rPr>
          <w:rFonts w:hint="eastAsia"/>
        </w:rPr>
        <w:t>计划进行改良的桉树人工林地。</w:t>
      </w:r>
    </w:p>
    <w:p w14:paraId="577A43E4">
      <w:pPr>
        <w:pStyle w:val="105"/>
        <w:spacing w:before="120" w:after="120"/>
      </w:pPr>
      <w:bookmarkStart w:id="74" w:name="_Toc207215365"/>
      <w:bookmarkStart w:id="75" w:name="_Toc13970"/>
      <w:r>
        <w:rPr>
          <w:rFonts w:hint="eastAsia"/>
        </w:rPr>
        <w:t>采样时间</w:t>
      </w:r>
      <w:bookmarkEnd w:id="74"/>
      <w:bookmarkEnd w:id="75"/>
    </w:p>
    <w:p w14:paraId="5B964225">
      <w:pPr>
        <w:pStyle w:val="56"/>
        <w:ind w:firstLine="420"/>
      </w:pPr>
      <w:r>
        <w:rPr>
          <w:rFonts w:hint="eastAsia"/>
        </w:rPr>
        <w:t>宜在营林活动（如施</w:t>
      </w:r>
      <w:r>
        <w:rPr>
          <w:rFonts w:hint="eastAsia" w:hAnsi="宋体" w:cs="宋体"/>
        </w:rPr>
        <w:t>肥、炼山等）开始前或结束</w:t>
      </w:r>
      <w:r>
        <w:rPr>
          <w:rFonts w:hint="eastAsia"/>
        </w:rPr>
        <w:t>后至少3个月进行。</w:t>
      </w:r>
    </w:p>
    <w:p w14:paraId="1555A8FB">
      <w:pPr>
        <w:pStyle w:val="105"/>
        <w:spacing w:before="120" w:after="120"/>
      </w:pPr>
      <w:bookmarkStart w:id="76" w:name="_Toc16339"/>
      <w:bookmarkStart w:id="77" w:name="_Toc207215366"/>
      <w:r>
        <w:rPr>
          <w:rFonts w:hint="eastAsia"/>
        </w:rPr>
        <w:t>采样布点</w:t>
      </w:r>
      <w:bookmarkEnd w:id="76"/>
      <w:bookmarkEnd w:id="77"/>
    </w:p>
    <w:p w14:paraId="2F4ACB2D">
      <w:pPr>
        <w:pStyle w:val="56"/>
        <w:ind w:firstLine="420"/>
      </w:pPr>
      <w:r>
        <w:rPr>
          <w:rFonts w:hint="eastAsia"/>
        </w:rPr>
        <w:t>根据林地面积、地形地貌和土壤类型划分采样单元。一般平地每2～3公顷设置一个采样单元，丘陵、山地每1</w:t>
      </w:r>
      <w:bookmarkStart w:id="78" w:name="OLE_LINK6"/>
      <w:r>
        <w:rPr>
          <w:rFonts w:hint="eastAsia"/>
        </w:rPr>
        <w:t>～</w:t>
      </w:r>
      <w:bookmarkEnd w:id="78"/>
      <w:r>
        <w:rPr>
          <w:rFonts w:hint="eastAsia"/>
        </w:rPr>
        <w:t>2公顷设置一个采样单元。在每个单元内，沿“S”形或棋盘式随机选取15～20个样点，采集</w:t>
      </w:r>
      <w:bookmarkStart w:id="79" w:name="OLE_LINK10"/>
      <w:bookmarkStart w:id="80" w:name="OLE_LINK11"/>
      <w:r>
        <w:rPr>
          <w:rFonts w:hint="eastAsia"/>
        </w:rPr>
        <w:t>0</w:t>
      </w:r>
      <w:r>
        <w:rPr>
          <w:vertAlign w:val="superscript"/>
        </w:rPr>
        <w:t xml:space="preserve"> </w:t>
      </w:r>
      <w:r>
        <w:rPr>
          <w:rFonts w:hint="eastAsia"/>
        </w:rPr>
        <w:t>cm～40</w:t>
      </w:r>
      <w:bookmarkStart w:id="81" w:name="OLE_LINK7"/>
      <w:bookmarkStart w:id="82" w:name="OLE_LINK8"/>
      <w:r>
        <w:rPr>
          <w:vertAlign w:val="superscript"/>
        </w:rPr>
        <w:t xml:space="preserve"> </w:t>
      </w:r>
      <w:bookmarkEnd w:id="81"/>
      <w:bookmarkEnd w:id="82"/>
      <w:bookmarkStart w:id="83" w:name="OLE_LINK9"/>
      <w:r>
        <w:rPr>
          <w:rFonts w:hint="eastAsia"/>
        </w:rPr>
        <w:t>cm</w:t>
      </w:r>
      <w:bookmarkEnd w:id="79"/>
      <w:bookmarkEnd w:id="80"/>
      <w:bookmarkEnd w:id="83"/>
      <w:r>
        <w:rPr>
          <w:rFonts w:hint="eastAsia"/>
        </w:rPr>
        <w:t>土层土壤。</w:t>
      </w:r>
    </w:p>
    <w:p w14:paraId="71AA6DA3">
      <w:pPr>
        <w:pStyle w:val="105"/>
        <w:spacing w:before="120" w:after="120"/>
      </w:pPr>
      <w:bookmarkStart w:id="84" w:name="_Toc207215367"/>
      <w:bookmarkStart w:id="85" w:name="_Toc31014"/>
      <w:r>
        <w:rPr>
          <w:rFonts w:hint="eastAsia"/>
        </w:rPr>
        <w:t>样品处理与检测</w:t>
      </w:r>
      <w:bookmarkEnd w:id="84"/>
      <w:bookmarkEnd w:id="85"/>
    </w:p>
    <w:p w14:paraId="063828DA">
      <w:pPr>
        <w:pStyle w:val="56"/>
        <w:ind w:firstLine="420"/>
      </w:pPr>
      <w:r>
        <w:rPr>
          <w:rFonts w:hint="eastAsia"/>
        </w:rPr>
        <w:t>将同一采样单元内的各样点土壤混合均匀,采用四分法缩分至约1</w:t>
      </w:r>
      <w:r>
        <w:rPr>
          <w:vertAlign w:val="superscript"/>
        </w:rPr>
        <w:t xml:space="preserve"> </w:t>
      </w:r>
      <w:r>
        <w:rPr>
          <w:rFonts w:hint="eastAsia"/>
        </w:rPr>
        <w:t>kg,作为待测土样。土壤pH值按NY/T1121.</w:t>
      </w:r>
      <w:bookmarkStart w:id="140" w:name="_GoBack"/>
      <w:r>
        <w:rPr>
          <w:rFonts w:hint="eastAsia"/>
        </w:rPr>
        <w:t>2的规定执行，交换性镁含量按LY/T</w:t>
      </w:r>
      <w:r>
        <w:t xml:space="preserve"> </w:t>
      </w:r>
      <w:r>
        <w:rPr>
          <w:rFonts w:hint="eastAsia"/>
        </w:rPr>
        <w:t>1245的规定执行。</w:t>
      </w:r>
    </w:p>
    <w:bookmarkEnd w:id="69"/>
    <w:bookmarkEnd w:id="70"/>
    <w:bookmarkEnd w:id="71"/>
    <w:p w14:paraId="5178C90E">
      <w:pPr>
        <w:pStyle w:val="104"/>
        <w:spacing w:before="240" w:after="240"/>
      </w:pPr>
      <w:bookmarkStart w:id="86" w:name="_Toc207215368"/>
      <w:bookmarkStart w:id="87" w:name="_Toc26456"/>
      <w:r>
        <w:rPr>
          <w:rFonts w:hint="eastAsia"/>
        </w:rPr>
        <w:t>改良目标</w:t>
      </w:r>
      <w:bookmarkEnd w:id="86"/>
      <w:bookmarkEnd w:id="87"/>
      <w:r>
        <w:rPr>
          <w:rFonts w:hint="eastAsia"/>
          <w:lang w:eastAsia="zh-CN"/>
        </w:rPr>
        <w:t>确定</w:t>
      </w:r>
    </w:p>
    <w:p w14:paraId="1F99CCA1">
      <w:pPr>
        <w:pStyle w:val="105"/>
        <w:spacing w:before="120" w:after="120"/>
      </w:pPr>
      <w:bookmarkStart w:id="88" w:name="_Toc207215369"/>
      <w:bookmarkStart w:id="89" w:name="_Toc16885"/>
      <w:r>
        <w:rPr>
          <w:rFonts w:hint="eastAsia"/>
        </w:rPr>
        <w:t>调酸目标</w:t>
      </w:r>
      <w:bookmarkEnd w:id="88"/>
      <w:bookmarkEnd w:id="89"/>
    </w:p>
    <w:p w14:paraId="4BAA273D">
      <w:pPr>
        <w:pStyle w:val="56"/>
        <w:ind w:firstLine="420"/>
      </w:pPr>
      <w:r>
        <w:rPr>
          <w:rFonts w:hint="eastAsia"/>
        </w:rPr>
        <w:t>对于土壤pH值低于4.5的桉树人工林，改良后的目标为使</w:t>
      </w:r>
      <w:bookmarkStart w:id="90" w:name="OLE_LINK14"/>
      <w:bookmarkStart w:id="91" w:name="OLE_LINK15"/>
      <w:r>
        <w:rPr>
          <w:rFonts w:hint="eastAsia"/>
        </w:rPr>
        <w:t>0</w:t>
      </w:r>
      <w:r>
        <w:rPr>
          <w:rFonts w:hint="eastAsia"/>
          <w:vertAlign w:val="superscript"/>
        </w:rPr>
        <w:t xml:space="preserve"> </w:t>
      </w:r>
      <w:r>
        <w:rPr>
          <w:rFonts w:hint="eastAsia"/>
        </w:rPr>
        <w:t>cm</w:t>
      </w:r>
      <w:bookmarkStart w:id="92" w:name="OLE_LINK12"/>
      <w:bookmarkStart w:id="93" w:name="OLE_LINK13"/>
      <w:r>
        <w:rPr>
          <w:rFonts w:hint="eastAsia"/>
        </w:rPr>
        <w:t>～</w:t>
      </w:r>
      <w:bookmarkEnd w:id="92"/>
      <w:bookmarkEnd w:id="93"/>
      <w:r>
        <w:rPr>
          <w:rFonts w:hint="eastAsia"/>
        </w:rPr>
        <w:t>40</w:t>
      </w:r>
      <w:r>
        <w:rPr>
          <w:rFonts w:hint="eastAsia"/>
          <w:vertAlign w:val="superscript"/>
        </w:rPr>
        <w:t xml:space="preserve"> </w:t>
      </w:r>
      <w:r>
        <w:rPr>
          <w:rFonts w:hint="eastAsia"/>
        </w:rPr>
        <w:t>cm</w:t>
      </w:r>
      <w:bookmarkEnd w:id="90"/>
      <w:bookmarkEnd w:id="91"/>
      <w:r>
        <w:rPr>
          <w:rFonts w:hint="eastAsia"/>
        </w:rPr>
        <w:t>土层pH值提升至4.5～5.5范围内。</w:t>
      </w:r>
    </w:p>
    <w:p w14:paraId="61688CC1">
      <w:pPr>
        <w:pStyle w:val="105"/>
        <w:spacing w:before="120" w:after="120"/>
      </w:pPr>
      <w:bookmarkStart w:id="94" w:name="_Toc10096"/>
      <w:bookmarkStart w:id="95" w:name="_Toc207215370"/>
      <w:r>
        <w:rPr>
          <w:rFonts w:hint="eastAsia"/>
        </w:rPr>
        <w:t>补镁目标</w:t>
      </w:r>
      <w:bookmarkEnd w:id="94"/>
      <w:bookmarkEnd w:id="95"/>
    </w:p>
    <w:p w14:paraId="6F58EB50">
      <w:pPr>
        <w:pStyle w:val="56"/>
        <w:ind w:firstLine="420"/>
      </w:pPr>
      <w:r>
        <w:rPr>
          <w:rFonts w:hint="eastAsia"/>
        </w:rPr>
        <w:t>改良后，0</w:t>
      </w:r>
      <w:r>
        <w:rPr>
          <w:rFonts w:hint="eastAsia"/>
          <w:vertAlign w:val="superscript"/>
        </w:rPr>
        <w:t xml:space="preserve"> </w:t>
      </w:r>
      <w:r>
        <w:rPr>
          <w:rFonts w:hint="eastAsia"/>
        </w:rPr>
        <w:t>cm～40</w:t>
      </w:r>
      <w:r>
        <w:rPr>
          <w:rFonts w:hint="eastAsia"/>
          <w:vertAlign w:val="superscript"/>
        </w:rPr>
        <w:t xml:space="preserve"> </w:t>
      </w:r>
      <w:r>
        <w:rPr>
          <w:rFonts w:hint="eastAsia"/>
        </w:rPr>
        <w:t>cm土层交换性镁含量应达到或超过40</w:t>
      </w:r>
      <w:r>
        <w:rPr>
          <w:vertAlign w:val="superscript"/>
        </w:rPr>
        <w:t xml:space="preserve"> </w:t>
      </w:r>
      <w:r>
        <w:rPr>
          <w:rFonts w:hint="eastAsia"/>
        </w:rPr>
        <w:t>mg/kg。</w:t>
      </w:r>
    </w:p>
    <w:p w14:paraId="3672F1AF">
      <w:pPr>
        <w:pStyle w:val="104"/>
        <w:spacing w:before="240" w:after="240"/>
      </w:pPr>
      <w:bookmarkStart w:id="96" w:name="_Toc207215371"/>
      <w:bookmarkStart w:id="97" w:name="_Toc10296"/>
      <w:r>
        <w:rPr>
          <w:rFonts w:hint="eastAsia"/>
        </w:rPr>
        <w:t>调酸补镁材料</w:t>
      </w:r>
      <w:bookmarkEnd w:id="96"/>
      <w:bookmarkEnd w:id="97"/>
      <w:r>
        <w:rPr>
          <w:rFonts w:hint="eastAsia"/>
          <w:lang w:eastAsia="zh-CN"/>
        </w:rPr>
        <w:t>选择</w:t>
      </w:r>
    </w:p>
    <w:p w14:paraId="3140BE4F">
      <w:pPr>
        <w:pStyle w:val="105"/>
        <w:spacing w:before="120" w:after="120"/>
      </w:pPr>
      <w:bookmarkStart w:id="98" w:name="_Toc207215372"/>
      <w:r>
        <w:rPr>
          <w:rFonts w:hint="eastAsia"/>
        </w:rPr>
        <w:t>牡蛎壳调酸</w:t>
      </w:r>
      <w:r>
        <w:rPr>
          <w:rFonts w:hint="eastAsia" w:ascii="宋体" w:eastAsia="宋体"/>
          <w:b/>
          <w:bCs/>
        </w:rPr>
        <w:t>补镁</w:t>
      </w:r>
      <w:r>
        <w:rPr>
          <w:rFonts w:hint="eastAsia"/>
        </w:rPr>
        <w:t>剂</w:t>
      </w:r>
      <w:bookmarkEnd w:id="98"/>
    </w:p>
    <w:p w14:paraId="7C54CFB1">
      <w:pPr>
        <w:pStyle w:val="56"/>
        <w:ind w:firstLine="420"/>
      </w:pPr>
      <w:r>
        <w:rPr>
          <w:rFonts w:hint="eastAsia"/>
        </w:rPr>
        <w:t>选择煅烧后过筛制成的、粒度均匀、粒度为2</w:t>
      </w:r>
      <w:r>
        <w:rPr>
          <w:rFonts w:hint="eastAsia"/>
          <w:vertAlign w:val="superscript"/>
        </w:rPr>
        <w:t xml:space="preserve"> </w:t>
      </w:r>
      <w:r>
        <w:rPr>
          <w:rFonts w:hint="eastAsia"/>
        </w:rPr>
        <w:t>mm的牡蛎壳调酸剂，重金属含量符合GB 38400的要求。</w:t>
      </w:r>
    </w:p>
    <w:p w14:paraId="52976174">
      <w:pPr>
        <w:pStyle w:val="105"/>
        <w:spacing w:before="120" w:after="120"/>
      </w:pPr>
      <w:bookmarkStart w:id="99" w:name="_Toc207215373"/>
      <w:r>
        <w:rPr>
          <w:rFonts w:hint="eastAsia"/>
        </w:rPr>
        <w:t>有机无机复配调酸剂</w:t>
      </w:r>
      <w:bookmarkEnd w:id="99"/>
    </w:p>
    <w:p w14:paraId="55DD9527">
      <w:pPr>
        <w:pStyle w:val="56"/>
        <w:ind w:firstLine="420"/>
      </w:pPr>
      <w:r>
        <w:rPr>
          <w:rFonts w:hint="eastAsia"/>
        </w:rPr>
        <w:t>选择腐植酸盐类（腐殖酸（干基）含量≥50％、Na</w:t>
      </w:r>
      <w:r>
        <w:rPr>
          <w:rFonts w:hint="eastAsia"/>
          <w:vertAlign w:val="superscript"/>
        </w:rPr>
        <w:t>+</w:t>
      </w:r>
      <w:r>
        <w:rPr>
          <w:rFonts w:hint="eastAsia"/>
        </w:rPr>
        <w:t>含量≤5％、pH值≥8.0、重金属含量符合GB 38400）、黄腐酸盐类（黄腐酸（干基）含量≥55％、K</w:t>
      </w:r>
      <w:r>
        <w:rPr>
          <w:rFonts w:hint="eastAsia"/>
          <w:vertAlign w:val="subscript"/>
        </w:rPr>
        <w:t>2</w:t>
      </w:r>
      <w:r>
        <w:rPr>
          <w:rFonts w:hint="eastAsia"/>
        </w:rPr>
        <w:t>O含量≥10％、pH值≥8.0、重金属含量符合GB 38400）和氨基寡糖类（分子量范围为1000～3000、总糖范围≥85％、pH值≥5.0、重金属含量符合GB 38400）有机改良剂，与磷酸二氢钾（分析纯）和磷酸氢二钾（分析纯）无机缓冲剂配置有机无机复配调酸剂，宜采用以下高效配方：</w:t>
      </w:r>
    </w:p>
    <w:p w14:paraId="3AFD9849">
      <w:pPr>
        <w:pStyle w:val="56"/>
        <w:ind w:firstLine="420"/>
      </w:pPr>
      <w:r>
        <w:rPr>
          <w:rFonts w:hint="eastAsia"/>
        </w:rPr>
        <w:t>——配方A：氨基寡糖类+磷酸氢二钾（5:1）；</w:t>
      </w:r>
    </w:p>
    <w:p w14:paraId="5BFBFF84">
      <w:pPr>
        <w:pStyle w:val="56"/>
        <w:ind w:firstLine="420"/>
      </w:pPr>
      <w:r>
        <w:rPr>
          <w:rFonts w:hint="eastAsia"/>
        </w:rPr>
        <w:t>——配方B：黄腐酸盐+磷酸二氢钾（10:1）；</w:t>
      </w:r>
    </w:p>
    <w:p w14:paraId="1407E11F">
      <w:pPr>
        <w:pStyle w:val="56"/>
        <w:ind w:firstLine="420"/>
      </w:pPr>
      <w:r>
        <w:rPr>
          <w:rFonts w:hint="eastAsia"/>
        </w:rPr>
        <w:t>——配方C：腐植酸盐+磷酸二氢钾（10:1）。</w:t>
      </w:r>
    </w:p>
    <w:p w14:paraId="533928C7">
      <w:pPr>
        <w:pStyle w:val="104"/>
        <w:spacing w:before="240" w:after="240"/>
      </w:pPr>
      <w:bookmarkStart w:id="100" w:name="_Toc7847"/>
      <w:bookmarkStart w:id="101" w:name="_Toc202821459"/>
      <w:bookmarkStart w:id="102" w:name="_Toc207215374"/>
      <w:bookmarkStart w:id="103" w:name="_Toc202821816"/>
      <w:bookmarkStart w:id="104" w:name="_Toc203065008"/>
      <w:r>
        <w:rPr>
          <w:rFonts w:hint="eastAsia"/>
        </w:rPr>
        <w:t>调酸补镁</w:t>
      </w:r>
      <w:r>
        <w:rPr>
          <w:rFonts w:hint="eastAsia"/>
          <w:lang w:eastAsia="zh-CN"/>
        </w:rPr>
        <w:t>材料</w:t>
      </w:r>
      <w:bookmarkEnd w:id="100"/>
      <w:bookmarkEnd w:id="101"/>
      <w:bookmarkEnd w:id="102"/>
      <w:bookmarkEnd w:id="103"/>
      <w:bookmarkEnd w:id="104"/>
      <w:r>
        <w:rPr>
          <w:rFonts w:hint="eastAsia"/>
          <w:lang w:eastAsia="zh-CN"/>
        </w:rPr>
        <w:t>施用</w:t>
      </w:r>
    </w:p>
    <w:p w14:paraId="2608A93A">
      <w:pPr>
        <w:pStyle w:val="105"/>
        <w:spacing w:before="120" w:after="120"/>
      </w:pPr>
      <w:bookmarkStart w:id="105" w:name="_Toc27572"/>
      <w:bookmarkStart w:id="106" w:name="_Toc207215375"/>
      <w:r>
        <w:rPr>
          <w:rFonts w:hint="eastAsia"/>
        </w:rPr>
        <w:t>施用对象</w:t>
      </w:r>
      <w:bookmarkEnd w:id="105"/>
      <w:bookmarkEnd w:id="106"/>
    </w:p>
    <w:p w14:paraId="2110CEDB">
      <w:pPr>
        <w:pStyle w:val="56"/>
        <w:ind w:firstLine="420"/>
      </w:pPr>
      <w:r>
        <w:rPr>
          <w:rFonts w:hint="eastAsia"/>
        </w:rPr>
        <w:t>经调查确认土壤pH值低于4.5的桉树人工林。</w:t>
      </w:r>
    </w:p>
    <w:p w14:paraId="05FA51CE">
      <w:pPr>
        <w:pStyle w:val="105"/>
        <w:spacing w:before="120" w:after="120"/>
      </w:pPr>
      <w:bookmarkStart w:id="107" w:name="_Toc25452"/>
      <w:bookmarkStart w:id="108" w:name="_Toc207215376"/>
      <w:bookmarkStart w:id="109" w:name="_Toc202821461"/>
      <w:bookmarkStart w:id="110" w:name="_Toc203065011"/>
      <w:bookmarkStart w:id="111" w:name="_Toc202821818"/>
      <w:r>
        <w:rPr>
          <w:rFonts w:hint="eastAsia"/>
        </w:rPr>
        <w:t>施用时间</w:t>
      </w:r>
      <w:bookmarkEnd w:id="107"/>
      <w:bookmarkEnd w:id="108"/>
      <w:bookmarkEnd w:id="109"/>
      <w:bookmarkEnd w:id="110"/>
      <w:bookmarkEnd w:id="111"/>
    </w:p>
    <w:p w14:paraId="1A3092D5">
      <w:pPr>
        <w:pStyle w:val="56"/>
        <w:ind w:firstLine="420"/>
      </w:pPr>
      <w:r>
        <w:rPr>
          <w:rFonts w:hint="eastAsia"/>
        </w:rPr>
        <w:t>结合桉树人工林施基肥、追肥时施用调酸补镁剂，新造林为整地时或栽植前15</w:t>
      </w:r>
      <w:r>
        <w:rPr>
          <w:vertAlign w:val="superscript"/>
        </w:rPr>
        <w:t xml:space="preserve"> </w:t>
      </w:r>
      <w:r>
        <w:t>d</w:t>
      </w:r>
      <w:r>
        <w:rPr>
          <w:rFonts w:hint="eastAsia"/>
        </w:rPr>
        <w:t>；成林为伐后更新期或雨季前。</w:t>
      </w:r>
    </w:p>
    <w:p w14:paraId="6B512E8F">
      <w:pPr>
        <w:pStyle w:val="105"/>
        <w:spacing w:before="120" w:after="120"/>
      </w:pPr>
      <w:bookmarkStart w:id="112" w:name="_Toc207215377"/>
      <w:bookmarkStart w:id="113" w:name="_Toc20441"/>
      <w:bookmarkStart w:id="114" w:name="_Toc203065012"/>
      <w:r>
        <w:rPr>
          <w:rFonts w:hint="eastAsia"/>
        </w:rPr>
        <w:t>施用方法</w:t>
      </w:r>
      <w:bookmarkEnd w:id="112"/>
      <w:bookmarkEnd w:id="113"/>
      <w:bookmarkEnd w:id="114"/>
    </w:p>
    <w:p w14:paraId="7C2578FB">
      <w:pPr>
        <w:pStyle w:val="56"/>
        <w:ind w:firstLine="420"/>
      </w:pPr>
      <w:r>
        <w:rPr>
          <w:rFonts w:hint="eastAsia"/>
        </w:rPr>
        <w:t>每株桉树调酸材料施用量为0.5</w:t>
      </w:r>
      <w:r>
        <w:rPr>
          <w:vertAlign w:val="superscript"/>
        </w:rPr>
        <w:t xml:space="preserve"> </w:t>
      </w:r>
      <w:r>
        <w:rPr>
          <w:rFonts w:hint="eastAsia"/>
        </w:rPr>
        <w:t>kg，施用频率为1次/年。0</w:t>
      </w:r>
      <w:r>
        <w:rPr>
          <w:vertAlign w:val="superscript"/>
        </w:rPr>
        <w:t xml:space="preserve"> </w:t>
      </w:r>
      <w:r>
        <w:rPr>
          <w:rFonts w:hint="eastAsia"/>
        </w:rPr>
        <w:t>cm</w:t>
      </w:r>
      <w:bookmarkStart w:id="115" w:name="OLE_LINK56"/>
      <w:bookmarkStart w:id="116" w:name="OLE_LINK57"/>
      <w:r>
        <w:rPr>
          <w:rFonts w:hint="eastAsia"/>
        </w:rPr>
        <w:t>～</w:t>
      </w:r>
      <w:bookmarkEnd w:id="115"/>
      <w:bookmarkEnd w:id="116"/>
      <w:r>
        <w:rPr>
          <w:rFonts w:hint="eastAsia"/>
        </w:rPr>
        <w:t>40</w:t>
      </w:r>
      <w:r>
        <w:rPr>
          <w:vertAlign w:val="superscript"/>
        </w:rPr>
        <w:t xml:space="preserve"> </w:t>
      </w:r>
      <w:r>
        <w:rPr>
          <w:rFonts w:hint="eastAsia"/>
        </w:rPr>
        <w:t>cm土层为重点改良层位，具体施用方法如下</w:t>
      </w:r>
      <w:r>
        <w:t>：</w:t>
      </w:r>
    </w:p>
    <w:p w14:paraId="4CADB204">
      <w:pPr>
        <w:pStyle w:val="132"/>
      </w:pPr>
      <w:r>
        <w:rPr>
          <w:rFonts w:hint="eastAsia"/>
        </w:rPr>
        <w:t>沟施：沿树冠投影线开沟（深20</w:t>
      </w:r>
      <w:r>
        <w:rPr>
          <w:rFonts w:hint="eastAsia"/>
          <w:vertAlign w:val="superscript"/>
        </w:rPr>
        <w:t xml:space="preserve"> </w:t>
      </w:r>
      <w:r>
        <w:rPr>
          <w:rFonts w:hint="eastAsia"/>
        </w:rPr>
        <w:t>cm～30</w:t>
      </w:r>
      <w:r>
        <w:rPr>
          <w:rFonts w:hint="eastAsia"/>
          <w:vertAlign w:val="superscript"/>
        </w:rPr>
        <w:t xml:space="preserve"> </w:t>
      </w:r>
      <w:r>
        <w:rPr>
          <w:rFonts w:hint="eastAsia"/>
        </w:rPr>
        <w:t>cm），施后覆土；</w:t>
      </w:r>
    </w:p>
    <w:p w14:paraId="69CEE279">
      <w:pPr>
        <w:pStyle w:val="132"/>
      </w:pPr>
      <w:r>
        <w:rPr>
          <w:rFonts w:hint="eastAsia"/>
        </w:rPr>
        <w:t>穴施：在距离桉树树干基部30</w:t>
      </w:r>
      <w:r>
        <w:rPr>
          <w:rFonts w:hint="eastAsia"/>
          <w:vertAlign w:val="superscript"/>
        </w:rPr>
        <w:t xml:space="preserve"> </w:t>
      </w:r>
      <w:r>
        <w:rPr>
          <w:rFonts w:hint="eastAsia"/>
        </w:rPr>
        <w:t>cm～50</w:t>
      </w:r>
      <w:r>
        <w:rPr>
          <w:rFonts w:hint="eastAsia"/>
          <w:vertAlign w:val="superscript"/>
        </w:rPr>
        <w:t xml:space="preserve"> </w:t>
      </w:r>
      <w:r>
        <w:rPr>
          <w:rFonts w:hint="eastAsia"/>
        </w:rPr>
        <w:t>cm处开挖深度10</w:t>
      </w:r>
      <w:r>
        <w:rPr>
          <w:vertAlign w:val="superscript"/>
        </w:rPr>
        <w:t xml:space="preserve"> </w:t>
      </w:r>
      <w:r>
        <w:rPr>
          <w:rFonts w:hint="eastAsia"/>
        </w:rPr>
        <w:t>cm～15</w:t>
      </w:r>
      <w:r>
        <w:rPr>
          <w:vertAlign w:val="superscript"/>
        </w:rPr>
        <w:t xml:space="preserve"> </w:t>
      </w:r>
      <w:r>
        <w:rPr>
          <w:rFonts w:hint="eastAsia"/>
        </w:rPr>
        <w:t>cm的穴，将调酸剂均匀撒入后覆土。</w:t>
      </w:r>
    </w:p>
    <w:p w14:paraId="4250E055">
      <w:pPr>
        <w:pStyle w:val="104"/>
        <w:spacing w:before="240" w:after="240"/>
      </w:pPr>
      <w:bookmarkStart w:id="117" w:name="_Toc202821820"/>
      <w:bookmarkStart w:id="118" w:name="_Toc203065013"/>
      <w:bookmarkStart w:id="119" w:name="_Toc207215378"/>
      <w:bookmarkStart w:id="120" w:name="_Toc202821463"/>
      <w:bookmarkStart w:id="121" w:name="_Toc32581"/>
      <w:r>
        <w:rPr>
          <w:rFonts w:hint="eastAsia"/>
        </w:rPr>
        <w:t>效果评价</w:t>
      </w:r>
      <w:bookmarkEnd w:id="117"/>
      <w:bookmarkEnd w:id="118"/>
      <w:bookmarkEnd w:id="119"/>
      <w:bookmarkEnd w:id="120"/>
      <w:bookmarkEnd w:id="121"/>
    </w:p>
    <w:p w14:paraId="50D66FD8">
      <w:pPr>
        <w:pStyle w:val="56"/>
        <w:ind w:firstLine="420"/>
        <w:rPr>
          <w:rFonts w:ascii="Times New Roman"/>
        </w:rPr>
      </w:pPr>
      <w:bookmarkStart w:id="122" w:name="OLE_LINK2"/>
      <w:bookmarkStart w:id="123" w:name="OLE_LINK1"/>
      <w:r>
        <w:rPr>
          <w:rFonts w:hint="eastAsia"/>
        </w:rPr>
        <w:t>施用调酸补镁剂后6个月，评估土壤pH值和交换性镁离子等指标，</w:t>
      </w:r>
      <w:r>
        <w:rPr>
          <w:rFonts w:ascii="Times New Roman"/>
        </w:rPr>
        <w:t>当</w:t>
      </w:r>
      <w:r>
        <w:rPr>
          <w:rFonts w:hint="eastAsia"/>
        </w:rPr>
        <w:t>监测pH增高为4.5～5.5，交换性镁离子≥40</w:t>
      </w:r>
      <w:r>
        <w:rPr>
          <w:rFonts w:hint="eastAsia"/>
          <w:vertAlign w:val="superscript"/>
        </w:rPr>
        <w:t xml:space="preserve"> </w:t>
      </w:r>
      <w:r>
        <w:rPr>
          <w:rFonts w:hint="eastAsia"/>
        </w:rPr>
        <w:t>mg/kg，</w:t>
      </w:r>
      <w:r>
        <w:rPr>
          <w:rFonts w:ascii="Times New Roman"/>
        </w:rPr>
        <w:t>即为改良达标。</w:t>
      </w:r>
      <w:bookmarkEnd w:id="122"/>
      <w:bookmarkEnd w:id="123"/>
    </w:p>
    <w:p w14:paraId="1890F2D7">
      <w:pPr>
        <w:pStyle w:val="104"/>
        <w:spacing w:before="240" w:after="240"/>
      </w:pPr>
      <w:bookmarkStart w:id="124" w:name="_Toc203065014"/>
      <w:bookmarkStart w:id="125" w:name="_Toc1183"/>
      <w:bookmarkStart w:id="126" w:name="_Toc202821464"/>
      <w:bookmarkStart w:id="127" w:name="_Toc207215379"/>
      <w:bookmarkStart w:id="128" w:name="_Toc202821821"/>
      <w:r>
        <w:rPr>
          <w:rFonts w:hint="eastAsia"/>
        </w:rPr>
        <w:t>档案</w:t>
      </w:r>
      <w:r>
        <w:t>记录</w:t>
      </w:r>
      <w:bookmarkEnd w:id="124"/>
      <w:bookmarkEnd w:id="125"/>
      <w:bookmarkEnd w:id="126"/>
      <w:bookmarkEnd w:id="127"/>
      <w:bookmarkEnd w:id="128"/>
    </w:p>
    <w:p w14:paraId="584394A6">
      <w:pPr>
        <w:pStyle w:val="56"/>
        <w:ind w:firstLine="420"/>
      </w:pPr>
      <w:r>
        <w:rPr>
          <w:rFonts w:hint="eastAsia"/>
        </w:rPr>
        <w:t>应建立调酸补镁记录档案，内容包括土壤检测报告、材料施用记录、效果监测数据，并妥善保存2年以上。施用记录表见</w:t>
      </w:r>
      <w:r>
        <w:t>附录</w:t>
      </w:r>
      <w:r>
        <w:rPr>
          <w:rFonts w:hint="eastAsia"/>
        </w:rPr>
        <w:t>A。</w:t>
      </w:r>
    </w:p>
    <w:p w14:paraId="57B2BA8F">
      <w:pPr>
        <w:pStyle w:val="56"/>
        <w:ind w:firstLine="420"/>
        <w:sectPr>
          <w:pgSz w:w="11906" w:h="16838"/>
          <w:pgMar w:top="1928" w:right="1134" w:bottom="1134" w:left="1134" w:header="1418" w:footer="1134" w:gutter="284"/>
          <w:pgNumType w:start="1"/>
          <w:cols w:space="425" w:num="1"/>
          <w:formProt w:val="0"/>
          <w:docGrid w:linePitch="312" w:charSpace="0"/>
        </w:sectPr>
      </w:pPr>
      <w:bookmarkEnd w:id="140"/>
    </w:p>
    <w:bookmarkEnd w:id="30"/>
    <w:p w14:paraId="591F7A7F">
      <w:pPr>
        <w:pStyle w:val="198"/>
      </w:pPr>
      <w:bookmarkStart w:id="129" w:name="BookMark5"/>
    </w:p>
    <w:p w14:paraId="5DDA6B31">
      <w:pPr>
        <w:pStyle w:val="199"/>
      </w:pPr>
    </w:p>
    <w:p w14:paraId="502E9784">
      <w:pPr>
        <w:pStyle w:val="76"/>
        <w:spacing w:after="120"/>
      </w:pPr>
      <w:bookmarkStart w:id="130" w:name="_Toc9382"/>
      <w:r>
        <w:br w:type="textWrapping"/>
      </w:r>
      <w:bookmarkStart w:id="131" w:name="_Toc207215380"/>
      <w:r>
        <w:rPr>
          <w:rFonts w:hint="eastAsia"/>
        </w:rPr>
        <w:t>（资料性）</w:t>
      </w:r>
      <w:r>
        <w:br w:type="textWrapping"/>
      </w:r>
      <w:bookmarkEnd w:id="130"/>
      <w:r>
        <w:rPr>
          <w:rFonts w:hint="eastAsia"/>
        </w:rPr>
        <w:t>施用记录表</w:t>
      </w:r>
      <w:bookmarkEnd w:id="131"/>
    </w:p>
    <w:p w14:paraId="72C613A2">
      <w:pPr>
        <w:pStyle w:val="56"/>
        <w:ind w:firstLine="420"/>
      </w:pPr>
      <w:bookmarkStart w:id="132" w:name="OLE_LINK54"/>
      <w:r>
        <w:rPr>
          <w:rFonts w:hint="eastAsia"/>
        </w:rPr>
        <w:t>调酸</w:t>
      </w:r>
      <w:r>
        <w:t>补镁施用记录表</w:t>
      </w:r>
      <w:bookmarkEnd w:id="132"/>
      <w:r>
        <w:t>见表</w:t>
      </w:r>
      <w:r>
        <w:rPr>
          <w:rFonts w:hint="eastAsia"/>
        </w:rPr>
        <w:t>A</w:t>
      </w:r>
      <w:r>
        <w:t>.1</w:t>
      </w:r>
      <w:r>
        <w:rPr>
          <w:rFonts w:hint="eastAsia"/>
        </w:rPr>
        <w:t>。</w:t>
      </w:r>
    </w:p>
    <w:p w14:paraId="4CFC0B45">
      <w:pPr>
        <w:pStyle w:val="77"/>
        <w:spacing w:before="120" w:after="120"/>
      </w:pPr>
      <w:bookmarkStart w:id="133" w:name="OLE_LINK55"/>
      <w:r>
        <w:rPr>
          <w:rFonts w:hint="eastAsia"/>
        </w:rPr>
        <w:t>调酸补镁施用记录表</w:t>
      </w:r>
      <w:bookmarkEnd w:id="133"/>
    </w:p>
    <w:tbl>
      <w:tblPr>
        <w:tblStyle w:val="27"/>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63"/>
        <w:gridCol w:w="3415"/>
        <w:gridCol w:w="2375"/>
        <w:gridCol w:w="2517"/>
      </w:tblGrid>
      <w:tr w14:paraId="7B1511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5000" w:type="pct"/>
            <w:gridSpan w:val="4"/>
          </w:tcPr>
          <w:p w14:paraId="055B06F2">
            <w:pPr>
              <w:jc w:val="center"/>
              <w:rPr>
                <w:rFonts w:ascii="宋体" w:hAnsi="宋体"/>
                <w:sz w:val="18"/>
                <w:szCs w:val="18"/>
              </w:rPr>
            </w:pPr>
            <w:r>
              <w:rPr>
                <w:rFonts w:hint="eastAsia" w:ascii="宋体" w:hAnsi="宋体"/>
                <w:sz w:val="18"/>
                <w:szCs w:val="18"/>
              </w:rPr>
              <w:t>样地基本信息</w:t>
            </w:r>
          </w:p>
        </w:tc>
      </w:tr>
      <w:tr w14:paraId="11FB18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3110E458">
            <w:pPr>
              <w:rPr>
                <w:rFonts w:ascii="宋体" w:hAnsi="宋体"/>
                <w:sz w:val="18"/>
                <w:szCs w:val="18"/>
              </w:rPr>
            </w:pPr>
            <w:r>
              <w:rPr>
                <w:rFonts w:hint="eastAsia" w:ascii="宋体" w:hAnsi="宋体"/>
                <w:sz w:val="18"/>
                <w:szCs w:val="18"/>
              </w:rPr>
              <w:t>林场</w:t>
            </w:r>
          </w:p>
        </w:tc>
        <w:tc>
          <w:tcPr>
            <w:tcW w:w="1784" w:type="pct"/>
          </w:tcPr>
          <w:p w14:paraId="431D1C46">
            <w:pPr>
              <w:rPr>
                <w:rFonts w:ascii="宋体" w:hAnsi="宋体"/>
                <w:sz w:val="18"/>
                <w:szCs w:val="18"/>
              </w:rPr>
            </w:pPr>
          </w:p>
        </w:tc>
        <w:tc>
          <w:tcPr>
            <w:tcW w:w="1241" w:type="pct"/>
          </w:tcPr>
          <w:p w14:paraId="6F051694">
            <w:pPr>
              <w:rPr>
                <w:rFonts w:ascii="宋体" w:hAnsi="宋体"/>
                <w:sz w:val="18"/>
                <w:szCs w:val="18"/>
              </w:rPr>
            </w:pPr>
            <w:r>
              <w:rPr>
                <w:rFonts w:hint="eastAsia" w:ascii="宋体" w:hAnsi="宋体"/>
                <w:sz w:val="18"/>
                <w:szCs w:val="18"/>
              </w:rPr>
              <w:t>造林时间/方式</w:t>
            </w:r>
          </w:p>
        </w:tc>
        <w:tc>
          <w:tcPr>
            <w:tcW w:w="1312" w:type="pct"/>
          </w:tcPr>
          <w:p w14:paraId="7DEA7F34">
            <w:pPr>
              <w:rPr>
                <w:rFonts w:ascii="宋体" w:hAnsi="宋体"/>
                <w:sz w:val="18"/>
                <w:szCs w:val="18"/>
              </w:rPr>
            </w:pPr>
          </w:p>
        </w:tc>
      </w:tr>
      <w:tr w14:paraId="2F24B4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660" w:type="pct"/>
          </w:tcPr>
          <w:p w14:paraId="0128BF5B">
            <w:pPr>
              <w:rPr>
                <w:rFonts w:ascii="宋体" w:hAnsi="宋体"/>
                <w:sz w:val="18"/>
                <w:szCs w:val="18"/>
              </w:rPr>
            </w:pPr>
            <w:r>
              <w:rPr>
                <w:rFonts w:hint="eastAsia" w:ascii="宋体" w:hAnsi="宋体"/>
                <w:sz w:val="18"/>
                <w:szCs w:val="18"/>
              </w:rPr>
              <w:t>地块</w:t>
            </w:r>
          </w:p>
        </w:tc>
        <w:tc>
          <w:tcPr>
            <w:tcW w:w="1784" w:type="pct"/>
          </w:tcPr>
          <w:p w14:paraId="472D1B26">
            <w:pPr>
              <w:rPr>
                <w:rFonts w:ascii="宋体" w:hAnsi="宋体"/>
                <w:sz w:val="18"/>
                <w:szCs w:val="18"/>
              </w:rPr>
            </w:pPr>
          </w:p>
        </w:tc>
        <w:tc>
          <w:tcPr>
            <w:tcW w:w="1241" w:type="pct"/>
          </w:tcPr>
          <w:p w14:paraId="5DC34394">
            <w:pPr>
              <w:rPr>
                <w:rFonts w:ascii="宋体" w:hAnsi="宋体"/>
                <w:sz w:val="18"/>
                <w:szCs w:val="18"/>
              </w:rPr>
            </w:pPr>
            <w:r>
              <w:rPr>
                <w:rFonts w:hint="eastAsia" w:ascii="宋体" w:hAnsi="宋体"/>
                <w:sz w:val="18"/>
                <w:szCs w:val="18"/>
              </w:rPr>
              <w:t>本底pH值</w:t>
            </w:r>
          </w:p>
        </w:tc>
        <w:tc>
          <w:tcPr>
            <w:tcW w:w="1312" w:type="pct"/>
          </w:tcPr>
          <w:p w14:paraId="327DA670">
            <w:pPr>
              <w:rPr>
                <w:rFonts w:ascii="宋体" w:hAnsi="宋体"/>
                <w:sz w:val="18"/>
                <w:szCs w:val="18"/>
              </w:rPr>
            </w:pPr>
          </w:p>
        </w:tc>
      </w:tr>
      <w:tr w14:paraId="74DA6A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12009EF7">
            <w:pPr>
              <w:rPr>
                <w:rFonts w:ascii="宋体" w:hAnsi="宋体"/>
                <w:sz w:val="18"/>
                <w:szCs w:val="18"/>
              </w:rPr>
            </w:pPr>
            <w:r>
              <w:rPr>
                <w:rFonts w:hint="eastAsia" w:ascii="宋体" w:hAnsi="宋体"/>
                <w:sz w:val="18"/>
                <w:szCs w:val="18"/>
              </w:rPr>
              <w:t>面积</w:t>
            </w:r>
          </w:p>
        </w:tc>
        <w:tc>
          <w:tcPr>
            <w:tcW w:w="1784" w:type="pct"/>
          </w:tcPr>
          <w:p w14:paraId="020EE676">
            <w:pPr>
              <w:rPr>
                <w:rFonts w:ascii="宋体" w:hAnsi="宋体"/>
                <w:sz w:val="18"/>
                <w:szCs w:val="18"/>
              </w:rPr>
            </w:pPr>
          </w:p>
        </w:tc>
        <w:tc>
          <w:tcPr>
            <w:tcW w:w="1241" w:type="pct"/>
          </w:tcPr>
          <w:p w14:paraId="7AD54935">
            <w:pPr>
              <w:rPr>
                <w:rFonts w:ascii="宋体" w:hAnsi="宋体"/>
                <w:sz w:val="18"/>
                <w:szCs w:val="18"/>
              </w:rPr>
            </w:pPr>
            <w:r>
              <w:rPr>
                <w:rFonts w:hint="eastAsia" w:ascii="宋体" w:hAnsi="宋体"/>
                <w:sz w:val="18"/>
                <w:szCs w:val="18"/>
              </w:rPr>
              <w:t>本底交换性镁含量</w:t>
            </w:r>
          </w:p>
        </w:tc>
        <w:tc>
          <w:tcPr>
            <w:tcW w:w="1312" w:type="pct"/>
          </w:tcPr>
          <w:p w14:paraId="322AF24D">
            <w:pPr>
              <w:rPr>
                <w:rFonts w:ascii="宋体" w:hAnsi="宋体"/>
                <w:sz w:val="18"/>
                <w:szCs w:val="18"/>
              </w:rPr>
            </w:pPr>
          </w:p>
        </w:tc>
      </w:tr>
      <w:tr w14:paraId="4561F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Pr>
          <w:p w14:paraId="2F59E4E8">
            <w:pPr>
              <w:jc w:val="center"/>
              <w:rPr>
                <w:rFonts w:ascii="宋体" w:hAnsi="宋体"/>
                <w:sz w:val="18"/>
                <w:szCs w:val="18"/>
              </w:rPr>
            </w:pPr>
            <w:r>
              <w:rPr>
                <w:rFonts w:hint="eastAsia" w:ascii="宋体" w:hAnsi="宋体"/>
                <w:sz w:val="18"/>
                <w:szCs w:val="18"/>
              </w:rPr>
              <w:t>施用信息</w:t>
            </w:r>
          </w:p>
        </w:tc>
      </w:tr>
      <w:tr w14:paraId="22B64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674DC65D">
            <w:pPr>
              <w:rPr>
                <w:rFonts w:ascii="宋体" w:hAnsi="宋体"/>
                <w:sz w:val="18"/>
                <w:szCs w:val="18"/>
              </w:rPr>
            </w:pPr>
            <w:r>
              <w:rPr>
                <w:rFonts w:hint="eastAsia" w:ascii="宋体" w:hAnsi="宋体"/>
                <w:sz w:val="18"/>
                <w:szCs w:val="18"/>
              </w:rPr>
              <w:t>施用日期</w:t>
            </w:r>
          </w:p>
        </w:tc>
        <w:tc>
          <w:tcPr>
            <w:tcW w:w="1784" w:type="pct"/>
          </w:tcPr>
          <w:p w14:paraId="4B32D20F">
            <w:pPr>
              <w:rPr>
                <w:rFonts w:ascii="宋体" w:hAnsi="宋体"/>
                <w:sz w:val="18"/>
                <w:szCs w:val="18"/>
              </w:rPr>
            </w:pPr>
            <w:r>
              <w:rPr>
                <w:rFonts w:hint="eastAsia" w:ascii="宋体" w:hAnsi="宋体"/>
                <w:sz w:val="18"/>
                <w:szCs w:val="18"/>
              </w:rPr>
              <w:t>2024年3月25日</w:t>
            </w:r>
          </w:p>
        </w:tc>
        <w:tc>
          <w:tcPr>
            <w:tcW w:w="1241" w:type="pct"/>
          </w:tcPr>
          <w:p w14:paraId="140315C0">
            <w:pPr>
              <w:rPr>
                <w:rFonts w:ascii="宋体" w:hAnsi="宋体"/>
                <w:sz w:val="18"/>
                <w:szCs w:val="18"/>
              </w:rPr>
            </w:pPr>
            <w:r>
              <w:rPr>
                <w:rFonts w:hint="eastAsia" w:ascii="宋体" w:hAnsi="宋体"/>
                <w:sz w:val="18"/>
                <w:szCs w:val="18"/>
              </w:rPr>
              <w:t>天气状况</w:t>
            </w:r>
          </w:p>
        </w:tc>
        <w:tc>
          <w:tcPr>
            <w:tcW w:w="1312" w:type="pct"/>
          </w:tcPr>
          <w:p w14:paraId="1BDD853D">
            <w:pPr>
              <w:rPr>
                <w:rFonts w:ascii="宋体" w:hAnsi="宋体"/>
                <w:sz w:val="18"/>
                <w:szCs w:val="18"/>
              </w:rPr>
            </w:pPr>
          </w:p>
        </w:tc>
      </w:tr>
      <w:tr w14:paraId="18CFD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7CCAAF90">
            <w:pPr>
              <w:rPr>
                <w:rFonts w:ascii="宋体" w:hAnsi="宋体"/>
                <w:sz w:val="18"/>
                <w:szCs w:val="18"/>
              </w:rPr>
            </w:pPr>
            <w:r>
              <w:rPr>
                <w:rFonts w:hint="eastAsia" w:ascii="宋体" w:hAnsi="宋体"/>
                <w:sz w:val="18"/>
                <w:szCs w:val="18"/>
              </w:rPr>
              <w:t>施用材料</w:t>
            </w:r>
          </w:p>
        </w:tc>
        <w:tc>
          <w:tcPr>
            <w:tcW w:w="1784" w:type="pct"/>
          </w:tcPr>
          <w:p w14:paraId="689E94BD">
            <w:pPr>
              <w:rPr>
                <w:rFonts w:ascii="宋体" w:hAnsi="宋体"/>
                <w:sz w:val="18"/>
                <w:szCs w:val="18"/>
              </w:rPr>
            </w:pPr>
            <w:r>
              <w:rPr>
                <w:rFonts w:hint="eastAsia" w:ascii="宋体" w:hAnsi="宋体"/>
                <w:sz w:val="18"/>
                <w:szCs w:val="18"/>
              </w:rPr>
              <w:t>牡蛎壳调酸补镁剂/有机无机复配调酸剂</w:t>
            </w:r>
          </w:p>
        </w:tc>
        <w:tc>
          <w:tcPr>
            <w:tcW w:w="1241" w:type="pct"/>
          </w:tcPr>
          <w:p w14:paraId="18EB665E">
            <w:pPr>
              <w:rPr>
                <w:rFonts w:ascii="宋体" w:hAnsi="宋体"/>
                <w:sz w:val="18"/>
                <w:szCs w:val="18"/>
              </w:rPr>
            </w:pPr>
            <w:r>
              <w:rPr>
                <w:rFonts w:hint="eastAsia" w:ascii="宋体" w:hAnsi="宋体"/>
                <w:sz w:val="18"/>
                <w:szCs w:val="18"/>
              </w:rPr>
              <w:t>单株用量</w:t>
            </w:r>
          </w:p>
        </w:tc>
        <w:tc>
          <w:tcPr>
            <w:tcW w:w="1312" w:type="pct"/>
          </w:tcPr>
          <w:p w14:paraId="25B23205">
            <w:pPr>
              <w:rPr>
                <w:rFonts w:ascii="宋体" w:hAnsi="宋体"/>
                <w:sz w:val="18"/>
                <w:szCs w:val="18"/>
              </w:rPr>
            </w:pPr>
          </w:p>
        </w:tc>
      </w:tr>
      <w:tr w14:paraId="0AB8F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5450DEE2">
            <w:pPr>
              <w:rPr>
                <w:rFonts w:ascii="宋体" w:hAnsi="宋体"/>
                <w:sz w:val="18"/>
                <w:szCs w:val="18"/>
              </w:rPr>
            </w:pPr>
            <w:r>
              <w:rPr>
                <w:rFonts w:hint="eastAsia" w:ascii="宋体" w:hAnsi="宋体"/>
                <w:sz w:val="18"/>
                <w:szCs w:val="18"/>
              </w:rPr>
              <w:t>施用方法</w:t>
            </w:r>
          </w:p>
        </w:tc>
        <w:tc>
          <w:tcPr>
            <w:tcW w:w="1784" w:type="pct"/>
          </w:tcPr>
          <w:p w14:paraId="41E0F921">
            <w:pPr>
              <w:rPr>
                <w:rFonts w:ascii="宋体" w:hAnsi="宋体"/>
                <w:sz w:val="18"/>
                <w:szCs w:val="18"/>
              </w:rPr>
            </w:pPr>
            <w:r>
              <w:rPr>
                <w:rFonts w:hint="eastAsia" w:ascii="宋体" w:hAnsi="宋体"/>
                <w:sz w:val="18"/>
                <w:szCs w:val="18"/>
              </w:rPr>
              <w:t>穴施</w:t>
            </w:r>
          </w:p>
        </w:tc>
        <w:tc>
          <w:tcPr>
            <w:tcW w:w="1241" w:type="pct"/>
          </w:tcPr>
          <w:p w14:paraId="5D081F8B">
            <w:pPr>
              <w:rPr>
                <w:rFonts w:ascii="宋体" w:hAnsi="宋体"/>
                <w:sz w:val="18"/>
                <w:szCs w:val="18"/>
              </w:rPr>
            </w:pPr>
            <w:r>
              <w:rPr>
                <w:rFonts w:hint="eastAsia" w:ascii="宋体" w:hAnsi="宋体"/>
                <w:sz w:val="18"/>
                <w:szCs w:val="18"/>
              </w:rPr>
              <w:t>总用量</w:t>
            </w:r>
          </w:p>
        </w:tc>
        <w:tc>
          <w:tcPr>
            <w:tcW w:w="1312" w:type="pct"/>
          </w:tcPr>
          <w:p w14:paraId="58CE5374">
            <w:pPr>
              <w:rPr>
                <w:rFonts w:ascii="宋体" w:hAnsi="宋体"/>
                <w:sz w:val="18"/>
                <w:szCs w:val="18"/>
              </w:rPr>
            </w:pPr>
          </w:p>
        </w:tc>
      </w:tr>
      <w:tr w14:paraId="349D7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660" w:type="pct"/>
          </w:tcPr>
          <w:p w14:paraId="1C28F4FE">
            <w:pPr>
              <w:rPr>
                <w:rFonts w:ascii="宋体" w:hAnsi="宋体"/>
                <w:sz w:val="18"/>
                <w:szCs w:val="18"/>
              </w:rPr>
            </w:pPr>
            <w:r>
              <w:rPr>
                <w:rFonts w:hint="eastAsia" w:ascii="宋体" w:hAnsi="宋体"/>
                <w:sz w:val="18"/>
                <w:szCs w:val="18"/>
              </w:rPr>
              <w:t>操作人</w:t>
            </w:r>
          </w:p>
        </w:tc>
        <w:tc>
          <w:tcPr>
            <w:tcW w:w="1784" w:type="pct"/>
          </w:tcPr>
          <w:p w14:paraId="11AD2C34">
            <w:pPr>
              <w:rPr>
                <w:rFonts w:ascii="宋体" w:hAnsi="宋体"/>
                <w:sz w:val="18"/>
                <w:szCs w:val="18"/>
              </w:rPr>
            </w:pPr>
          </w:p>
        </w:tc>
        <w:tc>
          <w:tcPr>
            <w:tcW w:w="1241" w:type="pct"/>
          </w:tcPr>
          <w:p w14:paraId="467EDEFD">
            <w:pPr>
              <w:rPr>
                <w:rFonts w:ascii="宋体" w:hAnsi="宋体"/>
                <w:sz w:val="18"/>
                <w:szCs w:val="18"/>
              </w:rPr>
            </w:pPr>
          </w:p>
        </w:tc>
        <w:tc>
          <w:tcPr>
            <w:tcW w:w="1312" w:type="pct"/>
          </w:tcPr>
          <w:p w14:paraId="1ADBA793">
            <w:pPr>
              <w:rPr>
                <w:rFonts w:ascii="宋体" w:hAnsi="宋体"/>
                <w:sz w:val="18"/>
                <w:szCs w:val="18"/>
              </w:rPr>
            </w:pPr>
          </w:p>
        </w:tc>
      </w:tr>
    </w:tbl>
    <w:p w14:paraId="0D04226F">
      <w:pPr>
        <w:pStyle w:val="56"/>
        <w:ind w:firstLine="420"/>
      </w:pPr>
    </w:p>
    <w:p w14:paraId="6EA186D8">
      <w:pPr>
        <w:pStyle w:val="56"/>
        <w:ind w:firstLine="420"/>
      </w:pPr>
    </w:p>
    <w:p w14:paraId="7D36F3A3">
      <w:pPr>
        <w:pStyle w:val="56"/>
        <w:ind w:firstLine="420"/>
      </w:pPr>
    </w:p>
    <w:bookmarkEnd w:id="129"/>
    <w:p w14:paraId="15BF9DCD">
      <w:pPr>
        <w:pStyle w:val="56"/>
        <w:ind w:firstLine="420"/>
        <w:sectPr>
          <w:pgSz w:w="11906" w:h="16838"/>
          <w:pgMar w:top="1928" w:right="1134" w:bottom="1134" w:left="1134" w:header="1418" w:footer="1134" w:gutter="284"/>
          <w:cols w:space="425" w:num="1"/>
          <w:formProt w:val="0"/>
          <w:docGrid w:linePitch="312" w:charSpace="0"/>
        </w:sectPr>
      </w:pPr>
      <w:bookmarkStart w:id="134" w:name="BookMark6"/>
    </w:p>
    <w:p w14:paraId="6141112D">
      <w:pPr>
        <w:pStyle w:val="63"/>
        <w:spacing w:after="120"/>
      </w:pPr>
      <w:bookmarkStart w:id="135" w:name="_Toc202821822"/>
      <w:bookmarkStart w:id="136" w:name="_Toc13181"/>
      <w:bookmarkStart w:id="137" w:name="_Toc203065015"/>
      <w:bookmarkStart w:id="138" w:name="_Toc207215381"/>
      <w:r>
        <w:rPr>
          <w:rFonts w:hint="eastAsia"/>
          <w:spacing w:val="105"/>
        </w:rPr>
        <w:t>参考文</w:t>
      </w:r>
      <w:r>
        <w:rPr>
          <w:rFonts w:hint="eastAsia"/>
        </w:rPr>
        <w:t>献</w:t>
      </w:r>
      <w:bookmarkEnd w:id="135"/>
      <w:bookmarkEnd w:id="136"/>
      <w:bookmarkEnd w:id="137"/>
      <w:bookmarkEnd w:id="138"/>
    </w:p>
    <w:p w14:paraId="52526E4F">
      <w:pPr>
        <w:pStyle w:val="56"/>
        <w:ind w:firstLine="420"/>
      </w:pPr>
      <w:r>
        <w:t xml:space="preserve">[1]  </w:t>
      </w:r>
      <w:r>
        <w:rPr>
          <w:rFonts w:hint="eastAsia"/>
        </w:rPr>
        <w:t xml:space="preserve">NY/T 296 </w:t>
      </w:r>
      <w:r>
        <w:t xml:space="preserve"> </w:t>
      </w:r>
      <w:r>
        <w:rPr>
          <w:rFonts w:hint="eastAsia"/>
        </w:rPr>
        <w:t>土壤全量钙、镁、钠的测定</w:t>
      </w:r>
    </w:p>
    <w:p w14:paraId="3F4A6980">
      <w:pPr>
        <w:pStyle w:val="56"/>
        <w:ind w:firstLine="420"/>
      </w:pPr>
      <w:r>
        <w:t xml:space="preserve">[2]  </w:t>
      </w:r>
      <w:r>
        <w:rPr>
          <w:rFonts w:hint="eastAsia"/>
        </w:rPr>
        <w:t xml:space="preserve">NY/T 1121.2 </w:t>
      </w:r>
      <w:r>
        <w:t xml:space="preserve"> </w:t>
      </w:r>
      <w:r>
        <w:rPr>
          <w:rFonts w:hint="eastAsia"/>
        </w:rPr>
        <w:t>土壤检测  第2部分：土壤pH的测定</w:t>
      </w:r>
    </w:p>
    <w:p w14:paraId="1C410E38">
      <w:pPr>
        <w:pStyle w:val="56"/>
        <w:ind w:firstLine="420"/>
      </w:pPr>
      <w:r>
        <w:t xml:space="preserve">[3]  </w:t>
      </w:r>
      <w:r>
        <w:rPr>
          <w:rFonts w:hint="eastAsia"/>
        </w:rPr>
        <w:t xml:space="preserve">NY/T 1121.13 </w:t>
      </w:r>
      <w:r>
        <w:t xml:space="preserve"> </w:t>
      </w:r>
      <w:r>
        <w:rPr>
          <w:rFonts w:hint="eastAsia"/>
        </w:rPr>
        <w:t xml:space="preserve">土壤检测 </w:t>
      </w:r>
      <w:r>
        <w:t xml:space="preserve"> </w:t>
      </w:r>
      <w:r>
        <w:rPr>
          <w:rFonts w:hint="eastAsia"/>
        </w:rPr>
        <w:t>第13部分：土壤交换性钙和镁的测定</w:t>
      </w:r>
    </w:p>
    <w:p w14:paraId="38BC4EAE">
      <w:pPr>
        <w:pStyle w:val="56"/>
        <w:ind w:firstLine="420"/>
      </w:pPr>
      <w:r>
        <w:t xml:space="preserve">[4]  </w:t>
      </w:r>
      <w:r>
        <w:rPr>
          <w:rFonts w:hint="eastAsia"/>
        </w:rPr>
        <w:t xml:space="preserve">DB44/T 1965—2017 </w:t>
      </w:r>
      <w:r>
        <w:t xml:space="preserve"> </w:t>
      </w:r>
      <w:r>
        <w:rPr>
          <w:rFonts w:hint="eastAsia"/>
        </w:rPr>
        <w:t>桉树人工林测土配方施肥技术规程</w:t>
      </w:r>
    </w:p>
    <w:p w14:paraId="3ED53D71">
      <w:pPr>
        <w:pStyle w:val="56"/>
        <w:ind w:firstLine="420"/>
      </w:pPr>
      <w:r>
        <w:rPr>
          <w:rFonts w:hint="eastAsia"/>
        </w:rPr>
        <w:t>[</w:t>
      </w:r>
      <w:r>
        <w:t>5</w:t>
      </w:r>
      <w:r>
        <w:rPr>
          <w:rFonts w:hint="eastAsia"/>
        </w:rPr>
        <w:t>]</w:t>
      </w:r>
      <w:r>
        <w:t xml:space="preserve"> </w:t>
      </w:r>
      <w:r>
        <w:rPr>
          <w:rFonts w:hint="eastAsia"/>
        </w:rPr>
        <w:t xml:space="preserve"> 广西红壤区桉树林地土壤酸化特征及控酸技术初探[J].中国土壤与肥料，2024(11)</w:t>
      </w:r>
    </w:p>
    <w:p w14:paraId="08BBCC10">
      <w:pPr>
        <w:pStyle w:val="56"/>
        <w:ind w:firstLine="420"/>
      </w:pPr>
    </w:p>
    <w:bookmarkEnd w:id="134"/>
    <w:p w14:paraId="1AFFD577">
      <w:pPr>
        <w:pStyle w:val="56"/>
        <w:ind w:firstLine="0" w:firstLineChars="0"/>
        <w:jc w:val="center"/>
      </w:pPr>
      <w:bookmarkStart w:id="139"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39"/>
    </w:p>
    <w:sectPr>
      <w:pgSz w:w="11906" w:h="16838"/>
      <w:pgMar w:top="1928" w:right="1134" w:bottom="1134" w:left="1134" w:header="1418" w:footer="1134" w:gutter="284"/>
      <w:cols w:space="425" w:num="1"/>
      <w:formProt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4BD33">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0D9B">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AF125">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3D406">
    <w:pPr>
      <w:pStyle w:val="52"/>
    </w:pPr>
    <w:r>
      <w:fldChar w:fldCharType="begin"/>
    </w:r>
    <w:r>
      <w:instrText xml:space="preserve">PAGE   \* MERGEFORMAT</w:instrText>
    </w:r>
    <w:r>
      <w:fldChar w:fldCharType="separate"/>
    </w:r>
    <w:r>
      <w:rPr>
        <w:lang w:val="zh-CN"/>
      </w:rP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6B49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81D78">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8216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60C">
    <w:pPr>
      <w:pStyle w:val="61"/>
    </w:pPr>
    <w:r>
      <w:fldChar w:fldCharType="begin"/>
    </w:r>
    <w:r>
      <w:instrText xml:space="preserve"> STYLEREF  标准文件_文件编号  \* MERGEFORMAT </w:instrText>
    </w:r>
    <w:r>
      <w:fldChar w:fldCharType="separate"/>
    </w:r>
    <w:r>
      <w:t>T/GXAS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5704">
    <w:pPr>
      <w:pStyle w:val="18"/>
      <w:jc w:val="right"/>
    </w:pPr>
    <w:r>
      <w:fldChar w:fldCharType="begin"/>
    </w:r>
    <w:r>
      <w:instrText xml:space="preserve"> STYLEREF  标准文件_文件编号  \* MERGEFORMAT </w:instrText>
    </w:r>
    <w:r>
      <w:fldChar w:fldCharType="separate"/>
    </w:r>
    <w:r>
      <w:t>T/GXAS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attachedTemplate r:id="rId1"/>
  <w:trackRevisions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35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026"/>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060B"/>
    <w:rsid w:val="00071CC0"/>
    <w:rsid w:val="00071CFC"/>
    <w:rsid w:val="00073C8C"/>
    <w:rsid w:val="00077B64"/>
    <w:rsid w:val="00080A1C"/>
    <w:rsid w:val="00082317"/>
    <w:rsid w:val="00083D2C"/>
    <w:rsid w:val="00086AA1"/>
    <w:rsid w:val="00087A77"/>
    <w:rsid w:val="000904C8"/>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444"/>
    <w:rsid w:val="000C7666"/>
    <w:rsid w:val="000D0A9C"/>
    <w:rsid w:val="000D1795"/>
    <w:rsid w:val="000D329A"/>
    <w:rsid w:val="000D4B9C"/>
    <w:rsid w:val="000D4EB6"/>
    <w:rsid w:val="000D753B"/>
    <w:rsid w:val="000E1E42"/>
    <w:rsid w:val="000E3EBF"/>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3EA9"/>
    <w:rsid w:val="001E4882"/>
    <w:rsid w:val="001E73AB"/>
    <w:rsid w:val="001F092D"/>
    <w:rsid w:val="001F143A"/>
    <w:rsid w:val="001F1605"/>
    <w:rsid w:val="001F2508"/>
    <w:rsid w:val="001F259D"/>
    <w:rsid w:val="001F4816"/>
    <w:rsid w:val="001F69B4"/>
    <w:rsid w:val="001F77C7"/>
    <w:rsid w:val="00200183"/>
    <w:rsid w:val="00200333"/>
    <w:rsid w:val="0020107D"/>
    <w:rsid w:val="00202AA4"/>
    <w:rsid w:val="002031F7"/>
    <w:rsid w:val="002040E6"/>
    <w:rsid w:val="0020527B"/>
    <w:rsid w:val="00205F2C"/>
    <w:rsid w:val="00210B15"/>
    <w:rsid w:val="00211450"/>
    <w:rsid w:val="0021405C"/>
    <w:rsid w:val="002142EA"/>
    <w:rsid w:val="00215ADD"/>
    <w:rsid w:val="002204BB"/>
    <w:rsid w:val="00221B79"/>
    <w:rsid w:val="00221C6B"/>
    <w:rsid w:val="002253A1"/>
    <w:rsid w:val="00225CF8"/>
    <w:rsid w:val="0022794E"/>
    <w:rsid w:val="00233D64"/>
    <w:rsid w:val="0023482A"/>
    <w:rsid w:val="002359CB"/>
    <w:rsid w:val="00240A56"/>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3A0"/>
    <w:rsid w:val="00282405"/>
    <w:rsid w:val="00283C98"/>
    <w:rsid w:val="00285170"/>
    <w:rsid w:val="00285361"/>
    <w:rsid w:val="00287E1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F4E"/>
    <w:rsid w:val="00324D13"/>
    <w:rsid w:val="00324EDD"/>
    <w:rsid w:val="003251A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5FBA"/>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1CC8"/>
    <w:rsid w:val="0041477A"/>
    <w:rsid w:val="004167A3"/>
    <w:rsid w:val="00432DAA"/>
    <w:rsid w:val="00434305"/>
    <w:rsid w:val="00435DF7"/>
    <w:rsid w:val="004365AB"/>
    <w:rsid w:val="0043741A"/>
    <w:rsid w:val="0044083F"/>
    <w:rsid w:val="00441AE7"/>
    <w:rsid w:val="004452B0"/>
    <w:rsid w:val="00445574"/>
    <w:rsid w:val="004467FB"/>
    <w:rsid w:val="00452D6B"/>
    <w:rsid w:val="00454484"/>
    <w:rsid w:val="0045517B"/>
    <w:rsid w:val="00463783"/>
    <w:rsid w:val="00463B77"/>
    <w:rsid w:val="00463C7B"/>
    <w:rsid w:val="004644A6"/>
    <w:rsid w:val="004659BD"/>
    <w:rsid w:val="00470775"/>
    <w:rsid w:val="004746B1"/>
    <w:rsid w:val="0047583F"/>
    <w:rsid w:val="00475DE8"/>
    <w:rsid w:val="00477C2B"/>
    <w:rsid w:val="00481C44"/>
    <w:rsid w:val="00484936"/>
    <w:rsid w:val="00485C89"/>
    <w:rsid w:val="004863D0"/>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4A8F"/>
    <w:rsid w:val="004C67A0"/>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1FE"/>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18A2"/>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3F06"/>
    <w:rsid w:val="00600D7D"/>
    <w:rsid w:val="006015CE"/>
    <w:rsid w:val="006018C0"/>
    <w:rsid w:val="00603ED5"/>
    <w:rsid w:val="00604784"/>
    <w:rsid w:val="00606419"/>
    <w:rsid w:val="00607D29"/>
    <w:rsid w:val="00612952"/>
    <w:rsid w:val="00614CC1"/>
    <w:rsid w:val="00615A9D"/>
    <w:rsid w:val="00617387"/>
    <w:rsid w:val="006205D6"/>
    <w:rsid w:val="006252D8"/>
    <w:rsid w:val="006259BC"/>
    <w:rsid w:val="0062636B"/>
    <w:rsid w:val="00631D45"/>
    <w:rsid w:val="00632182"/>
    <w:rsid w:val="00632AE0"/>
    <w:rsid w:val="00633C17"/>
    <w:rsid w:val="00634D9E"/>
    <w:rsid w:val="00636E3E"/>
    <w:rsid w:val="006379F7"/>
    <w:rsid w:val="00637E4D"/>
    <w:rsid w:val="00640620"/>
    <w:rsid w:val="00641A1F"/>
    <w:rsid w:val="00645904"/>
    <w:rsid w:val="00646A50"/>
    <w:rsid w:val="00651ACB"/>
    <w:rsid w:val="00651C47"/>
    <w:rsid w:val="00652AB2"/>
    <w:rsid w:val="00653FED"/>
    <w:rsid w:val="00654EC0"/>
    <w:rsid w:val="0065525B"/>
    <w:rsid w:val="00655D4F"/>
    <w:rsid w:val="00656D29"/>
    <w:rsid w:val="006640E5"/>
    <w:rsid w:val="006646F1"/>
    <w:rsid w:val="00664929"/>
    <w:rsid w:val="00664F62"/>
    <w:rsid w:val="006655E1"/>
    <w:rsid w:val="00670645"/>
    <w:rsid w:val="0067187C"/>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5D1E"/>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935"/>
    <w:rsid w:val="00714F58"/>
    <w:rsid w:val="00722FBF"/>
    <w:rsid w:val="00722FC2"/>
    <w:rsid w:val="00724E1B"/>
    <w:rsid w:val="00725949"/>
    <w:rsid w:val="00727FA2"/>
    <w:rsid w:val="007322D9"/>
    <w:rsid w:val="00732BC0"/>
    <w:rsid w:val="0073720F"/>
    <w:rsid w:val="00737796"/>
    <w:rsid w:val="007408A1"/>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4DB7"/>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2B33"/>
    <w:rsid w:val="007D346A"/>
    <w:rsid w:val="007D5AF9"/>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171"/>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96E"/>
    <w:rsid w:val="008454F8"/>
    <w:rsid w:val="0085173A"/>
    <w:rsid w:val="00855796"/>
    <w:rsid w:val="008603CE"/>
    <w:rsid w:val="008620FC"/>
    <w:rsid w:val="008621E1"/>
    <w:rsid w:val="008627A5"/>
    <w:rsid w:val="00863E05"/>
    <w:rsid w:val="00865ACA"/>
    <w:rsid w:val="00865D28"/>
    <w:rsid w:val="00865F85"/>
    <w:rsid w:val="00867C10"/>
    <w:rsid w:val="00870439"/>
    <w:rsid w:val="00870DA1"/>
    <w:rsid w:val="0087559D"/>
    <w:rsid w:val="0087576A"/>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09C6"/>
    <w:rsid w:val="008C1797"/>
    <w:rsid w:val="008C219C"/>
    <w:rsid w:val="008C475E"/>
    <w:rsid w:val="008C5579"/>
    <w:rsid w:val="008C619A"/>
    <w:rsid w:val="008D0CE8"/>
    <w:rsid w:val="008D1F11"/>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787"/>
    <w:rsid w:val="008F788F"/>
    <w:rsid w:val="008F7EA2"/>
    <w:rsid w:val="00902722"/>
    <w:rsid w:val="009027BC"/>
    <w:rsid w:val="00905527"/>
    <w:rsid w:val="009062E6"/>
    <w:rsid w:val="00911BE5"/>
    <w:rsid w:val="00913CA9"/>
    <w:rsid w:val="009145AE"/>
    <w:rsid w:val="009146CE"/>
    <w:rsid w:val="00914CA7"/>
    <w:rsid w:val="00915C3E"/>
    <w:rsid w:val="009161A8"/>
    <w:rsid w:val="009245AE"/>
    <w:rsid w:val="009245F5"/>
    <w:rsid w:val="009249EC"/>
    <w:rsid w:val="009273B3"/>
    <w:rsid w:val="009305B5"/>
    <w:rsid w:val="00936661"/>
    <w:rsid w:val="009378DD"/>
    <w:rsid w:val="009429D5"/>
    <w:rsid w:val="00942BF1"/>
    <w:rsid w:val="00945180"/>
    <w:rsid w:val="00945428"/>
    <w:rsid w:val="00946032"/>
    <w:rsid w:val="0094607B"/>
    <w:rsid w:val="00953604"/>
    <w:rsid w:val="0095496B"/>
    <w:rsid w:val="00960F1E"/>
    <w:rsid w:val="009610DC"/>
    <w:rsid w:val="00961490"/>
    <w:rsid w:val="00963638"/>
    <w:rsid w:val="0096381A"/>
    <w:rsid w:val="00965E04"/>
    <w:rsid w:val="009674AD"/>
    <w:rsid w:val="00970CDC"/>
    <w:rsid w:val="00975727"/>
    <w:rsid w:val="00977010"/>
    <w:rsid w:val="00977B14"/>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A7329"/>
    <w:rsid w:val="009B09E0"/>
    <w:rsid w:val="009B0BC5"/>
    <w:rsid w:val="009B1247"/>
    <w:rsid w:val="009B6029"/>
    <w:rsid w:val="009B6971"/>
    <w:rsid w:val="009C27F1"/>
    <w:rsid w:val="009C3152"/>
    <w:rsid w:val="009C3257"/>
    <w:rsid w:val="009C4CFA"/>
    <w:rsid w:val="009C5070"/>
    <w:rsid w:val="009D112C"/>
    <w:rsid w:val="009D1385"/>
    <w:rsid w:val="009D2AB2"/>
    <w:rsid w:val="009D47FA"/>
    <w:rsid w:val="009D4C5B"/>
    <w:rsid w:val="009D50D2"/>
    <w:rsid w:val="009D6BCA"/>
    <w:rsid w:val="009E0F62"/>
    <w:rsid w:val="009E3C0C"/>
    <w:rsid w:val="009E4A58"/>
    <w:rsid w:val="009E5A2D"/>
    <w:rsid w:val="009E5AB2"/>
    <w:rsid w:val="009E6219"/>
    <w:rsid w:val="009F03B3"/>
    <w:rsid w:val="00A0096C"/>
    <w:rsid w:val="00A01757"/>
    <w:rsid w:val="00A028C0"/>
    <w:rsid w:val="00A02BAE"/>
    <w:rsid w:val="00A054D6"/>
    <w:rsid w:val="00A06A6B"/>
    <w:rsid w:val="00A07E47"/>
    <w:rsid w:val="00A129D0"/>
    <w:rsid w:val="00A12C33"/>
    <w:rsid w:val="00A138BA"/>
    <w:rsid w:val="00A14C8E"/>
    <w:rsid w:val="00A153D9"/>
    <w:rsid w:val="00A15F09"/>
    <w:rsid w:val="00A166CF"/>
    <w:rsid w:val="00A169B6"/>
    <w:rsid w:val="00A2271D"/>
    <w:rsid w:val="00A237D5"/>
    <w:rsid w:val="00A30EFC"/>
    <w:rsid w:val="00A31984"/>
    <w:rsid w:val="00A32D73"/>
    <w:rsid w:val="00A3367B"/>
    <w:rsid w:val="00A33C67"/>
    <w:rsid w:val="00A3597D"/>
    <w:rsid w:val="00A36DD1"/>
    <w:rsid w:val="00A4006C"/>
    <w:rsid w:val="00A40091"/>
    <w:rsid w:val="00A4030F"/>
    <w:rsid w:val="00A41599"/>
    <w:rsid w:val="00A41C79"/>
    <w:rsid w:val="00A41CB5"/>
    <w:rsid w:val="00A42CDF"/>
    <w:rsid w:val="00A4452E"/>
    <w:rsid w:val="00A4472C"/>
    <w:rsid w:val="00A44E69"/>
    <w:rsid w:val="00A4661E"/>
    <w:rsid w:val="00A55BD6"/>
    <w:rsid w:val="00A55D50"/>
    <w:rsid w:val="00A57142"/>
    <w:rsid w:val="00A648CD"/>
    <w:rsid w:val="00A6537A"/>
    <w:rsid w:val="00A66050"/>
    <w:rsid w:val="00A67866"/>
    <w:rsid w:val="00A70B07"/>
    <w:rsid w:val="00A723F8"/>
    <w:rsid w:val="00A77CCB"/>
    <w:rsid w:val="00A83D8D"/>
    <w:rsid w:val="00A8446B"/>
    <w:rsid w:val="00A8473F"/>
    <w:rsid w:val="00A84AB3"/>
    <w:rsid w:val="00A862D6"/>
    <w:rsid w:val="00A8715E"/>
    <w:rsid w:val="00A872B7"/>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35A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306"/>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F48"/>
    <w:rsid w:val="00BA42B2"/>
    <w:rsid w:val="00BA58D4"/>
    <w:rsid w:val="00BA5B9E"/>
    <w:rsid w:val="00BA671F"/>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1F8"/>
    <w:rsid w:val="00C013AD"/>
    <w:rsid w:val="00C04904"/>
    <w:rsid w:val="00C056B3"/>
    <w:rsid w:val="00C103E5"/>
    <w:rsid w:val="00C13319"/>
    <w:rsid w:val="00C1332B"/>
    <w:rsid w:val="00C13EE9"/>
    <w:rsid w:val="00C21540"/>
    <w:rsid w:val="00C21906"/>
    <w:rsid w:val="00C21BFA"/>
    <w:rsid w:val="00C24606"/>
    <w:rsid w:val="00C24C8D"/>
    <w:rsid w:val="00C25FE2"/>
    <w:rsid w:val="00C2636C"/>
    <w:rsid w:val="00C26B53"/>
    <w:rsid w:val="00C279B2"/>
    <w:rsid w:val="00C33E50"/>
    <w:rsid w:val="00C34C20"/>
    <w:rsid w:val="00C35A3E"/>
    <w:rsid w:val="00C3784A"/>
    <w:rsid w:val="00C41ABD"/>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351"/>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B62"/>
    <w:rsid w:val="00D950E1"/>
    <w:rsid w:val="00D952A6"/>
    <w:rsid w:val="00D97F99"/>
    <w:rsid w:val="00DA1E08"/>
    <w:rsid w:val="00DA24F8"/>
    <w:rsid w:val="00DA28E8"/>
    <w:rsid w:val="00DA38D3"/>
    <w:rsid w:val="00DA3932"/>
    <w:rsid w:val="00DA3AFC"/>
    <w:rsid w:val="00DA414B"/>
    <w:rsid w:val="00DA64F8"/>
    <w:rsid w:val="00DA6C15"/>
    <w:rsid w:val="00DB0258"/>
    <w:rsid w:val="00DB38EE"/>
    <w:rsid w:val="00DB498B"/>
    <w:rsid w:val="00DB66CA"/>
    <w:rsid w:val="00DB6BCA"/>
    <w:rsid w:val="00DB6F54"/>
    <w:rsid w:val="00DB73F7"/>
    <w:rsid w:val="00DB7BC1"/>
    <w:rsid w:val="00DC0321"/>
    <w:rsid w:val="00DC3067"/>
    <w:rsid w:val="00DC370B"/>
    <w:rsid w:val="00DC5B90"/>
    <w:rsid w:val="00DD00FF"/>
    <w:rsid w:val="00DD0619"/>
    <w:rsid w:val="00DD07FB"/>
    <w:rsid w:val="00DD1CBE"/>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5D9C"/>
    <w:rsid w:val="00E06404"/>
    <w:rsid w:val="00E11A85"/>
    <w:rsid w:val="00E12495"/>
    <w:rsid w:val="00E12AA6"/>
    <w:rsid w:val="00E15CCD"/>
    <w:rsid w:val="00E202EF"/>
    <w:rsid w:val="00E210B5"/>
    <w:rsid w:val="00E2298C"/>
    <w:rsid w:val="00E2552F"/>
    <w:rsid w:val="00E3137A"/>
    <w:rsid w:val="00E32CCF"/>
    <w:rsid w:val="00E32FB5"/>
    <w:rsid w:val="00E34A98"/>
    <w:rsid w:val="00E35D1E"/>
    <w:rsid w:val="00E364F9"/>
    <w:rsid w:val="00E365FA"/>
    <w:rsid w:val="00E36789"/>
    <w:rsid w:val="00E44A83"/>
    <w:rsid w:val="00E45188"/>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885"/>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DF7"/>
    <w:rsid w:val="00FE1FBE"/>
    <w:rsid w:val="00FE3238"/>
    <w:rsid w:val="00FE3901"/>
    <w:rsid w:val="00FE39D3"/>
    <w:rsid w:val="00FE4BCE"/>
    <w:rsid w:val="00FE54AE"/>
    <w:rsid w:val="00FE576A"/>
    <w:rsid w:val="00FE728D"/>
    <w:rsid w:val="00FE7E79"/>
    <w:rsid w:val="00FF1A17"/>
    <w:rsid w:val="00FF3E7D"/>
    <w:rsid w:val="00FF5B99"/>
    <w:rsid w:val="00FF730C"/>
    <w:rsid w:val="00FF73F4"/>
    <w:rsid w:val="00FF7CE4"/>
    <w:rsid w:val="00FF7E39"/>
    <w:rsid w:val="032338E1"/>
    <w:rsid w:val="03DA63F1"/>
    <w:rsid w:val="041B2BA7"/>
    <w:rsid w:val="0599026E"/>
    <w:rsid w:val="0E35096D"/>
    <w:rsid w:val="11B147AE"/>
    <w:rsid w:val="14593A5E"/>
    <w:rsid w:val="265A0DC6"/>
    <w:rsid w:val="294B6C84"/>
    <w:rsid w:val="2A10482E"/>
    <w:rsid w:val="2CF471CC"/>
    <w:rsid w:val="2E65516F"/>
    <w:rsid w:val="2F566028"/>
    <w:rsid w:val="31AF440F"/>
    <w:rsid w:val="32E7407C"/>
    <w:rsid w:val="33DE6A7A"/>
    <w:rsid w:val="36E8556C"/>
    <w:rsid w:val="3E483C21"/>
    <w:rsid w:val="3F2D3B38"/>
    <w:rsid w:val="414034B3"/>
    <w:rsid w:val="469B598A"/>
    <w:rsid w:val="4C885B30"/>
    <w:rsid w:val="4D1F0243"/>
    <w:rsid w:val="4DB52955"/>
    <w:rsid w:val="4EE26DD7"/>
    <w:rsid w:val="56102E1E"/>
    <w:rsid w:val="594B23BF"/>
    <w:rsid w:val="5BAF68F0"/>
    <w:rsid w:val="5D4D315F"/>
    <w:rsid w:val="662E109F"/>
    <w:rsid w:val="66964E7B"/>
    <w:rsid w:val="671A4496"/>
    <w:rsid w:val="6C133015"/>
    <w:rsid w:val="6F3C482C"/>
    <w:rsid w:val="722C3020"/>
    <w:rsid w:val="7C9D3328"/>
    <w:rsid w:val="7E1C2B0A"/>
    <w:rsid w:val="7E483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spacing w:before="280" w:after="290" w:line="376" w:lineRule="auto"/>
      <w:outlineLvl w:val="4"/>
    </w:pPr>
    <w:rPr>
      <w:b/>
      <w:bCs/>
      <w:sz w:val="28"/>
      <w:szCs w:val="28"/>
    </w:rPr>
  </w:style>
  <w:style w:type="paragraph" w:styleId="7">
    <w:name w:val="heading 6"/>
    <w:basedOn w:val="1"/>
    <w:next w:val="1"/>
    <w:link w:val="39"/>
    <w:qFormat/>
    <w:uiPriority w:val="0"/>
    <w:pPr>
      <w:keepNext/>
      <w:keepLines/>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spacing w:before="240" w:after="64" w:line="320" w:lineRule="auto"/>
      <w:outlineLvl w:val="6"/>
    </w:pPr>
    <w:rPr>
      <w:b/>
      <w:bCs/>
      <w:sz w:val="24"/>
      <w:szCs w:val="24"/>
    </w:rPr>
  </w:style>
  <w:style w:type="paragraph" w:styleId="9">
    <w:name w:val="heading 8"/>
    <w:basedOn w:val="1"/>
    <w:next w:val="1"/>
    <w:link w:val="41"/>
    <w:qFormat/>
    <w:uiPriority w:val="0"/>
    <w:pPr>
      <w:keepNext/>
      <w:keepLines/>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snapToGrid w:val="0"/>
      <w:jc w:val="right"/>
    </w:pPr>
    <w:rPr>
      <w:rFonts w:ascii="宋体"/>
      <w:sz w:val="18"/>
      <w:szCs w:val="18"/>
    </w:rPr>
  </w:style>
  <w:style w:type="paragraph" w:styleId="18">
    <w:name w:val="header"/>
    <w:basedOn w:val="1"/>
    <w:link w:val="43"/>
    <w:qFormat/>
    <w:uiPriority w:val="99"/>
    <w:pPr>
      <w:tabs>
        <w:tab w:val="center" w:pos="4153"/>
        <w:tab w:val="right" w:pos="8306"/>
      </w:tabs>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snapToGrid w:val="0"/>
      <w:spacing w:line="300" w:lineRule="exact"/>
      <w:ind w:left="400" w:leftChars="200" w:hanging="200" w:hangingChars="200"/>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shd w:val="clear" w:color="FFFFFF" w:fill="FFFFFF"/>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shd w:val="clear" w:color="FFFFFF" w:fill="FFFFFF"/>
      <w:spacing w:before="560" w:after="50" w:afterLines="50"/>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jc w:val="center"/>
    </w:pPr>
    <w:rPr>
      <w:rFonts w:ascii="黑体" w:eastAsia="黑体"/>
      <w:kern w:val="0"/>
      <w:sz w:val="52"/>
    </w:rPr>
  </w:style>
  <w:style w:type="paragraph" w:customStyle="1" w:styleId="71">
    <w:name w:val="标准文件_封面标准英文名称"/>
    <w:basedOn w:val="1"/>
    <w:qFormat/>
    <w:uiPriority w:val="0"/>
    <w:pPr>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snapToGrid/>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ordWrap w:val="0"/>
      <w:overflowPunct w:val="0"/>
      <w:autoSpaceDE w:val="0"/>
      <w:autoSpaceDN w:val="0"/>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rPr>
      <w:bCs/>
      <w:iCs/>
    </w:rPr>
  </w:style>
  <w:style w:type="paragraph" w:customStyle="1" w:styleId="143">
    <w:name w:val="目录 31"/>
    <w:basedOn w:val="1"/>
    <w:next w:val="1"/>
    <w:autoRedefine/>
    <w:semiHidden/>
    <w:qFormat/>
    <w:uiPriority w:val="0"/>
    <w:rPr>
      <w:rFonts w:ascii="宋体" w:hAnsi="宋体"/>
      <w:iCs/>
    </w:rPr>
  </w:style>
  <w:style w:type="paragraph" w:customStyle="1" w:styleId="144">
    <w:name w:val="目录 41"/>
    <w:basedOn w:val="1"/>
    <w:next w:val="1"/>
    <w:autoRedefine/>
    <w:semiHidden/>
    <w:qFormat/>
    <w:uiPriority w:val="0"/>
  </w:style>
  <w:style w:type="paragraph" w:customStyle="1" w:styleId="145">
    <w:name w:val="目录 51"/>
    <w:basedOn w:val="1"/>
    <w:next w:val="1"/>
    <w:autoRedefine/>
    <w:semiHidden/>
    <w:qFormat/>
    <w:uiPriority w:val="0"/>
    <w:rPr>
      <w:rFonts w:ascii="宋体" w:hAnsi="宋体"/>
    </w:rPr>
  </w:style>
  <w:style w:type="paragraph" w:customStyle="1" w:styleId="146">
    <w:name w:val="目录 61"/>
    <w:basedOn w:val="1"/>
    <w:next w:val="1"/>
    <w:autoRedefine/>
    <w:semiHidden/>
    <w:qFormat/>
    <w:uiPriority w:val="0"/>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pPr>
    <w:rPr>
      <w:szCs w:val="24"/>
    </w:rPr>
  </w:style>
  <w:style w:type="paragraph" w:customStyle="1" w:styleId="159">
    <w:name w:val="一级无标题条"/>
    <w:basedOn w:val="1"/>
    <w:qFormat/>
    <w:uiPriority w:val="0"/>
    <w:pPr>
      <w:numPr>
        <w:ilvl w:val="2"/>
        <w:numId w:val="20"/>
      </w:numPr>
      <w:spacing w:before="10" w:after="10"/>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numPr>
        <w:ilvl w:val="0"/>
        <w:numId w:val="29"/>
      </w:numPr>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46B0634373441E2B14A4AC190FE721A"/>
        <w:style w:val=""/>
        <w:category>
          <w:name w:val="常规"/>
          <w:gallery w:val="placeholder"/>
        </w:category>
        <w:types>
          <w:type w:val="bbPlcHdr"/>
        </w:types>
        <w:behaviors>
          <w:behavior w:val="content"/>
        </w:behaviors>
        <w:description w:val=""/>
        <w:guid w:val="{BF285571-B151-49AB-8039-1AC725D5B2DA}"/>
      </w:docPartPr>
      <w:docPartBody>
        <w:p w14:paraId="04D5F33A">
          <w:pPr>
            <w:pStyle w:val="5"/>
          </w:pPr>
          <w:r>
            <w:rPr>
              <w:rStyle w:val="4"/>
              <w:rFonts w:hint="eastAsia"/>
            </w:rPr>
            <w:t>单击或点击此处输入文字。</w:t>
          </w:r>
        </w:p>
      </w:docPartBody>
    </w:docPart>
    <w:docPart>
      <w:docPartPr>
        <w:name w:val="E91E8135723F43EEA44249300EEC364F"/>
        <w:style w:val=""/>
        <w:category>
          <w:name w:val="常规"/>
          <w:gallery w:val="placeholder"/>
        </w:category>
        <w:types>
          <w:type w:val="bbPlcHdr"/>
        </w:types>
        <w:behaviors>
          <w:behavior w:val="content"/>
        </w:behaviors>
        <w:description w:val=""/>
        <w:guid w:val="{87938194-DAF6-42A4-A55A-C47DC8C1E33E}"/>
      </w:docPartPr>
      <w:docPartBody>
        <w:p w14:paraId="1E938DFB">
          <w:pPr>
            <w:pStyle w:val="6"/>
          </w:pPr>
          <w:r>
            <w:rPr>
              <w:rStyle w:val="4"/>
              <w:rFonts w:hint="eastAsia"/>
            </w:rPr>
            <w:t>选择一项。</w:t>
          </w:r>
        </w:p>
      </w:docPartBody>
    </w:docPart>
    <w:docPart>
      <w:docPartPr>
        <w:name w:val="952B348A93854B0D919AFB215C752B0C"/>
        <w:style w:val=""/>
        <w:category>
          <w:name w:val="常规"/>
          <w:gallery w:val="placeholder"/>
        </w:category>
        <w:types>
          <w:type w:val="bbPlcHdr"/>
        </w:types>
        <w:behaviors>
          <w:behavior w:val="content"/>
        </w:behaviors>
        <w:description w:val=""/>
        <w:guid w:val="{94EDC9E1-3CD3-4CF7-8EC4-4E305E87D94C}"/>
      </w:docPartPr>
      <w:docPartBody>
        <w:p w14:paraId="26D13CDC">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0E"/>
    <w:rsid w:val="001B4073"/>
    <w:rsid w:val="001C7676"/>
    <w:rsid w:val="0028304B"/>
    <w:rsid w:val="003069B3"/>
    <w:rsid w:val="005451A9"/>
    <w:rsid w:val="005E70E0"/>
    <w:rsid w:val="008D080E"/>
    <w:rsid w:val="00AA61FA"/>
    <w:rsid w:val="00DD16EC"/>
    <w:rsid w:val="00FD7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46B0634373441E2B14A4AC190FE72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1E8135723F43EEA44249300EEC364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52B348A93854B0D919AFB215C752B0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A9E02E-34F9-4658-8801-387EA720F813}">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7</Pages>
  <Words>2247</Words>
  <Characters>2616</Characters>
  <Lines>33</Lines>
  <Paragraphs>9</Paragraphs>
  <TotalTime>13</TotalTime>
  <ScaleCrop>false</ScaleCrop>
  <LinksUpToDate>false</LinksUpToDate>
  <CharactersWithSpaces>2778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2025-07-07T05:58:00Z</dcterms:created>
  <dc:creator>USER</dc:creator>
  <dc:description>&lt;config cover="true" show_menu="true" version="1.0.0" doctype="SDKXY"&gt;_x000d_
&lt;/config&gt;</dc:description>
  <cp:lastModifiedBy>XIEX</cp:lastModifiedBy>
  <cp:lastPrinted>2021-02-02T08:22:00Z</cp:lastPrinted>
  <dcterms:modified xsi:type="dcterms:W3CDTF">2025-08-29T08:46:02Z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eyJoZGlkIjoiNmU0OWNhMGUyYzc2MTI5ZWY2NzM4MTVkMDAwODg0YzMiLCJ1c2VySWQiOiI2ODM5ODUzMDMifQ==</vt:lpwstr>
  </property>
  <property fmtid="{D5CDD505-2E9C-101B-9397-08002B2CF9AE}" pid="15" name="KSOProductBuildVer">
    <vt:lpwstr>2052-12.1.0.22529</vt:lpwstr>
  </property>
  <property fmtid="{D5CDD505-2E9C-101B-9397-08002B2CF9AE}" pid="16" name="ICV">
    <vt:lpwstr>31BEE0B3B8284E5CBDD5E0F9715CFE5A_13</vt:lpwstr>
  </property>
</Properties>
</file>