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15BA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中国电子装备技术开发协会</w:t>
      </w:r>
      <w:r>
        <w:rPr>
          <w:rFonts w:ascii="黑体" w:hAnsi="黑体" w:eastAsia="黑体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Times New Roman" w:hAnsi="Times New Roman" w:eastAsia="宋体" w:cs="Times New Roman"/>
          <w:b/>
          <w:bCs/>
          <w:snapToGrid w:val="0"/>
          <w:color w:val="auto"/>
          <w:spacing w:val="6"/>
          <w:kern w:val="0"/>
          <w:sz w:val="31"/>
          <w:szCs w:val="31"/>
          <w:highlight w:val="none"/>
        </w:rPr>
        <w:t>半导体级超纯高浓度臭氧发生装置</w:t>
      </w:r>
      <w:r>
        <w:rPr>
          <w:rFonts w:hint="eastAsia" w:ascii="黑体" w:hAnsi="黑体" w:eastAsia="黑体"/>
          <w:sz w:val="32"/>
          <w:szCs w:val="32"/>
        </w:rPr>
        <w:t>》编制说明</w:t>
      </w:r>
    </w:p>
    <w:p w14:paraId="084360B5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(征求意见稿)</w:t>
      </w:r>
    </w:p>
    <w:p w14:paraId="1BEAFA80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4" w:firstLineChars="200"/>
        <w:jc w:val="left"/>
        <w:textAlignment w:val="baseline"/>
        <w:outlineLvl w:val="0"/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一、工作简况</w:t>
      </w:r>
    </w:p>
    <w:p w14:paraId="67F25EA0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2" w:firstLineChars="200"/>
        <w:jc w:val="left"/>
        <w:textAlignment w:val="baseline"/>
        <w:outlineLvl w:val="1"/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1、任务来源</w:t>
      </w:r>
    </w:p>
    <w:p w14:paraId="29635377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随着我国半导体产业向高端化、精细化方向快速发展，芯片制程不断突破，对关键辅助设备的性能要求愈发严苛。半导体级超纯高浓度臭氧发生装置作为芯片制造中清洗、光刻、掺杂等核心工艺的关键设备，其臭氧纯度、浓度稳定性及运行可靠性直接影响芯片良率与制程安全性。​</w:t>
      </w:r>
    </w:p>
    <w:p w14:paraId="23A0125D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当前，国内市场上该类装置产品质量参差不齐，部分企业生产的装置存在杂质含量超标、浓度波动大、适配性差等问题，且行业内缺乏统一的技术标准与质量规范，导致下游半导体企业采购时难以精准判定产品合规性，既增加了供应链风险，也制约了国产装置的技术升级与市场推广。同时，国际先进标准对技术细节的把控较为严格，国内企业在参与国际竞争时缺乏适配的标准支撑。​</w:t>
      </w:r>
    </w:p>
    <w:p w14:paraId="16BAC7EB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hint="default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在此背景下，中国电子装备技术开发协会立足行业发展需求，为规范半导体级超纯高浓度臭氧发生装置的生产与应用，推动产业高质量发展，决定牵头制定《半导体级超纯高浓度臭氧发生装置》团体标准。该任务得到了行业内多家装置生产企业、半导体制造企业、科研机构及检测单位的积极响应，共同组建标准编制工作组，开启标准研制工作。</w:t>
      </w:r>
    </w:p>
    <w:p w14:paraId="6FD335C3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本标准由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苏州晶拓半导体科技有限公司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研发中心提出，经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中国联合国采购促进会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批准，正式列入202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年团体标准制修订项目计划，项目名称为《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半导体级超纯高浓度臭氧发生装置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》。</w:t>
      </w:r>
    </w:p>
    <w:p w14:paraId="58A4671E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本标准起草单位：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苏州晶拓半导体科技有限公司、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××××。</w:t>
      </w:r>
    </w:p>
    <w:p w14:paraId="7E365ACF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本标准协作单位：××××。</w:t>
      </w:r>
    </w:p>
    <w:p w14:paraId="1CDDBA94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本标准主要起草人：××××。</w:t>
      </w:r>
    </w:p>
    <w:p w14:paraId="681DC7F1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2" w:firstLineChars="200"/>
        <w:jc w:val="left"/>
        <w:textAlignment w:val="baseline"/>
        <w:outlineLvl w:val="1"/>
        <w:rPr>
          <w:rFonts w:hint="eastAsia"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2、本标准制定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的</w:t>
      </w:r>
      <w:r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目的</w:t>
      </w:r>
      <w:r>
        <w:rPr>
          <w:rFonts w:hint="eastAsia"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​</w:t>
      </w:r>
    </w:p>
    <w:p w14:paraId="5AB9534E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1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统一技术与质量标尺：明确半导体级超纯高浓度臭氧发生装置的核心技术参数（如臭氧浓度范围、杂质含量限值、浓度波动误差）、安全性能要求（如防爆等级、尾气处理标准）及检测方法，结束行业内 “无标可依”“各自为标” 的混乱局面，为产品生产、检验、采购提供统一依据。​</w:t>
      </w:r>
    </w:p>
    <w:p w14:paraId="6C0CC8EF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1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推动技术创新与升级：整合国内外先进技术成果，将超纯气源处理、精密电控系统、高效臭氧发生单元等关键技术纳入标准体系，明确技术发展方向，引导企业聚焦高端化研发，突破低纯度、低稳定性等技术瓶颈，缩小与国际顶尖产品的差距。​</w:t>
      </w:r>
    </w:p>
    <w:p w14:paraId="67BD79C7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1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保障半导体产业链安全：通过规范装置性能与质量，提升国产装置的可靠性与适配性，降低下游半导体企业对进口设备的依赖，为半导体制造环节提供稳定、合规的关键设备支撑，助力半导体产业链自主可控。​ 优化市场竞争环境：设定合理的技术准入门槛，淘汰技术落后、质量不达标的产品，避免低价无序竞争，引导企业通过技术创新与质量提升获取市场优势，推动行业向高质量、规范化方向发展，同时为监管部门开展行业治理提供标准依据。​</w:t>
      </w:r>
    </w:p>
    <w:p w14:paraId="141F497A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2" w:firstLineChars="200"/>
        <w:jc w:val="left"/>
        <w:textAlignment w:val="baseline"/>
        <w:outlineLvl w:val="1"/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3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、本标准制定的意义</w:t>
      </w:r>
    </w:p>
    <w:p w14:paraId="49333087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1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1. 赋能半导体产业高质量发展：作为芯片制造关键辅助设备标准，其实施可保障臭氧发生装置的纯度与稳定性，直接提升芯片清洗、光刻等核心工艺的精准度，减少因设备问题导致的良率损耗，为半导体产业向更先进制程突破提供设备端技术支撑，助力我国半导体产业从“规模扩张”向“质量提升”转型。</w:t>
      </w:r>
    </w:p>
    <w:p w14:paraId="62A4FCAB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1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2. 推动国产装备技术突围：标准整合国际先进技术指标与国内产业实践，既为国产企业明确了技术升级方向，也通过统一的质量判定体系，帮助国产装置打破“进口依赖”的市场壁垒。符合标准的国产设备可更顺畅地进入主流半导体供应链，加速核心装备国产化替代进程，提升我国在半导体装备领域的国际话语权。</w:t>
      </w:r>
    </w:p>
    <w:p w14:paraId="4EDE2F32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1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3. 规范行业市场秩序：针对当前市场产品质量参差不齐、参数标注混乱等问题，标准明确了技术准入门槛与质量要求，可有效遏制低价竞争、以次充好等乱象。同时为监管部门提供清晰的执法依据，推动行业从“无序竞争”向“依规发展”转变，营造公平、有序的市场环境。</w:t>
      </w:r>
    </w:p>
    <w:p w14:paraId="2F7A2D12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1"/>
        <w:rPr>
          <w:rFonts w:hint="eastAsia"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4. 降低产业链协作成本：标准统一了产品技术参数、检测方法与验收规范，下游半导体企业无需与不同供应商逐一协商技术标准，上游设备厂商也无需为适配不同客户需求反复调整生产，显著减少供需双方的沟通成本与适配成本，提升整个半导体产业链的协作效率。</w:t>
      </w:r>
    </w:p>
    <w:p w14:paraId="1AE6182D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2" w:firstLineChars="200"/>
        <w:jc w:val="left"/>
        <w:textAlignment w:val="baseline"/>
        <w:outlineLvl w:val="1"/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4、主要工作过程</w:t>
      </w:r>
    </w:p>
    <w:p w14:paraId="4279D577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本项目虽然正式列入团体标准制订项目计划是在202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7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月，但标准起草小组长期以来一直跟踪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半导体级超纯高浓度臭氧发生装置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标准的发展，并长期跟踪研究该领域标准在我国的应用。针对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半导体级超纯高浓度臭氧发生装置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新的技术内容的变化，提出标准制定立项申请。本标准具体起草过程如下：</w:t>
      </w:r>
    </w:p>
    <w:p w14:paraId="176CD09E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202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7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月，起草标准草案和申报书。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苏州晶拓半导体科技有限公司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研发中心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发起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标准制定任务，立刻组织落实标准制定工作，成立编制组和专家顾问团队，对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半导体级超纯高浓度臭氧发生装置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的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核心技术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进行分析和研究，确定标准的技术内容，明确制定方案，并着手开始对所有数据元进行详细对比、翻译工作，编制申报书和标准草案。</w:t>
      </w:r>
    </w:p>
    <w:p w14:paraId="558C1B72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202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8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上旬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，收集国内外相关标准和技术资料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，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开展调研。为了按照文件要求，准确完成制定工作，标准起草组通过各种途径，调查收集各部委发布有关的考核标准、指标体系、相关标准，以及相关标准规范，形成标准编制大纲。</w:t>
      </w:r>
    </w:p>
    <w:p w14:paraId="70922C81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202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8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中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旬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，在前期的大量调研和翻译工作基础上，经过课题组内部的多次集中讨论，组织内部讨论和修改，形成标准草案。</w:t>
      </w:r>
    </w:p>
    <w:p w14:paraId="24E2FF18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202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8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下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旬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，专家讨论修改。</w:t>
      </w:r>
    </w:p>
    <w:p w14:paraId="175050A8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202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>8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下旬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，形成标准征求意见稿。</w:t>
      </w:r>
    </w:p>
    <w:p w14:paraId="1BB9748B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4" w:firstLineChars="200"/>
        <w:jc w:val="left"/>
        <w:textAlignment w:val="baseline"/>
        <w:outlineLvl w:val="0"/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二、团体标准编制原则和确定团体标准主要内容的论据</w:t>
      </w:r>
    </w:p>
    <w:p w14:paraId="7BFD15C2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2" w:firstLineChars="200"/>
        <w:jc w:val="left"/>
        <w:textAlignment w:val="baseline"/>
        <w:outlineLvl w:val="1"/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1、编制原则</w:t>
      </w:r>
    </w:p>
    <w:p w14:paraId="0CF065FF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按照GB/T1.1-2020《标准化工作导则第 1 部分：标准的结构和编写》的要求和规定编写本标准内容。</w:t>
      </w:r>
    </w:p>
    <w:p w14:paraId="56E4B01A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充分考虑到现阶段我国对本标准的实际需求，本着以下原则，对技术内容研究比对，使其具有可操作性：</w:t>
      </w:r>
    </w:p>
    <w:p w14:paraId="7D4DA2D4">
      <w:pPr>
        <w:pStyle w:val="2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科学性原则：标准的制定基于科学研究和实践经验，确保技术内容的科学性和合理性。</w:t>
      </w:r>
    </w:p>
    <w:p w14:paraId="1F039AA8">
      <w:pPr>
        <w:pStyle w:val="2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先进性原则：充分考虑行业发展的趋势和最新技术成果，使标准具有一定的前瞻性。</w:t>
      </w:r>
    </w:p>
    <w:p w14:paraId="173864EE">
      <w:pPr>
        <w:pStyle w:val="2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协调性原则：与现有相关标准协调一致，避免重复和矛盾。</w:t>
      </w:r>
    </w:p>
    <w:p w14:paraId="7B578427">
      <w:pPr>
        <w:pStyle w:val="2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实用性原则：标准的内容应具有可操作性，能够满足实际生产和使用的需求。</w:t>
      </w:r>
    </w:p>
    <w:p w14:paraId="29AA0A6C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2" w:firstLineChars="200"/>
        <w:jc w:val="left"/>
        <w:textAlignment w:val="baseline"/>
        <w:outlineLvl w:val="1"/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2、标准主要内容与确定论据</w:t>
      </w:r>
    </w:p>
    <w:p w14:paraId="0EF3FB3D">
      <w:pPr>
        <w:pStyle w:val="2"/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标准主要内容及适用范围</w:t>
      </w:r>
    </w:p>
    <w:p w14:paraId="65760D20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本文件规定了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半导体级超纯高浓度臭氧发生装置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的术语和定义、主体结构和标记、技术要求、检验方法、检验规则、标志、标签、铭牌、运输及贮存、质量承诺等。</w:t>
      </w:r>
    </w:p>
    <w:p w14:paraId="0A1CED6F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本文件适用于设计、制造、检验及销售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半导体级超纯高浓度臭氧发生装置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的相关活动。</w:t>
      </w:r>
    </w:p>
    <w:p w14:paraId="316A47FA">
      <w:pPr>
        <w:pStyle w:val="2"/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</w:rPr>
        <w:t>确定主要内容的论据</w:t>
      </w:r>
    </w:p>
    <w:p w14:paraId="4742DD44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对现有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半导体级超纯高浓度臭氧发生装置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的</w:t>
      </w: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核心技术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进行了大量的实地调研和测试，获取了相关数据和信息；参考了国内外相关标准和规范；结合了行业专家的意见和建议，确保标准的技术内容符合行业发展的实际需求。</w:t>
      </w:r>
    </w:p>
    <w:p w14:paraId="3F4B2D96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4" w:firstLineChars="200"/>
        <w:jc w:val="left"/>
        <w:textAlignment w:val="baseline"/>
        <w:outlineLvl w:val="0"/>
        <w:rPr>
          <w:rFonts w:hint="eastAsia"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三、本标准制定的意义​</w:t>
      </w:r>
    </w:p>
    <w:p w14:paraId="0CAA042E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（一）对行业发展而言​</w:t>
      </w:r>
    </w:p>
    <w:p w14:paraId="1540E542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填补行业标准空白，规范技术应用边界：当前半导体级超纯高浓度臭氧发生装置领域缺乏统一标准，产品性能指标、纯度要求、安全规范等存在差异。本标准明确装置的核心技术参数（如臭氧浓度、杂质含量、稳定性要求）与应用场景边界，结束 “各自为标” 的混乱局面，为行业建立统一技术标尺。​</w:t>
      </w:r>
    </w:p>
    <w:p w14:paraId="086CFD2A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推动技术迭代升级，提升行业核心竞争力：标准整合国内外先进技术成果，将超纯气体制备、精密控制、尾气处理等关键技术纳入规范，引导行业从 “低端同质化” 向 “高端差异化” 转型。同时，明确技术发展方向，倒逼企业加大研发投入，突破核心技术瓶颈，缩小与国际顶尖水平的差距。​</w:t>
      </w:r>
    </w:p>
    <w:p w14:paraId="1E0C2F14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优化产业生态布局，促进产业链协同：标准不仅规范装置本体技术要求，还涵盖上游核心部件（如电极材料、气源处理组件）与下游应用适配（如半导体清洗、光刻工艺）的衔接要求，推动上下游企业协同创新，形成 “研发 - 生产 - 应用” 一体化产业生态，提升产业链整体抗风险能力。​</w:t>
      </w:r>
    </w:p>
    <w:p w14:paraId="7094E331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助力半导体产业自主可控，保障供应链安全：半导体级臭氧是芯片制造的关键辅助材料，装置性能直接影响芯片制程稳定性。标准的实施可推动国产装置技术达标，减少对进口设备的依赖，为半导体产业链自主可控提供关键支撑，保障国家高端制造业供应链安全。​</w:t>
      </w:r>
    </w:p>
    <w:p w14:paraId="392A319E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（二）对企业而言​</w:t>
      </w:r>
    </w:p>
    <w:p w14:paraId="46053B48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降低研发与生产成本，提升效率：中小企业无需再投入大量资源摸索技术参数与生产工艺，可直接依据标准开展研发与生产，减少试错成本。同时，标准统一的检测方法与质量判定标准，可简化产品测试流程，缩短生产周期，提升整体运营效率。​</w:t>
      </w:r>
    </w:p>
    <w:p w14:paraId="7DD6DB90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明确市场准入门槛，增强竞争优势：符合标准的产品将成为半导体行业采购的重要选择依据，帮助企业突破客户信任壁垒，尤其在半导体龙头企业的供应链招标中占据优势。同时，标准可帮助企业规避因技术不达标导致的合同纠纷与市场风险。​</w:t>
      </w:r>
    </w:p>
    <w:p w14:paraId="6FA3C437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引导企业聚焦高端市场，塑造品牌价值：标准对 “超纯”“高浓度”“稳定性” 的严格要求，将推动企业从低附加值的中低端产品向高附加值的高端装置转型。通过符合标准的优质产品，企业可积累行业口碑，塑造专业化、高品质的品牌形象，提升市场溢价能力。​</w:t>
      </w:r>
    </w:p>
    <w:p w14:paraId="63AAFD07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拓展应用场景，打开增长空间：标准明确装置在不同半导体制程（如 28nm、14nm、7nm）中的适配要求，帮助企业精准对接下游需求，不仅可服务传统芯片制造，还能拓展至第三代半导体、集成电路封装测试等新兴领域，打开新的增长空间。​</w:t>
      </w:r>
    </w:p>
    <w:p w14:paraId="53FA6712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（三）对用户而言​</w:t>
      </w:r>
    </w:p>
    <w:p w14:paraId="207FCCD6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保障生产稳定性，降低运营风险：半导体制造对臭氧的纯度、浓度稳定性要求极高，微小偏差可能导致芯片良率大幅下降。标准确保装置输出的臭氧参数精准可控，避免因设备性能波动引发的生产中断、产品报废等问题，降低用户运营风险。​</w:t>
      </w:r>
    </w:p>
    <w:p w14:paraId="74710EB0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简化采购与验收流程，提升合作效率：用户无需再与不同企业逐一协商技术指标与验收标准，可直接依据团体标准开展采购，明确质量要求与检测方法，减少供需双方的沟通成本与争议，提升采购与验收效率。​</w:t>
      </w:r>
    </w:p>
    <w:p w14:paraId="306A8597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降低使用与维护成本，优化成本结构：标准对装置的能耗、使用寿命、维护周期等提出明确要求，引导企业生产更节能、易维护的产品。用户使用符合标准的装置，可减少能耗支出与后期维护成本，优化整体生产成本结构。​</w:t>
      </w:r>
    </w:p>
    <w:p w14:paraId="41A26444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outlineLvl w:val="0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获得技术保障与服务支撑，提升使用体验：标准配套明确企业的售后服务要求（如故障响应时间、备件供应保障），用户可享受更规范、专业的技术支持。同时，标准的开放性可推动企业间技术交流，用户能更便捷地获取行业前沿技术服务，提升设备使用体验。​</w:t>
      </w:r>
    </w:p>
    <w:p w14:paraId="370665A7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4" w:firstLineChars="200"/>
        <w:jc w:val="left"/>
        <w:textAlignment w:val="baseline"/>
        <w:outlineLvl w:val="0"/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四、采用国际标准和国外先进标准的程度</w:t>
      </w:r>
    </w:p>
    <w:p w14:paraId="683910B5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本标准在制定过程中未采用国际标准和国外先进标准。但通过对国内外相关标准和技术资料的研究，本标准在技术内容上达到了国内先进水平，与国外同类标准相比具有一定的可比性。</w:t>
      </w:r>
    </w:p>
    <w:p w14:paraId="06A36823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4" w:firstLineChars="200"/>
        <w:jc w:val="left"/>
        <w:textAlignment w:val="baseline"/>
        <w:outlineLvl w:val="0"/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五、与有关的现行法律、法规和强制性标准的关系</w:t>
      </w:r>
    </w:p>
    <w:p w14:paraId="2739FD39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本标准符合国家现行法律、法规和强制性国家标准的要求，与相关标准相互协调、互为补充。</w:t>
      </w:r>
    </w:p>
    <w:p w14:paraId="4F8CEB55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本标准的实施不涉及对现行标准的废止情况。</w:t>
      </w:r>
    </w:p>
    <w:p w14:paraId="4EA1EABD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4" w:firstLineChars="200"/>
        <w:jc w:val="left"/>
        <w:textAlignment w:val="baseline"/>
        <w:outlineLvl w:val="0"/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六、重大分歧意见的处理经过和依据</w:t>
      </w:r>
    </w:p>
    <w:p w14:paraId="44EDA43D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在标准起草和征求意见过程中，未出现重大分歧意见。对于一般性的意见和建议，起草组均进行了认真研究和处理，在充分考虑各方意见的基础上对标准进行了修改完善。</w:t>
      </w:r>
    </w:p>
    <w:p w14:paraId="1B29C363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4" w:firstLineChars="200"/>
        <w:jc w:val="left"/>
        <w:textAlignment w:val="baseline"/>
        <w:outlineLvl w:val="0"/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七、团体标准作为强制性团体标准或推荐性团体标准的建议</w:t>
      </w:r>
    </w:p>
    <w:p w14:paraId="79A7C56E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建议本标准作为推荐性标准发布实施，以引导和规范行业的发展。</w:t>
      </w:r>
    </w:p>
    <w:p w14:paraId="3833821C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4" w:firstLineChars="200"/>
        <w:jc w:val="left"/>
        <w:textAlignment w:val="baseline"/>
        <w:outlineLvl w:val="0"/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八、贯彻团体标准的要求和措施建议</w:t>
      </w:r>
    </w:p>
    <w:p w14:paraId="582FC86A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1.组织标准宣贯培训，使相关企业和人员了解标准的技术内容和要求。</w:t>
      </w:r>
    </w:p>
    <w:p w14:paraId="2AED7436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2.加强标准的实施监督，确保标准的有效执行。</w:t>
      </w:r>
    </w:p>
    <w:p w14:paraId="1DEA6E86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3.及时跟踪标准的实施情况，根据实际需要对标准进行修订和完善。</w:t>
      </w:r>
    </w:p>
    <w:p w14:paraId="25B0E902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4" w:firstLineChars="200"/>
        <w:jc w:val="left"/>
        <w:textAlignment w:val="baseline"/>
        <w:outlineLvl w:val="0"/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九、废止现行有关标准的建议</w:t>
      </w:r>
    </w:p>
    <w:p w14:paraId="7F3A3AF9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本标准为首次制定，无废止现行有关标准的建议。</w:t>
      </w:r>
    </w:p>
    <w:p w14:paraId="502265E6">
      <w:pPr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534" w:firstLineChars="200"/>
        <w:jc w:val="left"/>
        <w:textAlignment w:val="baseline"/>
        <w:outlineLvl w:val="0"/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/>
          <w:bCs/>
          <w:snapToGrid w:val="0"/>
          <w:color w:val="auto"/>
          <w:spacing w:val="-7"/>
          <w:kern w:val="0"/>
          <w:sz w:val="28"/>
          <w:szCs w:val="28"/>
          <w:highlight w:val="none"/>
        </w:rPr>
        <w:t>十、其他应予说明的事项</w:t>
      </w:r>
    </w:p>
    <w:p w14:paraId="080BEB70">
      <w:pPr>
        <w:pStyle w:val="2"/>
        <w:widowControl/>
        <w:kinsoku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lef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</w:pP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>无</w:t>
      </w:r>
      <w:bookmarkStart w:id="0" w:name="_GoBack"/>
      <w:bookmarkEnd w:id="0"/>
    </w:p>
    <w:p w14:paraId="04090AD0">
      <w:pPr>
        <w:pStyle w:val="2"/>
        <w:widowControl/>
        <w:kinsoku w:val="0"/>
        <w:wordWrap w:val="0"/>
        <w:autoSpaceDE w:val="0"/>
        <w:autoSpaceDN w:val="0"/>
        <w:adjustRightInd w:val="0"/>
        <w:snapToGrid w:val="0"/>
        <w:spacing w:before="10" w:line="360" w:lineRule="auto"/>
        <w:ind w:firstLine="480" w:firstLineChars="200"/>
        <w:jc w:val="right"/>
        <w:textAlignment w:val="baseline"/>
        <w:rPr>
          <w:rFonts w:ascii="Times New Roman" w:hAnsi="Times New Roman" w:cs="Times New Roman"/>
          <w:snapToGrid w:val="0"/>
          <w:color w:val="auto"/>
          <w:kern w:val="0"/>
          <w:highlight w:val="none"/>
        </w:rPr>
      </w:pPr>
      <w:r>
        <w:rPr>
          <w:rFonts w:hint="eastAsia" w:ascii="Times New Roman" w:hAnsi="Times New Roman" w:cs="Times New Roman"/>
          <w:snapToGrid w:val="0"/>
          <w:color w:val="auto"/>
          <w:kern w:val="0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kern w:val="0"/>
          <w:highlight w:val="none"/>
          <w:lang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963AD1"/>
    <w:multiLevelType w:val="singleLevel"/>
    <w:tmpl w:val="D7963AD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10EF82DC"/>
    <w:multiLevelType w:val="singleLevel"/>
    <w:tmpl w:val="10EF82D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zFhZDA0ZjAwYzZkNjc0YTY0YzU3NzJjMzQwMzgifQ=="/>
  </w:docVars>
  <w:rsids>
    <w:rsidRoot w:val="6D683B9B"/>
    <w:rsid w:val="000362DB"/>
    <w:rsid w:val="00376BC3"/>
    <w:rsid w:val="003938E7"/>
    <w:rsid w:val="003E403C"/>
    <w:rsid w:val="004B16F0"/>
    <w:rsid w:val="005932A5"/>
    <w:rsid w:val="0061469D"/>
    <w:rsid w:val="00684F02"/>
    <w:rsid w:val="006F1B04"/>
    <w:rsid w:val="00886B8B"/>
    <w:rsid w:val="008A7FA5"/>
    <w:rsid w:val="00AD331F"/>
    <w:rsid w:val="00C06ACB"/>
    <w:rsid w:val="00CC0215"/>
    <w:rsid w:val="00CE5E87"/>
    <w:rsid w:val="00D2612C"/>
    <w:rsid w:val="00DD6274"/>
    <w:rsid w:val="00E77667"/>
    <w:rsid w:val="00FB0777"/>
    <w:rsid w:val="00FF0001"/>
    <w:rsid w:val="00FF11F5"/>
    <w:rsid w:val="06A72A7B"/>
    <w:rsid w:val="091A5787"/>
    <w:rsid w:val="0AC00AAE"/>
    <w:rsid w:val="0DC47F93"/>
    <w:rsid w:val="26834C31"/>
    <w:rsid w:val="34A9783B"/>
    <w:rsid w:val="361B6516"/>
    <w:rsid w:val="3979405D"/>
    <w:rsid w:val="3F806616"/>
    <w:rsid w:val="445F7FB9"/>
    <w:rsid w:val="47280A93"/>
    <w:rsid w:val="49BB5BEF"/>
    <w:rsid w:val="4A25750C"/>
    <w:rsid w:val="4D106251"/>
    <w:rsid w:val="519D207E"/>
    <w:rsid w:val="55A25EB5"/>
    <w:rsid w:val="58062066"/>
    <w:rsid w:val="593C01C2"/>
    <w:rsid w:val="59D710D1"/>
    <w:rsid w:val="5A2230AB"/>
    <w:rsid w:val="5B321A89"/>
    <w:rsid w:val="66967370"/>
    <w:rsid w:val="69AC6EAA"/>
    <w:rsid w:val="6BFA6E09"/>
    <w:rsid w:val="6D683B9B"/>
    <w:rsid w:val="731A30D6"/>
    <w:rsid w:val="76171B4F"/>
    <w:rsid w:val="7B113671"/>
    <w:rsid w:val="7C1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4439</Words>
  <Characters>4498</Characters>
  <Lines>32</Lines>
  <Paragraphs>9</Paragraphs>
  <TotalTime>0</TotalTime>
  <ScaleCrop>false</ScaleCrop>
  <LinksUpToDate>false</LinksUpToDate>
  <CharactersWithSpaces>4549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2024-07-27T17:31:00Z</dcterms:created>
  <dc:creator>天道酬勤</dc:creator>
  <cp:lastModifiedBy>ζΗì γυ</cp:lastModifiedBy>
  <dcterms:modified xsi:type="dcterms:W3CDTF">2025-09-03T06:15:44Z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E7B5124C5B07471587F221BA85DAACD4_13</vt:lpwstr>
  </property>
  <property fmtid="{D5CDD505-2E9C-101B-9397-08002B2CF9AE}" pid="4" name="KSOTemplateDocerSaveRecord">
    <vt:lpwstr>eyJoZGlkIjoiM2MzOTgxN2ZmMDI0MzllNDY5MDgxNjE5NmIxNWU1YTkiLCJ1c2VySWQiOiIzMDIwNTA2MjYifQ==</vt:lpwstr>
  </property>
</Properties>
</file>