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D11C0">
      <w:pPr>
        <w:jc w:val="center"/>
        <w:rPr>
          <w:rFonts w:hint="eastAsia" w:ascii="方正公文小标宋" w:hAnsi="方正公文小标宋" w:eastAsia="方正公文小标宋" w:cs="方正公文小标宋"/>
          <w:sz w:val="28"/>
          <w:szCs w:val="28"/>
        </w:rPr>
      </w:pPr>
      <w:r>
        <w:rPr>
          <w:rFonts w:hint="eastAsia" w:ascii="方正公文小标宋" w:hAnsi="方正公文小标宋" w:eastAsia="方正公文小标宋" w:cs="方正公文小标宋"/>
          <w:sz w:val="28"/>
          <w:szCs w:val="28"/>
        </w:rPr>
        <w:t>团体标准征求意见表</w:t>
      </w:r>
    </w:p>
    <w:p w14:paraId="36FD61B3">
      <w:pPr>
        <w:ind w:firstLine="420" w:firstLineChars="200"/>
        <w:jc w:val="center"/>
      </w:pPr>
    </w:p>
    <w:p w14:paraId="0257CE14">
      <w:pPr>
        <w:jc w:val="left"/>
        <w:rPr>
          <w:rFonts w:hint="eastAsia" w:ascii="方正公文小标宋" w:hAnsi="方正公文小标宋" w:eastAsia="方正公文小标宋" w:cs="方正公文小标宋"/>
          <w:lang w:val="en-US" w:eastAsia="zh-CN"/>
        </w:rPr>
      </w:pPr>
      <w:r>
        <w:rPr>
          <w:rFonts w:hint="eastAsia" w:ascii="方正公文小标宋" w:hAnsi="方正公文小标宋" w:eastAsia="方正公文小标宋" w:cs="方正公文小标宋"/>
        </w:rPr>
        <w:t>标准项目名称：温室气体 企业碳足迹量化方法与要求</w:t>
      </w:r>
      <w:r>
        <w:rPr>
          <w:rFonts w:hint="eastAsia" w:ascii="方正公文小标宋" w:hAnsi="方正公文小标宋" w:eastAsia="方正公文小标宋" w:cs="方正公文小标宋"/>
          <w:lang w:val="en-US" w:eastAsia="zh-CN"/>
        </w:rPr>
        <w:t xml:space="preserve"> </w:t>
      </w:r>
      <w:r>
        <w:rPr>
          <w:rFonts w:hint="eastAsia" w:ascii="方正公文小标宋" w:hAnsi="方正公文小标宋" w:eastAsia="方正公文小标宋" w:cs="方正公文小标宋"/>
        </w:rPr>
        <w:t>污水处理厂</w:t>
      </w:r>
    </w:p>
    <w:p w14:paraId="711B4B30">
      <w:pPr>
        <w:rPr>
          <w:rFonts w:hint="eastAsia" w:ascii="方正公文小标宋" w:hAnsi="方正公文小标宋" w:eastAsia="方正公文小标宋" w:cs="方正公文小标宋"/>
        </w:rPr>
      </w:pPr>
      <w:r>
        <w:rPr>
          <w:rFonts w:hint="eastAsia" w:ascii="方正公文小标宋" w:hAnsi="方正公文小标宋" w:eastAsia="方正公文小标宋" w:cs="方正公文小标宋"/>
        </w:rPr>
        <w:t xml:space="preserve">承办人：            </w:t>
      </w:r>
      <w:r>
        <w:rPr>
          <w:rFonts w:hint="eastAsia" w:ascii="方正公文小标宋" w:hAnsi="方正公文小标宋" w:eastAsia="方正公文小标宋" w:cs="方正公文小标宋"/>
          <w:lang w:val="en-US" w:eastAsia="zh-CN"/>
        </w:rPr>
        <w:t xml:space="preserve">                                      </w:t>
      </w:r>
      <w:r>
        <w:rPr>
          <w:rFonts w:hint="eastAsia" w:ascii="方正公文小标宋" w:hAnsi="方正公文小标宋" w:eastAsia="方正公文小标宋" w:cs="方正公文小标宋"/>
        </w:rPr>
        <w:t>共    页     第  页</w:t>
      </w:r>
    </w:p>
    <w:p w14:paraId="5F82D96D">
      <w:pPr>
        <w:jc w:val="both"/>
        <w:rPr>
          <w:rFonts w:hint="default" w:ascii="方正公文小标宋" w:hAnsi="方正公文小标宋" w:eastAsia="方正公文小标宋" w:cs="方正公文小标宋"/>
          <w:lang w:val="en-US" w:eastAsia="zh-CN"/>
        </w:rPr>
      </w:pPr>
      <w:bookmarkStart w:id="0" w:name="_GoBack"/>
      <w:r>
        <w:rPr>
          <w:rFonts w:hint="eastAsia" w:ascii="方正公文小标宋" w:hAnsi="方正公文小标宋" w:eastAsia="方正公文小标宋" w:cs="方正公文小标宋"/>
        </w:rPr>
        <w:t>主要起草单位：</w:t>
      </w:r>
      <w:r>
        <w:rPr>
          <w:rFonts w:hint="eastAsia" w:ascii="方正公文小标宋" w:hAnsi="方正公文小标宋" w:eastAsia="方正公文小标宋" w:cs="方正公文小标宋"/>
          <w:lang w:val="en-US" w:eastAsia="zh-CN"/>
        </w:rPr>
        <w:t>江苏省环境科学研究院</w:t>
      </w:r>
      <w:r>
        <w:rPr>
          <w:rFonts w:hint="eastAsia" w:ascii="方正公文小标宋" w:hAnsi="方正公文小标宋" w:eastAsia="方正公文小标宋" w:cs="方正公文小标宋"/>
        </w:rPr>
        <w:t xml:space="preserve"> </w:t>
      </w:r>
      <w:r>
        <w:rPr>
          <w:rFonts w:hint="eastAsia" w:ascii="方正公文小标宋" w:hAnsi="方正公文小标宋" w:eastAsia="方正公文小标宋" w:cs="方正公文小标宋"/>
          <w:lang w:val="en-US" w:eastAsia="zh-CN"/>
        </w:rPr>
        <w:t xml:space="preserve">  </w:t>
      </w:r>
      <w:r>
        <w:rPr>
          <w:rFonts w:hint="eastAsia" w:ascii="方正公文小标宋" w:hAnsi="方正公文小标宋" w:eastAsia="方正公文小标宋" w:cs="方正公文小标宋"/>
        </w:rPr>
        <w:t>电 话：1891396878</w:t>
      </w:r>
      <w:r>
        <w:rPr>
          <w:rFonts w:hint="eastAsia" w:ascii="方正公文小标宋" w:hAnsi="方正公文小标宋" w:eastAsia="方正公文小标宋" w:cs="方正公文小标宋"/>
          <w:lang w:val="en-US" w:eastAsia="zh-CN"/>
        </w:rPr>
        <w:t xml:space="preserve">   </w:t>
      </w:r>
      <w:r>
        <w:rPr>
          <w:rFonts w:hint="eastAsia" w:ascii="方正公文小标宋" w:hAnsi="方正公文小标宋" w:eastAsia="方正公文小标宋" w:cs="方正公文小标宋"/>
        </w:rPr>
        <w:t>填写日期：</w:t>
      </w:r>
      <w:r>
        <w:rPr>
          <w:rFonts w:hint="eastAsia" w:ascii="方正公文小标宋" w:hAnsi="方正公文小标宋" w:eastAsia="方正公文小标宋" w:cs="方正公文小标宋"/>
          <w:lang w:val="en-US" w:eastAsia="zh-CN"/>
        </w:rPr>
        <w:t>2025.08.14</w:t>
      </w:r>
    </w:p>
    <w:bookmarkEnd w:id="0"/>
    <w:p w14:paraId="400419CD">
      <w:pPr>
        <w:rPr>
          <w:rFonts w:hint="eastAsia" w:ascii="方正公文小标宋" w:hAnsi="方正公文小标宋" w:eastAsia="方正公文小标宋" w:cs="方正公文小标宋"/>
        </w:rPr>
      </w:pPr>
      <w:r>
        <w:rPr>
          <w:rFonts w:hint="eastAsia" w:ascii="方正公文小标宋" w:hAnsi="方正公文小标宋" w:eastAsia="方正公文小标宋" w:cs="方正公文小标宋"/>
        </w:rPr>
        <w:t>提出单位：</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950"/>
        <w:gridCol w:w="3333"/>
        <w:gridCol w:w="2117"/>
        <w:gridCol w:w="1436"/>
      </w:tblGrid>
      <w:tr w14:paraId="4F50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86" w:type="dxa"/>
            <w:vAlign w:val="center"/>
          </w:tcPr>
          <w:p w14:paraId="5459E135">
            <w:pPr>
              <w:jc w:val="center"/>
              <w:rPr>
                <w:sz w:val="18"/>
                <w:szCs w:val="18"/>
              </w:rPr>
            </w:pPr>
            <w:r>
              <w:rPr>
                <w:rFonts w:hint="eastAsia"/>
                <w:sz w:val="18"/>
                <w:szCs w:val="18"/>
              </w:rPr>
              <w:t>序号</w:t>
            </w:r>
          </w:p>
        </w:tc>
        <w:tc>
          <w:tcPr>
            <w:tcW w:w="950" w:type="dxa"/>
            <w:vAlign w:val="center"/>
          </w:tcPr>
          <w:p w14:paraId="27664190">
            <w:pPr>
              <w:jc w:val="center"/>
              <w:rPr>
                <w:sz w:val="18"/>
                <w:szCs w:val="18"/>
              </w:rPr>
            </w:pPr>
            <w:r>
              <w:rPr>
                <w:rFonts w:hint="eastAsia"/>
                <w:sz w:val="18"/>
                <w:szCs w:val="18"/>
              </w:rPr>
              <w:t>标准章条编号</w:t>
            </w:r>
          </w:p>
        </w:tc>
        <w:tc>
          <w:tcPr>
            <w:tcW w:w="3333" w:type="dxa"/>
            <w:vAlign w:val="center"/>
          </w:tcPr>
          <w:p w14:paraId="62BA4522">
            <w:pPr>
              <w:jc w:val="center"/>
              <w:rPr>
                <w:sz w:val="18"/>
                <w:szCs w:val="18"/>
              </w:rPr>
            </w:pPr>
            <w:r>
              <w:rPr>
                <w:rFonts w:hint="eastAsia"/>
                <w:sz w:val="18"/>
                <w:szCs w:val="18"/>
              </w:rPr>
              <w:t>意见内容</w:t>
            </w:r>
          </w:p>
        </w:tc>
        <w:tc>
          <w:tcPr>
            <w:tcW w:w="2117" w:type="dxa"/>
            <w:vAlign w:val="center"/>
          </w:tcPr>
          <w:p w14:paraId="41B6C772">
            <w:pPr>
              <w:jc w:val="center"/>
              <w:rPr>
                <w:sz w:val="18"/>
                <w:szCs w:val="18"/>
              </w:rPr>
            </w:pPr>
            <w:r>
              <w:rPr>
                <w:rFonts w:hint="eastAsia"/>
                <w:sz w:val="18"/>
                <w:szCs w:val="18"/>
              </w:rPr>
              <w:t>提出单位</w:t>
            </w:r>
          </w:p>
        </w:tc>
        <w:tc>
          <w:tcPr>
            <w:tcW w:w="1436" w:type="dxa"/>
            <w:vAlign w:val="center"/>
          </w:tcPr>
          <w:p w14:paraId="58F530DB">
            <w:pPr>
              <w:jc w:val="center"/>
              <w:rPr>
                <w:sz w:val="18"/>
                <w:szCs w:val="18"/>
              </w:rPr>
            </w:pPr>
            <w:r>
              <w:rPr>
                <w:rFonts w:hint="eastAsia"/>
                <w:sz w:val="18"/>
                <w:szCs w:val="18"/>
              </w:rPr>
              <w:t>其他说明</w:t>
            </w:r>
          </w:p>
        </w:tc>
      </w:tr>
      <w:tr w14:paraId="1BBE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86" w:type="dxa"/>
            <w:vAlign w:val="center"/>
          </w:tcPr>
          <w:p w14:paraId="5509F18B">
            <w:pPr>
              <w:jc w:val="center"/>
              <w:rPr>
                <w:sz w:val="18"/>
                <w:szCs w:val="18"/>
              </w:rPr>
            </w:pPr>
            <w:r>
              <w:rPr>
                <w:sz w:val="18"/>
                <w:szCs w:val="18"/>
              </w:rPr>
              <w:t>1</w:t>
            </w:r>
          </w:p>
        </w:tc>
        <w:tc>
          <w:tcPr>
            <w:tcW w:w="950" w:type="dxa"/>
            <w:vAlign w:val="center"/>
          </w:tcPr>
          <w:p w14:paraId="7E9D521F">
            <w:pPr>
              <w:spacing w:line="360" w:lineRule="auto"/>
              <w:jc w:val="center"/>
              <w:rPr>
                <w:sz w:val="18"/>
                <w:szCs w:val="18"/>
              </w:rPr>
            </w:pPr>
            <w:r>
              <w:rPr>
                <w:rFonts w:eastAsiaTheme="minorEastAsia"/>
                <w:sz w:val="18"/>
                <w:szCs w:val="18"/>
              </w:rPr>
              <w:t>4.1、4.2、4.3、4.4</w:t>
            </w:r>
          </w:p>
        </w:tc>
        <w:tc>
          <w:tcPr>
            <w:tcW w:w="3333" w:type="dxa"/>
            <w:vAlign w:val="center"/>
          </w:tcPr>
          <w:p w14:paraId="37C96AA2">
            <w:pPr>
              <w:jc w:val="both"/>
              <w:rPr>
                <w:sz w:val="18"/>
                <w:szCs w:val="18"/>
              </w:rPr>
            </w:pPr>
            <w:r>
              <w:rPr>
                <w:rFonts w:eastAsiaTheme="minorEastAsia"/>
                <w:sz w:val="18"/>
                <w:szCs w:val="18"/>
              </w:rPr>
              <w:t>4.1、4.2、4.3为收集、污水处理、污泥处理单元的碳排放；4.4为间接碳排放；这几个标题的逻辑不并列</w:t>
            </w:r>
          </w:p>
        </w:tc>
        <w:tc>
          <w:tcPr>
            <w:tcW w:w="2117" w:type="dxa"/>
            <w:vAlign w:val="center"/>
          </w:tcPr>
          <w:p w14:paraId="2213CBF2">
            <w:pPr>
              <w:jc w:val="center"/>
              <w:rPr>
                <w:sz w:val="18"/>
                <w:szCs w:val="18"/>
              </w:rPr>
            </w:pPr>
            <w:r>
              <w:rPr>
                <w:rFonts w:hint="eastAsia"/>
                <w:sz w:val="18"/>
                <w:szCs w:val="18"/>
              </w:rPr>
              <w:t>中冶华天工程技术有限公司</w:t>
            </w:r>
          </w:p>
        </w:tc>
        <w:tc>
          <w:tcPr>
            <w:tcW w:w="1436" w:type="dxa"/>
            <w:vAlign w:val="center"/>
          </w:tcPr>
          <w:p w14:paraId="4584FBB7">
            <w:pPr>
              <w:jc w:val="center"/>
              <w:rPr>
                <w:sz w:val="18"/>
                <w:szCs w:val="18"/>
              </w:rPr>
            </w:pPr>
          </w:p>
        </w:tc>
      </w:tr>
      <w:tr w14:paraId="07418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86" w:type="dxa"/>
            <w:vAlign w:val="center"/>
          </w:tcPr>
          <w:p w14:paraId="0E29D0DB">
            <w:pPr>
              <w:jc w:val="center"/>
              <w:rPr>
                <w:sz w:val="18"/>
                <w:szCs w:val="18"/>
              </w:rPr>
            </w:pPr>
            <w:r>
              <w:rPr>
                <w:sz w:val="18"/>
                <w:szCs w:val="18"/>
              </w:rPr>
              <w:t>2</w:t>
            </w:r>
          </w:p>
        </w:tc>
        <w:tc>
          <w:tcPr>
            <w:tcW w:w="950" w:type="dxa"/>
            <w:vAlign w:val="center"/>
          </w:tcPr>
          <w:p w14:paraId="4A25070C">
            <w:pPr>
              <w:spacing w:line="360" w:lineRule="auto"/>
              <w:jc w:val="center"/>
              <w:rPr>
                <w:color w:val="000000"/>
                <w:sz w:val="18"/>
                <w:szCs w:val="18"/>
              </w:rPr>
            </w:pPr>
            <w:r>
              <w:rPr>
                <w:rFonts w:eastAsiaTheme="minorEastAsia"/>
                <w:sz w:val="18"/>
                <w:szCs w:val="18"/>
              </w:rPr>
              <w:t>4.2.3</w:t>
            </w:r>
          </w:p>
        </w:tc>
        <w:tc>
          <w:tcPr>
            <w:tcW w:w="3333" w:type="dxa"/>
            <w:vAlign w:val="center"/>
          </w:tcPr>
          <w:p w14:paraId="1F075AD6">
            <w:pPr>
              <w:jc w:val="both"/>
              <w:rPr>
                <w:color w:val="000000"/>
                <w:sz w:val="18"/>
                <w:szCs w:val="18"/>
              </w:rPr>
            </w:pPr>
            <w:r>
              <w:rPr>
                <w:rFonts w:eastAsiaTheme="minorEastAsia"/>
                <w:sz w:val="18"/>
                <w:szCs w:val="18"/>
              </w:rPr>
              <w:t>SBR、氧化沟等工艺无法按照厌氧、缺氧、好氧工艺段进行分区，并不适用于该核算方法。</w:t>
            </w:r>
          </w:p>
        </w:tc>
        <w:tc>
          <w:tcPr>
            <w:tcW w:w="2117" w:type="dxa"/>
            <w:vAlign w:val="center"/>
          </w:tcPr>
          <w:p w14:paraId="303193A1">
            <w:pPr>
              <w:jc w:val="center"/>
              <w:rPr>
                <w:sz w:val="18"/>
                <w:szCs w:val="18"/>
              </w:rPr>
            </w:pPr>
            <w:r>
              <w:rPr>
                <w:rFonts w:hint="eastAsia"/>
                <w:sz w:val="18"/>
                <w:szCs w:val="18"/>
              </w:rPr>
              <w:t>马鞍山中冶华欣水环境治理有限公司</w:t>
            </w:r>
          </w:p>
        </w:tc>
        <w:tc>
          <w:tcPr>
            <w:tcW w:w="1436" w:type="dxa"/>
            <w:vAlign w:val="center"/>
          </w:tcPr>
          <w:p w14:paraId="09F812DE">
            <w:pPr>
              <w:jc w:val="center"/>
              <w:rPr>
                <w:sz w:val="18"/>
                <w:szCs w:val="18"/>
              </w:rPr>
            </w:pPr>
          </w:p>
        </w:tc>
      </w:tr>
      <w:tr w14:paraId="22721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86" w:type="dxa"/>
            <w:vAlign w:val="center"/>
          </w:tcPr>
          <w:p w14:paraId="5A26DDA9">
            <w:pPr>
              <w:jc w:val="center"/>
              <w:rPr>
                <w:sz w:val="18"/>
                <w:szCs w:val="18"/>
              </w:rPr>
            </w:pPr>
            <w:r>
              <w:rPr>
                <w:sz w:val="18"/>
                <w:szCs w:val="18"/>
              </w:rPr>
              <w:t>3</w:t>
            </w:r>
          </w:p>
        </w:tc>
        <w:tc>
          <w:tcPr>
            <w:tcW w:w="950" w:type="dxa"/>
            <w:vAlign w:val="center"/>
          </w:tcPr>
          <w:p w14:paraId="1EF9E88D">
            <w:pPr>
              <w:spacing w:line="360" w:lineRule="auto"/>
              <w:jc w:val="center"/>
              <w:rPr>
                <w:sz w:val="18"/>
                <w:szCs w:val="18"/>
              </w:rPr>
            </w:pPr>
            <w:r>
              <w:rPr>
                <w:rFonts w:eastAsiaTheme="minorEastAsia"/>
                <w:sz w:val="18"/>
                <w:szCs w:val="18"/>
              </w:rPr>
              <w:t>4.2</w:t>
            </w:r>
          </w:p>
        </w:tc>
        <w:tc>
          <w:tcPr>
            <w:tcW w:w="3333" w:type="dxa"/>
            <w:vAlign w:val="center"/>
          </w:tcPr>
          <w:p w14:paraId="29C3589C">
            <w:pPr>
              <w:jc w:val="both"/>
              <w:rPr>
                <w:sz w:val="18"/>
                <w:szCs w:val="18"/>
              </w:rPr>
            </w:pPr>
            <w:r>
              <w:rPr>
                <w:rFonts w:eastAsiaTheme="minorEastAsia"/>
                <w:sz w:val="18"/>
                <w:szCs w:val="18"/>
              </w:rPr>
              <w:t>化学平衡法未包含N</w:t>
            </w:r>
            <w:r>
              <w:rPr>
                <w:rFonts w:eastAsiaTheme="minorEastAsia"/>
                <w:sz w:val="18"/>
                <w:szCs w:val="18"/>
                <w:vertAlign w:val="subscript"/>
              </w:rPr>
              <w:t>2</w:t>
            </w:r>
            <w:r>
              <w:rPr>
                <w:rFonts w:eastAsiaTheme="minorEastAsia"/>
                <w:sz w:val="18"/>
                <w:szCs w:val="18"/>
              </w:rPr>
              <w:t>O排放的核算方法</w:t>
            </w:r>
          </w:p>
        </w:tc>
        <w:tc>
          <w:tcPr>
            <w:tcW w:w="2117" w:type="dxa"/>
            <w:vAlign w:val="center"/>
          </w:tcPr>
          <w:p w14:paraId="60AF4907">
            <w:pPr>
              <w:jc w:val="center"/>
              <w:rPr>
                <w:sz w:val="18"/>
                <w:szCs w:val="18"/>
              </w:rPr>
            </w:pPr>
            <w:r>
              <w:rPr>
                <w:rFonts w:hint="eastAsia"/>
                <w:sz w:val="18"/>
                <w:szCs w:val="18"/>
              </w:rPr>
              <w:t>中冶生态环保集团（滁州）研究院有限公司</w:t>
            </w:r>
          </w:p>
        </w:tc>
        <w:tc>
          <w:tcPr>
            <w:tcW w:w="1436" w:type="dxa"/>
            <w:vAlign w:val="center"/>
          </w:tcPr>
          <w:p w14:paraId="2A155C86">
            <w:pPr>
              <w:jc w:val="center"/>
              <w:rPr>
                <w:sz w:val="18"/>
                <w:szCs w:val="18"/>
              </w:rPr>
            </w:pPr>
          </w:p>
        </w:tc>
      </w:tr>
      <w:tr w14:paraId="002C6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86" w:type="dxa"/>
            <w:vAlign w:val="center"/>
          </w:tcPr>
          <w:p w14:paraId="4DD26230">
            <w:pPr>
              <w:jc w:val="center"/>
              <w:rPr>
                <w:sz w:val="18"/>
                <w:szCs w:val="18"/>
              </w:rPr>
            </w:pPr>
            <w:r>
              <w:rPr>
                <w:sz w:val="18"/>
                <w:szCs w:val="18"/>
              </w:rPr>
              <w:t>4</w:t>
            </w:r>
          </w:p>
        </w:tc>
        <w:tc>
          <w:tcPr>
            <w:tcW w:w="950" w:type="dxa"/>
            <w:vAlign w:val="center"/>
          </w:tcPr>
          <w:p w14:paraId="7DB8CE87">
            <w:pPr>
              <w:spacing w:line="360" w:lineRule="auto"/>
              <w:jc w:val="center"/>
              <w:rPr>
                <w:sz w:val="18"/>
                <w:szCs w:val="18"/>
              </w:rPr>
            </w:pPr>
            <w:r>
              <w:rPr>
                <w:rFonts w:eastAsiaTheme="minorEastAsia"/>
                <w:sz w:val="18"/>
                <w:szCs w:val="18"/>
              </w:rPr>
              <w:t>4.3.1</w:t>
            </w:r>
          </w:p>
        </w:tc>
        <w:tc>
          <w:tcPr>
            <w:tcW w:w="3333" w:type="dxa"/>
            <w:vAlign w:val="center"/>
          </w:tcPr>
          <w:p w14:paraId="39CBBCF8">
            <w:pPr>
              <w:jc w:val="both"/>
              <w:rPr>
                <w:sz w:val="18"/>
                <w:szCs w:val="18"/>
              </w:rPr>
            </w:pPr>
            <w:r>
              <w:rPr>
                <w:rFonts w:eastAsiaTheme="minorEastAsia"/>
                <w:sz w:val="18"/>
                <w:szCs w:val="18"/>
              </w:rPr>
              <w:t>污泥厌氧消化直接碳排放计算未考虑沼气气体泄漏产生的直接碳排放</w:t>
            </w:r>
          </w:p>
        </w:tc>
        <w:tc>
          <w:tcPr>
            <w:tcW w:w="2117" w:type="dxa"/>
            <w:vAlign w:val="center"/>
          </w:tcPr>
          <w:p w14:paraId="17CCAC30">
            <w:pPr>
              <w:jc w:val="center"/>
              <w:rPr>
                <w:sz w:val="18"/>
                <w:szCs w:val="18"/>
              </w:rPr>
            </w:pPr>
            <w:r>
              <w:rPr>
                <w:rFonts w:hint="eastAsia"/>
                <w:sz w:val="18"/>
                <w:szCs w:val="18"/>
              </w:rPr>
              <w:t>中冶生态环保(南京)有限公司</w:t>
            </w:r>
          </w:p>
        </w:tc>
        <w:tc>
          <w:tcPr>
            <w:tcW w:w="1436" w:type="dxa"/>
            <w:vAlign w:val="center"/>
          </w:tcPr>
          <w:p w14:paraId="7591433F">
            <w:pPr>
              <w:jc w:val="center"/>
              <w:rPr>
                <w:sz w:val="18"/>
                <w:szCs w:val="18"/>
              </w:rPr>
            </w:pPr>
          </w:p>
        </w:tc>
      </w:tr>
      <w:tr w14:paraId="798A3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86" w:type="dxa"/>
            <w:vAlign w:val="center"/>
          </w:tcPr>
          <w:p w14:paraId="514A65CB">
            <w:pPr>
              <w:jc w:val="center"/>
              <w:rPr>
                <w:sz w:val="18"/>
                <w:szCs w:val="18"/>
              </w:rPr>
            </w:pPr>
            <w:r>
              <w:rPr>
                <w:sz w:val="18"/>
                <w:szCs w:val="18"/>
              </w:rPr>
              <w:t>5</w:t>
            </w:r>
          </w:p>
        </w:tc>
        <w:tc>
          <w:tcPr>
            <w:tcW w:w="950" w:type="dxa"/>
            <w:vAlign w:val="center"/>
          </w:tcPr>
          <w:p w14:paraId="3A7E9A33">
            <w:pPr>
              <w:spacing w:line="360" w:lineRule="auto"/>
              <w:jc w:val="center"/>
              <w:rPr>
                <w:sz w:val="18"/>
                <w:szCs w:val="18"/>
              </w:rPr>
            </w:pPr>
            <w:r>
              <w:rPr>
                <w:rFonts w:eastAsiaTheme="minorEastAsia"/>
                <w:sz w:val="18"/>
                <w:szCs w:val="18"/>
              </w:rPr>
              <w:t>5</w:t>
            </w:r>
          </w:p>
        </w:tc>
        <w:tc>
          <w:tcPr>
            <w:tcW w:w="3333" w:type="dxa"/>
            <w:vAlign w:val="center"/>
          </w:tcPr>
          <w:p w14:paraId="508B0072">
            <w:pPr>
              <w:jc w:val="both"/>
              <w:rPr>
                <w:sz w:val="18"/>
                <w:szCs w:val="18"/>
              </w:rPr>
            </w:pPr>
            <w:r>
              <w:rPr>
                <w:rFonts w:eastAsiaTheme="minorEastAsia"/>
                <w:sz w:val="18"/>
                <w:szCs w:val="18"/>
              </w:rPr>
              <w:t>由于5.建设拆除过程碳排放计算公式均参考城镇水务系统碳核算与减排路径技术指南，建议去掉公式，直接写引用。</w:t>
            </w:r>
          </w:p>
        </w:tc>
        <w:tc>
          <w:tcPr>
            <w:tcW w:w="2117" w:type="dxa"/>
            <w:vAlign w:val="center"/>
          </w:tcPr>
          <w:p w14:paraId="128E0F4D">
            <w:pPr>
              <w:jc w:val="center"/>
              <w:rPr>
                <w:sz w:val="18"/>
                <w:szCs w:val="18"/>
              </w:rPr>
            </w:pPr>
            <w:r>
              <w:rPr>
                <w:rFonts w:hint="eastAsia"/>
                <w:sz w:val="18"/>
                <w:szCs w:val="18"/>
              </w:rPr>
              <w:t>斯普莱环保工程有限公司</w:t>
            </w:r>
          </w:p>
        </w:tc>
        <w:tc>
          <w:tcPr>
            <w:tcW w:w="1436" w:type="dxa"/>
            <w:vAlign w:val="center"/>
          </w:tcPr>
          <w:p w14:paraId="5CD52E31">
            <w:pPr>
              <w:jc w:val="center"/>
              <w:rPr>
                <w:sz w:val="18"/>
                <w:szCs w:val="18"/>
              </w:rPr>
            </w:pPr>
          </w:p>
        </w:tc>
      </w:tr>
      <w:tr w14:paraId="5DAD2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86" w:type="dxa"/>
            <w:vAlign w:val="center"/>
          </w:tcPr>
          <w:p w14:paraId="598D3432">
            <w:pPr>
              <w:jc w:val="center"/>
              <w:rPr>
                <w:sz w:val="18"/>
                <w:szCs w:val="18"/>
              </w:rPr>
            </w:pPr>
            <w:r>
              <w:rPr>
                <w:sz w:val="18"/>
                <w:szCs w:val="18"/>
              </w:rPr>
              <w:t>6</w:t>
            </w:r>
          </w:p>
        </w:tc>
        <w:tc>
          <w:tcPr>
            <w:tcW w:w="950" w:type="dxa"/>
            <w:vAlign w:val="center"/>
          </w:tcPr>
          <w:p w14:paraId="215EA181">
            <w:pPr>
              <w:spacing w:line="360" w:lineRule="auto"/>
              <w:jc w:val="center"/>
              <w:rPr>
                <w:sz w:val="18"/>
                <w:szCs w:val="18"/>
              </w:rPr>
            </w:pPr>
            <w:r>
              <w:rPr>
                <w:rFonts w:eastAsiaTheme="minorEastAsia"/>
                <w:sz w:val="18"/>
                <w:szCs w:val="18"/>
              </w:rPr>
              <w:t>1</w:t>
            </w:r>
          </w:p>
        </w:tc>
        <w:tc>
          <w:tcPr>
            <w:tcW w:w="3333" w:type="dxa"/>
            <w:vAlign w:val="center"/>
          </w:tcPr>
          <w:p w14:paraId="0A0F103D">
            <w:pPr>
              <w:jc w:val="both"/>
              <w:rPr>
                <w:sz w:val="18"/>
                <w:szCs w:val="18"/>
              </w:rPr>
            </w:pPr>
            <w:r>
              <w:rPr>
                <w:rFonts w:eastAsiaTheme="minorEastAsia"/>
                <w:sz w:val="18"/>
                <w:szCs w:val="18"/>
              </w:rPr>
              <w:t>适用范围并未包含污水处理系统的建设拆除过程</w:t>
            </w:r>
          </w:p>
        </w:tc>
        <w:tc>
          <w:tcPr>
            <w:tcW w:w="2117" w:type="dxa"/>
            <w:vAlign w:val="center"/>
          </w:tcPr>
          <w:p w14:paraId="3763A67A">
            <w:pPr>
              <w:jc w:val="center"/>
              <w:rPr>
                <w:sz w:val="18"/>
                <w:szCs w:val="18"/>
              </w:rPr>
            </w:pPr>
            <w:r>
              <w:rPr>
                <w:rFonts w:hint="eastAsia"/>
                <w:sz w:val="18"/>
                <w:szCs w:val="18"/>
              </w:rPr>
              <w:t>江苏环工技术有限公司</w:t>
            </w:r>
          </w:p>
        </w:tc>
        <w:tc>
          <w:tcPr>
            <w:tcW w:w="1436" w:type="dxa"/>
            <w:vAlign w:val="center"/>
          </w:tcPr>
          <w:p w14:paraId="7B7249CF">
            <w:pPr>
              <w:jc w:val="center"/>
              <w:rPr>
                <w:sz w:val="18"/>
                <w:szCs w:val="18"/>
              </w:rPr>
            </w:pPr>
          </w:p>
        </w:tc>
      </w:tr>
      <w:tr w14:paraId="38FE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86" w:type="dxa"/>
            <w:vAlign w:val="center"/>
          </w:tcPr>
          <w:p w14:paraId="7D5078F5">
            <w:pPr>
              <w:jc w:val="center"/>
              <w:rPr>
                <w:sz w:val="18"/>
                <w:szCs w:val="18"/>
              </w:rPr>
            </w:pPr>
            <w:r>
              <w:rPr>
                <w:sz w:val="18"/>
                <w:szCs w:val="18"/>
              </w:rPr>
              <w:t>7</w:t>
            </w:r>
          </w:p>
        </w:tc>
        <w:tc>
          <w:tcPr>
            <w:tcW w:w="950" w:type="dxa"/>
            <w:vAlign w:val="center"/>
          </w:tcPr>
          <w:p w14:paraId="143FF4E7">
            <w:pPr>
              <w:spacing w:line="360" w:lineRule="auto"/>
              <w:jc w:val="center"/>
              <w:rPr>
                <w:sz w:val="18"/>
                <w:szCs w:val="18"/>
              </w:rPr>
            </w:pPr>
            <w:r>
              <w:rPr>
                <w:rFonts w:eastAsiaTheme="minorEastAsia"/>
                <w:sz w:val="18"/>
                <w:szCs w:val="18"/>
              </w:rPr>
              <w:t>3</w:t>
            </w:r>
          </w:p>
        </w:tc>
        <w:tc>
          <w:tcPr>
            <w:tcW w:w="3333" w:type="dxa"/>
            <w:vAlign w:val="center"/>
          </w:tcPr>
          <w:p w14:paraId="1448FA89">
            <w:pPr>
              <w:jc w:val="both"/>
              <w:rPr>
                <w:sz w:val="18"/>
                <w:szCs w:val="18"/>
              </w:rPr>
            </w:pPr>
            <w:r>
              <w:rPr>
                <w:rFonts w:eastAsiaTheme="minorEastAsia"/>
                <w:sz w:val="18"/>
                <w:szCs w:val="18"/>
              </w:rPr>
              <w:t>并未定义直接碳排放和间接碳排放</w:t>
            </w:r>
          </w:p>
        </w:tc>
        <w:tc>
          <w:tcPr>
            <w:tcW w:w="2117" w:type="dxa"/>
            <w:vAlign w:val="center"/>
          </w:tcPr>
          <w:p w14:paraId="582759B7">
            <w:pPr>
              <w:jc w:val="center"/>
              <w:rPr>
                <w:sz w:val="18"/>
                <w:szCs w:val="18"/>
              </w:rPr>
            </w:pPr>
            <w:r>
              <w:rPr>
                <w:rFonts w:hint="eastAsia"/>
                <w:sz w:val="18"/>
                <w:szCs w:val="18"/>
              </w:rPr>
              <w:t>天长市中冶水务有限公司</w:t>
            </w:r>
          </w:p>
        </w:tc>
        <w:tc>
          <w:tcPr>
            <w:tcW w:w="1436" w:type="dxa"/>
            <w:vAlign w:val="center"/>
          </w:tcPr>
          <w:p w14:paraId="2108F2DD">
            <w:pPr>
              <w:jc w:val="center"/>
              <w:rPr>
                <w:sz w:val="18"/>
                <w:szCs w:val="18"/>
              </w:rPr>
            </w:pPr>
          </w:p>
        </w:tc>
      </w:tr>
      <w:tr w14:paraId="1BF22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86" w:type="dxa"/>
            <w:vAlign w:val="center"/>
          </w:tcPr>
          <w:p w14:paraId="40C46D8E">
            <w:pPr>
              <w:jc w:val="center"/>
              <w:rPr>
                <w:sz w:val="18"/>
                <w:szCs w:val="18"/>
              </w:rPr>
            </w:pPr>
            <w:r>
              <w:rPr>
                <w:sz w:val="18"/>
                <w:szCs w:val="18"/>
              </w:rPr>
              <w:t>8</w:t>
            </w:r>
          </w:p>
        </w:tc>
        <w:tc>
          <w:tcPr>
            <w:tcW w:w="950" w:type="dxa"/>
            <w:vAlign w:val="center"/>
          </w:tcPr>
          <w:p w14:paraId="3DD0D4DE">
            <w:pPr>
              <w:spacing w:line="360" w:lineRule="auto"/>
              <w:jc w:val="center"/>
              <w:rPr>
                <w:sz w:val="18"/>
                <w:szCs w:val="18"/>
              </w:rPr>
            </w:pPr>
            <w:r>
              <w:rPr>
                <w:rFonts w:eastAsiaTheme="minorEastAsia"/>
                <w:sz w:val="18"/>
                <w:szCs w:val="18"/>
              </w:rPr>
              <w:t>4.2</w:t>
            </w:r>
          </w:p>
        </w:tc>
        <w:tc>
          <w:tcPr>
            <w:tcW w:w="3333" w:type="dxa"/>
            <w:vAlign w:val="center"/>
          </w:tcPr>
          <w:p w14:paraId="7AD72A6D">
            <w:pPr>
              <w:jc w:val="both"/>
              <w:rPr>
                <w:sz w:val="18"/>
                <w:szCs w:val="18"/>
              </w:rPr>
            </w:pPr>
            <w:r>
              <w:rPr>
                <w:rFonts w:eastAsiaTheme="minorEastAsia"/>
                <w:sz w:val="18"/>
                <w:szCs w:val="18"/>
              </w:rPr>
              <w:t>直接碳排放计算的排放因子法并未包含MBR、MBBR等常见污水生化处理工艺。</w:t>
            </w:r>
          </w:p>
        </w:tc>
        <w:tc>
          <w:tcPr>
            <w:tcW w:w="2117" w:type="dxa"/>
            <w:vAlign w:val="center"/>
          </w:tcPr>
          <w:p w14:paraId="3C039213">
            <w:pPr>
              <w:jc w:val="center"/>
              <w:rPr>
                <w:sz w:val="18"/>
                <w:szCs w:val="18"/>
              </w:rPr>
            </w:pPr>
            <w:r>
              <w:rPr>
                <w:rFonts w:hint="eastAsia"/>
                <w:sz w:val="18"/>
                <w:szCs w:val="18"/>
              </w:rPr>
              <w:t>河海大学 环境学院</w:t>
            </w:r>
          </w:p>
        </w:tc>
        <w:tc>
          <w:tcPr>
            <w:tcW w:w="1436" w:type="dxa"/>
            <w:vAlign w:val="center"/>
          </w:tcPr>
          <w:p w14:paraId="0C88E413">
            <w:pPr>
              <w:jc w:val="center"/>
              <w:rPr>
                <w:sz w:val="18"/>
                <w:szCs w:val="18"/>
              </w:rPr>
            </w:pPr>
          </w:p>
        </w:tc>
      </w:tr>
      <w:tr w14:paraId="3798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86" w:type="dxa"/>
            <w:vAlign w:val="center"/>
          </w:tcPr>
          <w:p w14:paraId="78B82875">
            <w:pPr>
              <w:jc w:val="center"/>
              <w:rPr>
                <w:sz w:val="18"/>
                <w:szCs w:val="18"/>
              </w:rPr>
            </w:pPr>
            <w:r>
              <w:rPr>
                <w:sz w:val="18"/>
                <w:szCs w:val="18"/>
              </w:rPr>
              <w:t>9</w:t>
            </w:r>
          </w:p>
        </w:tc>
        <w:tc>
          <w:tcPr>
            <w:tcW w:w="950" w:type="dxa"/>
            <w:vAlign w:val="center"/>
          </w:tcPr>
          <w:p w14:paraId="57A48DAE">
            <w:pPr>
              <w:spacing w:line="360" w:lineRule="auto"/>
              <w:jc w:val="center"/>
              <w:rPr>
                <w:color w:val="000000"/>
                <w:sz w:val="18"/>
                <w:szCs w:val="18"/>
              </w:rPr>
            </w:pPr>
            <w:r>
              <w:rPr>
                <w:rFonts w:eastAsiaTheme="minorEastAsia"/>
                <w:sz w:val="18"/>
                <w:szCs w:val="18"/>
              </w:rPr>
              <w:t>附录B.2</w:t>
            </w:r>
          </w:p>
        </w:tc>
        <w:tc>
          <w:tcPr>
            <w:tcW w:w="3333" w:type="dxa"/>
            <w:vAlign w:val="center"/>
          </w:tcPr>
          <w:p w14:paraId="446EB2EA">
            <w:pPr>
              <w:jc w:val="both"/>
              <w:rPr>
                <w:color w:val="000000"/>
                <w:sz w:val="18"/>
                <w:szCs w:val="18"/>
              </w:rPr>
            </w:pPr>
            <w:r>
              <w:rPr>
                <w:rFonts w:eastAsiaTheme="minorEastAsia"/>
                <w:sz w:val="18"/>
                <w:szCs w:val="18"/>
              </w:rPr>
              <w:t>本标准适用于江苏省，适当删除其他地区的电力排放因子。</w:t>
            </w:r>
          </w:p>
        </w:tc>
        <w:tc>
          <w:tcPr>
            <w:tcW w:w="2117" w:type="dxa"/>
            <w:vAlign w:val="center"/>
          </w:tcPr>
          <w:p w14:paraId="7FB5C13A">
            <w:pPr>
              <w:jc w:val="center"/>
              <w:rPr>
                <w:sz w:val="18"/>
                <w:szCs w:val="18"/>
              </w:rPr>
            </w:pPr>
            <w:r>
              <w:rPr>
                <w:rFonts w:hint="eastAsia"/>
                <w:sz w:val="18"/>
                <w:szCs w:val="18"/>
              </w:rPr>
              <w:t>青岛理工大学 环境与市政工程学院</w:t>
            </w:r>
          </w:p>
        </w:tc>
        <w:tc>
          <w:tcPr>
            <w:tcW w:w="1436" w:type="dxa"/>
            <w:vAlign w:val="center"/>
          </w:tcPr>
          <w:p w14:paraId="70B9687C">
            <w:pPr>
              <w:jc w:val="center"/>
              <w:rPr>
                <w:sz w:val="18"/>
                <w:szCs w:val="18"/>
              </w:rPr>
            </w:pPr>
          </w:p>
        </w:tc>
      </w:tr>
      <w:tr w14:paraId="45AE8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86" w:type="dxa"/>
            <w:vAlign w:val="center"/>
          </w:tcPr>
          <w:p w14:paraId="617EB470">
            <w:pPr>
              <w:jc w:val="center"/>
              <w:rPr>
                <w:sz w:val="18"/>
                <w:szCs w:val="18"/>
              </w:rPr>
            </w:pPr>
            <w:r>
              <w:rPr>
                <w:sz w:val="18"/>
                <w:szCs w:val="18"/>
              </w:rPr>
              <w:t>10</w:t>
            </w:r>
          </w:p>
        </w:tc>
        <w:tc>
          <w:tcPr>
            <w:tcW w:w="950" w:type="dxa"/>
            <w:vAlign w:val="center"/>
          </w:tcPr>
          <w:p w14:paraId="78FA88E1">
            <w:pPr>
              <w:spacing w:line="360" w:lineRule="auto"/>
              <w:jc w:val="center"/>
              <w:rPr>
                <w:sz w:val="18"/>
                <w:szCs w:val="18"/>
              </w:rPr>
            </w:pPr>
            <w:r>
              <w:rPr>
                <w:rFonts w:eastAsiaTheme="minorEastAsia"/>
                <w:sz w:val="18"/>
                <w:szCs w:val="18"/>
              </w:rPr>
              <w:t>附录B.1</w:t>
            </w:r>
          </w:p>
        </w:tc>
        <w:tc>
          <w:tcPr>
            <w:tcW w:w="3333" w:type="dxa"/>
            <w:vAlign w:val="center"/>
          </w:tcPr>
          <w:p w14:paraId="5FFAF972">
            <w:pPr>
              <w:jc w:val="both"/>
              <w:rPr>
                <w:sz w:val="18"/>
                <w:szCs w:val="18"/>
              </w:rPr>
            </w:pPr>
            <w:r>
              <w:rPr>
                <w:rFonts w:eastAsiaTheme="minorEastAsia"/>
                <w:sz w:val="18"/>
                <w:szCs w:val="18"/>
              </w:rPr>
              <w:t>本标准适用于江苏省，适当删除焦炭等江苏省已经淘汰的化石燃料。</w:t>
            </w:r>
          </w:p>
        </w:tc>
        <w:tc>
          <w:tcPr>
            <w:tcW w:w="2117" w:type="dxa"/>
            <w:vAlign w:val="center"/>
          </w:tcPr>
          <w:p w14:paraId="7A671ECA">
            <w:pPr>
              <w:jc w:val="center"/>
              <w:rPr>
                <w:sz w:val="18"/>
                <w:szCs w:val="18"/>
              </w:rPr>
            </w:pPr>
            <w:r>
              <w:rPr>
                <w:rFonts w:hint="eastAsia"/>
                <w:sz w:val="18"/>
                <w:szCs w:val="18"/>
              </w:rPr>
              <w:t>华东师范大学 河口海岸学国家重点实验室</w:t>
            </w:r>
          </w:p>
        </w:tc>
        <w:tc>
          <w:tcPr>
            <w:tcW w:w="1436" w:type="dxa"/>
            <w:vAlign w:val="center"/>
          </w:tcPr>
          <w:p w14:paraId="763BB8E1">
            <w:pPr>
              <w:jc w:val="center"/>
              <w:rPr>
                <w:sz w:val="18"/>
                <w:szCs w:val="18"/>
              </w:rPr>
            </w:pPr>
          </w:p>
        </w:tc>
      </w:tr>
      <w:tr w14:paraId="468F8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86" w:type="dxa"/>
            <w:vAlign w:val="center"/>
          </w:tcPr>
          <w:p w14:paraId="42176E1D">
            <w:pPr>
              <w:jc w:val="center"/>
              <w:rPr>
                <w:sz w:val="18"/>
                <w:szCs w:val="18"/>
              </w:rPr>
            </w:pPr>
            <w:r>
              <w:rPr>
                <w:rFonts w:hint="eastAsia"/>
                <w:sz w:val="18"/>
                <w:szCs w:val="18"/>
              </w:rPr>
              <w:t>11</w:t>
            </w:r>
          </w:p>
        </w:tc>
        <w:tc>
          <w:tcPr>
            <w:tcW w:w="950" w:type="dxa"/>
            <w:vAlign w:val="center"/>
          </w:tcPr>
          <w:p w14:paraId="1BB2071A">
            <w:pPr>
              <w:spacing w:line="360" w:lineRule="auto"/>
              <w:jc w:val="center"/>
              <w:rPr>
                <w:sz w:val="18"/>
                <w:szCs w:val="18"/>
              </w:rPr>
            </w:pPr>
            <w:r>
              <w:rPr>
                <w:rFonts w:eastAsiaTheme="minorEastAsia"/>
                <w:sz w:val="18"/>
                <w:szCs w:val="18"/>
              </w:rPr>
              <w:t>3</w:t>
            </w:r>
          </w:p>
        </w:tc>
        <w:tc>
          <w:tcPr>
            <w:tcW w:w="3333" w:type="dxa"/>
            <w:vAlign w:val="center"/>
          </w:tcPr>
          <w:p w14:paraId="00A4BBBA">
            <w:pPr>
              <w:jc w:val="both"/>
              <w:rPr>
                <w:sz w:val="18"/>
                <w:szCs w:val="18"/>
              </w:rPr>
            </w:pPr>
            <w:r>
              <w:rPr>
                <w:rFonts w:eastAsiaTheme="minorEastAsia"/>
                <w:sz w:val="18"/>
                <w:szCs w:val="18"/>
              </w:rPr>
              <w:t>污泥厌氧消化并未出现在术语和定义里</w:t>
            </w:r>
          </w:p>
        </w:tc>
        <w:tc>
          <w:tcPr>
            <w:tcW w:w="2117" w:type="dxa"/>
            <w:vAlign w:val="center"/>
          </w:tcPr>
          <w:p w14:paraId="307A62D6">
            <w:pPr>
              <w:jc w:val="center"/>
              <w:rPr>
                <w:sz w:val="18"/>
                <w:szCs w:val="18"/>
              </w:rPr>
            </w:pPr>
            <w:r>
              <w:rPr>
                <w:rFonts w:hint="eastAsia"/>
                <w:sz w:val="18"/>
                <w:szCs w:val="18"/>
              </w:rPr>
              <w:t>东华理工大学 水资源与环境工程学院</w:t>
            </w:r>
          </w:p>
        </w:tc>
        <w:tc>
          <w:tcPr>
            <w:tcW w:w="1436" w:type="dxa"/>
            <w:vAlign w:val="center"/>
          </w:tcPr>
          <w:p w14:paraId="091BCE34">
            <w:pPr>
              <w:jc w:val="center"/>
              <w:rPr>
                <w:sz w:val="18"/>
                <w:szCs w:val="18"/>
              </w:rPr>
            </w:pPr>
          </w:p>
        </w:tc>
      </w:tr>
      <w:tr w14:paraId="337F5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86" w:type="dxa"/>
            <w:vAlign w:val="center"/>
          </w:tcPr>
          <w:p w14:paraId="5D9BDD6C">
            <w:pPr>
              <w:jc w:val="center"/>
              <w:rPr>
                <w:sz w:val="18"/>
                <w:szCs w:val="18"/>
              </w:rPr>
            </w:pPr>
            <w:r>
              <w:rPr>
                <w:rFonts w:hint="eastAsia"/>
                <w:sz w:val="18"/>
                <w:szCs w:val="18"/>
              </w:rPr>
              <w:t>12</w:t>
            </w:r>
          </w:p>
        </w:tc>
        <w:tc>
          <w:tcPr>
            <w:tcW w:w="950" w:type="dxa"/>
            <w:vAlign w:val="center"/>
          </w:tcPr>
          <w:p w14:paraId="413A141A">
            <w:pPr>
              <w:spacing w:line="360" w:lineRule="auto"/>
              <w:jc w:val="center"/>
              <w:rPr>
                <w:sz w:val="18"/>
                <w:szCs w:val="18"/>
              </w:rPr>
            </w:pPr>
            <w:r>
              <w:rPr>
                <w:rFonts w:eastAsiaTheme="minorEastAsia"/>
                <w:sz w:val="18"/>
                <w:szCs w:val="18"/>
              </w:rPr>
              <w:t>4.3.1.2</w:t>
            </w:r>
          </w:p>
        </w:tc>
        <w:tc>
          <w:tcPr>
            <w:tcW w:w="3333" w:type="dxa"/>
            <w:vAlign w:val="center"/>
          </w:tcPr>
          <w:p w14:paraId="5060FE65">
            <w:pPr>
              <w:jc w:val="both"/>
              <w:rPr>
                <w:sz w:val="18"/>
                <w:szCs w:val="18"/>
              </w:rPr>
            </w:pPr>
            <w:r>
              <w:rPr>
                <w:rFonts w:eastAsiaTheme="minorEastAsia"/>
                <w:sz w:val="18"/>
                <w:szCs w:val="18"/>
              </w:rPr>
              <w:t>“CH</w:t>
            </w:r>
            <w:r>
              <w:rPr>
                <w:rFonts w:eastAsiaTheme="minorEastAsia"/>
                <w:sz w:val="18"/>
                <w:szCs w:val="18"/>
                <w:vertAlign w:val="subscript"/>
              </w:rPr>
              <w:t>4</w:t>
            </w:r>
            <w:r>
              <w:rPr>
                <w:rFonts w:eastAsiaTheme="minorEastAsia"/>
                <w:sz w:val="18"/>
                <w:szCs w:val="18"/>
              </w:rPr>
              <w:t>资源利用化石源CO</w:t>
            </w:r>
            <w:r>
              <w:rPr>
                <w:rFonts w:eastAsiaTheme="minorEastAsia"/>
                <w:sz w:val="18"/>
                <w:szCs w:val="18"/>
                <w:vertAlign w:val="subscript"/>
              </w:rPr>
              <w:t>2</w:t>
            </w:r>
            <w:r>
              <w:rPr>
                <w:rFonts w:eastAsiaTheme="minorEastAsia"/>
                <w:sz w:val="18"/>
                <w:szCs w:val="18"/>
              </w:rPr>
              <w:t>排放核算方法”表述不清。</w:t>
            </w:r>
          </w:p>
        </w:tc>
        <w:tc>
          <w:tcPr>
            <w:tcW w:w="2117" w:type="dxa"/>
            <w:vAlign w:val="center"/>
          </w:tcPr>
          <w:p w14:paraId="4B989121">
            <w:pPr>
              <w:jc w:val="center"/>
              <w:rPr>
                <w:sz w:val="18"/>
                <w:szCs w:val="18"/>
              </w:rPr>
            </w:pPr>
            <w:r>
              <w:rPr>
                <w:rFonts w:hint="eastAsia"/>
                <w:sz w:val="18"/>
                <w:szCs w:val="18"/>
              </w:rPr>
              <w:t>南京通达市政工程有限公司</w:t>
            </w:r>
          </w:p>
        </w:tc>
        <w:tc>
          <w:tcPr>
            <w:tcW w:w="1436" w:type="dxa"/>
            <w:vAlign w:val="center"/>
          </w:tcPr>
          <w:p w14:paraId="20B40756">
            <w:pPr>
              <w:jc w:val="center"/>
              <w:rPr>
                <w:sz w:val="18"/>
                <w:szCs w:val="18"/>
              </w:rPr>
            </w:pPr>
          </w:p>
        </w:tc>
      </w:tr>
      <w:tr w14:paraId="6C144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86" w:type="dxa"/>
            <w:vAlign w:val="center"/>
          </w:tcPr>
          <w:p w14:paraId="20DAE478">
            <w:pPr>
              <w:jc w:val="center"/>
              <w:rPr>
                <w:sz w:val="18"/>
                <w:szCs w:val="18"/>
              </w:rPr>
            </w:pPr>
            <w:r>
              <w:rPr>
                <w:rFonts w:hint="eastAsia"/>
                <w:sz w:val="18"/>
                <w:szCs w:val="18"/>
              </w:rPr>
              <w:t>13</w:t>
            </w:r>
          </w:p>
        </w:tc>
        <w:tc>
          <w:tcPr>
            <w:tcW w:w="950" w:type="dxa"/>
            <w:vAlign w:val="center"/>
          </w:tcPr>
          <w:p w14:paraId="66A4BB15">
            <w:pPr>
              <w:spacing w:line="360" w:lineRule="auto"/>
              <w:jc w:val="center"/>
              <w:rPr>
                <w:sz w:val="18"/>
                <w:szCs w:val="18"/>
              </w:rPr>
            </w:pPr>
            <w:r>
              <w:rPr>
                <w:rFonts w:eastAsiaTheme="minorEastAsia"/>
                <w:sz w:val="18"/>
                <w:szCs w:val="18"/>
              </w:rPr>
              <w:t>2</w:t>
            </w:r>
          </w:p>
        </w:tc>
        <w:tc>
          <w:tcPr>
            <w:tcW w:w="3333" w:type="dxa"/>
            <w:vAlign w:val="center"/>
          </w:tcPr>
          <w:p w14:paraId="109B3778">
            <w:pPr>
              <w:jc w:val="both"/>
              <w:rPr>
                <w:sz w:val="18"/>
                <w:szCs w:val="18"/>
              </w:rPr>
            </w:pPr>
            <w:r>
              <w:rPr>
                <w:rFonts w:eastAsiaTheme="minorEastAsia"/>
                <w:sz w:val="18"/>
                <w:szCs w:val="18"/>
              </w:rPr>
              <w:t>建议将规范性引用文件中的团标放置在参考文献中。</w:t>
            </w:r>
          </w:p>
        </w:tc>
        <w:tc>
          <w:tcPr>
            <w:tcW w:w="2117" w:type="dxa"/>
            <w:vAlign w:val="center"/>
          </w:tcPr>
          <w:p w14:paraId="6FB45D46">
            <w:pPr>
              <w:jc w:val="center"/>
              <w:rPr>
                <w:sz w:val="18"/>
                <w:szCs w:val="18"/>
              </w:rPr>
            </w:pPr>
            <w:r>
              <w:rPr>
                <w:rFonts w:hint="eastAsia"/>
                <w:sz w:val="18"/>
                <w:szCs w:val="18"/>
              </w:rPr>
              <w:t>宜兴市公用环保集团有限公司</w:t>
            </w:r>
          </w:p>
        </w:tc>
        <w:tc>
          <w:tcPr>
            <w:tcW w:w="1436" w:type="dxa"/>
            <w:vAlign w:val="center"/>
          </w:tcPr>
          <w:p w14:paraId="0816BC97">
            <w:pPr>
              <w:jc w:val="center"/>
              <w:rPr>
                <w:sz w:val="18"/>
                <w:szCs w:val="18"/>
              </w:rPr>
            </w:pPr>
          </w:p>
        </w:tc>
      </w:tr>
      <w:tr w14:paraId="6CA45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86" w:type="dxa"/>
            <w:vAlign w:val="center"/>
          </w:tcPr>
          <w:p w14:paraId="209928FE">
            <w:pPr>
              <w:jc w:val="center"/>
              <w:rPr>
                <w:sz w:val="18"/>
                <w:szCs w:val="18"/>
              </w:rPr>
            </w:pPr>
            <w:r>
              <w:rPr>
                <w:rFonts w:hint="eastAsia"/>
                <w:sz w:val="18"/>
                <w:szCs w:val="18"/>
              </w:rPr>
              <w:t>14</w:t>
            </w:r>
          </w:p>
        </w:tc>
        <w:tc>
          <w:tcPr>
            <w:tcW w:w="950" w:type="dxa"/>
            <w:vAlign w:val="center"/>
          </w:tcPr>
          <w:p w14:paraId="2D8FBFE2">
            <w:pPr>
              <w:spacing w:line="360" w:lineRule="auto"/>
              <w:jc w:val="center"/>
              <w:rPr>
                <w:sz w:val="18"/>
                <w:szCs w:val="18"/>
              </w:rPr>
            </w:pPr>
            <w:r>
              <w:rPr>
                <w:rFonts w:eastAsiaTheme="minorEastAsia"/>
                <w:sz w:val="18"/>
                <w:szCs w:val="18"/>
              </w:rPr>
              <w:t>1</w:t>
            </w:r>
          </w:p>
        </w:tc>
        <w:tc>
          <w:tcPr>
            <w:tcW w:w="3333" w:type="dxa"/>
            <w:vAlign w:val="center"/>
          </w:tcPr>
          <w:p w14:paraId="18285F3A">
            <w:pPr>
              <w:jc w:val="both"/>
              <w:rPr>
                <w:sz w:val="18"/>
                <w:szCs w:val="18"/>
              </w:rPr>
            </w:pPr>
            <w:r>
              <w:rPr>
                <w:rFonts w:eastAsiaTheme="minorEastAsia"/>
                <w:sz w:val="18"/>
                <w:szCs w:val="18"/>
              </w:rPr>
              <w:t>适用范围与核算方法有出入，适用范围仅包含污水处理系统，未包含核算方法中涉及的污水收集系统</w:t>
            </w:r>
          </w:p>
        </w:tc>
        <w:tc>
          <w:tcPr>
            <w:tcW w:w="2117" w:type="dxa"/>
            <w:vAlign w:val="center"/>
          </w:tcPr>
          <w:p w14:paraId="569D0EA8">
            <w:pPr>
              <w:jc w:val="center"/>
              <w:rPr>
                <w:sz w:val="18"/>
                <w:szCs w:val="18"/>
              </w:rPr>
            </w:pPr>
            <w:r>
              <w:rPr>
                <w:rFonts w:hint="eastAsia"/>
                <w:sz w:val="18"/>
                <w:szCs w:val="18"/>
              </w:rPr>
              <w:t>凌志环保股份有限公司</w:t>
            </w:r>
          </w:p>
        </w:tc>
        <w:tc>
          <w:tcPr>
            <w:tcW w:w="1436" w:type="dxa"/>
            <w:vAlign w:val="center"/>
          </w:tcPr>
          <w:p w14:paraId="1BA23251">
            <w:pPr>
              <w:jc w:val="center"/>
              <w:rPr>
                <w:sz w:val="18"/>
                <w:szCs w:val="18"/>
              </w:rPr>
            </w:pPr>
          </w:p>
        </w:tc>
      </w:tr>
      <w:tr w14:paraId="319EC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86" w:type="dxa"/>
            <w:vAlign w:val="center"/>
          </w:tcPr>
          <w:p w14:paraId="3F1EB893">
            <w:pPr>
              <w:jc w:val="center"/>
              <w:rPr>
                <w:sz w:val="18"/>
                <w:szCs w:val="18"/>
              </w:rPr>
            </w:pPr>
            <w:r>
              <w:rPr>
                <w:rFonts w:hint="eastAsia"/>
                <w:sz w:val="18"/>
                <w:szCs w:val="18"/>
              </w:rPr>
              <w:t>15</w:t>
            </w:r>
          </w:p>
        </w:tc>
        <w:tc>
          <w:tcPr>
            <w:tcW w:w="950" w:type="dxa"/>
            <w:vAlign w:val="center"/>
          </w:tcPr>
          <w:p w14:paraId="7CAAEC8A">
            <w:pPr>
              <w:spacing w:line="360" w:lineRule="auto"/>
              <w:jc w:val="center"/>
              <w:rPr>
                <w:sz w:val="18"/>
                <w:szCs w:val="18"/>
              </w:rPr>
            </w:pPr>
            <w:r>
              <w:rPr>
                <w:rFonts w:eastAsiaTheme="minorEastAsia"/>
                <w:sz w:val="18"/>
                <w:szCs w:val="18"/>
              </w:rPr>
              <w:t>3.10,3.11</w:t>
            </w:r>
          </w:p>
        </w:tc>
        <w:tc>
          <w:tcPr>
            <w:tcW w:w="3333" w:type="dxa"/>
            <w:vAlign w:val="center"/>
          </w:tcPr>
          <w:p w14:paraId="1DDA816B">
            <w:pPr>
              <w:jc w:val="both"/>
              <w:rPr>
                <w:sz w:val="18"/>
                <w:szCs w:val="18"/>
              </w:rPr>
            </w:pPr>
            <w:r>
              <w:rPr>
                <w:rFonts w:eastAsiaTheme="minorEastAsia"/>
                <w:sz w:val="18"/>
                <w:szCs w:val="18"/>
              </w:rPr>
              <w:t>污水处理厂和集中式污水处理设施定义重复。</w:t>
            </w:r>
          </w:p>
        </w:tc>
        <w:tc>
          <w:tcPr>
            <w:tcW w:w="2117" w:type="dxa"/>
            <w:vAlign w:val="center"/>
          </w:tcPr>
          <w:p w14:paraId="7281DFA6">
            <w:pPr>
              <w:jc w:val="center"/>
              <w:rPr>
                <w:sz w:val="18"/>
                <w:szCs w:val="18"/>
              </w:rPr>
            </w:pPr>
            <w:r>
              <w:rPr>
                <w:rFonts w:hint="eastAsia"/>
                <w:sz w:val="18"/>
                <w:szCs w:val="18"/>
              </w:rPr>
              <w:t>河海大学设计研究院有限公司</w:t>
            </w:r>
          </w:p>
        </w:tc>
        <w:tc>
          <w:tcPr>
            <w:tcW w:w="1436" w:type="dxa"/>
            <w:vAlign w:val="center"/>
          </w:tcPr>
          <w:p w14:paraId="64872361">
            <w:pPr>
              <w:jc w:val="center"/>
              <w:rPr>
                <w:sz w:val="18"/>
                <w:szCs w:val="18"/>
              </w:rPr>
            </w:pPr>
          </w:p>
        </w:tc>
      </w:tr>
      <w:tr w14:paraId="5624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86" w:type="dxa"/>
            <w:vAlign w:val="center"/>
          </w:tcPr>
          <w:p w14:paraId="21CE9AAD">
            <w:pPr>
              <w:jc w:val="center"/>
              <w:rPr>
                <w:sz w:val="18"/>
                <w:szCs w:val="18"/>
              </w:rPr>
            </w:pPr>
            <w:r>
              <w:rPr>
                <w:rFonts w:hint="eastAsia"/>
                <w:sz w:val="18"/>
                <w:szCs w:val="18"/>
              </w:rPr>
              <w:t>16</w:t>
            </w:r>
          </w:p>
        </w:tc>
        <w:tc>
          <w:tcPr>
            <w:tcW w:w="950" w:type="dxa"/>
            <w:vAlign w:val="center"/>
          </w:tcPr>
          <w:p w14:paraId="46404345">
            <w:pPr>
              <w:spacing w:line="360" w:lineRule="auto"/>
              <w:jc w:val="center"/>
              <w:rPr>
                <w:sz w:val="18"/>
                <w:szCs w:val="18"/>
              </w:rPr>
            </w:pPr>
            <w:r>
              <w:rPr>
                <w:rFonts w:eastAsiaTheme="minorEastAsia"/>
                <w:sz w:val="18"/>
                <w:szCs w:val="18"/>
              </w:rPr>
              <w:t>4</w:t>
            </w:r>
          </w:p>
        </w:tc>
        <w:tc>
          <w:tcPr>
            <w:tcW w:w="3333" w:type="dxa"/>
            <w:vAlign w:val="center"/>
          </w:tcPr>
          <w:p w14:paraId="418A2EC9">
            <w:pPr>
              <w:jc w:val="both"/>
              <w:rPr>
                <w:sz w:val="18"/>
                <w:szCs w:val="18"/>
              </w:rPr>
            </w:pPr>
            <w:r>
              <w:rPr>
                <w:rFonts w:eastAsiaTheme="minorEastAsia"/>
                <w:sz w:val="18"/>
                <w:szCs w:val="18"/>
              </w:rPr>
              <w:t>建议补充表1和表2中补充排放因子的取值范围</w:t>
            </w:r>
          </w:p>
        </w:tc>
        <w:tc>
          <w:tcPr>
            <w:tcW w:w="2117" w:type="dxa"/>
            <w:vAlign w:val="center"/>
          </w:tcPr>
          <w:p w14:paraId="44BE8469">
            <w:pPr>
              <w:jc w:val="center"/>
              <w:rPr>
                <w:sz w:val="18"/>
                <w:szCs w:val="18"/>
              </w:rPr>
            </w:pPr>
            <w:r>
              <w:rPr>
                <w:rFonts w:hint="eastAsia"/>
                <w:sz w:val="18"/>
                <w:szCs w:val="18"/>
              </w:rPr>
              <w:t>无锡市锡山中荷水务有限公司</w:t>
            </w:r>
          </w:p>
        </w:tc>
        <w:tc>
          <w:tcPr>
            <w:tcW w:w="1436" w:type="dxa"/>
            <w:vAlign w:val="center"/>
          </w:tcPr>
          <w:p w14:paraId="593012E7">
            <w:pPr>
              <w:jc w:val="center"/>
              <w:rPr>
                <w:sz w:val="18"/>
                <w:szCs w:val="18"/>
              </w:rPr>
            </w:pPr>
          </w:p>
        </w:tc>
      </w:tr>
      <w:tr w14:paraId="29A2E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86" w:type="dxa"/>
            <w:vAlign w:val="center"/>
          </w:tcPr>
          <w:p w14:paraId="3FD8D40C">
            <w:pPr>
              <w:jc w:val="center"/>
              <w:rPr>
                <w:sz w:val="18"/>
                <w:szCs w:val="18"/>
              </w:rPr>
            </w:pPr>
            <w:r>
              <w:rPr>
                <w:rFonts w:hint="eastAsia"/>
                <w:sz w:val="18"/>
                <w:szCs w:val="18"/>
              </w:rPr>
              <w:t>17</w:t>
            </w:r>
          </w:p>
        </w:tc>
        <w:tc>
          <w:tcPr>
            <w:tcW w:w="950" w:type="dxa"/>
            <w:vAlign w:val="center"/>
          </w:tcPr>
          <w:p w14:paraId="7D8500CD">
            <w:pPr>
              <w:spacing w:line="360" w:lineRule="auto"/>
              <w:jc w:val="center"/>
              <w:rPr>
                <w:sz w:val="18"/>
                <w:szCs w:val="18"/>
              </w:rPr>
            </w:pPr>
            <w:r>
              <w:rPr>
                <w:rFonts w:eastAsiaTheme="minorEastAsia"/>
                <w:sz w:val="18"/>
                <w:szCs w:val="18"/>
              </w:rPr>
              <w:t>4.3.1</w:t>
            </w:r>
          </w:p>
        </w:tc>
        <w:tc>
          <w:tcPr>
            <w:tcW w:w="3333" w:type="dxa"/>
            <w:vAlign w:val="center"/>
          </w:tcPr>
          <w:p w14:paraId="39AC3E3B">
            <w:pPr>
              <w:jc w:val="both"/>
              <w:rPr>
                <w:sz w:val="18"/>
                <w:szCs w:val="18"/>
              </w:rPr>
            </w:pPr>
            <w:r>
              <w:rPr>
                <w:rFonts w:eastAsiaTheme="minorEastAsia"/>
                <w:sz w:val="18"/>
                <w:szCs w:val="18"/>
              </w:rPr>
              <w:t>建议补充污泥厌氧消化碳补偿计算公式</w:t>
            </w:r>
          </w:p>
        </w:tc>
        <w:tc>
          <w:tcPr>
            <w:tcW w:w="2117" w:type="dxa"/>
            <w:vAlign w:val="center"/>
          </w:tcPr>
          <w:p w14:paraId="1D6D0EC9">
            <w:pPr>
              <w:jc w:val="center"/>
              <w:rPr>
                <w:sz w:val="18"/>
                <w:szCs w:val="18"/>
              </w:rPr>
            </w:pPr>
            <w:r>
              <w:rPr>
                <w:rFonts w:hint="eastAsia"/>
                <w:sz w:val="18"/>
                <w:szCs w:val="18"/>
              </w:rPr>
              <w:t>南京理工大学</w:t>
            </w:r>
          </w:p>
        </w:tc>
        <w:tc>
          <w:tcPr>
            <w:tcW w:w="1436" w:type="dxa"/>
            <w:vAlign w:val="center"/>
          </w:tcPr>
          <w:p w14:paraId="64E3FF19">
            <w:pPr>
              <w:jc w:val="center"/>
              <w:rPr>
                <w:sz w:val="18"/>
                <w:szCs w:val="18"/>
              </w:rPr>
            </w:pPr>
          </w:p>
        </w:tc>
      </w:tr>
      <w:tr w14:paraId="306FC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86" w:type="dxa"/>
            <w:vAlign w:val="center"/>
          </w:tcPr>
          <w:p w14:paraId="79856F47">
            <w:pPr>
              <w:jc w:val="center"/>
              <w:rPr>
                <w:sz w:val="18"/>
                <w:szCs w:val="18"/>
              </w:rPr>
            </w:pPr>
            <w:r>
              <w:rPr>
                <w:rFonts w:hint="eastAsia"/>
                <w:sz w:val="18"/>
                <w:szCs w:val="18"/>
              </w:rPr>
              <w:t>18</w:t>
            </w:r>
          </w:p>
        </w:tc>
        <w:tc>
          <w:tcPr>
            <w:tcW w:w="950" w:type="dxa"/>
            <w:vAlign w:val="center"/>
          </w:tcPr>
          <w:p w14:paraId="5665D843">
            <w:pPr>
              <w:spacing w:line="360" w:lineRule="auto"/>
              <w:jc w:val="center"/>
              <w:rPr>
                <w:sz w:val="18"/>
                <w:szCs w:val="18"/>
              </w:rPr>
            </w:pPr>
            <w:r>
              <w:rPr>
                <w:rFonts w:eastAsiaTheme="minorEastAsia"/>
                <w:sz w:val="18"/>
                <w:szCs w:val="18"/>
              </w:rPr>
              <w:t>4.3.4</w:t>
            </w:r>
          </w:p>
        </w:tc>
        <w:tc>
          <w:tcPr>
            <w:tcW w:w="3333" w:type="dxa"/>
            <w:vAlign w:val="center"/>
          </w:tcPr>
          <w:p w14:paraId="3FE5E99A">
            <w:pPr>
              <w:jc w:val="both"/>
              <w:rPr>
                <w:sz w:val="18"/>
                <w:szCs w:val="18"/>
              </w:rPr>
            </w:pPr>
            <w:r>
              <w:rPr>
                <w:rFonts w:eastAsiaTheme="minorEastAsia"/>
                <w:sz w:val="18"/>
                <w:szCs w:val="18"/>
              </w:rPr>
              <w:t>建议补充污泥土地利用碳补偿计算公式</w:t>
            </w:r>
          </w:p>
        </w:tc>
        <w:tc>
          <w:tcPr>
            <w:tcW w:w="2117" w:type="dxa"/>
            <w:vAlign w:val="center"/>
          </w:tcPr>
          <w:p w14:paraId="5873DD1C">
            <w:pPr>
              <w:jc w:val="center"/>
              <w:rPr>
                <w:sz w:val="18"/>
                <w:szCs w:val="18"/>
              </w:rPr>
            </w:pPr>
            <w:r>
              <w:rPr>
                <w:rFonts w:hint="eastAsia"/>
                <w:sz w:val="18"/>
                <w:szCs w:val="18"/>
              </w:rPr>
              <w:t>南京工业大学</w:t>
            </w:r>
          </w:p>
        </w:tc>
        <w:tc>
          <w:tcPr>
            <w:tcW w:w="1436" w:type="dxa"/>
            <w:vAlign w:val="center"/>
          </w:tcPr>
          <w:p w14:paraId="28F0C573">
            <w:pPr>
              <w:jc w:val="center"/>
              <w:rPr>
                <w:sz w:val="18"/>
                <w:szCs w:val="18"/>
              </w:rPr>
            </w:pPr>
          </w:p>
        </w:tc>
      </w:tr>
      <w:tr w14:paraId="0F7D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86" w:type="dxa"/>
            <w:vAlign w:val="center"/>
          </w:tcPr>
          <w:p w14:paraId="142A18C2">
            <w:pPr>
              <w:jc w:val="center"/>
              <w:rPr>
                <w:sz w:val="18"/>
                <w:szCs w:val="18"/>
              </w:rPr>
            </w:pPr>
            <w:r>
              <w:rPr>
                <w:rFonts w:hint="eastAsia"/>
                <w:sz w:val="18"/>
                <w:szCs w:val="18"/>
              </w:rPr>
              <w:t>19</w:t>
            </w:r>
          </w:p>
        </w:tc>
        <w:tc>
          <w:tcPr>
            <w:tcW w:w="950" w:type="dxa"/>
            <w:vAlign w:val="center"/>
          </w:tcPr>
          <w:p w14:paraId="32ABECF5">
            <w:pPr>
              <w:spacing w:line="360" w:lineRule="auto"/>
              <w:jc w:val="center"/>
              <w:rPr>
                <w:sz w:val="18"/>
                <w:szCs w:val="18"/>
              </w:rPr>
            </w:pPr>
            <w:r>
              <w:rPr>
                <w:rFonts w:eastAsiaTheme="minorEastAsia"/>
                <w:sz w:val="18"/>
                <w:szCs w:val="18"/>
              </w:rPr>
              <w:t>标题</w:t>
            </w:r>
          </w:p>
        </w:tc>
        <w:tc>
          <w:tcPr>
            <w:tcW w:w="3333" w:type="dxa"/>
            <w:vAlign w:val="center"/>
          </w:tcPr>
          <w:p w14:paraId="24B6B18A">
            <w:pPr>
              <w:jc w:val="both"/>
              <w:rPr>
                <w:sz w:val="18"/>
                <w:szCs w:val="18"/>
              </w:rPr>
            </w:pPr>
            <w:r>
              <w:rPr>
                <w:rFonts w:eastAsiaTheme="minorEastAsia"/>
                <w:sz w:val="18"/>
                <w:szCs w:val="18"/>
              </w:rPr>
              <w:t>标题中为污水处理厂温室气体核算方法，但是适用范围涉及污水收集和污水处理单元，建议进行修改</w:t>
            </w:r>
          </w:p>
        </w:tc>
        <w:tc>
          <w:tcPr>
            <w:tcW w:w="2117" w:type="dxa"/>
            <w:vAlign w:val="center"/>
          </w:tcPr>
          <w:p w14:paraId="0F3D040F">
            <w:pPr>
              <w:jc w:val="center"/>
              <w:rPr>
                <w:sz w:val="18"/>
                <w:szCs w:val="18"/>
              </w:rPr>
            </w:pPr>
            <w:r>
              <w:rPr>
                <w:rFonts w:hint="eastAsia"/>
                <w:sz w:val="18"/>
                <w:szCs w:val="18"/>
              </w:rPr>
              <w:t>江苏科技大学</w:t>
            </w:r>
          </w:p>
        </w:tc>
        <w:tc>
          <w:tcPr>
            <w:tcW w:w="1436" w:type="dxa"/>
            <w:vAlign w:val="center"/>
          </w:tcPr>
          <w:p w14:paraId="2E827F8F">
            <w:pPr>
              <w:jc w:val="center"/>
              <w:rPr>
                <w:sz w:val="18"/>
                <w:szCs w:val="18"/>
              </w:rPr>
            </w:pPr>
          </w:p>
        </w:tc>
      </w:tr>
      <w:tr w14:paraId="6837E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86" w:type="dxa"/>
            <w:vAlign w:val="center"/>
          </w:tcPr>
          <w:p w14:paraId="5149A6D8">
            <w:pPr>
              <w:jc w:val="center"/>
              <w:rPr>
                <w:sz w:val="18"/>
                <w:szCs w:val="18"/>
              </w:rPr>
            </w:pPr>
            <w:r>
              <w:rPr>
                <w:rFonts w:hint="eastAsia"/>
                <w:sz w:val="18"/>
                <w:szCs w:val="18"/>
              </w:rPr>
              <w:t>20</w:t>
            </w:r>
          </w:p>
        </w:tc>
        <w:tc>
          <w:tcPr>
            <w:tcW w:w="950" w:type="dxa"/>
            <w:vAlign w:val="center"/>
          </w:tcPr>
          <w:p w14:paraId="77EB2710">
            <w:pPr>
              <w:spacing w:line="360" w:lineRule="auto"/>
              <w:jc w:val="center"/>
              <w:rPr>
                <w:sz w:val="18"/>
                <w:szCs w:val="18"/>
              </w:rPr>
            </w:pPr>
            <w:r>
              <w:rPr>
                <w:rFonts w:eastAsiaTheme="minorEastAsia"/>
                <w:sz w:val="18"/>
                <w:szCs w:val="18"/>
              </w:rPr>
              <w:t>全文</w:t>
            </w:r>
          </w:p>
        </w:tc>
        <w:tc>
          <w:tcPr>
            <w:tcW w:w="3333" w:type="dxa"/>
            <w:vAlign w:val="center"/>
          </w:tcPr>
          <w:p w14:paraId="44F1E326">
            <w:pPr>
              <w:jc w:val="both"/>
              <w:rPr>
                <w:sz w:val="18"/>
                <w:szCs w:val="18"/>
              </w:rPr>
            </w:pPr>
            <w:r>
              <w:rPr>
                <w:rFonts w:eastAsiaTheme="minorEastAsia"/>
                <w:iCs/>
                <w:sz w:val="18"/>
                <w:szCs w:val="18"/>
              </w:rPr>
              <w:t>全文重复出现CO</w:t>
            </w:r>
            <w:r>
              <w:rPr>
                <w:rFonts w:eastAsiaTheme="minorEastAsia"/>
                <w:iCs/>
                <w:sz w:val="18"/>
                <w:szCs w:val="18"/>
                <w:vertAlign w:val="subscript"/>
              </w:rPr>
              <w:t>2</w:t>
            </w:r>
            <w:r>
              <w:rPr>
                <w:rFonts w:eastAsiaTheme="minorEastAsia"/>
                <w:iCs/>
                <w:sz w:val="18"/>
                <w:szCs w:val="18"/>
              </w:rPr>
              <w:t>e和</w:t>
            </w:r>
            <w:r>
              <w:rPr>
                <w:rFonts w:eastAsiaTheme="minorEastAsia"/>
                <w:sz w:val="18"/>
                <w:szCs w:val="18"/>
              </w:rPr>
              <w:t>CO2-eq两个单位，请统一单位。</w:t>
            </w:r>
          </w:p>
        </w:tc>
        <w:tc>
          <w:tcPr>
            <w:tcW w:w="2117" w:type="dxa"/>
            <w:vAlign w:val="center"/>
          </w:tcPr>
          <w:p w14:paraId="4ED77D4F">
            <w:pPr>
              <w:jc w:val="center"/>
              <w:rPr>
                <w:sz w:val="18"/>
                <w:szCs w:val="18"/>
              </w:rPr>
            </w:pPr>
            <w:r>
              <w:rPr>
                <w:rFonts w:hint="eastAsia"/>
                <w:sz w:val="18"/>
                <w:szCs w:val="18"/>
              </w:rPr>
              <w:t>江苏大学</w:t>
            </w:r>
          </w:p>
        </w:tc>
        <w:tc>
          <w:tcPr>
            <w:tcW w:w="1436" w:type="dxa"/>
            <w:vAlign w:val="center"/>
          </w:tcPr>
          <w:p w14:paraId="5060A916">
            <w:pPr>
              <w:jc w:val="center"/>
              <w:rPr>
                <w:sz w:val="18"/>
                <w:szCs w:val="18"/>
              </w:rPr>
            </w:pPr>
          </w:p>
        </w:tc>
      </w:tr>
      <w:tr w14:paraId="2096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86" w:type="dxa"/>
            <w:vAlign w:val="center"/>
          </w:tcPr>
          <w:p w14:paraId="134DCC59">
            <w:pPr>
              <w:jc w:val="center"/>
              <w:rPr>
                <w:sz w:val="18"/>
                <w:szCs w:val="18"/>
              </w:rPr>
            </w:pPr>
            <w:r>
              <w:rPr>
                <w:rFonts w:hint="eastAsia"/>
                <w:sz w:val="18"/>
                <w:szCs w:val="18"/>
              </w:rPr>
              <w:t>21</w:t>
            </w:r>
          </w:p>
        </w:tc>
        <w:tc>
          <w:tcPr>
            <w:tcW w:w="950" w:type="dxa"/>
            <w:vAlign w:val="center"/>
          </w:tcPr>
          <w:p w14:paraId="2AA53086">
            <w:pPr>
              <w:spacing w:line="360" w:lineRule="auto"/>
              <w:jc w:val="center"/>
              <w:rPr>
                <w:sz w:val="18"/>
                <w:szCs w:val="18"/>
              </w:rPr>
            </w:pPr>
            <w:r>
              <w:rPr>
                <w:rFonts w:eastAsiaTheme="minorEastAsia"/>
                <w:sz w:val="18"/>
                <w:szCs w:val="18"/>
              </w:rPr>
              <w:t>4.5</w:t>
            </w:r>
          </w:p>
        </w:tc>
        <w:tc>
          <w:tcPr>
            <w:tcW w:w="3333" w:type="dxa"/>
            <w:vAlign w:val="center"/>
          </w:tcPr>
          <w:p w14:paraId="1E435561">
            <w:pPr>
              <w:jc w:val="both"/>
              <w:rPr>
                <w:sz w:val="18"/>
                <w:szCs w:val="18"/>
              </w:rPr>
            </w:pPr>
            <w:r>
              <w:rPr>
                <w:rFonts w:eastAsiaTheme="minorEastAsia"/>
                <w:sz w:val="18"/>
                <w:szCs w:val="18"/>
              </w:rPr>
              <w:t>4.5节中出现的“全球变暖潜势（Global warming potential，GWP）”未在术语与定义中进行说明。</w:t>
            </w:r>
          </w:p>
        </w:tc>
        <w:tc>
          <w:tcPr>
            <w:tcW w:w="2117" w:type="dxa"/>
            <w:vAlign w:val="center"/>
          </w:tcPr>
          <w:p w14:paraId="182F35C5">
            <w:pPr>
              <w:jc w:val="center"/>
              <w:rPr>
                <w:sz w:val="18"/>
                <w:szCs w:val="18"/>
              </w:rPr>
            </w:pPr>
            <w:r>
              <w:rPr>
                <w:rFonts w:hint="eastAsia"/>
                <w:sz w:val="18"/>
                <w:szCs w:val="18"/>
              </w:rPr>
              <w:t>江苏中法污水处理有限公司</w:t>
            </w:r>
          </w:p>
        </w:tc>
        <w:tc>
          <w:tcPr>
            <w:tcW w:w="1436" w:type="dxa"/>
            <w:vAlign w:val="center"/>
          </w:tcPr>
          <w:p w14:paraId="662E7DA3">
            <w:pPr>
              <w:jc w:val="center"/>
              <w:rPr>
                <w:sz w:val="18"/>
                <w:szCs w:val="18"/>
              </w:rPr>
            </w:pPr>
          </w:p>
        </w:tc>
      </w:tr>
      <w:tr w14:paraId="6EDA0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86" w:type="dxa"/>
            <w:vAlign w:val="center"/>
          </w:tcPr>
          <w:p w14:paraId="52D55943">
            <w:pPr>
              <w:jc w:val="center"/>
              <w:rPr>
                <w:sz w:val="18"/>
                <w:szCs w:val="18"/>
              </w:rPr>
            </w:pPr>
            <w:r>
              <w:rPr>
                <w:rFonts w:eastAsiaTheme="minorEastAsia"/>
                <w:sz w:val="18"/>
                <w:szCs w:val="18"/>
              </w:rPr>
              <w:t>22</w:t>
            </w:r>
          </w:p>
        </w:tc>
        <w:tc>
          <w:tcPr>
            <w:tcW w:w="950" w:type="dxa"/>
            <w:vAlign w:val="center"/>
          </w:tcPr>
          <w:p w14:paraId="5DCE3F8C">
            <w:pPr>
              <w:spacing w:line="360" w:lineRule="auto"/>
              <w:jc w:val="center"/>
              <w:rPr>
                <w:sz w:val="18"/>
                <w:szCs w:val="18"/>
              </w:rPr>
            </w:pPr>
            <w:r>
              <w:rPr>
                <w:rFonts w:eastAsiaTheme="minorEastAsia"/>
                <w:sz w:val="18"/>
                <w:szCs w:val="18"/>
              </w:rPr>
              <w:t>2</w:t>
            </w:r>
          </w:p>
        </w:tc>
        <w:tc>
          <w:tcPr>
            <w:tcW w:w="3333" w:type="dxa"/>
            <w:vAlign w:val="center"/>
          </w:tcPr>
          <w:p w14:paraId="4C68C064">
            <w:pPr>
              <w:jc w:val="both"/>
              <w:rPr>
                <w:sz w:val="18"/>
                <w:szCs w:val="18"/>
              </w:rPr>
            </w:pPr>
            <w:r>
              <w:rPr>
                <w:rFonts w:eastAsiaTheme="minorEastAsia"/>
                <w:sz w:val="18"/>
                <w:szCs w:val="18"/>
              </w:rPr>
              <w:t>GB 4282-2018《农用污泥污染物控制标准》已被 GB/T 4284-2018 替代，建议更换。</w:t>
            </w:r>
          </w:p>
        </w:tc>
        <w:tc>
          <w:tcPr>
            <w:tcW w:w="2117" w:type="dxa"/>
            <w:vAlign w:val="center"/>
          </w:tcPr>
          <w:p w14:paraId="69A990B2">
            <w:pPr>
              <w:jc w:val="center"/>
              <w:rPr>
                <w:sz w:val="18"/>
                <w:szCs w:val="18"/>
              </w:rPr>
            </w:pPr>
            <w:r>
              <w:rPr>
                <w:rFonts w:hint="eastAsia"/>
                <w:sz w:val="18"/>
                <w:szCs w:val="18"/>
              </w:rPr>
              <w:t>南京市水务集团</w:t>
            </w:r>
          </w:p>
        </w:tc>
        <w:tc>
          <w:tcPr>
            <w:tcW w:w="1436" w:type="dxa"/>
            <w:vAlign w:val="center"/>
          </w:tcPr>
          <w:p w14:paraId="2920EABC">
            <w:pPr>
              <w:jc w:val="center"/>
              <w:rPr>
                <w:sz w:val="18"/>
                <w:szCs w:val="18"/>
              </w:rPr>
            </w:pPr>
          </w:p>
        </w:tc>
      </w:tr>
      <w:tr w14:paraId="767CC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86" w:type="dxa"/>
            <w:vAlign w:val="center"/>
          </w:tcPr>
          <w:p w14:paraId="3C7CE3A3">
            <w:pPr>
              <w:jc w:val="center"/>
              <w:rPr>
                <w:sz w:val="18"/>
                <w:szCs w:val="18"/>
              </w:rPr>
            </w:pPr>
            <w:r>
              <w:rPr>
                <w:rFonts w:eastAsiaTheme="minorEastAsia"/>
                <w:sz w:val="18"/>
                <w:szCs w:val="18"/>
              </w:rPr>
              <w:t>23</w:t>
            </w:r>
          </w:p>
        </w:tc>
        <w:tc>
          <w:tcPr>
            <w:tcW w:w="950" w:type="dxa"/>
            <w:vAlign w:val="center"/>
          </w:tcPr>
          <w:p w14:paraId="1E35CAF2">
            <w:pPr>
              <w:spacing w:line="360" w:lineRule="auto"/>
              <w:jc w:val="center"/>
              <w:rPr>
                <w:sz w:val="18"/>
                <w:szCs w:val="18"/>
              </w:rPr>
            </w:pPr>
            <w:r>
              <w:rPr>
                <w:rFonts w:eastAsiaTheme="minorEastAsia"/>
                <w:sz w:val="18"/>
                <w:szCs w:val="18"/>
              </w:rPr>
              <w:t>4.5</w:t>
            </w:r>
          </w:p>
        </w:tc>
        <w:tc>
          <w:tcPr>
            <w:tcW w:w="3333" w:type="dxa"/>
            <w:vAlign w:val="center"/>
          </w:tcPr>
          <w:p w14:paraId="10B75A84">
            <w:pPr>
              <w:jc w:val="both"/>
              <w:rPr>
                <w:sz w:val="18"/>
                <w:szCs w:val="18"/>
              </w:rPr>
            </w:pPr>
            <w:r>
              <w:rPr>
                <w:rFonts w:eastAsiaTheme="minorEastAsia"/>
                <w:sz w:val="18"/>
                <w:szCs w:val="18"/>
              </w:rPr>
              <w:t>4.5节中“全球变暖潜势（Global warming potential，GWP）取值以IPCC2018文件…”所引用的IPCC2018文件并未出现在参考文献中。</w:t>
            </w:r>
          </w:p>
        </w:tc>
        <w:tc>
          <w:tcPr>
            <w:tcW w:w="2117" w:type="dxa"/>
            <w:vAlign w:val="center"/>
          </w:tcPr>
          <w:p w14:paraId="6518410F">
            <w:pPr>
              <w:jc w:val="center"/>
              <w:rPr>
                <w:rFonts w:hint="eastAsia"/>
                <w:sz w:val="18"/>
                <w:szCs w:val="18"/>
              </w:rPr>
            </w:pPr>
            <w:r>
              <w:rPr>
                <w:rFonts w:hint="eastAsia"/>
                <w:sz w:val="18"/>
                <w:szCs w:val="18"/>
              </w:rPr>
              <w:t>中国环境科学研究院</w:t>
            </w:r>
          </w:p>
        </w:tc>
        <w:tc>
          <w:tcPr>
            <w:tcW w:w="1436" w:type="dxa"/>
            <w:vAlign w:val="center"/>
          </w:tcPr>
          <w:p w14:paraId="6E84C4BF">
            <w:pPr>
              <w:jc w:val="center"/>
              <w:rPr>
                <w:sz w:val="18"/>
                <w:szCs w:val="18"/>
              </w:rPr>
            </w:pPr>
          </w:p>
        </w:tc>
      </w:tr>
      <w:tr w14:paraId="43EC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86" w:type="dxa"/>
            <w:vAlign w:val="center"/>
          </w:tcPr>
          <w:p w14:paraId="2CE823F3">
            <w:pPr>
              <w:jc w:val="center"/>
              <w:rPr>
                <w:sz w:val="18"/>
                <w:szCs w:val="18"/>
              </w:rPr>
            </w:pPr>
            <w:r>
              <w:rPr>
                <w:rFonts w:eastAsiaTheme="minorEastAsia"/>
                <w:sz w:val="18"/>
                <w:szCs w:val="18"/>
              </w:rPr>
              <w:t>24</w:t>
            </w:r>
          </w:p>
        </w:tc>
        <w:tc>
          <w:tcPr>
            <w:tcW w:w="950" w:type="dxa"/>
            <w:vAlign w:val="center"/>
          </w:tcPr>
          <w:p w14:paraId="60B7F220">
            <w:pPr>
              <w:spacing w:line="360" w:lineRule="auto"/>
              <w:jc w:val="center"/>
              <w:rPr>
                <w:sz w:val="18"/>
                <w:szCs w:val="18"/>
              </w:rPr>
            </w:pPr>
            <w:r>
              <w:rPr>
                <w:rFonts w:eastAsiaTheme="minorEastAsia"/>
                <w:sz w:val="18"/>
                <w:szCs w:val="18"/>
              </w:rPr>
              <w:t>4.2.3</w:t>
            </w:r>
          </w:p>
        </w:tc>
        <w:tc>
          <w:tcPr>
            <w:tcW w:w="3333" w:type="dxa"/>
            <w:vAlign w:val="center"/>
          </w:tcPr>
          <w:p w14:paraId="0BD08F18">
            <w:pPr>
              <w:jc w:val="both"/>
              <w:rPr>
                <w:sz w:val="18"/>
                <w:szCs w:val="18"/>
              </w:rPr>
            </w:pPr>
            <w:r>
              <w:rPr>
                <w:rFonts w:eastAsiaTheme="minorEastAsia"/>
                <w:sz w:val="18"/>
                <w:szCs w:val="18"/>
              </w:rPr>
              <w:t>4.2.3节“适用于在数据充足的情况下，对A</w:t>
            </w:r>
            <w:r>
              <w:rPr>
                <w:rFonts w:eastAsiaTheme="minorEastAsia"/>
                <w:sz w:val="18"/>
                <w:szCs w:val="18"/>
                <w:vertAlign w:val="superscript"/>
              </w:rPr>
              <w:t>2</w:t>
            </w:r>
            <w:r>
              <w:rPr>
                <w:rFonts w:eastAsiaTheme="minorEastAsia"/>
                <w:sz w:val="18"/>
                <w:szCs w:val="18"/>
              </w:rPr>
              <w:t>/O…”中“数据充足”表意模糊，建议修改。</w:t>
            </w:r>
          </w:p>
        </w:tc>
        <w:tc>
          <w:tcPr>
            <w:tcW w:w="2117" w:type="dxa"/>
            <w:vAlign w:val="center"/>
          </w:tcPr>
          <w:p w14:paraId="5B0E3A8C">
            <w:pPr>
              <w:jc w:val="center"/>
              <w:rPr>
                <w:sz w:val="18"/>
                <w:szCs w:val="18"/>
              </w:rPr>
            </w:pPr>
            <w:r>
              <w:rPr>
                <w:rFonts w:hint="eastAsia"/>
                <w:sz w:val="18"/>
                <w:szCs w:val="18"/>
              </w:rPr>
              <w:t>江苏方洋水务有限公司</w:t>
            </w:r>
          </w:p>
        </w:tc>
        <w:tc>
          <w:tcPr>
            <w:tcW w:w="1436" w:type="dxa"/>
            <w:vAlign w:val="center"/>
          </w:tcPr>
          <w:p w14:paraId="4BE8FADB">
            <w:pPr>
              <w:jc w:val="center"/>
              <w:rPr>
                <w:sz w:val="18"/>
                <w:szCs w:val="18"/>
              </w:rPr>
            </w:pPr>
          </w:p>
        </w:tc>
      </w:tr>
      <w:tr w14:paraId="5735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86" w:type="dxa"/>
            <w:vAlign w:val="center"/>
          </w:tcPr>
          <w:p w14:paraId="608E1B01">
            <w:pPr>
              <w:jc w:val="center"/>
              <w:rPr>
                <w:sz w:val="18"/>
                <w:szCs w:val="18"/>
              </w:rPr>
            </w:pPr>
            <w:r>
              <w:rPr>
                <w:rFonts w:eastAsiaTheme="minorEastAsia"/>
                <w:sz w:val="18"/>
                <w:szCs w:val="18"/>
              </w:rPr>
              <w:t>25</w:t>
            </w:r>
          </w:p>
        </w:tc>
        <w:tc>
          <w:tcPr>
            <w:tcW w:w="950" w:type="dxa"/>
            <w:vAlign w:val="center"/>
          </w:tcPr>
          <w:p w14:paraId="46AEDBA4">
            <w:pPr>
              <w:spacing w:line="360" w:lineRule="auto"/>
              <w:jc w:val="center"/>
              <w:rPr>
                <w:sz w:val="18"/>
                <w:szCs w:val="18"/>
              </w:rPr>
            </w:pPr>
            <w:r>
              <w:rPr>
                <w:rFonts w:hint="eastAsia"/>
                <w:sz w:val="18"/>
                <w:szCs w:val="18"/>
              </w:rPr>
              <w:t>全文</w:t>
            </w:r>
          </w:p>
        </w:tc>
        <w:tc>
          <w:tcPr>
            <w:tcW w:w="3333" w:type="dxa"/>
            <w:vAlign w:val="center"/>
          </w:tcPr>
          <w:p w14:paraId="3D2CFA18">
            <w:pPr>
              <w:jc w:val="both"/>
              <w:rPr>
                <w:sz w:val="18"/>
                <w:szCs w:val="18"/>
              </w:rPr>
            </w:pPr>
            <w:r>
              <w:rPr>
                <w:rFonts w:eastAsiaTheme="minorEastAsia"/>
                <w:sz w:val="18"/>
                <w:szCs w:val="18"/>
              </w:rPr>
              <w:t>文本中出现污水处理厂、集中式污水处理设施。污水处理系统、污水处理单元等含义接近的名词，建议统一。</w:t>
            </w:r>
          </w:p>
        </w:tc>
        <w:tc>
          <w:tcPr>
            <w:tcW w:w="2117" w:type="dxa"/>
            <w:vAlign w:val="center"/>
          </w:tcPr>
          <w:p w14:paraId="01834A8E">
            <w:pPr>
              <w:jc w:val="center"/>
              <w:rPr>
                <w:rFonts w:hint="eastAsia"/>
                <w:sz w:val="18"/>
                <w:szCs w:val="18"/>
              </w:rPr>
            </w:pPr>
            <w:r>
              <w:rPr>
                <w:rFonts w:hint="eastAsia"/>
                <w:sz w:val="18"/>
                <w:szCs w:val="18"/>
              </w:rPr>
              <w:t>昆山市巴城水质净化有限公司</w:t>
            </w:r>
          </w:p>
        </w:tc>
        <w:tc>
          <w:tcPr>
            <w:tcW w:w="1436" w:type="dxa"/>
            <w:vAlign w:val="center"/>
          </w:tcPr>
          <w:p w14:paraId="24CFE947">
            <w:pPr>
              <w:jc w:val="center"/>
              <w:rPr>
                <w:sz w:val="18"/>
                <w:szCs w:val="18"/>
              </w:rPr>
            </w:pPr>
          </w:p>
        </w:tc>
      </w:tr>
      <w:tr w14:paraId="50A3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86" w:type="dxa"/>
            <w:vAlign w:val="center"/>
          </w:tcPr>
          <w:p w14:paraId="2903661E">
            <w:pPr>
              <w:jc w:val="center"/>
              <w:rPr>
                <w:sz w:val="18"/>
                <w:szCs w:val="18"/>
              </w:rPr>
            </w:pPr>
            <w:r>
              <w:rPr>
                <w:rFonts w:eastAsiaTheme="minorEastAsia"/>
                <w:sz w:val="18"/>
                <w:szCs w:val="18"/>
              </w:rPr>
              <w:t>26</w:t>
            </w:r>
          </w:p>
        </w:tc>
        <w:tc>
          <w:tcPr>
            <w:tcW w:w="950" w:type="dxa"/>
            <w:vAlign w:val="center"/>
          </w:tcPr>
          <w:p w14:paraId="02715A14">
            <w:pPr>
              <w:spacing w:line="360" w:lineRule="auto"/>
              <w:jc w:val="center"/>
              <w:rPr>
                <w:sz w:val="18"/>
                <w:szCs w:val="18"/>
              </w:rPr>
            </w:pPr>
            <w:r>
              <w:rPr>
                <w:rFonts w:eastAsiaTheme="minorEastAsia"/>
                <w:sz w:val="18"/>
                <w:szCs w:val="18"/>
              </w:rPr>
              <w:t>4.3.1.2</w:t>
            </w:r>
          </w:p>
        </w:tc>
        <w:tc>
          <w:tcPr>
            <w:tcW w:w="3333" w:type="dxa"/>
            <w:vAlign w:val="center"/>
          </w:tcPr>
          <w:p w14:paraId="51996830">
            <w:pPr>
              <w:jc w:val="both"/>
              <w:rPr>
                <w:sz w:val="18"/>
                <w:szCs w:val="18"/>
              </w:rPr>
            </w:pPr>
            <w:r>
              <w:rPr>
                <w:rFonts w:eastAsiaTheme="minorEastAsia"/>
                <w:sz w:val="18"/>
                <w:szCs w:val="18"/>
              </w:rPr>
              <w:t>小节标题为“CH</w:t>
            </w:r>
            <w:r>
              <w:rPr>
                <w:rFonts w:eastAsiaTheme="minorEastAsia"/>
                <w:sz w:val="18"/>
                <w:szCs w:val="18"/>
                <w:vertAlign w:val="subscript"/>
              </w:rPr>
              <w:t>4</w:t>
            </w:r>
            <w:r>
              <w:rPr>
                <w:rFonts w:eastAsiaTheme="minorEastAsia"/>
                <w:sz w:val="18"/>
                <w:szCs w:val="18"/>
              </w:rPr>
              <w:t>资源利用化石源CO</w:t>
            </w:r>
            <w:r>
              <w:rPr>
                <w:rFonts w:eastAsiaTheme="minorEastAsia"/>
                <w:sz w:val="18"/>
                <w:szCs w:val="18"/>
                <w:vertAlign w:val="subscript"/>
              </w:rPr>
              <w:t>2</w:t>
            </w:r>
            <w:r>
              <w:rPr>
                <w:rFonts w:eastAsiaTheme="minorEastAsia"/>
                <w:sz w:val="18"/>
                <w:szCs w:val="18"/>
              </w:rPr>
              <w:t>核算方法”</w:t>
            </w:r>
            <w:r>
              <w:rPr>
                <w:rFonts w:eastAsiaTheme="minorEastAsia"/>
                <w:iCs/>
                <w:sz w:val="18"/>
                <w:szCs w:val="18"/>
              </w:rPr>
              <w:t xml:space="preserve"> ，公式中</w:t>
            </w:r>
            <w:r>
              <w:rPr>
                <w:rFonts w:eastAsiaTheme="minorEastAsia"/>
                <w:iCs/>
                <w:sz w:val="18"/>
                <w:szCs w:val="18"/>
              </w:rPr>
              <w:fldChar w:fldCharType="begin"/>
            </w:r>
            <w:r>
              <w:rPr>
                <w:rFonts w:eastAsiaTheme="minorEastAsia"/>
                <w:iCs/>
                <w:sz w:val="18"/>
                <w:szCs w:val="18"/>
              </w:rPr>
              <w:instrText xml:space="preserve"> QUOTE </w:instrText>
            </w:r>
            <w:r>
              <w:rPr>
                <w:rFonts w:eastAsiaTheme="minorEastAsia"/>
                <w:position w:val="-9"/>
                <w:sz w:val="18"/>
                <w:szCs w:val="18"/>
              </w:rPr>
              <w:pict>
                <v:shape id="_x0000_i1025" o:spt="75" type="#_x0000_t75" style="height:15.55pt;width:36.25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30&quot;/&gt;&lt;w:embedTrueTypeFonts/&gt;&lt;w:doNotEmbedSystemFonts/&gt;&lt;w:saveSubset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re w:lang=&quot;ZH-CN&quot; w:val=&quot;!%),.:;&amp;gt;?]}垄篓掳路藝藟鈥曗€栤€欌€濃€︹€扳€测€斥€衡剝鈭躲€併€傘€冦€夈€嬨€嶃€忋€戙€曘€椼€烇付锔猴妇锕€锕勶箽锕滐篂锛侊紓锛咃紘锛夛紝锛?gControl w:val=&quot;CompressPunctuation&quot;/&gt;&lt;w:noLineBreaksAfter w:lang=&quot;ZH-CN&quot; w:val=Control w:val=&quot;CompressPunctuation&quot;/&gt;&lt;w:noLineBreaksAfter w:lang=&quot;ZH-CN&quot; w:val=Control w:val=&quot;CompressPunctuation&quot;/&gt;&lt;w:noLineBreaksAfter w:lang=&quot;ZH-CN&quot; w:val=锛氾紱锛燂冀锝€锝滐綕锝烇繝&quot;/&gt;&lt;w:validateAgainstSchema/&gt;&lt;w:saveInvalidXML w:val=&quot;off&quot;/&gt;&lt;w:ignoreMZH-CN&quot; w:val=ixedContent w:val=&quot;off&quot;/&gt;&lt;w:alwaysShowPlaceholderText w:val=&quot;off&quot;/&gt;&lt;w:compat&gt;&lt;wZH-CN&quot; w:val=:spaceForUL/&gt;&lt;w:balanceSingleByteDoubleByteWidth/&gt;&lt;w:doNotLeaveBackslashAlone/&gt;ZH-CN&quot; w:val=&lt;w:ulTrailSpace/&gt;&lt;w:doNotExpandShiftReturn/&gt;&lt;w:adjustLineHeightInTable/&gt;&lt;w:breakWrappedTables/&gt;&lt;w:snapToGridInCell/&gt;&lt;w:wrapTextWithPunct/&gt;&lt;w:useAsianBreakRules/&gt;&lt;w:dontGrowAutofit/&gt;&lt;w:useFELayout/&gt;&lt;/w:compat&gt;&lt;wsp:rsids&gt;&lt;wsp:rsidRoot wsp:val=&quot;00002CF7&quot;/&gt;&lt;wsp:rsid wsp:val=&quot;00002CF7&quot;/&gt;&lt;wsp:rsid wsp:val=&quot;00016B30&quot;/&gt;&lt;wsp:rsid wsp:val=&quot;000360CF&quot;/&gt;&lt;wsp:rsid wsp:val=&quot;000474FB&quot;/&gt;&lt;wsp:rsid wsp:val=&quot;00054892&quot;/&gt;&lt;wsp:rsid wsp:val=&quot;000572AB&quot;/&gt;&lt;wsp:rsid wsp:val=&quot;00075CFE&quot;/&gt;&lt;wsp:rsid wsp:val=&quot;00086BD0&quot;/&gt;&lt;wsp:rsid wsp:val=&quot;000925C9&quot;/&gt;&lt;wsp:rsid wsp:val=&quot;000C2EAC&quot;/&gt;&lt;wsp:rsid wsp:val=&quot;000C4B83&quot;/&gt;&lt;wsp:rsid wsp:val=&quot;000C563A&quot;/&gt;&lt;wsp:rsid wsp:val=&quot;000E0D83&quot;/&gt;&lt;wsp:rsid wsp:val=&quot;000E65D4&quot;/&gt;&lt;wsp:rsid wsp:val=&quot;000F32A6&quot;/&gt;&lt;wsp:rsid wsp:val=&quot;00115362&quot;/&gt;&lt;wsp:rsid wsp:val=&quot;001415F2&quot;/&gt;&lt;wsp:rsid wsp:val=&quot;001516B8&quot;/&gt;&lt;wsp:rsid wsp:val=&quot;00153BA3&quot;/&gt;&lt;wsp:rsid wsp:val=&quot;001626A9&quot;/&gt;&lt;wsp:rsid wsp:val=&quot;00174BEB&quot;/&gt;&lt;wsp:rsid wsp:val=&quot;001753D2&quot;/&gt;&lt;wsp:rsid wsp:val=&quot;00182AAC&quot;/&gt;&lt;wsp:rsid wsp:val=&quot;00184710&quot;/&gt;&lt;wsp:rsid wsp:val=&quot;001B18B3&quot;/&gt;&lt;wsp:rsid wsp:val=&quot;0021718F&quot;/&gt;&lt;wsp:rsid wsp:val=&quot;0022351C&quot;/&gt;&lt;wsp:rsid wsp:val=&quot;002621C4&quot;/&gt;&lt;wsp:rsid wsp:val=&quot;002643BA&quot;/&gt;&lt;wsp:rsid wsp:val=&quot;002930EA&quot;/&gt;&lt;wsp:rsid wsp:val=&quot;00293AC8&quot;/&gt;&lt;wsp:rsid wsp:val=&quot;002A38B9&quot;/&gt;&lt;wsp:rsid wsp:val=&quot;002D3430&quot;/&gt;&lt;wsp:rsid wsp:val=&quot;002F3374&quot;/&gt;&lt;wsp:rsid wsp:val=&quot;003331C8&quot;/&gt;&lt;wsp:rsid wsp:val=&quot;00395D2F&quot;/&gt;&lt;wsp:rsid wsp:val=&quot;003A11C3&quot;/&gt;&lt;wsp:rsid wsp:val=&quot;003C1524&quot;/&gt;&lt;wsp:rsid wsp:val=&quot;003C66A9&quot;/&gt;&lt;wsp:rsid wsp:val=&quot;003E2B19&quot;/&gt;&lt;wsp:rsid wsp:val=&quot;00406742&quot;/&gt;&lt;wsp:rsid wsp:val=&quot;0041468F&quot;/&gt;&lt;wsp:rsid wsp:val=&quot;00420BB3&quot;/&gt;&lt;wsp:rsid wsp:val=&quot;00437F56&quot;/&gt;&lt;wsp:rsid wsp:val=&quot;0045603B&quot;/&gt;&lt;wsp:rsid wsp:val=&quot;00473DFE&quot;/&gt;&lt;wsp:rsid wsp:val=&quot;00483D0A&quot;/&gt;&lt;wsp:rsid wsp:val=&quot;00487B3B&quot;/&gt;&lt;wsp:rsid wsp:val=&quot;004D0E20&quot;/&gt;&lt;wsp:rsid wsp:val=&quot;004F4307&quot;/&gt;&lt;wsp:rsid wsp:val=&quot;0050477E&quot;/&gt;&lt;wsp:rsid wsp:val=&quot;005122CF&quot;/&gt;&lt;wsp:rsid wsp:val=&quot;00516C9D&quot;/&gt;&lt;wsp:rsid wsp:val=&quot;00542274&quot;/&gt;&lt;wsp:rsid wsp:val=&quot;00575353&quot;/&gt;&lt;wsp:rsid wsp:val=&quot;0057666F&quot;/&gt;&lt;wsp:rsid wsp:val=&quot;00581CED&quot;/&gt;&lt;wsp:rsid wsp:val=&quot;005B41E5&quot;/&gt;&lt;wsp:rsid wsp:val=&quot;005F1609&quot;/&gt;&lt;wsp:rsid wsp:val=&quot;0061118F&quot;/&gt;&lt;wsp:rsid wsp:val=&quot;006149DF&quot;/&gt;&lt;wsp:rsid wsp:val=&quot;0063009B&quot;/&gt;&lt;wsp:rsid wsp:val=&quot;006814C8&quot;/&gt;&lt;wsp:rsid wsp:val=&quot;00685832&quot;/&gt;&lt;wsp:rsid wsp:val=&quot;006B3C04&quot;/&gt;&lt;wsp:rsid wsp:val=&quot;006C36EF&quot;/&gt;&lt;wsp:rsid wsp:val=&quot;006E6D66&quot;/&gt;&lt;wsp:rsid wsp:val=&quot;00711A4B&quot;/&gt;&lt;wsp:rsid wsp:val=&quot;007144DC&quot;/&gt;&lt;wsp:rsid wsp:val=&quot;00716F77&quot;/&gt;&lt;wsp:rsid wsp:val=&quot;00790F28&quot;/&gt;&lt;wsp:rsid wsp:val=&quot;00791DC7&quot;/&gt;&lt;wsp:rsid wsp:val=&quot;007B4409&quot;/&gt;&lt;wsp:rsid wsp:val=&quot;007C2730&quot;/&gt;&lt;wsp:rsid wsp:val=&quot;008019F2&quot;/&gt;&lt;wsp:rsid wsp:val=&quot;00815446&quot;/&gt;&lt;wsp:rsid wsp:val=&quot;0083671F&quot;/&gt;&lt;wsp:rsid wsp:val=&quot;00855B2F&quot;/&gt;&lt;wsp:rsid wsp:val=&quot;00883794&quot;/&gt;&lt;wsp:rsid wsp:val=&quot;008B028E&quot;/&gt;&lt;wsp:rsid wsp:val=&quot;008B67D0&quot;/&gt;&lt;wsp:rsid wsp:val=&quot;00920CE3&quot;/&gt;&lt;wsp:rsid wsp:val=&quot;009314D7&quot;/&gt;&lt;wsp:rsid wsp:val=&quot;00981966&quot;/&gt;&lt;wsp:rsid wsp:val=&quot;00985E4A&quot;/&gt;&lt;wsp:rsid wsp:val=&quot;009A26C7&quot;/&gt;&lt;wsp:rsid wsp:val=&quot;00A278D5&quot;/&gt;&lt;wsp:rsid wsp:val=&quot;00A64BC9&quot;/&gt;&lt;wsp:rsid wsp:val=&quot;00A66B7A&quot;/&gt;&lt;wsp:rsid wsp:val=&quot;00AA0D03&quot;/&gt;&lt;wsp:rsid wsp:val=&quot;00AB25D0&quot;/&gt;&lt;wsp:rsid wsp:val=&quot;00AD2DE3&quot;/&gt;&lt;wsp:rsid wsp:val=&quot;00AD7B7E&quot;/&gt;&lt;wsp:rsid wsp:val=&quot;00AF4885&quot;/&gt;&lt;wsp:rsid wsp:val=&quot;00AF5FEB&quot;/&gt;&lt;wsp:rsid wsp:val=&quot;00B0475E&quot;/&gt;&lt;wsp:rsid wsp:val=&quot;00B37ED5&quot;/&gt;&lt;wsp:rsid wsp:val=&quot;00BA0F60&quot;/&gt;&lt;wsp:rsid wsp:val=&quot;00BA3487&quot;/&gt;&lt;wsp:rsid wsp:val=&quot;00BB24AA&quot;/&gt;&lt;wsp:rsid wsp:val=&quot;00C1345D&quot;/&gt;&lt;wsp:rsid wsp:val=&quot;00C14EE8&quot;/&gt;&lt;wsp:rsid wsp:val=&quot;00C601B5&quot;/&gt;&lt;wsp:rsid wsp:val=&quot;00C63605&quot;/&gt;&lt;wsp:rsid wsp:val=&quot;00C76DDD&quot;/&gt;&lt;wsp:rsid wsp:val=&quot;00CC6502&quot;/&gt;&lt;wsp:rsid wsp:val=&quot;00CE68E7&quot;/&gt;&lt;wsp:rsid wsp:val=&quot;00CE6C88&quot;/&gt;&lt;wsp:rsid wsp:val=&quot;00CE7CAE&quot;/&gt;&lt;wsp:rsid wsp:val=&quot;00D114B0&quot;/&gt;&lt;wsp:rsid wsp:val=&quot;00D276D7&quot;/&gt;&lt;wsp:rsid wsp:val=&quot;00D3716E&quot;/&gt;&lt;wsp:rsid wsp:val=&quot;00D4127A&quot;/&gt;&lt;wsp:rsid wsp:val=&quot;00DB1DCA&quot;/&gt;&lt;wsp:rsid wsp:val=&quot;00DC47A4&quot;/&gt;&lt;wsp:rsid wsp:val=&quot;00DD41BA&quot;/&gt;&lt;wsp:rsid wsp:val=&quot;00E027F3&quot;/&gt;&lt;wsp:rsid wsp:val=&quot;00E10782&quot;/&gt;&lt;wsp:rsid wsp:val=&quot;00E22E87&quot;/&gt;&lt;wsp:rsid wsp:val=&quot;00E2785A&quot;/&gt;&lt;wsp:rsid wsp:val=&quot;00E35BF4&quot;/&gt;&lt;wsp:rsid wsp:val=&quot;00E35CC7&quot;/&gt;&lt;wsp:rsid wsp:val=&quot;00E36F75&quot;/&gt;&lt;wsp:rsid wsp:val=&quot;00F105CA&quot;/&gt;&lt;wsp:rsid wsp:val=&quot;00F2627C&quot;/&gt;&lt;wsp:rsid wsp:val=&quot;00F315EA&quot;/&gt;&lt;wsp:rsid wsp:val=&quot;00F37E96&quot;/&gt;&lt;wsp:rsid wsp:val=&quot;00F95DB2&quot;/&gt;&lt;wsp:rsid wsp:val=&quot;00FC3213&quot;/&gt;&lt;wsp:rsid wsp:val=&quot;00FC36B5&quot;/&gt;&lt;wsp:rsid wsp:val=&quot;00FD72DC&quot;/&gt;&lt;wsp:rsid wsp:val=&quot;00FE0954&quot;/&gt;&lt;wsp:rsid wsp:val=&quot;0B1F4205&quot;/&gt;&lt;wsp:rsid wsp:val=&quot;43010AD2&quot;/&gt;&lt;wsp:rsid wsp:val=&quot;4EA922EF&quot;/&gt;&lt;wsp:rsid wsp:val=&quot;671266A0&quot;/&gt;&lt;wsp:rsid wsp:val=&quot;71DC4A82&quot;/&gt;&lt;/wsp:rsids&gt;&lt;/w:docPr&gt;&lt;w:body&gt;&lt;wx:sect&gt;&lt;w:p wsp:rsidR=&quot;00985E4A&quot; wsp:rsidRDefault=&quot;00985E4A&quot; wsp:rsidP=&quot;00985E4A&quot;&gt;&lt;m:oMathPara&gt;&lt;m:oMath&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E&lt;/m:t&gt;&lt;/m:r&gt;&lt;/m:e&gt;&lt;m:sub&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CO&lt;/m:t&gt;&lt;/m:r&gt;&lt;/m:e&gt;&lt;m:sub&gt;&lt;m:r&gt;&lt;w:rPr&gt;&lt;w:rFonts w:ascii=&quot;Cambria Math&quot; w:h-ansi=&quot;Cambria Math&quot;/&gt;&lt;wx:font wx:val=&quot;Cambria Math&quot;/&gt;&lt;w:i/&gt;&lt;/w:rPr&gt;&lt;m:t&gt;2&lt;/m:t&gt;&lt;/m:r&gt;&lt;/m:sub&gt;&lt;/m:sSub&gt;&lt;m:r&gt;&lt;w:rPr&gt;&lt;w:rFonts w:ascii=&quot;Cambria Math&quot; w:h-ansi=&quot;Cambria Math&quot;/&gt;&lt;wx:font wx:val=&quot;Cambria Math&quot;/&gt;&lt;w:i/&gt;&lt;/w:rPr&gt;&lt;m:t&gt;,anR&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6" chromakey="#FFFFFF" o:title=""/>
                  <o:lock v:ext="edit" aspectratio="t"/>
                  <w10:wrap type="none"/>
                  <w10:anchorlock/>
                </v:shape>
              </w:pict>
            </w:r>
            <w:r>
              <w:rPr>
                <w:rFonts w:eastAsiaTheme="minorEastAsia"/>
                <w:iCs/>
                <w:sz w:val="18"/>
                <w:szCs w:val="18"/>
              </w:rPr>
              <w:instrText xml:space="preserve"> </w:instrText>
            </w:r>
            <w:r>
              <w:rPr>
                <w:rFonts w:eastAsiaTheme="minorEastAsia"/>
                <w:iCs/>
                <w:sz w:val="18"/>
                <w:szCs w:val="18"/>
              </w:rPr>
              <w:fldChar w:fldCharType="separate"/>
            </w:r>
            <w:r>
              <w:rPr>
                <w:rFonts w:eastAsiaTheme="minorEastAsia"/>
                <w:position w:val="-9"/>
                <w:sz w:val="18"/>
                <w:szCs w:val="18"/>
              </w:rPr>
              <w:pict>
                <v:shape id="_x0000_i1026" o:spt="75" type="#_x0000_t75" style="height:15.55pt;width:36.25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30&quot;/&gt;&lt;w:embedTrueTypeFonts/&gt;&lt;w:doNotEmbedSystemFonts/&gt;&lt;w:saveSubset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re w:lang=&quot;ZH-CN&quot; w:val=&quot;!%),.:;&amp;gt;?]}垄篓掳路藝藟鈥曗€栤€欌€濃€︹€扳€测€斥€衡剝鈭躲€併€傘€冦€夈€嬨€嶃€忋€戙€曘€椼€烇付锔猴妇锕€锕勶箽锕滐篂锛侊紓锛咃紘锛夛紝锛?gControl w:val=&quot;CompressPunctuation&quot;/&gt;&lt;w:noLineBreaksAfter w:lang=&quot;ZH-CN&quot; w:val=Control w:val=&quot;CompressPunctuation&quot;/&gt;&lt;w:noLineBreaksAfter w:lang=&quot;ZH-CN&quot; w:val=Control w:val=&quot;CompressPunctuation&quot;/&gt;&lt;w:noLineBreaksAfter w:lang=&quot;ZH-CN&quot; w:val=锛氾紱锛燂冀锝€锝滐綕锝烇繝&quot;/&gt;&lt;w:validateAgainstSchema/&gt;&lt;w:saveInvalidXML w:val=&quot;off&quot;/&gt;&lt;w:ignoreMZH-CN&quot; w:val=ixedContent w:val=&quot;off&quot;/&gt;&lt;w:alwaysShowPlaceholderText w:val=&quot;off&quot;/&gt;&lt;w:compat&gt;&lt;wZH-CN&quot; w:val=:spaceForUL/&gt;&lt;w:balanceSingleByteDoubleByteWidth/&gt;&lt;w:doNotLeaveBackslashAlone/&gt;ZH-CN&quot; w:val=&lt;w:ulTrailSpace/&gt;&lt;w:doNotExpandShiftReturn/&gt;&lt;w:adjustLineHeightInTable/&gt;&lt;w:breakWrappedTables/&gt;&lt;w:snapToGridInCell/&gt;&lt;w:wrapTextWithPunct/&gt;&lt;w:useAsianBreakRules/&gt;&lt;w:dontGrowAutofit/&gt;&lt;w:useFELayout/&gt;&lt;/w:compat&gt;&lt;wsp:rsids&gt;&lt;wsp:rsidRoot wsp:val=&quot;00002CF7&quot;/&gt;&lt;wsp:rsid wsp:val=&quot;00002CF7&quot;/&gt;&lt;wsp:rsid wsp:val=&quot;00016B30&quot;/&gt;&lt;wsp:rsid wsp:val=&quot;000360CF&quot;/&gt;&lt;wsp:rsid wsp:val=&quot;000474FB&quot;/&gt;&lt;wsp:rsid wsp:val=&quot;00054892&quot;/&gt;&lt;wsp:rsid wsp:val=&quot;000572AB&quot;/&gt;&lt;wsp:rsid wsp:val=&quot;00075CFE&quot;/&gt;&lt;wsp:rsid wsp:val=&quot;00086BD0&quot;/&gt;&lt;wsp:rsid wsp:val=&quot;000925C9&quot;/&gt;&lt;wsp:rsid wsp:val=&quot;000C2EAC&quot;/&gt;&lt;wsp:rsid wsp:val=&quot;000C4B83&quot;/&gt;&lt;wsp:rsid wsp:val=&quot;000C563A&quot;/&gt;&lt;wsp:rsid wsp:val=&quot;000E0D83&quot;/&gt;&lt;wsp:rsid wsp:val=&quot;000E65D4&quot;/&gt;&lt;wsp:rsid wsp:val=&quot;000F32A6&quot;/&gt;&lt;wsp:rsid wsp:val=&quot;00115362&quot;/&gt;&lt;wsp:rsid wsp:val=&quot;001415F2&quot;/&gt;&lt;wsp:rsid wsp:val=&quot;001516B8&quot;/&gt;&lt;wsp:rsid wsp:val=&quot;00153BA3&quot;/&gt;&lt;wsp:rsid wsp:val=&quot;001626A9&quot;/&gt;&lt;wsp:rsid wsp:val=&quot;00174BEB&quot;/&gt;&lt;wsp:rsid wsp:val=&quot;001753D2&quot;/&gt;&lt;wsp:rsid wsp:val=&quot;00182AAC&quot;/&gt;&lt;wsp:rsid wsp:val=&quot;00184710&quot;/&gt;&lt;wsp:rsid wsp:val=&quot;001B18B3&quot;/&gt;&lt;wsp:rsid wsp:val=&quot;0021718F&quot;/&gt;&lt;wsp:rsid wsp:val=&quot;0022351C&quot;/&gt;&lt;wsp:rsid wsp:val=&quot;002621C4&quot;/&gt;&lt;wsp:rsid wsp:val=&quot;002643BA&quot;/&gt;&lt;wsp:rsid wsp:val=&quot;002930EA&quot;/&gt;&lt;wsp:rsid wsp:val=&quot;00293AC8&quot;/&gt;&lt;wsp:rsid wsp:val=&quot;002A38B9&quot;/&gt;&lt;wsp:rsid wsp:val=&quot;002D3430&quot;/&gt;&lt;wsp:rsid wsp:val=&quot;002F3374&quot;/&gt;&lt;wsp:rsid wsp:val=&quot;003331C8&quot;/&gt;&lt;wsp:rsid wsp:val=&quot;00395D2F&quot;/&gt;&lt;wsp:rsid wsp:val=&quot;003A11C3&quot;/&gt;&lt;wsp:rsid wsp:val=&quot;003C1524&quot;/&gt;&lt;wsp:rsid wsp:val=&quot;003C66A9&quot;/&gt;&lt;wsp:rsid wsp:val=&quot;003E2B19&quot;/&gt;&lt;wsp:rsid wsp:val=&quot;00406742&quot;/&gt;&lt;wsp:rsid wsp:val=&quot;0041468F&quot;/&gt;&lt;wsp:rsid wsp:val=&quot;00420BB3&quot;/&gt;&lt;wsp:rsid wsp:val=&quot;00437F56&quot;/&gt;&lt;wsp:rsid wsp:val=&quot;0045603B&quot;/&gt;&lt;wsp:rsid wsp:val=&quot;00473DFE&quot;/&gt;&lt;wsp:rsid wsp:val=&quot;00483D0A&quot;/&gt;&lt;wsp:rsid wsp:val=&quot;00487B3B&quot;/&gt;&lt;wsp:rsid wsp:val=&quot;004D0E20&quot;/&gt;&lt;wsp:rsid wsp:val=&quot;004F4307&quot;/&gt;&lt;wsp:rsid wsp:val=&quot;0050477E&quot;/&gt;&lt;wsp:rsid wsp:val=&quot;005122CF&quot;/&gt;&lt;wsp:rsid wsp:val=&quot;00516C9D&quot;/&gt;&lt;wsp:rsid wsp:val=&quot;00542274&quot;/&gt;&lt;wsp:rsid wsp:val=&quot;00575353&quot;/&gt;&lt;wsp:rsid wsp:val=&quot;0057666F&quot;/&gt;&lt;wsp:rsid wsp:val=&quot;00581CED&quot;/&gt;&lt;wsp:rsid wsp:val=&quot;005B41E5&quot;/&gt;&lt;wsp:rsid wsp:val=&quot;005F1609&quot;/&gt;&lt;wsp:rsid wsp:val=&quot;0061118F&quot;/&gt;&lt;wsp:rsid wsp:val=&quot;006149DF&quot;/&gt;&lt;wsp:rsid wsp:val=&quot;0063009B&quot;/&gt;&lt;wsp:rsid wsp:val=&quot;006814C8&quot;/&gt;&lt;wsp:rsid wsp:val=&quot;00685832&quot;/&gt;&lt;wsp:rsid wsp:val=&quot;006B3C04&quot;/&gt;&lt;wsp:rsid wsp:val=&quot;006C36EF&quot;/&gt;&lt;wsp:rsid wsp:val=&quot;006E6D66&quot;/&gt;&lt;wsp:rsid wsp:val=&quot;00711A4B&quot;/&gt;&lt;wsp:rsid wsp:val=&quot;007144DC&quot;/&gt;&lt;wsp:rsid wsp:val=&quot;00716F77&quot;/&gt;&lt;wsp:rsid wsp:val=&quot;00790F28&quot;/&gt;&lt;wsp:rsid wsp:val=&quot;00791DC7&quot;/&gt;&lt;wsp:rsid wsp:val=&quot;007B4409&quot;/&gt;&lt;wsp:rsid wsp:val=&quot;007C2730&quot;/&gt;&lt;wsp:rsid wsp:val=&quot;008019F2&quot;/&gt;&lt;wsp:rsid wsp:val=&quot;00815446&quot;/&gt;&lt;wsp:rsid wsp:val=&quot;0083671F&quot;/&gt;&lt;wsp:rsid wsp:val=&quot;00855B2F&quot;/&gt;&lt;wsp:rsid wsp:val=&quot;00883794&quot;/&gt;&lt;wsp:rsid wsp:val=&quot;008B028E&quot;/&gt;&lt;wsp:rsid wsp:val=&quot;008B67D0&quot;/&gt;&lt;wsp:rsid wsp:val=&quot;00920CE3&quot;/&gt;&lt;wsp:rsid wsp:val=&quot;009314D7&quot;/&gt;&lt;wsp:rsid wsp:val=&quot;00981966&quot;/&gt;&lt;wsp:rsid wsp:val=&quot;00985E4A&quot;/&gt;&lt;wsp:rsid wsp:val=&quot;009A26C7&quot;/&gt;&lt;wsp:rsid wsp:val=&quot;00A278D5&quot;/&gt;&lt;wsp:rsid wsp:val=&quot;00A64BC9&quot;/&gt;&lt;wsp:rsid wsp:val=&quot;00A66B7A&quot;/&gt;&lt;wsp:rsid wsp:val=&quot;00AA0D03&quot;/&gt;&lt;wsp:rsid wsp:val=&quot;00AB25D0&quot;/&gt;&lt;wsp:rsid wsp:val=&quot;00AD2DE3&quot;/&gt;&lt;wsp:rsid wsp:val=&quot;00AD7B7E&quot;/&gt;&lt;wsp:rsid wsp:val=&quot;00AF4885&quot;/&gt;&lt;wsp:rsid wsp:val=&quot;00AF5FEB&quot;/&gt;&lt;wsp:rsid wsp:val=&quot;00B0475E&quot;/&gt;&lt;wsp:rsid wsp:val=&quot;00B37ED5&quot;/&gt;&lt;wsp:rsid wsp:val=&quot;00BA0F60&quot;/&gt;&lt;wsp:rsid wsp:val=&quot;00BA3487&quot;/&gt;&lt;wsp:rsid wsp:val=&quot;00BB24AA&quot;/&gt;&lt;wsp:rsid wsp:val=&quot;00C1345D&quot;/&gt;&lt;wsp:rsid wsp:val=&quot;00C14EE8&quot;/&gt;&lt;wsp:rsid wsp:val=&quot;00C601B5&quot;/&gt;&lt;wsp:rsid wsp:val=&quot;00C63605&quot;/&gt;&lt;wsp:rsid wsp:val=&quot;00C76DDD&quot;/&gt;&lt;wsp:rsid wsp:val=&quot;00CC6502&quot;/&gt;&lt;wsp:rsid wsp:val=&quot;00CE68E7&quot;/&gt;&lt;wsp:rsid wsp:val=&quot;00CE6C88&quot;/&gt;&lt;wsp:rsid wsp:val=&quot;00CE7CAE&quot;/&gt;&lt;wsp:rsid wsp:val=&quot;00D114B0&quot;/&gt;&lt;wsp:rsid wsp:val=&quot;00D276D7&quot;/&gt;&lt;wsp:rsid wsp:val=&quot;00D3716E&quot;/&gt;&lt;wsp:rsid wsp:val=&quot;00D4127A&quot;/&gt;&lt;wsp:rsid wsp:val=&quot;00DB1DCA&quot;/&gt;&lt;wsp:rsid wsp:val=&quot;00DC47A4&quot;/&gt;&lt;wsp:rsid wsp:val=&quot;00DD41BA&quot;/&gt;&lt;wsp:rsid wsp:val=&quot;00E027F3&quot;/&gt;&lt;wsp:rsid wsp:val=&quot;00E10782&quot;/&gt;&lt;wsp:rsid wsp:val=&quot;00E22E87&quot;/&gt;&lt;wsp:rsid wsp:val=&quot;00E2785A&quot;/&gt;&lt;wsp:rsid wsp:val=&quot;00E35BF4&quot;/&gt;&lt;wsp:rsid wsp:val=&quot;00E35CC7&quot;/&gt;&lt;wsp:rsid wsp:val=&quot;00E36F75&quot;/&gt;&lt;wsp:rsid wsp:val=&quot;00F105CA&quot;/&gt;&lt;wsp:rsid wsp:val=&quot;00F2627C&quot;/&gt;&lt;wsp:rsid wsp:val=&quot;00F315EA&quot;/&gt;&lt;wsp:rsid wsp:val=&quot;00F37E96&quot;/&gt;&lt;wsp:rsid wsp:val=&quot;00F95DB2&quot;/&gt;&lt;wsp:rsid wsp:val=&quot;00FC3213&quot;/&gt;&lt;wsp:rsid wsp:val=&quot;00FC36B5&quot;/&gt;&lt;wsp:rsid wsp:val=&quot;00FD72DC&quot;/&gt;&lt;wsp:rsid wsp:val=&quot;00FE0954&quot;/&gt;&lt;wsp:rsid wsp:val=&quot;0B1F4205&quot;/&gt;&lt;wsp:rsid wsp:val=&quot;43010AD2&quot;/&gt;&lt;wsp:rsid wsp:val=&quot;4EA922EF&quot;/&gt;&lt;wsp:rsid wsp:val=&quot;671266A0&quot;/&gt;&lt;wsp:rsid wsp:val=&quot;71DC4A82&quot;/&gt;&lt;/wsp:rsids&gt;&lt;/w:docPr&gt;&lt;w:body&gt;&lt;wx:sect&gt;&lt;w:p wsp:rsidR=&quot;00985E4A&quot; wsp:rsidRDefault=&quot;00985E4A&quot; wsp:rsidP=&quot;00985E4A&quot;&gt;&lt;m:oMathPara&gt;&lt;m:oMath&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E&lt;/m:t&gt;&lt;/m:r&gt;&lt;/m:e&gt;&lt;m:sub&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CO&lt;/m:t&gt;&lt;/m:r&gt;&lt;/m:e&gt;&lt;m:sub&gt;&lt;m:r&gt;&lt;w:rPr&gt;&lt;w:rFonts w:ascii=&quot;Cambria Math&quot; w:h-ansi=&quot;Cambria Math&quot;/&gt;&lt;wx:font wx:val=&quot;Cambria Math&quot;/&gt;&lt;w:i/&gt;&lt;/w:rPr&gt;&lt;m:t&gt;2&lt;/m:t&gt;&lt;/m:r&gt;&lt;/m:sub&gt;&lt;/m:sSub&gt;&lt;m:r&gt;&lt;w:rPr&gt;&lt;w:rFonts w:ascii=&quot;Cambria Math&quot; w:h-ansi=&quot;Cambria Math&quot;/&gt;&lt;wx:font wx:val=&quot;Cambria Math&quot;/&gt;&lt;w:i/&gt;&lt;/w:rPr&gt;&lt;m:t&gt;,anR&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6" chromakey="#FFFFFF" o:title=""/>
                  <o:lock v:ext="edit" aspectratio="t"/>
                  <w10:wrap type="none"/>
                  <w10:anchorlock/>
                </v:shape>
              </w:pict>
            </w:r>
            <w:r>
              <w:rPr>
                <w:rFonts w:eastAsiaTheme="minorEastAsia"/>
                <w:iCs/>
                <w:sz w:val="18"/>
                <w:szCs w:val="18"/>
              </w:rPr>
              <w:fldChar w:fldCharType="end"/>
            </w:r>
            <w:r>
              <w:rPr>
                <w:rFonts w:eastAsiaTheme="minorEastAsia"/>
                <w:iCs/>
                <w:sz w:val="18"/>
                <w:szCs w:val="18"/>
              </w:rPr>
              <w:t>的解释为“核算期内沼气利用后CO</w:t>
            </w:r>
            <w:r>
              <w:rPr>
                <w:rFonts w:eastAsiaTheme="minorEastAsia"/>
                <w:iCs/>
                <w:sz w:val="18"/>
                <w:szCs w:val="18"/>
                <w:vertAlign w:val="subscript"/>
              </w:rPr>
              <w:t>2</w:t>
            </w:r>
            <w:r>
              <w:rPr>
                <w:rFonts w:eastAsiaTheme="minorEastAsia"/>
                <w:iCs/>
                <w:sz w:val="18"/>
                <w:szCs w:val="18"/>
              </w:rPr>
              <w:t>产生量，kg”，使用的术语不统一，建议统一采用沼气利用</w:t>
            </w:r>
          </w:p>
        </w:tc>
        <w:tc>
          <w:tcPr>
            <w:tcW w:w="2117" w:type="dxa"/>
            <w:vAlign w:val="center"/>
          </w:tcPr>
          <w:p w14:paraId="053ED8C1">
            <w:pPr>
              <w:jc w:val="center"/>
              <w:rPr>
                <w:sz w:val="18"/>
                <w:szCs w:val="18"/>
              </w:rPr>
            </w:pPr>
            <w:r>
              <w:rPr>
                <w:rFonts w:hint="eastAsia"/>
                <w:sz w:val="18"/>
                <w:szCs w:val="18"/>
              </w:rPr>
              <w:t>中持集团宜兴城市污水资源概念厂</w:t>
            </w:r>
          </w:p>
        </w:tc>
        <w:tc>
          <w:tcPr>
            <w:tcW w:w="1436" w:type="dxa"/>
            <w:vAlign w:val="center"/>
          </w:tcPr>
          <w:p w14:paraId="570E0A07">
            <w:pPr>
              <w:jc w:val="center"/>
              <w:rPr>
                <w:sz w:val="18"/>
                <w:szCs w:val="18"/>
              </w:rPr>
            </w:pPr>
          </w:p>
        </w:tc>
      </w:tr>
      <w:tr w14:paraId="3FCA7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86" w:type="dxa"/>
            <w:vAlign w:val="center"/>
          </w:tcPr>
          <w:p w14:paraId="2C2FAF39">
            <w:pPr>
              <w:jc w:val="center"/>
              <w:rPr>
                <w:sz w:val="18"/>
                <w:szCs w:val="18"/>
              </w:rPr>
            </w:pPr>
            <w:r>
              <w:rPr>
                <w:rFonts w:eastAsiaTheme="minorEastAsia"/>
                <w:sz w:val="18"/>
                <w:szCs w:val="18"/>
              </w:rPr>
              <w:t>27</w:t>
            </w:r>
          </w:p>
        </w:tc>
        <w:tc>
          <w:tcPr>
            <w:tcW w:w="950" w:type="dxa"/>
            <w:vAlign w:val="center"/>
          </w:tcPr>
          <w:p w14:paraId="3C61F4D9">
            <w:pPr>
              <w:spacing w:line="360" w:lineRule="auto"/>
              <w:jc w:val="center"/>
              <w:rPr>
                <w:sz w:val="18"/>
                <w:szCs w:val="18"/>
              </w:rPr>
            </w:pPr>
            <w:r>
              <w:rPr>
                <w:rFonts w:eastAsiaTheme="minorEastAsia"/>
                <w:sz w:val="18"/>
                <w:szCs w:val="18"/>
              </w:rPr>
              <w:t>附录</w:t>
            </w:r>
          </w:p>
        </w:tc>
        <w:tc>
          <w:tcPr>
            <w:tcW w:w="3333" w:type="dxa"/>
            <w:vAlign w:val="center"/>
          </w:tcPr>
          <w:p w14:paraId="14FB0C31">
            <w:pPr>
              <w:jc w:val="both"/>
              <w:rPr>
                <w:sz w:val="18"/>
                <w:szCs w:val="18"/>
              </w:rPr>
            </w:pPr>
            <w:r>
              <w:rPr>
                <w:rFonts w:eastAsiaTheme="minorEastAsia"/>
                <w:sz w:val="18"/>
                <w:szCs w:val="18"/>
              </w:rPr>
              <w:t>为了方便企业使用，建议增加报告格式模板、计算表格等。</w:t>
            </w:r>
          </w:p>
        </w:tc>
        <w:tc>
          <w:tcPr>
            <w:tcW w:w="2117" w:type="dxa"/>
            <w:vAlign w:val="center"/>
          </w:tcPr>
          <w:p w14:paraId="7E0F61BA">
            <w:pPr>
              <w:rPr>
                <w:rFonts w:hint="eastAsia"/>
                <w:sz w:val="18"/>
                <w:szCs w:val="18"/>
              </w:rPr>
            </w:pPr>
            <w:r>
              <w:rPr>
                <w:rFonts w:hint="eastAsia"/>
                <w:sz w:val="18"/>
                <w:szCs w:val="18"/>
              </w:rPr>
              <w:t>中节能国祯环保科技股份有限公司</w:t>
            </w:r>
          </w:p>
        </w:tc>
        <w:tc>
          <w:tcPr>
            <w:tcW w:w="1436" w:type="dxa"/>
            <w:vAlign w:val="center"/>
          </w:tcPr>
          <w:p w14:paraId="2F252A09">
            <w:pPr>
              <w:jc w:val="center"/>
              <w:rPr>
                <w:sz w:val="18"/>
                <w:szCs w:val="18"/>
              </w:rPr>
            </w:pPr>
          </w:p>
        </w:tc>
      </w:tr>
      <w:tr w14:paraId="2AB33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86" w:type="dxa"/>
            <w:vAlign w:val="center"/>
          </w:tcPr>
          <w:p w14:paraId="549F88FB">
            <w:pPr>
              <w:jc w:val="center"/>
              <w:rPr>
                <w:sz w:val="18"/>
                <w:szCs w:val="18"/>
              </w:rPr>
            </w:pPr>
            <w:r>
              <w:rPr>
                <w:rFonts w:eastAsiaTheme="minorEastAsia"/>
                <w:sz w:val="18"/>
                <w:szCs w:val="18"/>
              </w:rPr>
              <w:t>28</w:t>
            </w:r>
          </w:p>
        </w:tc>
        <w:tc>
          <w:tcPr>
            <w:tcW w:w="950" w:type="dxa"/>
            <w:vAlign w:val="center"/>
          </w:tcPr>
          <w:p w14:paraId="0756EF5C">
            <w:pPr>
              <w:spacing w:line="360" w:lineRule="auto"/>
              <w:jc w:val="center"/>
              <w:rPr>
                <w:sz w:val="18"/>
                <w:szCs w:val="18"/>
              </w:rPr>
            </w:pPr>
            <w:r>
              <w:rPr>
                <w:rFonts w:eastAsiaTheme="minorEastAsia"/>
                <w:sz w:val="18"/>
                <w:szCs w:val="18"/>
              </w:rPr>
              <w:t>附录B.2</w:t>
            </w:r>
          </w:p>
        </w:tc>
        <w:tc>
          <w:tcPr>
            <w:tcW w:w="3333" w:type="dxa"/>
            <w:vAlign w:val="center"/>
          </w:tcPr>
          <w:p w14:paraId="2D295EA9">
            <w:pPr>
              <w:jc w:val="both"/>
              <w:rPr>
                <w:sz w:val="18"/>
                <w:szCs w:val="18"/>
              </w:rPr>
            </w:pPr>
            <w:r>
              <w:rPr>
                <w:rFonts w:eastAsiaTheme="minorEastAsia"/>
                <w:sz w:val="18"/>
                <w:szCs w:val="18"/>
              </w:rPr>
              <w:t>由于电力排放因子每年都会进行调整，建议这里直接写参考文件。</w:t>
            </w:r>
          </w:p>
        </w:tc>
        <w:tc>
          <w:tcPr>
            <w:tcW w:w="2117" w:type="dxa"/>
            <w:vAlign w:val="center"/>
          </w:tcPr>
          <w:p w14:paraId="272142C0">
            <w:pPr>
              <w:jc w:val="center"/>
              <w:rPr>
                <w:sz w:val="18"/>
                <w:szCs w:val="18"/>
              </w:rPr>
            </w:pPr>
            <w:r>
              <w:rPr>
                <w:rFonts w:hint="eastAsia"/>
                <w:sz w:val="18"/>
                <w:szCs w:val="18"/>
              </w:rPr>
              <w:t>江苏天雨环保集团</w:t>
            </w:r>
          </w:p>
        </w:tc>
        <w:tc>
          <w:tcPr>
            <w:tcW w:w="1436" w:type="dxa"/>
            <w:vAlign w:val="center"/>
          </w:tcPr>
          <w:p w14:paraId="420A92EC">
            <w:pPr>
              <w:jc w:val="center"/>
              <w:rPr>
                <w:sz w:val="18"/>
                <w:szCs w:val="18"/>
              </w:rPr>
            </w:pPr>
          </w:p>
        </w:tc>
      </w:tr>
      <w:tr w14:paraId="48CE1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86" w:type="dxa"/>
            <w:vAlign w:val="center"/>
          </w:tcPr>
          <w:p w14:paraId="37B9CF2A">
            <w:pPr>
              <w:jc w:val="center"/>
              <w:rPr>
                <w:sz w:val="18"/>
                <w:szCs w:val="18"/>
              </w:rPr>
            </w:pPr>
            <w:r>
              <w:rPr>
                <w:rFonts w:eastAsiaTheme="minorEastAsia"/>
                <w:sz w:val="18"/>
                <w:szCs w:val="18"/>
              </w:rPr>
              <w:t>29</w:t>
            </w:r>
          </w:p>
        </w:tc>
        <w:tc>
          <w:tcPr>
            <w:tcW w:w="950" w:type="dxa"/>
            <w:vAlign w:val="center"/>
          </w:tcPr>
          <w:p w14:paraId="6E4D5180">
            <w:pPr>
              <w:spacing w:line="360" w:lineRule="auto"/>
              <w:jc w:val="center"/>
              <w:rPr>
                <w:sz w:val="18"/>
                <w:szCs w:val="18"/>
                <w:highlight w:val="none"/>
              </w:rPr>
            </w:pPr>
            <w:r>
              <w:rPr>
                <w:rFonts w:eastAsiaTheme="minorEastAsia"/>
                <w:sz w:val="18"/>
                <w:szCs w:val="18"/>
                <w:highlight w:val="none"/>
              </w:rPr>
              <w:t>附录A</w:t>
            </w:r>
          </w:p>
        </w:tc>
        <w:tc>
          <w:tcPr>
            <w:tcW w:w="3333" w:type="dxa"/>
            <w:vAlign w:val="center"/>
          </w:tcPr>
          <w:p w14:paraId="273C9423">
            <w:pPr>
              <w:jc w:val="both"/>
              <w:rPr>
                <w:sz w:val="18"/>
                <w:szCs w:val="18"/>
                <w:highlight w:val="none"/>
              </w:rPr>
            </w:pPr>
            <w:r>
              <w:rPr>
                <w:rFonts w:eastAsiaTheme="minorEastAsia"/>
                <w:sz w:val="18"/>
                <w:szCs w:val="18"/>
                <w:highlight w:val="none"/>
              </w:rPr>
              <w:t>建议增加采样频次等相关指导，方便企业进行操作。</w:t>
            </w:r>
          </w:p>
        </w:tc>
        <w:tc>
          <w:tcPr>
            <w:tcW w:w="2117" w:type="dxa"/>
            <w:vAlign w:val="center"/>
          </w:tcPr>
          <w:p w14:paraId="5A0BC746">
            <w:pPr>
              <w:jc w:val="center"/>
              <w:rPr>
                <w:sz w:val="18"/>
                <w:szCs w:val="18"/>
                <w:highlight w:val="yellow"/>
              </w:rPr>
            </w:pPr>
            <w:r>
              <w:rPr>
                <w:rFonts w:hint="eastAsia" w:ascii="Times New Roman" w:hAnsi="Times New Roman" w:eastAsia="宋体" w:cs="Times New Roman"/>
                <w:sz w:val="18"/>
                <w:szCs w:val="18"/>
              </w:rPr>
              <w:t>南京大学城市规划设计研究院有限公司</w:t>
            </w:r>
          </w:p>
        </w:tc>
        <w:tc>
          <w:tcPr>
            <w:tcW w:w="1436" w:type="dxa"/>
            <w:vAlign w:val="center"/>
          </w:tcPr>
          <w:p w14:paraId="10E8A9FD">
            <w:pPr>
              <w:jc w:val="center"/>
              <w:rPr>
                <w:sz w:val="18"/>
                <w:szCs w:val="18"/>
              </w:rPr>
            </w:pPr>
          </w:p>
        </w:tc>
      </w:tr>
      <w:tr w14:paraId="69E75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86" w:type="dxa"/>
            <w:vAlign w:val="center"/>
          </w:tcPr>
          <w:p w14:paraId="251880CA">
            <w:pPr>
              <w:jc w:val="center"/>
              <w:rPr>
                <w:sz w:val="18"/>
                <w:szCs w:val="18"/>
              </w:rPr>
            </w:pPr>
            <w:r>
              <w:rPr>
                <w:rFonts w:eastAsiaTheme="minorEastAsia"/>
                <w:sz w:val="18"/>
                <w:szCs w:val="18"/>
              </w:rPr>
              <w:t>30</w:t>
            </w:r>
          </w:p>
        </w:tc>
        <w:tc>
          <w:tcPr>
            <w:tcW w:w="950" w:type="dxa"/>
            <w:vAlign w:val="center"/>
          </w:tcPr>
          <w:p w14:paraId="381193D5">
            <w:pPr>
              <w:spacing w:line="360" w:lineRule="auto"/>
              <w:jc w:val="center"/>
              <w:rPr>
                <w:sz w:val="18"/>
                <w:szCs w:val="18"/>
              </w:rPr>
            </w:pPr>
            <w:r>
              <w:rPr>
                <w:rFonts w:eastAsiaTheme="minorEastAsia"/>
                <w:sz w:val="18"/>
                <w:szCs w:val="18"/>
              </w:rPr>
              <w:t>1</w:t>
            </w:r>
          </w:p>
        </w:tc>
        <w:tc>
          <w:tcPr>
            <w:tcW w:w="3333" w:type="dxa"/>
            <w:vAlign w:val="center"/>
          </w:tcPr>
          <w:p w14:paraId="1561330A">
            <w:pPr>
              <w:jc w:val="both"/>
              <w:rPr>
                <w:sz w:val="18"/>
                <w:szCs w:val="18"/>
              </w:rPr>
            </w:pPr>
            <w:r>
              <w:rPr>
                <w:rFonts w:eastAsiaTheme="minorEastAsia"/>
                <w:sz w:val="18"/>
                <w:szCs w:val="18"/>
              </w:rPr>
              <w:t>目前标准对于碳排放计算边界的表述不清，适用范围和计算公式不完全对应，建议增加图示标注计算边界，便于企业使用。</w:t>
            </w:r>
          </w:p>
        </w:tc>
        <w:tc>
          <w:tcPr>
            <w:tcW w:w="2117" w:type="dxa"/>
            <w:vAlign w:val="center"/>
          </w:tcPr>
          <w:p w14:paraId="4CEFC63F">
            <w:pPr>
              <w:jc w:val="center"/>
              <w:rPr>
                <w:sz w:val="18"/>
                <w:szCs w:val="18"/>
              </w:rPr>
            </w:pPr>
            <w:r>
              <w:rPr>
                <w:rFonts w:hint="eastAsia"/>
                <w:sz w:val="18"/>
                <w:szCs w:val="18"/>
              </w:rPr>
              <w:t>南京江宁水务集团</w:t>
            </w:r>
          </w:p>
        </w:tc>
        <w:tc>
          <w:tcPr>
            <w:tcW w:w="1436" w:type="dxa"/>
            <w:vAlign w:val="center"/>
          </w:tcPr>
          <w:p w14:paraId="259540E5">
            <w:pPr>
              <w:jc w:val="center"/>
              <w:rPr>
                <w:sz w:val="18"/>
                <w:szCs w:val="18"/>
              </w:rPr>
            </w:pPr>
          </w:p>
        </w:tc>
      </w:tr>
      <w:tr w14:paraId="36EEE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86" w:type="dxa"/>
            <w:vAlign w:val="center"/>
          </w:tcPr>
          <w:p w14:paraId="17692402">
            <w:pPr>
              <w:jc w:val="center"/>
              <w:rPr>
                <w:sz w:val="18"/>
                <w:szCs w:val="18"/>
              </w:rPr>
            </w:pPr>
          </w:p>
        </w:tc>
        <w:tc>
          <w:tcPr>
            <w:tcW w:w="950" w:type="dxa"/>
            <w:vAlign w:val="center"/>
          </w:tcPr>
          <w:p w14:paraId="379730E7">
            <w:pPr>
              <w:spacing w:line="360" w:lineRule="auto"/>
              <w:jc w:val="center"/>
              <w:rPr>
                <w:sz w:val="18"/>
                <w:szCs w:val="18"/>
              </w:rPr>
            </w:pPr>
          </w:p>
        </w:tc>
        <w:tc>
          <w:tcPr>
            <w:tcW w:w="3333" w:type="dxa"/>
            <w:vAlign w:val="center"/>
          </w:tcPr>
          <w:p w14:paraId="3E3BCF08">
            <w:pPr>
              <w:jc w:val="both"/>
              <w:rPr>
                <w:sz w:val="18"/>
                <w:szCs w:val="18"/>
              </w:rPr>
            </w:pPr>
          </w:p>
        </w:tc>
        <w:tc>
          <w:tcPr>
            <w:tcW w:w="2117" w:type="dxa"/>
            <w:vAlign w:val="center"/>
          </w:tcPr>
          <w:p w14:paraId="178239D4">
            <w:pPr>
              <w:jc w:val="center"/>
              <w:rPr>
                <w:sz w:val="18"/>
                <w:szCs w:val="18"/>
              </w:rPr>
            </w:pPr>
          </w:p>
        </w:tc>
        <w:tc>
          <w:tcPr>
            <w:tcW w:w="1436" w:type="dxa"/>
            <w:vAlign w:val="center"/>
          </w:tcPr>
          <w:p w14:paraId="79F13E46">
            <w:pPr>
              <w:jc w:val="center"/>
              <w:rPr>
                <w:sz w:val="18"/>
                <w:szCs w:val="18"/>
              </w:rPr>
            </w:pPr>
          </w:p>
        </w:tc>
      </w:tr>
      <w:tr w14:paraId="618D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86" w:type="dxa"/>
            <w:vAlign w:val="center"/>
          </w:tcPr>
          <w:p w14:paraId="0765F277">
            <w:pPr>
              <w:jc w:val="center"/>
              <w:rPr>
                <w:sz w:val="18"/>
                <w:szCs w:val="18"/>
              </w:rPr>
            </w:pPr>
          </w:p>
        </w:tc>
        <w:tc>
          <w:tcPr>
            <w:tcW w:w="950" w:type="dxa"/>
            <w:vAlign w:val="center"/>
          </w:tcPr>
          <w:p w14:paraId="6D137C38">
            <w:pPr>
              <w:spacing w:line="360" w:lineRule="auto"/>
              <w:jc w:val="center"/>
              <w:rPr>
                <w:sz w:val="18"/>
                <w:szCs w:val="18"/>
              </w:rPr>
            </w:pPr>
          </w:p>
        </w:tc>
        <w:tc>
          <w:tcPr>
            <w:tcW w:w="3333" w:type="dxa"/>
            <w:vAlign w:val="center"/>
          </w:tcPr>
          <w:p w14:paraId="1F916B01">
            <w:pPr>
              <w:jc w:val="both"/>
              <w:rPr>
                <w:sz w:val="18"/>
                <w:szCs w:val="18"/>
              </w:rPr>
            </w:pPr>
          </w:p>
        </w:tc>
        <w:tc>
          <w:tcPr>
            <w:tcW w:w="2117" w:type="dxa"/>
            <w:vAlign w:val="center"/>
          </w:tcPr>
          <w:p w14:paraId="28C2C62E">
            <w:pPr>
              <w:jc w:val="center"/>
              <w:rPr>
                <w:sz w:val="18"/>
                <w:szCs w:val="18"/>
              </w:rPr>
            </w:pPr>
          </w:p>
        </w:tc>
        <w:tc>
          <w:tcPr>
            <w:tcW w:w="1436" w:type="dxa"/>
            <w:vAlign w:val="center"/>
          </w:tcPr>
          <w:p w14:paraId="53398AC2">
            <w:pPr>
              <w:jc w:val="center"/>
              <w:rPr>
                <w:sz w:val="18"/>
                <w:szCs w:val="18"/>
              </w:rPr>
            </w:pPr>
          </w:p>
        </w:tc>
      </w:tr>
    </w:tbl>
    <w:p w14:paraId="78D1F0EF">
      <w:pPr>
        <w:ind w:firstLine="420" w:firstLineChars="200"/>
        <w:jc w:val="left"/>
      </w:pPr>
    </w:p>
    <w:p w14:paraId="61149953"/>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FC5380AB-3CA6-46C0-882C-81C819956311}"/>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88F38">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3</w:t>
    </w:r>
    <w:r>
      <w:rPr>
        <w:rStyle w:val="8"/>
      </w:rPr>
      <w:fldChar w:fldCharType="end"/>
    </w:r>
  </w:p>
  <w:p w14:paraId="328C5E1A">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26F43">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13E5C5EB">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hNGE3Yjc3OGQ5YTRlNTNjNzNkYzUwZTllZDc4YWYifQ=="/>
  </w:docVars>
  <w:rsids>
    <w:rsidRoot w:val="00002CF7"/>
    <w:rsid w:val="00002CF7"/>
    <w:rsid w:val="00016B30"/>
    <w:rsid w:val="000360CF"/>
    <w:rsid w:val="000474FB"/>
    <w:rsid w:val="00054892"/>
    <w:rsid w:val="000572AB"/>
    <w:rsid w:val="00075CFE"/>
    <w:rsid w:val="000925C9"/>
    <w:rsid w:val="000C2EAC"/>
    <w:rsid w:val="000E0D83"/>
    <w:rsid w:val="000E65D4"/>
    <w:rsid w:val="000F32A6"/>
    <w:rsid w:val="001516B8"/>
    <w:rsid w:val="00153BA3"/>
    <w:rsid w:val="001626A9"/>
    <w:rsid w:val="00174BEB"/>
    <w:rsid w:val="001753D2"/>
    <w:rsid w:val="00182AAC"/>
    <w:rsid w:val="00184710"/>
    <w:rsid w:val="001B18B3"/>
    <w:rsid w:val="0021718F"/>
    <w:rsid w:val="0022351C"/>
    <w:rsid w:val="002621C4"/>
    <w:rsid w:val="002643BA"/>
    <w:rsid w:val="00293AC8"/>
    <w:rsid w:val="002A38B9"/>
    <w:rsid w:val="003331C8"/>
    <w:rsid w:val="003C1524"/>
    <w:rsid w:val="003C66A9"/>
    <w:rsid w:val="003E2B19"/>
    <w:rsid w:val="00406742"/>
    <w:rsid w:val="0041468F"/>
    <w:rsid w:val="00437F56"/>
    <w:rsid w:val="0045603B"/>
    <w:rsid w:val="00473DFE"/>
    <w:rsid w:val="00483D0A"/>
    <w:rsid w:val="00487B3B"/>
    <w:rsid w:val="004D0E20"/>
    <w:rsid w:val="004F4307"/>
    <w:rsid w:val="0050477E"/>
    <w:rsid w:val="005122CF"/>
    <w:rsid w:val="00516C9D"/>
    <w:rsid w:val="00542274"/>
    <w:rsid w:val="00575353"/>
    <w:rsid w:val="00581CED"/>
    <w:rsid w:val="005A395C"/>
    <w:rsid w:val="005B41E5"/>
    <w:rsid w:val="005F1609"/>
    <w:rsid w:val="0061118F"/>
    <w:rsid w:val="006149DF"/>
    <w:rsid w:val="0063009B"/>
    <w:rsid w:val="006814C8"/>
    <w:rsid w:val="00683AA5"/>
    <w:rsid w:val="00685832"/>
    <w:rsid w:val="006A4B63"/>
    <w:rsid w:val="006B3C04"/>
    <w:rsid w:val="006C36EF"/>
    <w:rsid w:val="00711A4B"/>
    <w:rsid w:val="007144DC"/>
    <w:rsid w:val="00716F77"/>
    <w:rsid w:val="0076316D"/>
    <w:rsid w:val="00790F28"/>
    <w:rsid w:val="00791DC7"/>
    <w:rsid w:val="007B4409"/>
    <w:rsid w:val="007C2730"/>
    <w:rsid w:val="008019F2"/>
    <w:rsid w:val="00815446"/>
    <w:rsid w:val="0083671F"/>
    <w:rsid w:val="00855B2F"/>
    <w:rsid w:val="00883794"/>
    <w:rsid w:val="008B028E"/>
    <w:rsid w:val="00920CE3"/>
    <w:rsid w:val="009314D7"/>
    <w:rsid w:val="00981966"/>
    <w:rsid w:val="009C4C1E"/>
    <w:rsid w:val="00A278D5"/>
    <w:rsid w:val="00A64BC9"/>
    <w:rsid w:val="00A66B7A"/>
    <w:rsid w:val="00AB25D0"/>
    <w:rsid w:val="00AD05F8"/>
    <w:rsid w:val="00AD2DE3"/>
    <w:rsid w:val="00AD7B7E"/>
    <w:rsid w:val="00AF4885"/>
    <w:rsid w:val="00AF5FEB"/>
    <w:rsid w:val="00B0475E"/>
    <w:rsid w:val="00B37ED5"/>
    <w:rsid w:val="00BA0F60"/>
    <w:rsid w:val="00BB24AA"/>
    <w:rsid w:val="00BF016F"/>
    <w:rsid w:val="00C1345D"/>
    <w:rsid w:val="00C14EE8"/>
    <w:rsid w:val="00C601B5"/>
    <w:rsid w:val="00C60E02"/>
    <w:rsid w:val="00C63605"/>
    <w:rsid w:val="00C76DDD"/>
    <w:rsid w:val="00CB08AE"/>
    <w:rsid w:val="00CC6502"/>
    <w:rsid w:val="00CE7CAE"/>
    <w:rsid w:val="00D114B0"/>
    <w:rsid w:val="00D276D7"/>
    <w:rsid w:val="00D4127A"/>
    <w:rsid w:val="00D87EA2"/>
    <w:rsid w:val="00D960EA"/>
    <w:rsid w:val="00DB1DCA"/>
    <w:rsid w:val="00DC47A4"/>
    <w:rsid w:val="00DD41BA"/>
    <w:rsid w:val="00E027F3"/>
    <w:rsid w:val="00E10782"/>
    <w:rsid w:val="00E22E87"/>
    <w:rsid w:val="00E2785A"/>
    <w:rsid w:val="00E35BF4"/>
    <w:rsid w:val="00E35CC7"/>
    <w:rsid w:val="00E36F75"/>
    <w:rsid w:val="00F105CA"/>
    <w:rsid w:val="00F2627C"/>
    <w:rsid w:val="00F315EA"/>
    <w:rsid w:val="00F37E96"/>
    <w:rsid w:val="00F719BD"/>
    <w:rsid w:val="00F95DB2"/>
    <w:rsid w:val="00FC3213"/>
    <w:rsid w:val="00FC36B5"/>
    <w:rsid w:val="00FE0954"/>
    <w:rsid w:val="07937179"/>
    <w:rsid w:val="1BDF2BA2"/>
    <w:rsid w:val="22245066"/>
    <w:rsid w:val="2B821B32"/>
    <w:rsid w:val="51DD55A2"/>
    <w:rsid w:val="6A164A7C"/>
    <w:rsid w:val="6D7124F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semiHidden/>
    <w:qFormat/>
    <w:uiPriority w:val="99"/>
    <w:pPr>
      <w:tabs>
        <w:tab w:val="center" w:pos="4153"/>
        <w:tab w:val="right" w:pos="8306"/>
      </w:tabs>
      <w:snapToGrid w:val="0"/>
      <w:jc w:val="left"/>
    </w:pPr>
    <w:rPr>
      <w:rFonts w:ascii="Calibri" w:hAnsi="Calibri"/>
      <w:kern w:val="0"/>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4">
    <w:name w:val="Normal (Web)"/>
    <w:basedOn w:val="1"/>
    <w:semiHidden/>
    <w:unhideWhenUsed/>
    <w:uiPriority w:val="99"/>
    <w:rPr>
      <w:sz w:val="24"/>
    </w:rPr>
  </w:style>
  <w:style w:type="table" w:styleId="6">
    <w:name w:val="Table Grid"/>
    <w:basedOn w:val="5"/>
    <w:qFormat/>
    <w:uiPriority w:val="9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99"/>
    <w:rPr>
      <w:rFonts w:cs="Times New Roman"/>
    </w:rPr>
  </w:style>
  <w:style w:type="character" w:styleId="9">
    <w:name w:val="Hyperlink"/>
    <w:basedOn w:val="7"/>
    <w:semiHidden/>
    <w:unhideWhenUsed/>
    <w:uiPriority w:val="99"/>
    <w:rPr>
      <w:color w:val="0000FF"/>
      <w:u w:val="single"/>
    </w:rPr>
  </w:style>
  <w:style w:type="character" w:customStyle="1" w:styleId="10">
    <w:name w:val="页眉 字符"/>
    <w:basedOn w:val="7"/>
    <w:link w:val="3"/>
    <w:semiHidden/>
    <w:qFormat/>
    <w:locked/>
    <w:uiPriority w:val="99"/>
    <w:rPr>
      <w:rFonts w:cs="Times New Roman"/>
      <w:sz w:val="18"/>
    </w:rPr>
  </w:style>
  <w:style w:type="character" w:customStyle="1" w:styleId="11">
    <w:name w:val="页脚 字符"/>
    <w:basedOn w:val="7"/>
    <w:link w:val="2"/>
    <w:semiHidden/>
    <w:qFormat/>
    <w:locked/>
    <w:uiPriority w:val="99"/>
    <w:rPr>
      <w:rFonts w:cs="Times New Roman"/>
      <w:sz w:val="18"/>
    </w:rPr>
  </w:style>
  <w:style w:type="paragraph" w:customStyle="1" w:styleId="12">
    <w:name w:val="段"/>
    <w:link w:val="13"/>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2"/>
      <w:szCs w:val="22"/>
      <w:lang w:val="en-US" w:eastAsia="zh-CN" w:bidi="ar-SA"/>
    </w:rPr>
  </w:style>
  <w:style w:type="character" w:customStyle="1" w:styleId="13">
    <w:name w:val="段 Char"/>
    <w:link w:val="12"/>
    <w:qFormat/>
    <w:locked/>
    <w:uiPriority w:val="99"/>
    <w:rPr>
      <w:rFonts w:ascii="宋体" w:hAnsi="Times New Roman"/>
      <w:sz w:val="2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1490</Words>
  <Characters>1718</Characters>
  <Lines>55</Lines>
  <Paragraphs>120</Paragraphs>
  <TotalTime>93</TotalTime>
  <ScaleCrop>false</ScaleCrop>
  <LinksUpToDate>false</LinksUpToDate>
  <CharactersWithSpaces>1800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2020-08-16T02:45:00Z</dcterms:created>
  <dc:creator>hp</dc:creator>
  <cp:lastModifiedBy>meng</cp:lastModifiedBy>
  <dcterms:modified xsi:type="dcterms:W3CDTF">2025-08-18T07:53:22Z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0B74CAF5C64A4C30B3820D7C41465110_13</vt:lpwstr>
  </property>
  <property fmtid="{D5CDD505-2E9C-101B-9397-08002B2CF9AE}" pid="4" name="KSOTemplateDocerSaveRecord">
    <vt:lpwstr>eyJoZGlkIjoiMTY3ZGRmYWJmZTU1MjczOTc1ODQ0MTQ3MWYzN2Q4NWUiLCJ1c2VySWQiOiIxMjQxOTIwMjE0In0=</vt:lpwstr>
  </property>
</Properties>
</file>