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A3286">
      <w:pPr>
        <w:pStyle w:val="41"/>
        <w:framePr w:w="0" w:hRule="auto" w:wrap="auto" w:vAnchor="margin" w:hAnchor="text" w:xAlign="left" w:yAlign="inline"/>
        <w:snapToGrid w:val="0"/>
        <w:spacing w:line="360" w:lineRule="auto"/>
        <w:rPr>
          <w:rFonts w:ascii="Times New Roman" w:eastAsia="宋体"/>
          <w:sz w:val="24"/>
          <w:szCs w:val="24"/>
        </w:rPr>
      </w:pPr>
    </w:p>
    <w:p w14:paraId="3201251C">
      <w:pPr>
        <w:pStyle w:val="15"/>
        <w:spacing w:before="381" w:beforeLines="100" w:after="381" w:afterLines="100" w:line="600" w:lineRule="exact"/>
        <w:jc w:val="both"/>
        <w:rPr>
          <w:rFonts w:ascii="Times New Roman" w:hAnsi="Times New Roman" w:eastAsia="方正小标宋_GBK"/>
          <w:b w:val="0"/>
          <w:bCs/>
          <w:sz w:val="44"/>
          <w:szCs w:val="44"/>
        </w:rPr>
      </w:pPr>
      <w:bookmarkStart w:id="0" w:name="_Hlk111194853"/>
    </w:p>
    <w:bookmarkEnd w:id="0"/>
    <w:p w14:paraId="05E3A18E">
      <w:pPr>
        <w:pStyle w:val="15"/>
        <w:spacing w:before="381" w:beforeLines="100" w:after="381" w:afterLines="100" w:line="600" w:lineRule="exact"/>
        <w:rPr>
          <w:rFonts w:hint="eastAsia" w:ascii="Times New Roman" w:hAnsi="Times New Roman" w:eastAsia="方正小标宋_GBK"/>
          <w:b w:val="0"/>
          <w:bCs/>
          <w:sz w:val="44"/>
          <w:szCs w:val="44"/>
        </w:rPr>
      </w:pPr>
      <w:r>
        <w:rPr>
          <w:rFonts w:hint="eastAsia" w:ascii="Times New Roman" w:hAnsi="Times New Roman" w:eastAsia="方正小标宋_GBK"/>
          <w:b w:val="0"/>
          <w:bCs/>
          <w:sz w:val="44"/>
          <w:szCs w:val="44"/>
        </w:rPr>
        <w:t>温室气体 企业碳足迹量化方法与要求</w:t>
      </w:r>
    </w:p>
    <w:p w14:paraId="501E5963">
      <w:pPr>
        <w:pStyle w:val="15"/>
        <w:spacing w:before="381" w:beforeLines="100" w:after="381" w:afterLines="100" w:line="600" w:lineRule="exact"/>
        <w:rPr>
          <w:rFonts w:ascii="Times New Roman" w:hAnsi="Times New Roman" w:eastAsia="方正小标宋_GBK"/>
          <w:b w:val="0"/>
          <w:bCs/>
          <w:sz w:val="44"/>
          <w:szCs w:val="44"/>
        </w:rPr>
      </w:pPr>
      <w:r>
        <w:rPr>
          <w:rFonts w:hint="eastAsia" w:ascii="Times New Roman" w:hAnsi="Times New Roman" w:eastAsia="方正小标宋_GBK"/>
          <w:b w:val="0"/>
          <w:bCs/>
          <w:sz w:val="44"/>
          <w:szCs w:val="44"/>
        </w:rPr>
        <w:t>污水处理厂</w:t>
      </w:r>
      <w:r>
        <w:rPr>
          <w:rFonts w:ascii="Times New Roman" w:hAnsi="Times New Roman" w:eastAsia="方正小标宋_GBK"/>
          <w:b w:val="0"/>
          <w:bCs/>
          <w:sz w:val="44"/>
          <w:szCs w:val="44"/>
        </w:rPr>
        <w:t>（征求意见稿）</w:t>
      </w:r>
    </w:p>
    <w:p w14:paraId="470E4056">
      <w:pPr>
        <w:pStyle w:val="15"/>
        <w:spacing w:before="381" w:beforeLines="100" w:after="381" w:afterLines="100" w:line="600" w:lineRule="exact"/>
        <w:rPr>
          <w:rFonts w:ascii="Times New Roman" w:hAnsi="Times New Roman" w:eastAsia="方正小标宋_GBK"/>
          <w:b w:val="0"/>
          <w:bCs/>
          <w:sz w:val="44"/>
          <w:szCs w:val="44"/>
        </w:rPr>
      </w:pPr>
      <w:r>
        <w:rPr>
          <w:rFonts w:ascii="Times New Roman" w:hAnsi="Times New Roman" w:eastAsia="方正小标宋_GBK"/>
          <w:b w:val="0"/>
          <w:bCs/>
          <w:sz w:val="44"/>
          <w:szCs w:val="44"/>
        </w:rPr>
        <w:t>编制说明</w:t>
      </w:r>
    </w:p>
    <w:p w14:paraId="08C70C25">
      <w:pPr>
        <w:ind w:firstLine="0" w:firstLineChars="0"/>
        <w:jc w:val="center"/>
        <w:rPr>
          <w:rFonts w:eastAsia="宋体"/>
          <w:b/>
          <w:sz w:val="24"/>
        </w:rPr>
      </w:pPr>
    </w:p>
    <w:p w14:paraId="5729A64E">
      <w:pPr>
        <w:ind w:firstLine="0" w:firstLineChars="0"/>
        <w:jc w:val="center"/>
        <w:rPr>
          <w:rFonts w:eastAsia="宋体"/>
          <w:b/>
          <w:sz w:val="24"/>
        </w:rPr>
      </w:pPr>
    </w:p>
    <w:p w14:paraId="73DDE762">
      <w:pPr>
        <w:ind w:firstLine="0" w:firstLineChars="0"/>
        <w:jc w:val="center"/>
        <w:rPr>
          <w:rFonts w:eastAsia="宋体"/>
          <w:b/>
          <w:sz w:val="24"/>
        </w:rPr>
      </w:pPr>
    </w:p>
    <w:p w14:paraId="23028DC5">
      <w:pPr>
        <w:ind w:firstLine="0" w:firstLineChars="0"/>
        <w:jc w:val="center"/>
        <w:rPr>
          <w:rFonts w:eastAsia="宋体"/>
          <w:b/>
          <w:sz w:val="24"/>
        </w:rPr>
      </w:pPr>
    </w:p>
    <w:p w14:paraId="34057916">
      <w:pPr>
        <w:ind w:firstLine="0" w:firstLineChars="0"/>
        <w:jc w:val="center"/>
        <w:rPr>
          <w:rFonts w:eastAsia="宋体"/>
          <w:b/>
          <w:sz w:val="24"/>
        </w:rPr>
      </w:pPr>
      <w:bookmarkStart w:id="52" w:name="_GoBack"/>
      <w:bookmarkEnd w:id="52"/>
    </w:p>
    <w:p w14:paraId="51031583">
      <w:pPr>
        <w:ind w:firstLine="0" w:firstLineChars="0"/>
        <w:jc w:val="center"/>
        <w:rPr>
          <w:rFonts w:eastAsia="宋体"/>
          <w:b/>
          <w:sz w:val="24"/>
        </w:rPr>
      </w:pPr>
    </w:p>
    <w:p w14:paraId="7E5D183B">
      <w:pPr>
        <w:ind w:firstLine="0" w:firstLineChars="0"/>
        <w:jc w:val="center"/>
        <w:rPr>
          <w:rFonts w:eastAsia="宋体"/>
          <w:b/>
          <w:sz w:val="24"/>
        </w:rPr>
      </w:pPr>
    </w:p>
    <w:p w14:paraId="547780E0">
      <w:pPr>
        <w:ind w:firstLine="0" w:firstLineChars="0"/>
        <w:jc w:val="center"/>
        <w:rPr>
          <w:rFonts w:eastAsia="宋体"/>
          <w:b/>
          <w:sz w:val="24"/>
        </w:rPr>
      </w:pPr>
    </w:p>
    <w:p w14:paraId="0797EB84">
      <w:pPr>
        <w:ind w:firstLine="0" w:firstLineChars="0"/>
        <w:jc w:val="center"/>
        <w:rPr>
          <w:rFonts w:eastAsia="宋体"/>
          <w:b/>
          <w:sz w:val="24"/>
        </w:rPr>
      </w:pPr>
    </w:p>
    <w:p w14:paraId="6A32EE22">
      <w:pPr>
        <w:ind w:firstLine="0" w:firstLineChars="0"/>
        <w:jc w:val="center"/>
        <w:rPr>
          <w:rFonts w:eastAsia="宋体"/>
          <w:b/>
          <w:sz w:val="24"/>
        </w:rPr>
      </w:pPr>
    </w:p>
    <w:p w14:paraId="3EE67D9F">
      <w:pPr>
        <w:ind w:firstLine="0" w:firstLineChars="0"/>
        <w:jc w:val="center"/>
        <w:rPr>
          <w:rFonts w:eastAsia="宋体"/>
          <w:b/>
          <w:sz w:val="24"/>
        </w:rPr>
      </w:pPr>
    </w:p>
    <w:p w14:paraId="66E17839">
      <w:pPr>
        <w:ind w:firstLine="0" w:firstLineChars="0"/>
        <w:jc w:val="both"/>
        <w:rPr>
          <w:rFonts w:eastAsia="宋体"/>
          <w:b/>
          <w:sz w:val="24"/>
        </w:rPr>
      </w:pPr>
    </w:p>
    <w:p w14:paraId="6D6D34CC">
      <w:pPr>
        <w:pStyle w:val="15"/>
        <w:spacing w:before="381" w:beforeLines="100" w:after="381" w:afterLines="100" w:line="600" w:lineRule="exact"/>
        <w:rPr>
          <w:rFonts w:ascii="Times New Roman" w:hAnsi="Times New Roman" w:eastAsia="宋体"/>
          <w:bCs/>
          <w:sz w:val="32"/>
          <w:szCs w:val="32"/>
        </w:rPr>
      </w:pPr>
      <w:r>
        <w:rPr>
          <w:rFonts w:ascii="Times New Roman" w:hAnsi="Times New Roman" w:eastAsia="宋体"/>
          <w:bCs/>
          <w:sz w:val="32"/>
          <w:szCs w:val="32"/>
        </w:rPr>
        <w:t>《</w:t>
      </w:r>
      <w:r>
        <w:rPr>
          <w:rFonts w:hint="eastAsia" w:ascii="Times New Roman" w:hAnsi="Times New Roman" w:eastAsia="宋体"/>
          <w:bCs/>
          <w:sz w:val="32"/>
          <w:szCs w:val="32"/>
        </w:rPr>
        <w:t>温室气体 企业碳足迹量化方法与要求</w:t>
      </w:r>
      <w:r>
        <w:rPr>
          <w:rFonts w:hint="eastAsia" w:ascii="Times New Roman" w:hAnsi="Times New Roman" w:eastAsia="宋体"/>
          <w:bCs/>
          <w:sz w:val="32"/>
          <w:szCs w:val="32"/>
          <w:lang w:val="en-US" w:eastAsia="zh-CN"/>
        </w:rPr>
        <w:t xml:space="preserve"> </w:t>
      </w:r>
      <w:r>
        <w:rPr>
          <w:rFonts w:hint="eastAsia" w:ascii="Times New Roman" w:hAnsi="Times New Roman" w:eastAsia="宋体"/>
          <w:bCs/>
          <w:sz w:val="32"/>
          <w:szCs w:val="32"/>
        </w:rPr>
        <w:t>污水处理厂</w:t>
      </w:r>
      <w:r>
        <w:rPr>
          <w:rFonts w:ascii="Times New Roman" w:hAnsi="Times New Roman" w:eastAsia="宋体"/>
          <w:bCs/>
          <w:sz w:val="32"/>
          <w:szCs w:val="32"/>
        </w:rPr>
        <w:t>》</w:t>
      </w:r>
    </w:p>
    <w:p w14:paraId="2B6E0C7D">
      <w:pPr>
        <w:pStyle w:val="15"/>
        <w:spacing w:before="381" w:beforeLines="100" w:after="381" w:afterLines="100" w:line="600" w:lineRule="exact"/>
        <w:rPr>
          <w:rFonts w:ascii="Times New Roman" w:hAnsi="Times New Roman" w:eastAsia="宋体"/>
          <w:bCs/>
          <w:sz w:val="32"/>
          <w:szCs w:val="32"/>
        </w:rPr>
      </w:pPr>
      <w:r>
        <w:rPr>
          <w:rFonts w:ascii="Times New Roman" w:hAnsi="Times New Roman" w:eastAsia="宋体"/>
          <w:bCs/>
          <w:sz w:val="32"/>
          <w:szCs w:val="32"/>
        </w:rPr>
        <w:t>编制组</w:t>
      </w:r>
    </w:p>
    <w:p w14:paraId="37E1D514">
      <w:pPr>
        <w:pStyle w:val="15"/>
        <w:spacing w:before="381" w:beforeLines="100" w:after="381" w:afterLines="100" w:line="600" w:lineRule="exact"/>
        <w:rPr>
          <w:rFonts w:ascii="Times New Roman" w:hAnsi="Times New Roman" w:eastAsia="宋体"/>
          <w:bCs/>
          <w:sz w:val="32"/>
          <w:szCs w:val="32"/>
        </w:rPr>
      </w:pPr>
      <w:r>
        <w:rPr>
          <w:rFonts w:hint="eastAsia" w:ascii="Times New Roman" w:hAnsi="Times New Roman" w:eastAsia="宋体"/>
          <w:bCs/>
          <w:sz w:val="32"/>
          <w:szCs w:val="32"/>
        </w:rPr>
        <w:t>2025</w:t>
      </w:r>
      <w:r>
        <w:rPr>
          <w:rFonts w:ascii="Times New Roman" w:hAnsi="Times New Roman" w:eastAsia="宋体"/>
          <w:bCs/>
          <w:sz w:val="32"/>
          <w:szCs w:val="32"/>
        </w:rPr>
        <w:t>年</w:t>
      </w:r>
      <w:r>
        <w:rPr>
          <w:rFonts w:hint="eastAsia" w:ascii="Times New Roman" w:hAnsi="Times New Roman" w:eastAsia="宋体"/>
          <w:bCs/>
          <w:sz w:val="32"/>
          <w:szCs w:val="32"/>
          <w:lang w:val="en-US" w:eastAsia="zh-CN"/>
        </w:rPr>
        <w:t>8</w:t>
      </w:r>
      <w:r>
        <w:rPr>
          <w:rFonts w:ascii="Times New Roman" w:hAnsi="Times New Roman" w:eastAsia="宋体"/>
          <w:bCs/>
          <w:sz w:val="32"/>
          <w:szCs w:val="32"/>
        </w:rPr>
        <w:t>月</w:t>
      </w:r>
    </w:p>
    <w:p w14:paraId="6DB8268C">
      <w:pPr>
        <w:ind w:firstLine="643"/>
        <w:rPr>
          <w:rFonts w:eastAsia="宋体"/>
          <w:bCs/>
          <w:sz w:val="32"/>
          <w:szCs w:val="32"/>
        </w:rPr>
      </w:pPr>
      <w:r>
        <w:rPr>
          <w:rFonts w:eastAsia="宋体"/>
          <w:b/>
          <w:bCs/>
          <w:sz w:val="32"/>
          <w:szCs w:val="32"/>
        </w:rPr>
        <w:br w:type="page"/>
      </w:r>
    </w:p>
    <w:p w14:paraId="4CABB13C">
      <w:pPr>
        <w:tabs>
          <w:tab w:val="right" w:leader="dot" w:pos="9061"/>
        </w:tabs>
        <w:ind w:firstLine="0" w:firstLineChars="0"/>
        <w:jc w:val="center"/>
        <w:rPr>
          <w:rFonts w:eastAsia="黑体"/>
          <w:sz w:val="32"/>
          <w:szCs w:val="32"/>
        </w:rPr>
      </w:pPr>
      <w:r>
        <w:rPr>
          <w:rFonts w:hint="eastAsia" w:eastAsia="黑体"/>
          <w:sz w:val="32"/>
          <w:szCs w:val="32"/>
        </w:rPr>
        <w:t>.</w:t>
      </w:r>
      <w:r>
        <w:rPr>
          <w:rFonts w:eastAsia="黑体"/>
          <w:sz w:val="32"/>
          <w:szCs w:val="32"/>
        </w:rPr>
        <w:t>目  录</w:t>
      </w:r>
    </w:p>
    <w:p w14:paraId="71BB25AF">
      <w:pPr>
        <w:tabs>
          <w:tab w:val="right" w:leader="dot" w:pos="9061"/>
        </w:tabs>
        <w:ind w:firstLine="0" w:firstLineChars="0"/>
        <w:jc w:val="center"/>
        <w:rPr>
          <w:rStyle w:val="34"/>
          <w:rFonts w:eastAsia="宋体"/>
          <w:color w:val="auto"/>
          <w:kern w:val="44"/>
          <w:szCs w:val="28"/>
        </w:rPr>
      </w:pPr>
    </w:p>
    <w:p w14:paraId="33A19114">
      <w:pPr>
        <w:pStyle w:val="24"/>
        <w:tabs>
          <w:tab w:val="left" w:pos="1320"/>
        </w:tabs>
        <w:ind w:firstLine="480"/>
        <w:rPr>
          <w:rFonts w:hint="eastAsia" w:asciiTheme="minorHAnsi" w:hAnsiTheme="minorHAnsi" w:eastAsiaTheme="minorEastAsia" w:cstheme="minorBidi"/>
          <w:sz w:val="22"/>
          <w14:ligatures w14:val="standardContextual"/>
        </w:rPr>
      </w:pPr>
      <w:r>
        <w:rPr>
          <w:sz w:val="24"/>
        </w:rPr>
        <w:fldChar w:fldCharType="begin"/>
      </w:r>
      <w:r>
        <w:rPr>
          <w:sz w:val="24"/>
        </w:rPr>
        <w:instrText xml:space="preserve"> TOC \o "1-2" \h \z \u </w:instrText>
      </w:r>
      <w:r>
        <w:rPr>
          <w:sz w:val="24"/>
        </w:rPr>
        <w:fldChar w:fldCharType="separate"/>
      </w:r>
      <w:r>
        <w:fldChar w:fldCharType="begin"/>
      </w:r>
      <w:r>
        <w:instrText xml:space="preserve"> HYPERLINK \l "_Toc204100076" </w:instrText>
      </w:r>
      <w:r>
        <w:fldChar w:fldCharType="separate"/>
      </w:r>
      <w:r>
        <w:rPr>
          <w:rStyle w:val="34"/>
          <w:rFonts w:hint="eastAsia" w:eastAsia="方正仿宋_GBK"/>
        </w:rPr>
        <w:t>1.</w:t>
      </w:r>
      <w:r>
        <w:rPr>
          <w:rFonts w:hint="eastAsia" w:asciiTheme="minorHAnsi" w:hAnsiTheme="minorHAnsi" w:eastAsiaTheme="minorEastAsia" w:cstheme="minorBidi"/>
          <w:sz w:val="22"/>
          <w14:ligatures w14:val="standardContextual"/>
        </w:rPr>
        <w:tab/>
      </w:r>
      <w:r>
        <w:rPr>
          <w:rStyle w:val="34"/>
          <w:rFonts w:hint="eastAsia" w:eastAsia="方正仿宋_GBK"/>
        </w:rPr>
        <w:t>概述</w:t>
      </w:r>
      <w:r>
        <w:rPr>
          <w:rFonts w:hint="eastAsia"/>
        </w:rPr>
        <w:tab/>
      </w:r>
      <w:r>
        <w:rPr>
          <w:rFonts w:hint="eastAsia"/>
        </w:rPr>
        <w:fldChar w:fldCharType="begin"/>
      </w:r>
      <w:r>
        <w:rPr>
          <w:rFonts w:hint="eastAsia"/>
        </w:rPr>
        <w:instrText xml:space="preserve"> </w:instrText>
      </w:r>
      <w:r>
        <w:instrText xml:space="preserve">PAGEREF _Toc204100076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8477253">
      <w:pPr>
        <w:pStyle w:val="25"/>
        <w:tabs>
          <w:tab w:val="left" w:pos="1760"/>
          <w:tab w:val="right" w:leader="dot" w:pos="8296"/>
        </w:tabs>
        <w:ind w:left="560" w:firstLine="600"/>
        <w:rPr>
          <w:rFonts w:hint="eastAsia" w:asciiTheme="minorHAnsi" w:hAnsiTheme="minorHAnsi" w:eastAsiaTheme="minorEastAsia" w:cstheme="minorBidi"/>
          <w:sz w:val="22"/>
          <w14:ligatures w14:val="standardContextual"/>
        </w:rPr>
      </w:pPr>
      <w:r>
        <w:fldChar w:fldCharType="begin"/>
      </w:r>
      <w:r>
        <w:instrText xml:space="preserve"> HYPERLINK \l "_Toc204100077" </w:instrText>
      </w:r>
      <w:r>
        <w:fldChar w:fldCharType="separate"/>
      </w:r>
      <w:r>
        <w:rPr>
          <w:rStyle w:val="34"/>
          <w:rFonts w:hint="eastAsia"/>
        </w:rPr>
        <w:t>1.1.</w:t>
      </w:r>
      <w:r>
        <w:rPr>
          <w:rFonts w:hint="eastAsia" w:asciiTheme="minorHAnsi" w:hAnsiTheme="minorHAnsi" w:eastAsiaTheme="minorEastAsia" w:cstheme="minorBidi"/>
          <w:sz w:val="22"/>
          <w14:ligatures w14:val="standardContextual"/>
        </w:rPr>
        <w:tab/>
      </w:r>
      <w:r>
        <w:rPr>
          <w:rStyle w:val="34"/>
          <w:rFonts w:hint="eastAsia"/>
        </w:rPr>
        <w:t>项目背景</w:t>
      </w:r>
      <w:r>
        <w:rPr>
          <w:rFonts w:hint="eastAsia"/>
        </w:rPr>
        <w:tab/>
      </w:r>
      <w:r>
        <w:rPr>
          <w:rFonts w:hint="eastAsia"/>
        </w:rPr>
        <w:fldChar w:fldCharType="begin"/>
      </w:r>
      <w:r>
        <w:rPr>
          <w:rFonts w:hint="eastAsia"/>
        </w:rPr>
        <w:instrText xml:space="preserve"> </w:instrText>
      </w:r>
      <w:r>
        <w:instrText xml:space="preserve">PAGEREF _Toc204100077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7F9AD9F">
      <w:pPr>
        <w:pStyle w:val="25"/>
        <w:tabs>
          <w:tab w:val="left" w:pos="1760"/>
          <w:tab w:val="right" w:leader="dot" w:pos="8296"/>
        </w:tabs>
        <w:ind w:left="560" w:firstLine="600"/>
        <w:rPr>
          <w:rFonts w:hint="eastAsia" w:asciiTheme="minorHAnsi" w:hAnsiTheme="minorHAnsi" w:eastAsiaTheme="minorEastAsia" w:cstheme="minorBidi"/>
          <w:sz w:val="22"/>
          <w14:ligatures w14:val="standardContextual"/>
        </w:rPr>
      </w:pPr>
      <w:r>
        <w:fldChar w:fldCharType="begin"/>
      </w:r>
      <w:r>
        <w:instrText xml:space="preserve"> HYPERLINK \l "_Toc204100078" </w:instrText>
      </w:r>
      <w:r>
        <w:fldChar w:fldCharType="separate"/>
      </w:r>
      <w:r>
        <w:rPr>
          <w:rStyle w:val="34"/>
          <w:rFonts w:hint="eastAsia"/>
        </w:rPr>
        <w:t>1.2.</w:t>
      </w:r>
      <w:r>
        <w:rPr>
          <w:rFonts w:hint="eastAsia" w:asciiTheme="minorHAnsi" w:hAnsiTheme="minorHAnsi" w:eastAsiaTheme="minorEastAsia" w:cstheme="minorBidi"/>
          <w:sz w:val="22"/>
          <w14:ligatures w14:val="standardContextual"/>
        </w:rPr>
        <w:tab/>
      </w:r>
      <w:r>
        <w:rPr>
          <w:rStyle w:val="34"/>
          <w:rFonts w:hint="eastAsia"/>
        </w:rPr>
        <w:t>任务来源</w:t>
      </w:r>
      <w:r>
        <w:rPr>
          <w:rFonts w:hint="eastAsia"/>
        </w:rPr>
        <w:tab/>
      </w:r>
      <w:r>
        <w:rPr>
          <w:rFonts w:hint="eastAsia"/>
        </w:rPr>
        <w:fldChar w:fldCharType="begin"/>
      </w:r>
      <w:r>
        <w:rPr>
          <w:rFonts w:hint="eastAsia"/>
        </w:rPr>
        <w:instrText xml:space="preserve"> </w:instrText>
      </w:r>
      <w:r>
        <w:instrText xml:space="preserve">PAGEREF _Toc204100078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08693F0">
      <w:pPr>
        <w:pStyle w:val="25"/>
        <w:tabs>
          <w:tab w:val="left" w:pos="1760"/>
          <w:tab w:val="right" w:leader="dot" w:pos="8296"/>
        </w:tabs>
        <w:ind w:left="560" w:firstLine="600"/>
        <w:rPr>
          <w:rFonts w:hint="eastAsia" w:asciiTheme="minorHAnsi" w:hAnsiTheme="minorHAnsi" w:eastAsiaTheme="minorEastAsia" w:cstheme="minorBidi"/>
          <w:sz w:val="22"/>
          <w14:ligatures w14:val="standardContextual"/>
        </w:rPr>
      </w:pPr>
      <w:r>
        <w:fldChar w:fldCharType="begin"/>
      </w:r>
      <w:r>
        <w:instrText xml:space="preserve"> HYPERLINK \l "_Toc204100079" </w:instrText>
      </w:r>
      <w:r>
        <w:fldChar w:fldCharType="separate"/>
      </w:r>
      <w:r>
        <w:rPr>
          <w:rStyle w:val="34"/>
          <w:rFonts w:hint="eastAsia"/>
        </w:rPr>
        <w:t>1.3.</w:t>
      </w:r>
      <w:r>
        <w:rPr>
          <w:rFonts w:hint="eastAsia" w:asciiTheme="minorHAnsi" w:hAnsiTheme="minorHAnsi" w:eastAsiaTheme="minorEastAsia" w:cstheme="minorBidi"/>
          <w:sz w:val="22"/>
          <w14:ligatures w14:val="standardContextual"/>
        </w:rPr>
        <w:tab/>
      </w:r>
      <w:r>
        <w:rPr>
          <w:rStyle w:val="34"/>
          <w:rFonts w:hint="eastAsia"/>
        </w:rPr>
        <w:t>标准起草单位和主要起草人</w:t>
      </w:r>
      <w:r>
        <w:rPr>
          <w:rFonts w:hint="eastAsia"/>
        </w:rPr>
        <w:tab/>
      </w:r>
      <w:r>
        <w:rPr>
          <w:rFonts w:hint="eastAsia"/>
        </w:rPr>
        <w:fldChar w:fldCharType="begin"/>
      </w:r>
      <w:r>
        <w:rPr>
          <w:rFonts w:hint="eastAsia"/>
        </w:rPr>
        <w:instrText xml:space="preserve"> </w:instrText>
      </w:r>
      <w:r>
        <w:instrText xml:space="preserve">PAGEREF _Toc204100079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55E63C99">
      <w:pPr>
        <w:pStyle w:val="25"/>
        <w:tabs>
          <w:tab w:val="left" w:pos="1760"/>
          <w:tab w:val="right" w:leader="dot" w:pos="8296"/>
        </w:tabs>
        <w:ind w:left="560" w:firstLine="600"/>
        <w:rPr>
          <w:rFonts w:hint="eastAsia" w:asciiTheme="minorHAnsi" w:hAnsiTheme="minorHAnsi" w:eastAsiaTheme="minorEastAsia" w:cstheme="minorBidi"/>
          <w:sz w:val="22"/>
          <w14:ligatures w14:val="standardContextual"/>
        </w:rPr>
      </w:pPr>
      <w:r>
        <w:fldChar w:fldCharType="begin"/>
      </w:r>
      <w:r>
        <w:instrText xml:space="preserve"> HYPERLINK \l "_Toc204100080" </w:instrText>
      </w:r>
      <w:r>
        <w:fldChar w:fldCharType="separate"/>
      </w:r>
      <w:r>
        <w:rPr>
          <w:rStyle w:val="34"/>
          <w:rFonts w:hint="eastAsia"/>
        </w:rPr>
        <w:t>1.4.</w:t>
      </w:r>
      <w:r>
        <w:rPr>
          <w:rFonts w:hint="eastAsia" w:asciiTheme="minorHAnsi" w:hAnsiTheme="minorHAnsi" w:eastAsiaTheme="minorEastAsia" w:cstheme="minorBidi"/>
          <w:sz w:val="22"/>
          <w14:ligatures w14:val="standardContextual"/>
        </w:rPr>
        <w:tab/>
      </w:r>
      <w:r>
        <w:rPr>
          <w:rStyle w:val="34"/>
          <w:rFonts w:hint="eastAsia"/>
        </w:rPr>
        <w:t>主要工作过程及所做工作</w:t>
      </w:r>
      <w:r>
        <w:rPr>
          <w:rFonts w:hint="eastAsia"/>
        </w:rPr>
        <w:tab/>
      </w:r>
      <w:r>
        <w:rPr>
          <w:rFonts w:hint="eastAsia"/>
        </w:rPr>
        <w:fldChar w:fldCharType="begin"/>
      </w:r>
      <w:r>
        <w:rPr>
          <w:rFonts w:hint="eastAsia"/>
        </w:rPr>
        <w:instrText xml:space="preserve"> </w:instrText>
      </w:r>
      <w:r>
        <w:instrText xml:space="preserve">PAGEREF _Toc204100080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CAF8E53">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"_Toc204100081" </w:instrText>
      </w:r>
      <w:r>
        <w:fldChar w:fldCharType="separate"/>
      </w:r>
      <w:r>
        <w:rPr>
          <w:rStyle w:val="34"/>
          <w:rFonts w:hint="eastAsia" w:eastAsia="方正仿宋_GBK"/>
        </w:rPr>
        <w:t>2.</w:t>
      </w:r>
      <w:r>
        <w:rPr>
          <w:rFonts w:hint="eastAsia" w:asciiTheme="minorHAnsi" w:hAnsiTheme="minorHAnsi" w:eastAsiaTheme="minorEastAsia" w:cstheme="minorBidi"/>
          <w:sz w:val="22"/>
          <w14:ligatures w14:val="standardContextual"/>
        </w:rPr>
        <w:tab/>
      </w:r>
      <w:r>
        <w:rPr>
          <w:rStyle w:val="34"/>
          <w:rFonts w:hint="eastAsia" w:eastAsia="方正仿宋_GBK"/>
        </w:rPr>
        <w:t>标准编制原则和确定标准的主要内容</w:t>
      </w:r>
      <w:r>
        <w:rPr>
          <w:rFonts w:hint="eastAsia"/>
        </w:rPr>
        <w:tab/>
      </w:r>
      <w:r>
        <w:rPr>
          <w:rFonts w:hint="eastAsia"/>
        </w:rPr>
        <w:fldChar w:fldCharType="begin"/>
      </w:r>
      <w:r>
        <w:rPr>
          <w:rFonts w:hint="eastAsia"/>
        </w:rPr>
        <w:instrText xml:space="preserve"> </w:instrText>
      </w:r>
      <w:r>
        <w:instrText xml:space="preserve">PAGEREF _Toc204100081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75F3F0B3">
      <w:pPr>
        <w:pStyle w:val="25"/>
        <w:tabs>
          <w:tab w:val="left" w:pos="1760"/>
          <w:tab w:val="right" w:leader="dot" w:pos="8296"/>
        </w:tabs>
        <w:ind w:left="560" w:firstLine="600"/>
        <w:rPr>
          <w:rFonts w:hint="eastAsia" w:asciiTheme="minorHAnsi" w:hAnsiTheme="minorHAnsi" w:eastAsiaTheme="minorEastAsia" w:cstheme="minorBidi"/>
          <w:sz w:val="22"/>
          <w14:ligatures w14:val="standardContextual"/>
        </w:rPr>
      </w:pPr>
      <w:r>
        <w:fldChar w:fldCharType="begin"/>
      </w:r>
      <w:r>
        <w:instrText xml:space="preserve"> HYPERLINK \l "_Toc204100082" </w:instrText>
      </w:r>
      <w:r>
        <w:fldChar w:fldCharType="separate"/>
      </w:r>
      <w:r>
        <w:rPr>
          <w:rStyle w:val="34"/>
          <w:rFonts w:hint="eastAsia"/>
        </w:rPr>
        <w:t>2.1.</w:t>
      </w:r>
      <w:r>
        <w:rPr>
          <w:rFonts w:hint="eastAsia" w:asciiTheme="minorHAnsi" w:hAnsiTheme="minorHAnsi" w:eastAsiaTheme="minorEastAsia" w:cstheme="minorBidi"/>
          <w:sz w:val="22"/>
          <w14:ligatures w14:val="standardContextual"/>
        </w:rPr>
        <w:tab/>
      </w:r>
      <w:r>
        <w:rPr>
          <w:rStyle w:val="34"/>
          <w:rFonts w:hint="eastAsia"/>
        </w:rPr>
        <w:t>编制原则</w:t>
      </w:r>
      <w:r>
        <w:rPr>
          <w:rFonts w:hint="eastAsia"/>
        </w:rPr>
        <w:tab/>
      </w:r>
      <w:r>
        <w:rPr>
          <w:rFonts w:hint="eastAsia"/>
        </w:rPr>
        <w:fldChar w:fldCharType="begin"/>
      </w:r>
      <w:r>
        <w:rPr>
          <w:rFonts w:hint="eastAsia"/>
        </w:rPr>
        <w:instrText xml:space="preserve"> </w:instrText>
      </w:r>
      <w:r>
        <w:instrText xml:space="preserve">PAGEREF _Toc204100082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A65E842">
      <w:pPr>
        <w:pStyle w:val="25"/>
        <w:tabs>
          <w:tab w:val="left" w:pos="1760"/>
          <w:tab w:val="right" w:leader="dot" w:pos="8296"/>
        </w:tabs>
        <w:ind w:left="560" w:firstLine="600"/>
        <w:rPr>
          <w:rFonts w:hint="eastAsia" w:asciiTheme="minorHAnsi" w:hAnsiTheme="minorHAnsi" w:eastAsiaTheme="minorEastAsia" w:cstheme="minorBidi"/>
          <w:sz w:val="22"/>
          <w14:ligatures w14:val="standardContextual"/>
        </w:rPr>
      </w:pPr>
      <w:r>
        <w:fldChar w:fldCharType="begin"/>
      </w:r>
      <w:r>
        <w:instrText xml:space="preserve"> HYPERLINK \l "_Toc204100083" </w:instrText>
      </w:r>
      <w:r>
        <w:fldChar w:fldCharType="separate"/>
      </w:r>
      <w:r>
        <w:rPr>
          <w:rStyle w:val="34"/>
          <w:rFonts w:hint="eastAsia"/>
        </w:rPr>
        <w:t>2.2.</w:t>
      </w:r>
      <w:r>
        <w:rPr>
          <w:rFonts w:hint="eastAsia" w:asciiTheme="minorHAnsi" w:hAnsiTheme="minorHAnsi" w:eastAsiaTheme="minorEastAsia" w:cstheme="minorBidi"/>
          <w:sz w:val="22"/>
          <w14:ligatures w14:val="standardContextual"/>
        </w:rPr>
        <w:tab/>
      </w:r>
      <w:r>
        <w:rPr>
          <w:rStyle w:val="34"/>
          <w:rFonts w:hint="eastAsia"/>
        </w:rPr>
        <w:t>确定标准主要内容的依据</w:t>
      </w:r>
      <w:r>
        <w:rPr>
          <w:rFonts w:hint="eastAsia"/>
        </w:rPr>
        <w:tab/>
      </w:r>
      <w:r>
        <w:rPr>
          <w:rFonts w:hint="eastAsia"/>
        </w:rPr>
        <w:fldChar w:fldCharType="begin"/>
      </w:r>
      <w:r>
        <w:rPr>
          <w:rFonts w:hint="eastAsia"/>
        </w:rPr>
        <w:instrText xml:space="preserve"> </w:instrText>
      </w:r>
      <w:r>
        <w:instrText xml:space="preserve">PAGEREF _Toc204100083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228BEEBD">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"_Toc204100084" </w:instrText>
      </w:r>
      <w:r>
        <w:fldChar w:fldCharType="separate"/>
      </w:r>
      <w:r>
        <w:rPr>
          <w:rStyle w:val="34"/>
          <w:rFonts w:hint="eastAsia"/>
        </w:rPr>
        <w:t>3.</w:t>
      </w:r>
      <w:r>
        <w:rPr>
          <w:rFonts w:hint="eastAsia" w:asciiTheme="minorHAnsi" w:hAnsiTheme="minorHAnsi" w:eastAsiaTheme="minorEastAsia" w:cstheme="minorBidi"/>
          <w:sz w:val="22"/>
          <w14:ligatures w14:val="standardContextual"/>
        </w:rPr>
        <w:tab/>
      </w:r>
      <w:r>
        <w:rPr>
          <w:rStyle w:val="34"/>
          <w:rFonts w:hint="eastAsia" w:eastAsia="方正仿宋_GBK"/>
        </w:rPr>
        <w:t>主要试验（或验证）的分析、综述报告</w:t>
      </w:r>
      <w:r>
        <w:rPr>
          <w:rFonts w:hint="eastAsia"/>
        </w:rPr>
        <w:tab/>
      </w:r>
      <w:r>
        <w:rPr>
          <w:rFonts w:hint="eastAsia"/>
        </w:rPr>
        <w:fldChar w:fldCharType="begin"/>
      </w:r>
      <w:r>
        <w:rPr>
          <w:rFonts w:hint="eastAsia"/>
        </w:rPr>
        <w:instrText xml:space="preserve"> </w:instrText>
      </w:r>
      <w:r>
        <w:instrText xml:space="preserve">PAGEREF _Toc204100084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6D529C6D">
      <w:pPr>
        <w:pStyle w:val="25"/>
        <w:tabs>
          <w:tab w:val="left" w:pos="1760"/>
          <w:tab w:val="right" w:leader="dot" w:pos="8296"/>
        </w:tabs>
        <w:ind w:left="560" w:firstLine="600"/>
        <w:rPr>
          <w:rFonts w:hint="eastAsia" w:asciiTheme="minorHAnsi" w:hAnsiTheme="minorHAnsi" w:eastAsiaTheme="minorEastAsia" w:cstheme="minorBidi"/>
          <w:sz w:val="22"/>
          <w14:ligatures w14:val="standardContextual"/>
        </w:rPr>
      </w:pPr>
      <w:r>
        <w:fldChar w:fldCharType="begin"/>
      </w:r>
      <w:r>
        <w:instrText xml:space="preserve"> HYPERLINK \l "_Toc204100085" </w:instrText>
      </w:r>
      <w:r>
        <w:fldChar w:fldCharType="separate"/>
      </w:r>
      <w:r>
        <w:rPr>
          <w:rStyle w:val="34"/>
          <w:rFonts w:hint="eastAsia"/>
        </w:rPr>
        <w:t>3.1.</w:t>
      </w:r>
      <w:r>
        <w:rPr>
          <w:rFonts w:hint="eastAsia" w:asciiTheme="minorHAnsi" w:hAnsiTheme="minorHAnsi" w:eastAsiaTheme="minorEastAsia" w:cstheme="minorBidi"/>
          <w:sz w:val="22"/>
          <w14:ligatures w14:val="standardContextual"/>
        </w:rPr>
        <w:tab/>
      </w:r>
      <w:r>
        <w:rPr>
          <w:rStyle w:val="34"/>
          <w:rFonts w:hint="eastAsia"/>
        </w:rPr>
        <w:t>主要试验（验证）的分析、综述报告</w:t>
      </w:r>
      <w:r>
        <w:rPr>
          <w:rFonts w:hint="eastAsia"/>
        </w:rPr>
        <w:tab/>
      </w:r>
      <w:r>
        <w:rPr>
          <w:rFonts w:hint="eastAsia"/>
        </w:rPr>
        <w:fldChar w:fldCharType="begin"/>
      </w:r>
      <w:r>
        <w:rPr>
          <w:rFonts w:hint="eastAsia"/>
        </w:rPr>
        <w:instrText xml:space="preserve"> </w:instrText>
      </w:r>
      <w:r>
        <w:instrText xml:space="preserve">PAGEREF _Toc204100085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154804A6">
      <w:pPr>
        <w:pStyle w:val="25"/>
        <w:tabs>
          <w:tab w:val="left" w:pos="1760"/>
          <w:tab w:val="right" w:leader="dot" w:pos="8296"/>
        </w:tabs>
        <w:ind w:left="560" w:firstLine="600"/>
        <w:rPr>
          <w:rFonts w:hint="eastAsia" w:asciiTheme="minorHAnsi" w:hAnsiTheme="minorHAnsi" w:eastAsiaTheme="minorEastAsia" w:cstheme="minorBidi"/>
          <w:sz w:val="22"/>
          <w14:ligatures w14:val="standardContextual"/>
        </w:rPr>
      </w:pPr>
      <w:r>
        <w:fldChar w:fldCharType="begin"/>
      </w:r>
      <w:r>
        <w:instrText xml:space="preserve"> HYPERLINK \l "_Toc204100086" </w:instrText>
      </w:r>
      <w:r>
        <w:fldChar w:fldCharType="separate"/>
      </w:r>
      <w:r>
        <w:rPr>
          <w:rStyle w:val="34"/>
          <w:rFonts w:hint="eastAsia"/>
        </w:rPr>
        <w:t>3.2.</w:t>
      </w:r>
      <w:r>
        <w:rPr>
          <w:rFonts w:hint="eastAsia" w:asciiTheme="minorHAnsi" w:hAnsiTheme="minorHAnsi" w:eastAsiaTheme="minorEastAsia" w:cstheme="minorBidi"/>
          <w:sz w:val="22"/>
          <w14:ligatures w14:val="standardContextual"/>
        </w:rPr>
        <w:tab/>
      </w:r>
      <w:r>
        <w:rPr>
          <w:rStyle w:val="34"/>
          <w:rFonts w:hint="eastAsia"/>
        </w:rPr>
        <w:t>技术经济论证</w:t>
      </w:r>
      <w:r>
        <w:rPr>
          <w:rFonts w:hint="eastAsia"/>
        </w:rPr>
        <w:tab/>
      </w:r>
      <w:r>
        <w:rPr>
          <w:rFonts w:hint="eastAsia"/>
        </w:rPr>
        <w:fldChar w:fldCharType="begin"/>
      </w:r>
      <w:r>
        <w:rPr>
          <w:rFonts w:hint="eastAsia"/>
        </w:rPr>
        <w:instrText xml:space="preserve"> </w:instrText>
      </w:r>
      <w:r>
        <w:instrText xml:space="preserve">PAGEREF _Toc204100086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06E7224F">
      <w:pPr>
        <w:pStyle w:val="25"/>
        <w:tabs>
          <w:tab w:val="left" w:pos="1760"/>
          <w:tab w:val="right" w:leader="dot" w:pos="8296"/>
        </w:tabs>
        <w:ind w:left="560" w:firstLine="600"/>
        <w:rPr>
          <w:rFonts w:hint="eastAsia" w:asciiTheme="minorHAnsi" w:hAnsiTheme="minorHAnsi" w:eastAsiaTheme="minorEastAsia" w:cstheme="minorBidi"/>
          <w:sz w:val="22"/>
          <w14:ligatures w14:val="standardContextual"/>
        </w:rPr>
      </w:pPr>
      <w:r>
        <w:fldChar w:fldCharType="begin"/>
      </w:r>
      <w:r>
        <w:instrText xml:space="preserve"> HYPERLINK \l "_Toc204100087" </w:instrText>
      </w:r>
      <w:r>
        <w:fldChar w:fldCharType="separate"/>
      </w:r>
      <w:r>
        <w:rPr>
          <w:rStyle w:val="34"/>
          <w:rFonts w:hint="eastAsia"/>
        </w:rPr>
        <w:t>3.3.</w:t>
      </w:r>
      <w:r>
        <w:rPr>
          <w:rFonts w:hint="eastAsia" w:asciiTheme="minorHAnsi" w:hAnsiTheme="minorHAnsi" w:eastAsiaTheme="minorEastAsia" w:cstheme="minorBidi"/>
          <w:sz w:val="22"/>
          <w14:ligatures w14:val="standardContextual"/>
        </w:rPr>
        <w:tab/>
      </w:r>
      <w:r>
        <w:rPr>
          <w:rStyle w:val="34"/>
          <w:rFonts w:hint="eastAsia"/>
        </w:rPr>
        <w:t>预期的经济效果</w:t>
      </w:r>
      <w:r>
        <w:rPr>
          <w:rFonts w:hint="eastAsia"/>
        </w:rPr>
        <w:tab/>
      </w:r>
      <w:r>
        <w:rPr>
          <w:rFonts w:hint="eastAsia"/>
        </w:rPr>
        <w:fldChar w:fldCharType="begin"/>
      </w:r>
      <w:r>
        <w:rPr>
          <w:rFonts w:hint="eastAsia"/>
        </w:rPr>
        <w:instrText xml:space="preserve"> </w:instrText>
      </w:r>
      <w:r>
        <w:instrText xml:space="preserve">PAGEREF _Toc204100087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6C1BE78B">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"_Toc204100088" </w:instrText>
      </w:r>
      <w:r>
        <w:fldChar w:fldCharType="separate"/>
      </w:r>
      <w:r>
        <w:rPr>
          <w:rStyle w:val="34"/>
          <w:rFonts w:hint="eastAsia"/>
        </w:rPr>
        <w:t>4.</w:t>
      </w:r>
      <w:r>
        <w:rPr>
          <w:rFonts w:hint="eastAsia" w:asciiTheme="minorHAnsi" w:hAnsiTheme="minorHAnsi" w:eastAsiaTheme="minorEastAsia" w:cstheme="minorBidi"/>
          <w:sz w:val="22"/>
          <w14:ligatures w14:val="standardContextual"/>
        </w:rPr>
        <w:tab/>
      </w:r>
      <w:r>
        <w:rPr>
          <w:rStyle w:val="34"/>
          <w:rFonts w:hint="eastAsia" w:eastAsia="方正仿宋_GBK"/>
        </w:rPr>
        <w:t>标准中涉及专利的情况（专利和软著）</w:t>
      </w:r>
      <w:r>
        <w:rPr>
          <w:rFonts w:hint="eastAsia"/>
        </w:rPr>
        <w:tab/>
      </w:r>
      <w:r>
        <w:rPr>
          <w:rFonts w:hint="eastAsia"/>
        </w:rPr>
        <w:fldChar w:fldCharType="begin"/>
      </w:r>
      <w:r>
        <w:rPr>
          <w:rFonts w:hint="eastAsia"/>
        </w:rPr>
        <w:instrText xml:space="preserve"> </w:instrText>
      </w:r>
      <w:r>
        <w:instrText xml:space="preserve">PAGEREF _Toc204100088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058EBE34">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"_Toc204100089" </w:instrText>
      </w:r>
      <w:r>
        <w:fldChar w:fldCharType="separate"/>
      </w:r>
      <w:r>
        <w:rPr>
          <w:rStyle w:val="34"/>
          <w:rFonts w:hint="eastAsia"/>
        </w:rPr>
        <w:t>5.</w:t>
      </w:r>
      <w:r>
        <w:rPr>
          <w:rFonts w:hint="eastAsia" w:asciiTheme="minorHAnsi" w:hAnsiTheme="minorHAnsi" w:eastAsiaTheme="minorEastAsia" w:cstheme="minorBidi"/>
          <w:sz w:val="22"/>
          <w14:ligatures w14:val="standardContextual"/>
        </w:rPr>
        <w:tab/>
      </w:r>
      <w:r>
        <w:rPr>
          <w:rStyle w:val="34"/>
          <w:rFonts w:hint="eastAsia" w:eastAsia="方正仿宋_GBK"/>
        </w:rPr>
        <w:t>采用国际标准和国外先进标准的程度</w:t>
      </w:r>
      <w:r>
        <w:rPr>
          <w:rFonts w:hint="eastAsia"/>
        </w:rPr>
        <w:tab/>
      </w:r>
      <w:r>
        <w:rPr>
          <w:rFonts w:hint="eastAsia"/>
        </w:rPr>
        <w:fldChar w:fldCharType="begin"/>
      </w:r>
      <w:r>
        <w:rPr>
          <w:rFonts w:hint="eastAsia"/>
        </w:rPr>
        <w:instrText xml:space="preserve"> </w:instrText>
      </w:r>
      <w:r>
        <w:instrText xml:space="preserve">PAGEREF _Toc204100089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50238A5C">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"_Toc204100090" </w:instrText>
      </w:r>
      <w:r>
        <w:fldChar w:fldCharType="separate"/>
      </w:r>
      <w:r>
        <w:rPr>
          <w:rStyle w:val="34"/>
          <w:rFonts w:hint="eastAsia" w:eastAsia="方正仿宋_GBK"/>
        </w:rPr>
        <w:t>6.</w:t>
      </w:r>
      <w:r>
        <w:rPr>
          <w:rFonts w:hint="eastAsia" w:asciiTheme="minorHAnsi" w:hAnsiTheme="minorHAnsi" w:eastAsiaTheme="minorEastAsia" w:cstheme="minorBidi"/>
          <w:sz w:val="22"/>
          <w14:ligatures w14:val="standardContextual"/>
        </w:rPr>
        <w:tab/>
      </w:r>
      <w:r>
        <w:rPr>
          <w:rStyle w:val="34"/>
          <w:rFonts w:hint="eastAsia" w:eastAsia="方正仿宋_GBK"/>
        </w:rPr>
        <w:t>与有关的现行法律、法规和强制性国家标准的关系</w:t>
      </w:r>
      <w:r>
        <w:rPr>
          <w:rFonts w:hint="eastAsia"/>
        </w:rPr>
        <w:tab/>
      </w:r>
      <w:r>
        <w:rPr>
          <w:rFonts w:hint="eastAsia"/>
        </w:rPr>
        <w:fldChar w:fldCharType="begin"/>
      </w:r>
      <w:r>
        <w:rPr>
          <w:rFonts w:hint="eastAsia"/>
        </w:rPr>
        <w:instrText xml:space="preserve"> </w:instrText>
      </w:r>
      <w:r>
        <w:instrText xml:space="preserve">PAGEREF _Toc204100090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7E7FD179">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"_Toc204100091" </w:instrText>
      </w:r>
      <w:r>
        <w:fldChar w:fldCharType="separate"/>
      </w:r>
      <w:r>
        <w:rPr>
          <w:rStyle w:val="34"/>
          <w:rFonts w:hint="eastAsia"/>
        </w:rPr>
        <w:t>7.</w:t>
      </w:r>
      <w:r>
        <w:rPr>
          <w:rFonts w:hint="eastAsia" w:asciiTheme="minorHAnsi" w:hAnsiTheme="minorHAnsi" w:eastAsiaTheme="minorEastAsia" w:cstheme="minorBidi"/>
          <w:sz w:val="22"/>
          <w14:ligatures w14:val="standardContextual"/>
        </w:rPr>
        <w:tab/>
      </w:r>
      <w:r>
        <w:rPr>
          <w:rStyle w:val="34"/>
          <w:rFonts w:hint="eastAsia" w:eastAsia="方正仿宋_GBK"/>
        </w:rPr>
        <w:t>重大分歧意见的处理经过和依据</w:t>
      </w:r>
      <w:r>
        <w:rPr>
          <w:rFonts w:hint="eastAsia"/>
        </w:rPr>
        <w:tab/>
      </w:r>
      <w:r>
        <w:rPr>
          <w:rFonts w:hint="eastAsia"/>
        </w:rPr>
        <w:fldChar w:fldCharType="begin"/>
      </w:r>
      <w:r>
        <w:rPr>
          <w:rFonts w:hint="eastAsia"/>
        </w:rPr>
        <w:instrText xml:space="preserve"> </w:instrText>
      </w:r>
      <w:r>
        <w:instrText xml:space="preserve">PAGEREF _Toc204100091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0893F7EF">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"_Toc204100092" </w:instrText>
      </w:r>
      <w:r>
        <w:fldChar w:fldCharType="separate"/>
      </w:r>
      <w:r>
        <w:rPr>
          <w:rStyle w:val="34"/>
          <w:rFonts w:hint="eastAsia"/>
        </w:rPr>
        <w:t>8.</w:t>
      </w:r>
      <w:r>
        <w:rPr>
          <w:rFonts w:hint="eastAsia" w:asciiTheme="minorHAnsi" w:hAnsiTheme="minorHAnsi" w:eastAsiaTheme="minorEastAsia" w:cstheme="minorBidi"/>
          <w:sz w:val="22"/>
          <w14:ligatures w14:val="standardContextual"/>
        </w:rPr>
        <w:tab/>
      </w:r>
      <w:r>
        <w:rPr>
          <w:rStyle w:val="34"/>
          <w:rFonts w:hint="eastAsia" w:eastAsia="方正仿宋_GBK"/>
        </w:rPr>
        <w:t>作为推荐性标准的建议</w:t>
      </w:r>
      <w:r>
        <w:rPr>
          <w:rFonts w:hint="eastAsia"/>
        </w:rPr>
        <w:tab/>
      </w:r>
      <w:r>
        <w:rPr>
          <w:rFonts w:hint="eastAsia"/>
        </w:rPr>
        <w:fldChar w:fldCharType="begin"/>
      </w:r>
      <w:r>
        <w:rPr>
          <w:rFonts w:hint="eastAsia"/>
        </w:rPr>
        <w:instrText xml:space="preserve"> </w:instrText>
      </w:r>
      <w:r>
        <w:instrText xml:space="preserve">PAGEREF _Toc204100092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2F9B51BC">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"_Toc204100093" </w:instrText>
      </w:r>
      <w:r>
        <w:fldChar w:fldCharType="separate"/>
      </w:r>
      <w:r>
        <w:rPr>
          <w:rStyle w:val="34"/>
          <w:rFonts w:hint="eastAsia"/>
        </w:rPr>
        <w:t>9.</w:t>
      </w:r>
      <w:r>
        <w:rPr>
          <w:rFonts w:hint="eastAsia" w:asciiTheme="minorHAnsi" w:hAnsiTheme="minorHAnsi" w:eastAsiaTheme="minorEastAsia" w:cstheme="minorBidi"/>
          <w:sz w:val="22"/>
          <w14:ligatures w14:val="standardContextual"/>
        </w:rPr>
        <w:tab/>
      </w:r>
      <w:r>
        <w:rPr>
          <w:rStyle w:val="34"/>
          <w:rFonts w:hint="eastAsia" w:eastAsia="方正仿宋_GBK"/>
        </w:rPr>
        <w:t>贯彻团体标准的要求和措施建议</w:t>
      </w:r>
      <w:r>
        <w:rPr>
          <w:rFonts w:hint="eastAsia"/>
        </w:rPr>
        <w:tab/>
      </w:r>
      <w:r>
        <w:rPr>
          <w:rFonts w:hint="eastAsia"/>
        </w:rPr>
        <w:fldChar w:fldCharType="begin"/>
      </w:r>
      <w:r>
        <w:rPr>
          <w:rFonts w:hint="eastAsia"/>
        </w:rPr>
        <w:instrText xml:space="preserve"> </w:instrText>
      </w:r>
      <w:r>
        <w:instrText xml:space="preserve">PAGEREF _Toc204100093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749B5ED4">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"_Toc204100094" </w:instrText>
      </w:r>
      <w:r>
        <w:fldChar w:fldCharType="separate"/>
      </w:r>
      <w:r>
        <w:rPr>
          <w:rStyle w:val="34"/>
          <w:rFonts w:hint="eastAsia"/>
        </w:rPr>
        <w:t>10.</w:t>
      </w:r>
      <w:r>
        <w:rPr>
          <w:rFonts w:hint="eastAsia" w:asciiTheme="minorHAnsi" w:hAnsiTheme="minorHAnsi" w:eastAsiaTheme="minorEastAsia" w:cstheme="minorBidi"/>
          <w:sz w:val="22"/>
          <w14:ligatures w14:val="standardContextual"/>
        </w:rPr>
        <w:tab/>
      </w:r>
      <w:r>
        <w:rPr>
          <w:rStyle w:val="34"/>
          <w:rFonts w:hint="eastAsia" w:eastAsia="方正仿宋_GBK"/>
        </w:rPr>
        <w:t>废止现行有关标准的建议</w:t>
      </w:r>
      <w:r>
        <w:rPr>
          <w:rFonts w:hint="eastAsia"/>
        </w:rPr>
        <w:tab/>
      </w:r>
      <w:r>
        <w:rPr>
          <w:rFonts w:hint="eastAsia"/>
        </w:rPr>
        <w:fldChar w:fldCharType="begin"/>
      </w:r>
      <w:r>
        <w:rPr>
          <w:rFonts w:hint="eastAsia"/>
        </w:rPr>
        <w:instrText xml:space="preserve"> </w:instrText>
      </w:r>
      <w:r>
        <w:instrText xml:space="preserve">PAGEREF _Toc204100094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0791DA70">
      <w:pPr>
        <w:pStyle w:val="24"/>
        <w:tabs>
          <w:tab w:val="left" w:pos="1320"/>
        </w:tabs>
        <w:ind w:firstLine="640"/>
        <w:rPr>
          <w:rFonts w:hint="eastAsia" w:asciiTheme="minorHAnsi" w:hAnsiTheme="minorHAnsi" w:eastAsiaTheme="minorEastAsia" w:cstheme="minorBidi"/>
          <w:sz w:val="22"/>
          <w14:ligatures w14:val="standardContextual"/>
        </w:rPr>
      </w:pPr>
      <w:r>
        <w:fldChar w:fldCharType="begin"/>
      </w:r>
      <w:r>
        <w:instrText xml:space="preserve"> HYPERLINK \l "_Toc204100095" </w:instrText>
      </w:r>
      <w:r>
        <w:fldChar w:fldCharType="separate"/>
      </w:r>
      <w:r>
        <w:rPr>
          <w:rStyle w:val="34"/>
          <w:rFonts w:hint="eastAsia"/>
        </w:rPr>
        <w:t>11.</w:t>
      </w:r>
      <w:r>
        <w:rPr>
          <w:rFonts w:hint="eastAsia" w:asciiTheme="minorHAnsi" w:hAnsiTheme="minorHAnsi" w:eastAsiaTheme="minorEastAsia" w:cstheme="minorBidi"/>
          <w:sz w:val="22"/>
          <w14:ligatures w14:val="standardContextual"/>
        </w:rPr>
        <w:tab/>
      </w:r>
      <w:r>
        <w:rPr>
          <w:rStyle w:val="34"/>
          <w:rFonts w:hint="eastAsia" w:eastAsia="方正仿宋_GBK"/>
        </w:rPr>
        <w:t>其他应予说明的事项</w:t>
      </w:r>
      <w:r>
        <w:rPr>
          <w:rFonts w:hint="eastAsia"/>
        </w:rPr>
        <w:tab/>
      </w:r>
      <w:r>
        <w:rPr>
          <w:rFonts w:hint="eastAsia"/>
        </w:rPr>
        <w:fldChar w:fldCharType="begin"/>
      </w:r>
      <w:r>
        <w:rPr>
          <w:rFonts w:hint="eastAsia"/>
        </w:rPr>
        <w:instrText xml:space="preserve"> </w:instrText>
      </w:r>
      <w:r>
        <w:instrText xml:space="preserve">PAGEREF _Toc204100095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0175B210">
      <w:pPr>
        <w:ind w:firstLine="0" w:firstLineChars="0"/>
        <w:rPr>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titlePg/>
          <w:docGrid w:type="lines" w:linePitch="381" w:charSpace="0"/>
        </w:sectPr>
      </w:pPr>
      <w:r>
        <w:rPr>
          <w:rFonts w:eastAsia="宋体"/>
          <w:sz w:val="24"/>
        </w:rPr>
        <w:fldChar w:fldCharType="end"/>
      </w:r>
    </w:p>
    <w:p w14:paraId="1B3CCC35">
      <w:pPr>
        <w:pStyle w:val="2"/>
        <w:numPr>
          <w:ilvl w:val="0"/>
          <w:numId w:val="6"/>
        </w:numPr>
        <w:spacing w:before="190" w:after="190" w:line="590" w:lineRule="exact"/>
        <w:rPr>
          <w:rFonts w:eastAsia="方正仿宋_GBK"/>
          <w:sz w:val="28"/>
          <w:szCs w:val="28"/>
        </w:rPr>
      </w:pPr>
      <w:bookmarkStart w:id="1" w:name="_Toc204100076"/>
      <w:bookmarkStart w:id="2" w:name="_Hlk113373484"/>
      <w:bookmarkStart w:id="3" w:name="_Toc197965815"/>
      <w:bookmarkStart w:id="4" w:name="_Toc197785866"/>
      <w:bookmarkStart w:id="5" w:name="_Toc197965998"/>
      <w:r>
        <w:rPr>
          <w:rFonts w:hint="eastAsia" w:eastAsia="方正仿宋_GBK"/>
          <w:sz w:val="28"/>
          <w:szCs w:val="28"/>
        </w:rPr>
        <w:t>概述</w:t>
      </w:r>
      <w:bookmarkEnd w:id="1"/>
    </w:p>
    <w:bookmarkEnd w:id="2"/>
    <w:p w14:paraId="0672D02B">
      <w:pPr>
        <w:pStyle w:val="3"/>
        <w:numPr>
          <w:ilvl w:val="1"/>
          <w:numId w:val="7"/>
        </w:numPr>
        <w:spacing w:before="0" w:beforeLines="0" w:line="590" w:lineRule="exact"/>
        <w:rPr>
          <w:szCs w:val="28"/>
        </w:rPr>
      </w:pPr>
      <w:bookmarkStart w:id="6" w:name="_Toc204100077"/>
      <w:bookmarkStart w:id="7" w:name="_Toc13123"/>
      <w:bookmarkStart w:id="8" w:name="_Toc25928"/>
      <w:bookmarkStart w:id="9" w:name="_Toc3163"/>
      <w:bookmarkStart w:id="10" w:name="_Toc128674781"/>
      <w:bookmarkStart w:id="11" w:name="_Toc28818"/>
      <w:r>
        <w:rPr>
          <w:rFonts w:hint="eastAsia"/>
          <w:szCs w:val="28"/>
        </w:rPr>
        <w:t>项目背景</w:t>
      </w:r>
      <w:bookmarkEnd w:id="6"/>
    </w:p>
    <w:p w14:paraId="7DA8C876">
      <w:pPr>
        <w:pStyle w:val="4"/>
        <w:numPr>
          <w:ilvl w:val="2"/>
          <w:numId w:val="7"/>
        </w:numPr>
      </w:pPr>
      <w:r>
        <w:rPr>
          <w:rFonts w:hint="eastAsia"/>
        </w:rPr>
        <w:t>现状分析</w:t>
      </w:r>
    </w:p>
    <w:p w14:paraId="4F1F6053">
      <w:pPr>
        <w:ind w:firstLine="562"/>
        <w:rPr>
          <w:b/>
          <w:bCs/>
        </w:rPr>
      </w:pPr>
      <w:r>
        <w:rPr>
          <w:rFonts w:hint="eastAsia"/>
          <w:b/>
          <w:bCs/>
        </w:rPr>
        <w:t>（1）相关政策要求</w:t>
      </w:r>
    </w:p>
    <w:p w14:paraId="01BF1F5B">
      <w:pPr>
        <w:pStyle w:val="62"/>
        <w:snapToGrid w:val="0"/>
        <w:ind w:firstLine="560"/>
      </w:pPr>
      <w:bookmarkStart w:id="12" w:name="OLE_LINK460"/>
      <w:bookmarkStart w:id="13" w:name="OLE_LINK459"/>
      <w:bookmarkStart w:id="14" w:name="_Hlk203727995"/>
      <w:r>
        <w:rPr>
          <w:rFonts w:hint="eastAsia"/>
        </w:rPr>
        <w:t>我国明确提出</w:t>
      </w:r>
      <w:r>
        <w:t>2030</w:t>
      </w:r>
      <w:r>
        <w:rPr>
          <w:rFonts w:hint="eastAsia"/>
        </w:rPr>
        <w:t>前碳达峰、</w:t>
      </w:r>
      <w:r>
        <w:t>2060</w:t>
      </w:r>
      <w:r>
        <w:rPr>
          <w:rFonts w:hint="eastAsia"/>
        </w:rPr>
        <w:t>年前碳中和目标，国家发改委等部委《关于推进污水处理减污降碳协同增效的实施意见》提出协同推进污水处理全过程污染物削减与温室气体减排，生态环境部等部委《甲烷排放控制行动方案》指出要加强污水处理领域甲烷收集利用，江苏省委、省政府在《关于推动高质量发展做好碳达峰碳中和工作的实施意见》中提出推进水环境治理等领域减污降碳协同控制。</w:t>
      </w:r>
      <w:bookmarkEnd w:id="12"/>
      <w:bookmarkEnd w:id="13"/>
      <w:r>
        <w:rPr>
          <w:rFonts w:hint="eastAsia"/>
        </w:rPr>
        <w:t>而建立碳排放核算方法，是污水处理行业碳减排的基础工作，包含探明碳核算边界、核算方法、排放因子等内容，是政策行动、评价考核的重要技术依据。</w:t>
      </w:r>
    </w:p>
    <w:p w14:paraId="1C229950">
      <w:pPr>
        <w:pStyle w:val="62"/>
        <w:snapToGrid w:val="0"/>
        <w:ind w:firstLine="562"/>
        <w:rPr>
          <w:b/>
          <w:bCs/>
        </w:rPr>
      </w:pPr>
      <w:r>
        <w:rPr>
          <w:rFonts w:hint="eastAsia"/>
          <w:b/>
          <w:bCs/>
        </w:rPr>
        <w:t>（2）污水收集系统现状</w:t>
      </w:r>
    </w:p>
    <w:p w14:paraId="76604ED4">
      <w:pPr>
        <w:pStyle w:val="62"/>
        <w:snapToGrid w:val="0"/>
        <w:ind w:firstLine="560"/>
      </w:pPr>
      <w:r>
        <w:t>江苏省新建城区普遍采用分流制排水系统，但受历史因素影响，老城区仍存在雨污合流制，与国际典型城市（如日本东京合流制占比82%、欧洲国家合流制占比45%~70%）相比，江苏省正逐步推进分流制改造。从管网建设来看，苏南地区经济发达，污水处理厂规模较大（5万～10万m³/d），管网分布集中（长度100～500km），管网密度显著高于苏北地区。长江经济带内，下游（如苏南）污水管网密度较高，而中上游（如云南、贵州）管网建设相对滞后，呈现明显的区域不平衡性。</w:t>
      </w:r>
    </w:p>
    <w:p w14:paraId="67BD17C5">
      <w:pPr>
        <w:pStyle w:val="62"/>
        <w:snapToGrid w:val="0"/>
        <w:ind w:firstLine="560"/>
      </w:pPr>
      <w:r>
        <w:t>江苏省污水收集系统存</w:t>
      </w:r>
      <w:r>
        <w:rPr>
          <w:rFonts w:hint="eastAsia"/>
        </w:rPr>
        <w:t>在的问题包括</w:t>
      </w:r>
      <w:r>
        <w:t>进水浓度偏低、管网水力条件不佳及淤积严重。污水厂进水COD平均浓度仅为218.5 mg/L，远低于居民小区实测浓度（约800 mg/L），表明外水（地下水、雨水）渗入及管道内降解导致碳源流失。与国际对比，德国、美国污水处理厂进水COD浓度（500~1000 mg/L）显著高于江苏省，反映出管网渗漏问题的严重性。此外，管网运行参数普遍低于设计标准，平均充满度为0.51（19%的管网超过规范上限0.75），平均流速仅0.39 m/s（仅21%的管网达到规范要求的0.6 m/s），且平均泥深达2.5 cm（徐州最高达5.9 cm），通沟泥以无机成分为主（占比82.8%），进一步加剧了输送效率低下问题。</w:t>
      </w:r>
    </w:p>
    <w:p w14:paraId="5C45CB0A">
      <w:pPr>
        <w:pStyle w:val="62"/>
        <w:snapToGrid w:val="0"/>
        <w:ind w:firstLine="560"/>
      </w:pPr>
      <w:r>
        <w:t>江苏省城镇老旧小区仍普遍采用化粪池，其COD去除率介于34.1%~64%（平均49.8%），导致进入市政管网的污水碳源大幅降低（出水COD平均451 mg/L）。相比之下，欧美国家城市公寓住宅污水通常直接接入市政管网，乡村地区则采用土地处理法进一步处理化粪池出水，避免直接排放。江苏省内，苏南部分城市（如苏州）正逐步淘汰化粪池，但苏北（如徐州）仍广泛使用，形成区域差异。</w:t>
      </w:r>
    </w:p>
    <w:p w14:paraId="7C8B1CBD">
      <w:pPr>
        <w:pStyle w:val="62"/>
        <w:snapToGrid w:val="0"/>
        <w:ind w:firstLine="560"/>
      </w:pPr>
      <w:r>
        <w:t>江苏省在厂网一体化管理方面走在全国前列，但区域发展不均衡。苏南地区（如苏州、无锡）60%的县区已实现全域厂网一体化，采用“统一规划、建设、运行”模式（如太仓市）；而部分县区（如吴江区）因历史或地形因素采用分片区一体化管理。从运维层级看，仅姑苏区实现了“主管网-支管网-排水户”全链条一体化，多数地区仅整合主管网运维，支管网仍由属地政府管理。滞后地区（如江阴市）因污水处理厂和管网运维主体分散（21个厂涉及15个运维主体），一体化推进难度较大。</w:t>
      </w:r>
    </w:p>
    <w:p w14:paraId="7FDA8441">
      <w:pPr>
        <w:pStyle w:val="62"/>
        <w:snapToGrid w:val="0"/>
        <w:ind w:firstLine="560"/>
      </w:pPr>
      <w:r>
        <w:t>与国际先进水平相比，江苏省污水收集系统在厂网一体化（接近新加坡模式）等方面具有优势，但仍面临管网渗漏、低流速淤积、化粪池碳源损耗等核心问题。</w:t>
      </w:r>
    </w:p>
    <w:p w14:paraId="7D10ACB8">
      <w:pPr>
        <w:pStyle w:val="62"/>
        <w:snapToGrid w:val="0"/>
        <w:ind w:firstLine="562"/>
        <w:rPr>
          <w:b/>
          <w:bCs/>
        </w:rPr>
      </w:pPr>
      <w:r>
        <w:rPr>
          <w:rFonts w:hint="eastAsia"/>
          <w:b/>
          <w:bCs/>
        </w:rPr>
        <w:t>（3）污水处理系统现状</w:t>
      </w:r>
    </w:p>
    <w:p w14:paraId="03BEF979">
      <w:pPr>
        <w:snapToGrid w:val="0"/>
        <w:ind w:firstLine="560"/>
        <w:rPr>
          <w:szCs w:val="28"/>
        </w:rPr>
      </w:pPr>
      <w:r>
        <w:rPr>
          <w:rFonts w:hint="eastAsia"/>
          <w:szCs w:val="28"/>
        </w:rPr>
        <w:t>根据</w:t>
      </w:r>
      <w:r>
        <w:rPr>
          <w:szCs w:val="28"/>
        </w:rPr>
        <w:t>《2023年度江苏省生态环境统计年报》统计，江苏省全年污水处理量69.35亿吨，其中生活污水55.78亿吨、工业废水13.57亿吨，行业碳排放总量达627.8万吨CO2e/a。现有集中式污水处理厂953座（日处理规模500吨以上），其中城镇污水处理厂728家，占比76.4%，工业污水处理厂225家，占比23.6%。</w:t>
      </w:r>
    </w:p>
    <w:p w14:paraId="5075365A">
      <w:pPr>
        <w:snapToGrid w:val="0"/>
        <w:ind w:firstLine="560"/>
        <w:rPr>
          <w:szCs w:val="28"/>
        </w:rPr>
      </w:pPr>
      <w:r>
        <w:rPr>
          <w:szCs w:val="28"/>
        </w:rPr>
        <w:t>江苏省污水处理量日均1876万吨，其中生活污水1495.4万吨，占比79.7%；工业废水处理量日均380.6万吨，占比20.3%。污水处理总量全省前三位是苏州、南京、无锡，均为苏南地区；苏中和苏北地区污水处理总量相对较低。</w:t>
      </w:r>
    </w:p>
    <w:p w14:paraId="3BB2F8A8">
      <w:pPr>
        <w:snapToGrid w:val="0"/>
        <w:ind w:firstLine="560"/>
        <w:rPr>
          <w:szCs w:val="21"/>
        </w:rPr>
      </w:pPr>
      <w:r>
        <w:rPr>
          <w:szCs w:val="21"/>
        </w:rPr>
        <w:t>江苏省不同地区的污水厂规模分类占比存在较大差异，根据住建部污水处理厂规模分类（小于1万吨/日为小型污水厂，1~10万吨/日为中型污水厂，大于10万吨/日为大型污水厂），苏南与苏北地区污水厂规模类型存在显著差异。苏北地区的徐州、连云港、淮安、盐城以小型污水厂为主，其污水处理厂规模主要在500~5000吨/日；苏南的苏州、无锡地区以中型污水厂为主，其处理规模主要为1~10万吨/日。</w:t>
      </w:r>
    </w:p>
    <w:p w14:paraId="5BFA1654">
      <w:pPr>
        <w:snapToGrid w:val="0"/>
        <w:ind w:firstLine="560"/>
        <w:rPr>
          <w:szCs w:val="28"/>
        </w:rPr>
      </w:pPr>
      <w:r>
        <w:rPr>
          <w:szCs w:val="28"/>
        </w:rPr>
        <w:t>江苏省污水处理系统呈现显著的区域差异性和技术特征。在进水水质方面，全省污水处理厂面临碳氮比（C/N）偏低的核心问题，BOD</w:t>
      </w:r>
      <w:r>
        <w:rPr>
          <w:szCs w:val="28"/>
          <w:vertAlign w:val="subscript"/>
        </w:rPr>
        <w:t>5</w:t>
      </w:r>
      <w:r>
        <w:rPr>
          <w:szCs w:val="28"/>
        </w:rPr>
        <w:t>/TN均值仅为1.7~3.6，远低于欧美国家（≥4.0）的反硝化需求标准，导致57.5%的污水厂需要额外投加碳源，年成本普遍低于500万元，但部分厂区碳源费用超过2000万元/年，并产生显著的间接碳排放。2023年监测数据显示，全省平均进水COD浓度仅为218.5mg/L，其中56%的污水厂COD≤150mg/L，与德国（500-1000mg/L）存在显著差距，这种差异主要源于管网渗漏和收集率不足。</w:t>
      </w:r>
    </w:p>
    <w:p w14:paraId="2437716E">
      <w:pPr>
        <w:snapToGrid w:val="0"/>
        <w:ind w:firstLine="560"/>
        <w:rPr>
          <w:szCs w:val="28"/>
        </w:rPr>
      </w:pPr>
      <w:r>
        <w:rPr>
          <w:szCs w:val="28"/>
        </w:rPr>
        <w:t>在工艺特征方面，城镇污水厂以A²/O工艺为主（占比60%），工业污水厂则多采用A²/O、A/O及MBBR工艺，MBR技术主要与传统生化工艺联用。污泥特性分析显示MLSS浓度普遍在3000-5000mg/L范围内，超出设计规范，但MLVSS/MLSS比值（0.25-0.6）偏低，表明污泥活性不足。</w:t>
      </w:r>
    </w:p>
    <w:p w14:paraId="7E07456D">
      <w:pPr>
        <w:snapToGrid w:val="0"/>
        <w:ind w:firstLine="560"/>
        <w:rPr>
          <w:szCs w:val="28"/>
        </w:rPr>
      </w:pPr>
      <w:r>
        <w:rPr>
          <w:szCs w:val="28"/>
        </w:rPr>
        <w:t>纺织、化工等六大重点行业贡献了56.8%的工业废水，其中含有高浓度难降解有机物，73家处理厂需要预处理工艺（混凝占比71%），171家需要深度处理（滤池占比61%），当前普遍采用的芬顿、臭氧氧化等工艺存在高碳排问题（吨水成本2-4元）。</w:t>
      </w:r>
    </w:p>
    <w:p w14:paraId="77FF56D6">
      <w:pPr>
        <w:snapToGrid w:val="0"/>
        <w:ind w:firstLine="560"/>
        <w:rPr>
          <w:szCs w:val="28"/>
        </w:rPr>
      </w:pPr>
      <w:r>
        <w:rPr>
          <w:szCs w:val="28"/>
        </w:rPr>
        <w:t>在排放标准方面，江苏省地标（DB32/4440-2022）A类标准已达到德国最严水平，但提标改造导致处理成本上升10%和吨水成本增加0.15-0.25元。与国际先进水平相比，江苏省在管网质量（德国COD浓度700mg/L以上）、能源回收（美国大型污水厂普遍实现污泥沼气发电）等方面存在明显差距。</w:t>
      </w:r>
    </w:p>
    <w:p w14:paraId="19B353D8">
      <w:pPr>
        <w:pStyle w:val="62"/>
        <w:snapToGrid w:val="0"/>
        <w:ind w:firstLine="562"/>
        <w:rPr>
          <w:b/>
          <w:bCs/>
        </w:rPr>
      </w:pPr>
      <w:r>
        <w:rPr>
          <w:rFonts w:hint="eastAsia"/>
          <w:b/>
          <w:bCs/>
        </w:rPr>
        <w:t>（4）污泥处理处置现状</w:t>
      </w:r>
    </w:p>
    <w:p w14:paraId="0FA441F0">
      <w:pPr>
        <w:pStyle w:val="62"/>
        <w:snapToGrid w:val="0"/>
        <w:ind w:firstLine="560"/>
      </w:pPr>
      <w:r>
        <w:t>江苏省作为我国经济发达地区和污水处理大省，其污泥处理处置呈现出显著的技术特征和发展趋势。根据2022年统计数据，江苏省污泥处置量达410万吨，位居全国第二，主要采用焚烧和建材利用等处置方式，占比高达87%，而传统的填埋方式仅占2%，表明该省已基本实现由填埋为主向焚烧为主的转变。</w:t>
      </w:r>
    </w:p>
    <w:p w14:paraId="2B825E12">
      <w:pPr>
        <w:pStyle w:val="62"/>
        <w:snapToGrid w:val="0"/>
        <w:ind w:firstLine="560"/>
      </w:pPr>
      <w:r>
        <w:t>从技术特征来看，江苏省污泥具有典型的中国污泥特性：有机质含量较低（VS/TS为30%~50%）、无机质含量高（IS/TS为50%~70%）、重金属含量较高且泥龄较长（普遍在15天以上）。这些特性导致污泥厌氧消化率较低（20%~50%），明显低于发达国家水平（50%~70%），从而影响了污泥的资源化利用途径。</w:t>
      </w:r>
    </w:p>
    <w:p w14:paraId="435F8FC3">
      <w:pPr>
        <w:pStyle w:val="62"/>
        <w:snapToGrid w:val="0"/>
        <w:ind w:firstLine="560"/>
      </w:pPr>
      <w:r>
        <w:t>在处置技术路线上，江苏省主要采用焚烧和建材利用等热化学处理方法，这与欧美国家以土地利用为主的模式形成鲜明对比。这种差异主要源于三个方面：一是江苏省污泥重金属含量较高，直接土地利用存在环境风险；二是该省经济发达，具备建设和运营高成本焚烧设施的能力；三是城镇化程度高，土地利用需求相对有限。</w:t>
      </w:r>
    </w:p>
    <w:p w14:paraId="441B00A9">
      <w:pPr>
        <w:pStyle w:val="62"/>
        <w:snapToGrid w:val="0"/>
        <w:ind w:firstLine="560"/>
      </w:pPr>
      <w:r>
        <w:t>与国内外对比显示，江苏省污泥处理处置呈现出以下特点：一是技术路线与日本相似，以焚烧为主（日本占比67%），但建材利用比例更高；二是与欧美国家相比，土地利用比例明显偏低（德国40%、英国60%）；三是处理处置的规范化程度较高，填埋等落后方式已基本淘汰。</w:t>
      </w:r>
    </w:p>
    <w:p w14:paraId="5AF51E8C">
      <w:pPr>
        <w:pStyle w:val="62"/>
        <w:snapToGrid w:val="0"/>
        <w:ind w:firstLine="562"/>
        <w:rPr>
          <w:b/>
          <w:bCs/>
        </w:rPr>
      </w:pPr>
      <w:r>
        <w:rPr>
          <w:rFonts w:hint="eastAsia"/>
          <w:b/>
          <w:bCs/>
        </w:rPr>
        <w:t>（5）碳排放核算方法现状</w:t>
      </w:r>
    </w:p>
    <w:bookmarkEnd w:id="14"/>
    <w:p w14:paraId="08A1C1D2">
      <w:pPr>
        <w:snapToGrid w:val="0"/>
        <w:ind w:firstLine="560"/>
        <w:rPr>
          <w:szCs w:val="21"/>
        </w:rPr>
      </w:pPr>
      <w:r>
        <w:t>目前暂无团标、地标和国标中提及污水收集系统核算方法，仅2022年10月，中国城镇供水排水协会发布了《城镇水务系统碳核算与减排路径技术指南》提到污水管渠CH</w:t>
      </w:r>
      <w:r>
        <w:rPr>
          <w:vertAlign w:val="subscript"/>
        </w:rPr>
        <w:t>4</w:t>
      </w:r>
      <w:r>
        <w:t>核算公式</w:t>
      </w:r>
      <w:r>
        <w:rPr>
          <w:rFonts w:hint="eastAsia"/>
        </w:rPr>
        <w:t>，但</w:t>
      </w:r>
      <w:r>
        <w:t>该方法在计算存在外水进入的污水收集系统时，与理论存在较大偏差。如污水管网进入市政污水管道有机物平均浓度为800 mg/L，水量为100 m</w:t>
      </w:r>
      <w:r>
        <w:rPr>
          <w:vertAlign w:val="superscript"/>
        </w:rPr>
        <w:t>3</w:t>
      </w:r>
      <w:r>
        <w:t>/d，污水停留时间为0.5d，则有机物衰减量为322 mg/L，CH</w:t>
      </w:r>
      <w:r>
        <w:rPr>
          <w:vertAlign w:val="subscript"/>
        </w:rPr>
        <w:t>4</w:t>
      </w:r>
      <w:r>
        <w:t>排放强度为80.5 mg/L。若存在400 m</w:t>
      </w:r>
      <w:r>
        <w:rPr>
          <w:vertAlign w:val="superscript"/>
        </w:rPr>
        <w:t>3</w:t>
      </w:r>
      <w:r>
        <w:t>/d外水进入，进入市政污水管道有机物平均浓度仍为800 mg/L，则有机物衰减量为322 mg/L，CH</w:t>
      </w:r>
      <w:r>
        <w:rPr>
          <w:vertAlign w:val="subscript"/>
        </w:rPr>
        <w:t>4</w:t>
      </w:r>
      <w:r>
        <w:t>排放强度为80.5 mg/L。使用该方法计算导致有外水与无外水进入计算结果一致，</w:t>
      </w:r>
      <w:r>
        <w:rPr>
          <w:rFonts w:hint="eastAsia"/>
        </w:rPr>
        <w:t>缺乏合理性</w:t>
      </w:r>
      <w:r>
        <w:t>。</w:t>
      </w:r>
    </w:p>
    <w:p w14:paraId="40954A6A">
      <w:pPr>
        <w:snapToGrid w:val="0"/>
        <w:ind w:firstLine="560"/>
        <w:rPr>
          <w:szCs w:val="28"/>
        </w:rPr>
      </w:pPr>
      <w:r>
        <w:rPr>
          <w:szCs w:val="28"/>
        </w:rPr>
        <w:t>当前污水处理行业碳排放核算方法体系主要包含三种主流方法：排放因子法、实测法和模型法，各具特点且应用场景各异。</w:t>
      </w:r>
    </w:p>
    <w:p w14:paraId="3A549608">
      <w:pPr>
        <w:snapToGrid w:val="0"/>
        <w:ind w:firstLine="560"/>
        <w:rPr>
          <w:szCs w:val="28"/>
        </w:rPr>
      </w:pPr>
      <w:r>
        <w:rPr>
          <w:rFonts w:hint="eastAsia"/>
          <w:szCs w:val="28"/>
        </w:rPr>
        <w:t>1.</w:t>
      </w:r>
      <w:r>
        <w:rPr>
          <w:szCs w:val="28"/>
        </w:rPr>
        <w:t>排放因子法作为应用最广泛的方法，其技术体系已相对成熟。IPCC方法聚焦CH</w:t>
      </w:r>
      <w:r>
        <w:rPr>
          <w:szCs w:val="28"/>
          <w:vertAlign w:val="subscript"/>
        </w:rPr>
        <w:t>4</w:t>
      </w:r>
      <w:r>
        <w:rPr>
          <w:szCs w:val="28"/>
        </w:rPr>
        <w:t>和N</w:t>
      </w:r>
      <w:r>
        <w:rPr>
          <w:szCs w:val="28"/>
          <w:vertAlign w:val="subscript"/>
        </w:rPr>
        <w:t>2</w:t>
      </w:r>
      <w:r>
        <w:rPr>
          <w:szCs w:val="28"/>
        </w:rPr>
        <w:t>O的直接排放，采用固定排放因子（CH</w:t>
      </w:r>
      <w:r>
        <w:rPr>
          <w:szCs w:val="28"/>
          <w:vertAlign w:val="subscript"/>
        </w:rPr>
        <w:t>4</w:t>
      </w:r>
      <w:r>
        <w:rPr>
          <w:szCs w:val="28"/>
        </w:rPr>
        <w:t>：0.25 kg/kgCOD；N</w:t>
      </w:r>
      <w:r>
        <w:rPr>
          <w:szCs w:val="28"/>
          <w:vertAlign w:val="subscript"/>
        </w:rPr>
        <w:t>2</w:t>
      </w:r>
      <w:r>
        <w:rPr>
          <w:szCs w:val="28"/>
        </w:rPr>
        <w:t>O：0.016 kgN/kgN）。中国环境保护产业协会的团标在IPCC基础上扩展了药剂间接排放因子，而中国城镇供水排水协会的指南则进一步引入全生命周期视角，更新排放因子为CH</w:t>
      </w:r>
      <w:r>
        <w:rPr>
          <w:szCs w:val="28"/>
          <w:vertAlign w:val="subscript"/>
        </w:rPr>
        <w:t>4</w:t>
      </w:r>
      <w:r>
        <w:rPr>
          <w:szCs w:val="28"/>
        </w:rPr>
        <w:t>：0.0121±0.0140 kg/kgBOD5，N</w:t>
      </w:r>
      <w:r>
        <w:rPr>
          <w:szCs w:val="28"/>
          <w:vertAlign w:val="subscript"/>
        </w:rPr>
        <w:t>2</w:t>
      </w:r>
      <w:r>
        <w:rPr>
          <w:szCs w:val="28"/>
        </w:rPr>
        <w:t>O：0.093 kg/kgTN。该方法数据需求简单（仅需进出水浓度和处理量），与电力、石化等行业的核算方法保持兼容，但其准确性受排放因子代表性质疑。</w:t>
      </w:r>
    </w:p>
    <w:p w14:paraId="5A0C7C5C">
      <w:pPr>
        <w:snapToGrid w:val="0"/>
        <w:ind w:firstLine="560"/>
        <w:rPr>
          <w:szCs w:val="28"/>
        </w:rPr>
      </w:pPr>
      <w:r>
        <w:rPr>
          <w:rFonts w:hint="eastAsia"/>
          <w:szCs w:val="28"/>
        </w:rPr>
        <w:t>2.</w:t>
      </w:r>
      <w:r>
        <w:rPr>
          <w:szCs w:val="28"/>
        </w:rPr>
        <w:t>实测法</w:t>
      </w:r>
      <w:r>
        <w:rPr>
          <w:rFonts w:hint="eastAsia"/>
          <w:szCs w:val="28"/>
        </w:rPr>
        <w:t>。实测法</w:t>
      </w:r>
      <w:r>
        <w:rPr>
          <w:szCs w:val="28"/>
        </w:rPr>
        <w:t>通过直接监测获取排放数据，曝气单元采用气袋法（F=ρcQ/A）</w:t>
      </w:r>
      <w:r>
        <w:rPr>
          <w:rFonts w:hint="eastAsia"/>
          <w:szCs w:val="28"/>
        </w:rPr>
        <w:t>、</w:t>
      </w:r>
      <w:r>
        <w:rPr>
          <w:szCs w:val="28"/>
        </w:rPr>
        <w:t>非曝气单元采用静态箱法（F=(V/A)ρ(dc/dt)）</w:t>
      </w:r>
      <w:r>
        <w:rPr>
          <w:rFonts w:hint="eastAsia"/>
          <w:szCs w:val="28"/>
        </w:rPr>
        <w:t>。</w:t>
      </w:r>
      <w:r>
        <w:rPr>
          <w:szCs w:val="28"/>
        </w:rPr>
        <w:t>检测手段涵盖离线分析（气相色谱）和在线监测（如西门子Ultramat 23）。该方法虽能获取直接数据，但设备投入大（SEIFC®系统）、采样要求高（需24小时连续监测），且难以捕捉瞬时排放峰值。</w:t>
      </w:r>
    </w:p>
    <w:p w14:paraId="2C0BABE4">
      <w:pPr>
        <w:snapToGrid w:val="0"/>
        <w:ind w:firstLine="560"/>
        <w:rPr>
          <w:szCs w:val="28"/>
        </w:rPr>
      </w:pPr>
      <w:r>
        <w:rPr>
          <w:rFonts w:hint="eastAsia"/>
          <w:szCs w:val="28"/>
        </w:rPr>
        <w:t>3.</w:t>
      </w:r>
      <w:r>
        <w:rPr>
          <w:szCs w:val="28"/>
        </w:rPr>
        <w:t>模型法</w:t>
      </w:r>
      <w:r>
        <w:rPr>
          <w:rFonts w:hint="eastAsia"/>
          <w:szCs w:val="28"/>
        </w:rPr>
        <w:t>。模型法</w:t>
      </w:r>
      <w:r>
        <w:rPr>
          <w:szCs w:val="28"/>
        </w:rPr>
        <w:t>以IWA活性污泥模型（ASM）为代表，通过数学模拟量化微生物代谢产生的温室气体。需校准11个关键参数（如S</w:t>
      </w:r>
      <w:r>
        <w:rPr>
          <w:rFonts w:hint="eastAsia"/>
          <w:szCs w:val="28"/>
          <w:vertAlign w:val="subscript"/>
        </w:rPr>
        <w:t>I</w:t>
      </w:r>
      <w:r>
        <w:rPr>
          <w:szCs w:val="28"/>
        </w:rPr>
        <w:t>、S</w:t>
      </w:r>
      <w:r>
        <w:rPr>
          <w:szCs w:val="28"/>
          <w:vertAlign w:val="subscript"/>
        </w:rPr>
        <w:t>S</w:t>
      </w:r>
      <w:r>
        <w:rPr>
          <w:szCs w:val="28"/>
        </w:rPr>
        <w:t>、X</w:t>
      </w:r>
      <w:r>
        <w:rPr>
          <w:szCs w:val="28"/>
          <w:vertAlign w:val="subscript"/>
        </w:rPr>
        <w:t>S</w:t>
      </w:r>
      <w:r>
        <w:rPr>
          <w:szCs w:val="28"/>
        </w:rPr>
        <w:t>等），重庆大学团队开发的化学守恒模型可计算CO</w:t>
      </w:r>
      <w:r>
        <w:rPr>
          <w:szCs w:val="28"/>
          <w:vertAlign w:val="subscript"/>
        </w:rPr>
        <w:t>2</w:t>
      </w:r>
      <w:r>
        <w:rPr>
          <w:szCs w:val="28"/>
        </w:rPr>
        <w:t>/CH</w:t>
      </w:r>
      <w:r>
        <w:rPr>
          <w:szCs w:val="28"/>
          <w:vertAlign w:val="subscript"/>
        </w:rPr>
        <w:t>4</w:t>
      </w:r>
      <w:r>
        <w:rPr>
          <w:szCs w:val="28"/>
        </w:rPr>
        <w:t>，但对N</w:t>
      </w:r>
      <w:r>
        <w:rPr>
          <w:szCs w:val="28"/>
          <w:vertAlign w:val="subscript"/>
        </w:rPr>
        <w:t>2</w:t>
      </w:r>
      <w:r>
        <w:rPr>
          <w:szCs w:val="28"/>
        </w:rPr>
        <w:t>O的量化仍存在理论缺陷。模型法对数据质量和专业能力要求较高，在运行稳定时精度较好。</w:t>
      </w:r>
    </w:p>
    <w:p w14:paraId="56CE14D5">
      <w:pPr>
        <w:snapToGrid w:val="0"/>
        <w:ind w:firstLine="560"/>
        <w:rPr>
          <w:szCs w:val="21"/>
        </w:rPr>
      </w:pPr>
      <w:r>
        <w:rPr>
          <w:szCs w:val="21"/>
        </w:rPr>
        <w:t>现有方法存在4点不足：一是据统计，现已公开的7种方法只收集了30篇国外论文的59个污水厂的数据，以及6篇国内论文，涉及北京、上海和济南的7个污水厂数据，没有江苏省污水处理行业数据样本。二是缺少本地化的化石源CO</w:t>
      </w:r>
      <w:r>
        <w:rPr>
          <w:szCs w:val="21"/>
          <w:vertAlign w:val="subscript"/>
        </w:rPr>
        <w:t>2</w:t>
      </w:r>
      <w:r>
        <w:rPr>
          <w:szCs w:val="21"/>
        </w:rPr>
        <w:t>排放因子，现有化石碳占比（13%）是参考了1座美国污水厂10年前的研究数据，不能反映我省现状。三是N</w:t>
      </w:r>
      <w:r>
        <w:rPr>
          <w:szCs w:val="21"/>
          <w:vertAlign w:val="subscript"/>
        </w:rPr>
        <w:t>2</w:t>
      </w:r>
      <w:r>
        <w:rPr>
          <w:szCs w:val="21"/>
        </w:rPr>
        <w:t>O作为氮循环中间产物，能够继续转化为N</w:t>
      </w:r>
      <w:r>
        <w:rPr>
          <w:szCs w:val="21"/>
          <w:vertAlign w:val="subscript"/>
        </w:rPr>
        <w:t>2</w:t>
      </w:r>
      <w:r>
        <w:rPr>
          <w:szCs w:val="21"/>
        </w:rPr>
        <w:t>，无法准确定量。四是污水管网没考虑通沟泥内源释放贡献。</w:t>
      </w:r>
    </w:p>
    <w:p w14:paraId="3B020266">
      <w:pPr>
        <w:pStyle w:val="4"/>
        <w:numPr>
          <w:ilvl w:val="2"/>
          <w:numId w:val="7"/>
        </w:numPr>
      </w:pPr>
      <w:r>
        <w:rPr>
          <w:rFonts w:hint="eastAsia"/>
        </w:rPr>
        <w:t>存在的问题</w:t>
      </w:r>
    </w:p>
    <w:p w14:paraId="5722E6C8">
      <w:pPr>
        <w:pStyle w:val="62"/>
        <w:snapToGrid w:val="0"/>
        <w:ind w:firstLine="560"/>
        <w:rPr>
          <w:szCs w:val="21"/>
        </w:rPr>
      </w:pPr>
      <w:r>
        <w:rPr>
          <w:rFonts w:hint="eastAsia"/>
          <w:szCs w:val="21"/>
        </w:rPr>
        <w:t>对于污水收集系统来说，目前</w:t>
      </w:r>
      <w:r>
        <w:t>暂无团标、地标和国标</w:t>
      </w:r>
      <w:r>
        <w:rPr>
          <w:rFonts w:hint="eastAsia"/>
        </w:rPr>
        <w:t>规定</w:t>
      </w:r>
      <w:r>
        <w:t>污水收集系统核算方法</w:t>
      </w:r>
      <w:r>
        <w:rPr>
          <w:rFonts w:hint="eastAsia"/>
        </w:rPr>
        <w:t>，而</w:t>
      </w:r>
      <w:r>
        <w:rPr>
          <w:szCs w:val="21"/>
        </w:rPr>
        <w:t>《城镇水务系统碳核算与减排路径技术指南》中提出的污水管渠CH</w:t>
      </w:r>
      <w:r>
        <w:rPr>
          <w:szCs w:val="21"/>
          <w:vertAlign w:val="subscript"/>
        </w:rPr>
        <w:t>4</w:t>
      </w:r>
      <w:r>
        <w:rPr>
          <w:szCs w:val="21"/>
        </w:rPr>
        <w:t>核算公式无法有效表征存在外水渗入情况下的</w:t>
      </w:r>
      <w:r>
        <w:rPr>
          <w:rFonts w:hint="eastAsia"/>
          <w:szCs w:val="21"/>
        </w:rPr>
        <w:t>碳</w:t>
      </w:r>
      <w:r>
        <w:rPr>
          <w:szCs w:val="21"/>
        </w:rPr>
        <w:t>排放特征</w:t>
      </w:r>
      <w:r>
        <w:rPr>
          <w:rFonts w:hint="eastAsia"/>
          <w:szCs w:val="21"/>
        </w:rPr>
        <w:t>，不符合省内的实际情况</w:t>
      </w:r>
      <w:r>
        <w:rPr>
          <w:szCs w:val="21"/>
        </w:rPr>
        <w:t>。</w:t>
      </w:r>
    </w:p>
    <w:p w14:paraId="70FC7DCA">
      <w:pPr>
        <w:pStyle w:val="62"/>
        <w:snapToGrid w:val="0"/>
        <w:ind w:firstLine="560"/>
        <w:rPr>
          <w:szCs w:val="21"/>
        </w:rPr>
      </w:pPr>
      <w:r>
        <w:rPr>
          <w:rFonts w:hint="eastAsia"/>
          <w:szCs w:val="21"/>
        </w:rPr>
        <w:t>对于</w:t>
      </w:r>
      <w:r>
        <w:rPr>
          <w:szCs w:val="21"/>
        </w:rPr>
        <w:t>污水处理系统和污泥处理系统，虽然</w:t>
      </w:r>
      <w:r>
        <w:rPr>
          <w:rFonts w:hint="eastAsia"/>
          <w:szCs w:val="21"/>
        </w:rPr>
        <w:t>国内外已建立包括</w:t>
      </w:r>
      <w:r>
        <w:rPr>
          <w:szCs w:val="21"/>
        </w:rPr>
        <w:t>IPCC《国家温室气体清单指南》在内的7项核算标准，但这些方法存在显著局限性：首先，现有标准基于有限样本建立（59座国外和7座国内污水厂数据），缺乏江苏省典型污水处理设施的实证数据；其次，排放因子主要引自国外研究，难以准确反映本地工艺特征；第三，关键参数如化石源CO</w:t>
      </w:r>
      <w:r>
        <w:rPr>
          <w:szCs w:val="21"/>
          <w:vertAlign w:val="subscript"/>
        </w:rPr>
        <w:t>2</w:t>
      </w:r>
      <w:r>
        <w:rPr>
          <w:szCs w:val="21"/>
        </w:rPr>
        <w:t>占比（13%）依据过时的国外数据，缺乏本土化排放因子；最后，对N</w:t>
      </w:r>
      <w:r>
        <w:rPr>
          <w:szCs w:val="21"/>
          <w:vertAlign w:val="subscript"/>
        </w:rPr>
        <w:t>2</w:t>
      </w:r>
      <w:r>
        <w:rPr>
          <w:szCs w:val="21"/>
        </w:rPr>
        <w:t>O这种氮循环中间产物的量化方法仍不完善。这些不足严重制约了碳排放核算的准确性和适用性。</w:t>
      </w:r>
    </w:p>
    <w:p w14:paraId="2172A73F">
      <w:pPr>
        <w:pStyle w:val="62"/>
        <w:snapToGrid w:val="0"/>
        <w:ind w:firstLine="560"/>
        <w:rPr>
          <w:szCs w:val="21"/>
        </w:rPr>
      </w:pPr>
      <w:r>
        <w:rPr>
          <w:rFonts w:hint="eastAsia"/>
          <w:szCs w:val="21"/>
        </w:rPr>
        <w:t>以上存在的问题</w:t>
      </w:r>
      <w:r>
        <w:rPr>
          <w:szCs w:val="21"/>
        </w:rPr>
        <w:t>导致污水</w:t>
      </w:r>
      <w:r>
        <w:rPr>
          <w:rFonts w:hint="eastAsia"/>
          <w:szCs w:val="21"/>
        </w:rPr>
        <w:t>收集和</w:t>
      </w:r>
      <w:r>
        <w:rPr>
          <w:szCs w:val="21"/>
        </w:rPr>
        <w:t>处理行业碳排放清单缺失、底数不清，碳产排规律不明，缺少针对性的减排措施，制约了</w:t>
      </w:r>
      <w:r>
        <w:rPr>
          <w:rFonts w:hint="eastAsia"/>
          <w:szCs w:val="21"/>
        </w:rPr>
        <w:t>我省</w:t>
      </w:r>
      <w:r>
        <w:rPr>
          <w:szCs w:val="21"/>
        </w:rPr>
        <w:t>污水处理行业的低碳转型。</w:t>
      </w:r>
    </w:p>
    <w:p w14:paraId="4686CEEA">
      <w:pPr>
        <w:pStyle w:val="62"/>
        <w:snapToGrid w:val="0"/>
        <w:ind w:firstLine="560"/>
        <w:rPr>
          <w:szCs w:val="21"/>
        </w:rPr>
      </w:pPr>
    </w:p>
    <w:p w14:paraId="3CBCB53C">
      <w:pPr>
        <w:pStyle w:val="4"/>
        <w:numPr>
          <w:ilvl w:val="2"/>
          <w:numId w:val="7"/>
        </w:numPr>
      </w:pPr>
      <w:r>
        <w:rPr>
          <w:rFonts w:hint="eastAsia"/>
        </w:rPr>
        <w:t>制定本标准解决的问题</w:t>
      </w:r>
    </w:p>
    <w:p w14:paraId="2E818A8D">
      <w:pPr>
        <w:ind w:firstLine="560"/>
      </w:pPr>
      <w:r>
        <w:rPr>
          <w:rFonts w:hint="eastAsia"/>
        </w:rPr>
        <w:t>当前，江苏省污水处理规模持续扩大，处理标准不断提高，污水处理系统的碳排放问题日益突出。然而，在碳排放核算与管理方面仍存在若干关键问题亟待解决。</w:t>
      </w:r>
    </w:p>
    <w:p w14:paraId="3AAD0F33">
      <w:pPr>
        <w:ind w:firstLine="560"/>
      </w:pPr>
      <w:r>
        <w:rPr>
          <w:rFonts w:hint="eastAsia"/>
        </w:rPr>
        <w:t>首先，缺乏统一的碳排放核算标准。目前，国家和行业层面尚未建立适用于污水处理系统的专门碳排放计算方法，导致不同地区、不同工艺的核算结果缺乏可比性，难以支撑精准的碳减排管理。</w:t>
      </w:r>
    </w:p>
    <w:p w14:paraId="1C2CF86A">
      <w:pPr>
        <w:ind w:firstLine="560"/>
      </w:pPr>
      <w:r>
        <w:rPr>
          <w:rFonts w:hint="eastAsia"/>
        </w:rPr>
        <w:t>其次，碳排放过程复杂，核算边界不清晰。污水处理系统涉及能源消耗、生化反应（如</w:t>
      </w:r>
      <w:r>
        <w:t>CH₄</w:t>
      </w:r>
      <w:r>
        <w:rPr>
          <w:rFonts w:hint="eastAsia"/>
        </w:rPr>
        <w:t>和</w:t>
      </w:r>
      <w:r>
        <w:t>N₂O</w:t>
      </w:r>
      <w:r>
        <w:rPr>
          <w:rFonts w:hint="eastAsia"/>
        </w:rPr>
        <w:t>排放）、污泥处理等多个排放环节，现有方法对直接排放与间接排放的界定不统一，尤其是</w:t>
      </w:r>
      <w:r>
        <w:t>N₂O</w:t>
      </w:r>
      <w:r>
        <w:rPr>
          <w:rFonts w:hint="eastAsia"/>
        </w:rPr>
        <w:t>的排放因子受工艺、水质等因素影响显著，现有模型难以准确量化。</w:t>
      </w:r>
    </w:p>
    <w:p w14:paraId="0442A8AB">
      <w:pPr>
        <w:ind w:firstLine="560"/>
      </w:pPr>
      <w:r>
        <w:rPr>
          <w:rFonts w:hint="eastAsia"/>
        </w:rPr>
        <w:t>第三，现有国内外标准存在局限性。一方面，现行标准主要针对城镇污水，未充分考虑工业废水碳核算的特殊性，而江苏省工业园区集中处理比例较高，亟需补充工业废水相关核算方法；另一方面，部分排放因子直接引用国外数据，未结合本地气候、水质及工艺特点进行修正，导致核算结果偏差。此外，化石源</w:t>
      </w:r>
      <w:r>
        <w:t>CO₂</w:t>
      </w:r>
      <w:r>
        <w:rPr>
          <w:rFonts w:hint="eastAsia"/>
        </w:rPr>
        <w:t>与生物源</w:t>
      </w:r>
      <w:r>
        <w:t>CO₂</w:t>
      </w:r>
      <w:r>
        <w:rPr>
          <w:rFonts w:hint="eastAsia"/>
        </w:rPr>
        <w:t>的区分尚不明确，影响碳排放的精准核算。</w:t>
      </w:r>
    </w:p>
    <w:p w14:paraId="0C4D5768">
      <w:pPr>
        <w:ind w:firstLine="560"/>
      </w:pPr>
      <w:r>
        <w:rPr>
          <w:rFonts w:hint="eastAsia"/>
        </w:rPr>
        <w:t>基于上述问题，本标准的制定旨在建立一套科学、适用、可操作的污水处理系统碳排放核算方法，重点解决核算标准缺失、过程复杂性和现有标准局限性等问题，为江苏省污水处理行业碳减排管理提供技术支撑，助力实现国家和省级“双碳”目标。</w:t>
      </w:r>
    </w:p>
    <w:p w14:paraId="0E1ED580">
      <w:pPr>
        <w:pStyle w:val="3"/>
        <w:numPr>
          <w:ilvl w:val="1"/>
          <w:numId w:val="7"/>
        </w:numPr>
        <w:spacing w:before="0" w:beforeLines="0" w:line="590" w:lineRule="exact"/>
        <w:rPr>
          <w:szCs w:val="28"/>
        </w:rPr>
      </w:pPr>
      <w:bookmarkStart w:id="15" w:name="_Toc204100078"/>
      <w:r>
        <w:rPr>
          <w:szCs w:val="28"/>
        </w:rPr>
        <w:t>任务来源</w:t>
      </w:r>
      <w:bookmarkEnd w:id="7"/>
      <w:bookmarkEnd w:id="8"/>
      <w:bookmarkEnd w:id="9"/>
      <w:bookmarkEnd w:id="10"/>
      <w:bookmarkEnd w:id="11"/>
      <w:bookmarkEnd w:id="15"/>
    </w:p>
    <w:p w14:paraId="4FF14320">
      <w:pPr>
        <w:spacing w:line="590" w:lineRule="exact"/>
        <w:ind w:firstLine="560"/>
        <w:rPr>
          <w:szCs w:val="28"/>
        </w:rPr>
      </w:pPr>
      <w:bookmarkStart w:id="16" w:name="_Hlk119943543"/>
      <w:r>
        <w:rPr>
          <w:szCs w:val="28"/>
        </w:rPr>
        <w:t>本标准由江苏省</w:t>
      </w:r>
      <w:r>
        <w:rPr>
          <w:rFonts w:hint="eastAsia"/>
          <w:szCs w:val="28"/>
        </w:rPr>
        <w:t>标准化</w:t>
      </w:r>
      <w:r>
        <w:rPr>
          <w:szCs w:val="28"/>
        </w:rPr>
        <w:t>协会（JS</w:t>
      </w:r>
      <w:r>
        <w:rPr>
          <w:rFonts w:hint="eastAsia"/>
          <w:szCs w:val="28"/>
        </w:rPr>
        <w:t>AS</w:t>
      </w:r>
      <w:r>
        <w:rPr>
          <w:szCs w:val="28"/>
        </w:rPr>
        <w:t>）提出并归口，列入江苏省</w:t>
      </w:r>
      <w:r>
        <w:rPr>
          <w:rFonts w:hint="eastAsia"/>
          <w:szCs w:val="28"/>
        </w:rPr>
        <w:t>标准化</w:t>
      </w:r>
      <w:r>
        <w:rPr>
          <w:szCs w:val="28"/>
        </w:rPr>
        <w:t>协会 202</w:t>
      </w:r>
      <w:r>
        <w:rPr>
          <w:rFonts w:hint="eastAsia"/>
          <w:szCs w:val="28"/>
        </w:rPr>
        <w:t>5</w:t>
      </w:r>
      <w:r>
        <w:rPr>
          <w:szCs w:val="28"/>
        </w:rPr>
        <w:t>年度团体标准立项</w:t>
      </w:r>
      <w:r>
        <w:rPr>
          <w:rFonts w:hint="eastAsia"/>
          <w:szCs w:val="28"/>
        </w:rPr>
        <w:t>（苏标协函【2025】8号）</w:t>
      </w:r>
      <w:r>
        <w:rPr>
          <w:szCs w:val="28"/>
        </w:rPr>
        <w:t>，项目名称为《</w:t>
      </w:r>
      <w:bookmarkStart w:id="17" w:name="_Hlk203635420"/>
      <w:r>
        <w:rPr>
          <w:rFonts w:hint="eastAsia"/>
          <w:szCs w:val="28"/>
        </w:rPr>
        <w:t>温室气体 企业碳足迹量化方法与要求污水处理厂</w:t>
      </w:r>
      <w:bookmarkEnd w:id="17"/>
      <w:r>
        <w:rPr>
          <w:szCs w:val="28"/>
        </w:rPr>
        <w:t>》。</w:t>
      </w:r>
    </w:p>
    <w:p w14:paraId="75A9023B">
      <w:pPr>
        <w:pStyle w:val="3"/>
        <w:numPr>
          <w:ilvl w:val="1"/>
          <w:numId w:val="7"/>
        </w:numPr>
        <w:spacing w:before="0" w:beforeLines="0" w:line="590" w:lineRule="exact"/>
        <w:rPr>
          <w:szCs w:val="28"/>
        </w:rPr>
      </w:pPr>
      <w:bookmarkStart w:id="18" w:name="_Toc204100079"/>
      <w:r>
        <w:rPr>
          <w:rFonts w:hint="eastAsia"/>
          <w:szCs w:val="28"/>
        </w:rPr>
        <w:t>标准起草单位和主要起草人</w:t>
      </w:r>
      <w:bookmarkEnd w:id="18"/>
    </w:p>
    <w:p w14:paraId="6FC788F1">
      <w:pPr>
        <w:ind w:firstLine="560"/>
      </w:pPr>
      <w:r>
        <w:rPr>
          <w:rFonts w:hint="eastAsia"/>
        </w:rPr>
        <w:t>牵头单位：江苏省环境科学研究院</w:t>
      </w:r>
    </w:p>
    <w:p w14:paraId="54DD7AF6">
      <w:pPr>
        <w:ind w:firstLine="560"/>
      </w:pPr>
      <w:r>
        <w:rPr>
          <w:rFonts w:hint="eastAsia"/>
        </w:rPr>
        <w:t>参编单位信息：镇江市水业有限责任公司、南京高科环境科技有限公司。</w:t>
      </w:r>
    </w:p>
    <w:p w14:paraId="4FC3217B">
      <w:pPr>
        <w:pStyle w:val="3"/>
        <w:numPr>
          <w:ilvl w:val="1"/>
          <w:numId w:val="7"/>
        </w:numPr>
        <w:spacing w:before="0" w:beforeLines="0" w:line="590" w:lineRule="exact"/>
        <w:ind w:left="0" w:firstLine="0"/>
        <w:rPr>
          <w:szCs w:val="28"/>
        </w:rPr>
      </w:pPr>
      <w:bookmarkStart w:id="19" w:name="_Toc15512"/>
      <w:bookmarkStart w:id="20" w:name="_Toc13184"/>
      <w:bookmarkStart w:id="21" w:name="_Toc128674782"/>
      <w:bookmarkStart w:id="22" w:name="_Toc24485"/>
      <w:bookmarkStart w:id="23" w:name="_Toc28562"/>
      <w:bookmarkStart w:id="24" w:name="_Toc204100080"/>
      <w:r>
        <w:rPr>
          <w:rFonts w:hint="eastAsia"/>
          <w:szCs w:val="28"/>
        </w:rPr>
        <w:t>主要</w:t>
      </w:r>
      <w:r>
        <w:rPr>
          <w:szCs w:val="28"/>
        </w:rPr>
        <w:t>工作过程</w:t>
      </w:r>
      <w:bookmarkEnd w:id="19"/>
      <w:bookmarkEnd w:id="20"/>
      <w:bookmarkEnd w:id="21"/>
      <w:bookmarkEnd w:id="22"/>
      <w:bookmarkEnd w:id="23"/>
      <w:r>
        <w:rPr>
          <w:rFonts w:hint="eastAsia"/>
          <w:szCs w:val="28"/>
        </w:rPr>
        <w:t>及所做工作</w:t>
      </w:r>
      <w:bookmarkEnd w:id="24"/>
    </w:p>
    <w:p w14:paraId="0BE85E07">
      <w:pPr>
        <w:spacing w:line="590" w:lineRule="exact"/>
        <w:ind w:firstLine="560"/>
        <w:rPr>
          <w:szCs w:val="28"/>
        </w:rPr>
      </w:pPr>
      <w:r>
        <w:rPr>
          <w:rFonts w:hint="eastAsia"/>
          <w:szCs w:val="28"/>
        </w:rPr>
        <w:t>本标准编制依托于江苏省环境科学研究院承担的江苏省科技厅污水处理行业减污降碳协同增效关键技术研发及综合示范项目，课题从2022年9月30日向正式立项至今，江苏省环境科学研究院通过查阅文献、专家咨询、现场实验和组织讨论的形式，对污水处理系统碳排放核算方法开展研究，并组织人员编制了标准草案，邀请相关单位</w:t>
      </w:r>
      <w:r>
        <w:rPr>
          <w:rFonts w:hint="eastAsia"/>
          <w:szCs w:val="28"/>
          <w:highlight w:val="none"/>
        </w:rPr>
        <w:t>及专家对碳核算方法进行</w:t>
      </w:r>
      <w:r>
        <w:rPr>
          <w:rFonts w:hint="eastAsia"/>
          <w:szCs w:val="28"/>
        </w:rPr>
        <w:t>了研讨和意见交换，对标准内容进行了完善，现已完成征求意见稿的编制。项目研究过程经历以下几个主要阶段：</w:t>
      </w:r>
    </w:p>
    <w:p w14:paraId="6C6BED0F">
      <w:pPr>
        <w:spacing w:line="590" w:lineRule="exact"/>
        <w:ind w:firstLine="560"/>
        <w:rPr>
          <w:szCs w:val="28"/>
        </w:rPr>
      </w:pPr>
      <w:r>
        <w:rPr>
          <w:rFonts w:hint="eastAsia"/>
          <w:szCs w:val="28"/>
        </w:rPr>
        <w:t>（1）启动阶段（2022 年 9月-2024年8 月）。本阶段主要工作如下：</w:t>
      </w:r>
    </w:p>
    <w:p w14:paraId="03725356">
      <w:pPr>
        <w:spacing w:line="590" w:lineRule="exact"/>
        <w:ind w:firstLine="560"/>
        <w:rPr>
          <w:szCs w:val="28"/>
        </w:rPr>
      </w:pPr>
      <w:r>
        <w:rPr>
          <w:rFonts w:hint="eastAsia"/>
          <w:szCs w:val="28"/>
        </w:rPr>
        <w:t>2022年9月-2023年3月，标准编制组开展文献资料调研，通过广泛的文献查阅和资料查询，收集并对比污水处理相关的国家标准、行业标准、地方标准，梳理现有标准的特点及尚需解决的问题，确定标准编制的技术路线。</w:t>
      </w:r>
    </w:p>
    <w:p w14:paraId="53F3B985">
      <w:pPr>
        <w:spacing w:line="590" w:lineRule="exact"/>
        <w:ind w:firstLine="560"/>
        <w:rPr>
          <w:szCs w:val="28"/>
        </w:rPr>
      </w:pPr>
      <w:r>
        <w:rPr>
          <w:rFonts w:hint="eastAsia"/>
          <w:szCs w:val="28"/>
        </w:rPr>
        <w:t>2023年4月-2024年12月，标准编制组多次赴南京、镇江、泰州、无锡、苏州等地的污水收集、污水处理和污泥处置项目开展调研，现场检测水质、污泥特性以及碳排放强度，为推进后续编制工作提供了重要的基础数据。</w:t>
      </w:r>
    </w:p>
    <w:p w14:paraId="482114C2">
      <w:pPr>
        <w:pStyle w:val="62"/>
        <w:spacing w:line="590" w:lineRule="exact"/>
        <w:ind w:left="227" w:firstLine="280" w:firstLineChars="100"/>
        <w:rPr>
          <w:szCs w:val="28"/>
        </w:rPr>
      </w:pPr>
      <w:r>
        <w:rPr>
          <w:rFonts w:hint="eastAsia"/>
          <w:szCs w:val="28"/>
        </w:rPr>
        <w:t>（2）标准初稿编制阶段（2025 年 1 月-2025年5 月）。本阶段主要工作如下：</w:t>
      </w:r>
    </w:p>
    <w:p w14:paraId="38263077">
      <w:pPr>
        <w:spacing w:line="590" w:lineRule="exact"/>
        <w:ind w:firstLine="560"/>
        <w:rPr>
          <w:szCs w:val="28"/>
        </w:rPr>
      </w:pPr>
      <w:r>
        <w:rPr>
          <w:rFonts w:hint="eastAsia"/>
          <w:szCs w:val="28"/>
        </w:rPr>
        <w:t>按照各模块分工，团体标准工作组进行标准内容的撰写形成标准草案初稿。对</w:t>
      </w:r>
      <w:r>
        <w:rPr>
          <w:szCs w:val="28"/>
        </w:rPr>
        <w:t>《</w:t>
      </w:r>
      <w:r>
        <w:rPr>
          <w:rFonts w:hint="eastAsia"/>
          <w:szCs w:val="28"/>
        </w:rPr>
        <w:t>温室气体 企业碳足迹量化方法与要求 污水处理厂</w:t>
      </w:r>
      <w:r>
        <w:rPr>
          <w:szCs w:val="28"/>
        </w:rPr>
        <w:t>》</w:t>
      </w:r>
      <w:r>
        <w:rPr>
          <w:rFonts w:hint="eastAsia"/>
          <w:szCs w:val="28"/>
        </w:rPr>
        <w:t>团体标准草案进行讨论，编制工作组邀请相关单位及专家开展研讨，会后团体标准工作组针对专家给出的意见，确定下阶段具体工作安排，制定信息收集及调研方案，进行相关信息的收集及标准内容的修订完善，并于2025年6月完成标准立项工作。</w:t>
      </w:r>
    </w:p>
    <w:p w14:paraId="2C1E24D7">
      <w:pPr>
        <w:pStyle w:val="62"/>
        <w:spacing w:line="590" w:lineRule="exact"/>
        <w:ind w:firstLine="560"/>
        <w:rPr>
          <w:szCs w:val="28"/>
        </w:rPr>
      </w:pPr>
      <w:r>
        <w:rPr>
          <w:rFonts w:hint="eastAsia"/>
          <w:szCs w:val="28"/>
        </w:rPr>
        <w:t>（3）标准征求意见稿编制阶段（2025 年6月-2025年7月）。本阶段主要工作如下：</w:t>
      </w:r>
    </w:p>
    <w:p w14:paraId="1B781D41">
      <w:pPr>
        <w:spacing w:line="590" w:lineRule="exact"/>
        <w:ind w:firstLine="560"/>
        <w:rPr>
          <w:szCs w:val="28"/>
        </w:rPr>
      </w:pPr>
      <w:r>
        <w:rPr>
          <w:rFonts w:hint="eastAsia"/>
          <w:szCs w:val="28"/>
        </w:rPr>
        <w:t>针对前阶段收集到的意见建议和本阶段工作安排，进一步收集污水处理系统碳排放的信息和资料，对标准草案内容进行了进一步研讨。根据调研所收集的信息进行整合，据此修订、完善标准内容，并最终形成标准征求意见稿。</w:t>
      </w:r>
      <w:bookmarkEnd w:id="16"/>
    </w:p>
    <w:bookmarkEnd w:id="3"/>
    <w:bookmarkEnd w:id="4"/>
    <w:bookmarkEnd w:id="5"/>
    <w:p w14:paraId="6A071596">
      <w:pPr>
        <w:pStyle w:val="2"/>
        <w:numPr>
          <w:ilvl w:val="0"/>
          <w:numId w:val="7"/>
        </w:numPr>
        <w:spacing w:before="0" w:beforeLines="0" w:after="0" w:afterLines="0" w:line="590" w:lineRule="exact"/>
        <w:rPr>
          <w:rFonts w:eastAsia="方正仿宋_GBK"/>
          <w:sz w:val="28"/>
          <w:szCs w:val="28"/>
        </w:rPr>
      </w:pPr>
      <w:bookmarkStart w:id="25" w:name="_Toc29766"/>
      <w:bookmarkStart w:id="26" w:name="_Toc23720"/>
      <w:bookmarkStart w:id="27" w:name="_Toc113984044"/>
      <w:bookmarkStart w:id="28" w:name="_Toc113986245"/>
      <w:bookmarkStart w:id="29" w:name="_Toc143483762"/>
      <w:bookmarkStart w:id="30" w:name="_Toc128674793"/>
      <w:bookmarkStart w:id="31" w:name="_Toc18275"/>
      <w:bookmarkStart w:id="32" w:name="_Toc28986"/>
      <w:bookmarkStart w:id="33" w:name="_Toc197966003"/>
      <w:bookmarkStart w:id="34" w:name="_Toc197965820"/>
      <w:bookmarkStart w:id="35" w:name="_Toc204100081"/>
      <w:r>
        <w:rPr>
          <w:rFonts w:eastAsia="方正仿宋_GBK"/>
          <w:sz w:val="28"/>
          <w:szCs w:val="28"/>
        </w:rPr>
        <w:t>标准</w:t>
      </w:r>
      <w:bookmarkEnd w:id="25"/>
      <w:bookmarkEnd w:id="26"/>
      <w:bookmarkEnd w:id="27"/>
      <w:bookmarkEnd w:id="28"/>
      <w:bookmarkEnd w:id="29"/>
      <w:bookmarkEnd w:id="30"/>
      <w:bookmarkEnd w:id="31"/>
      <w:bookmarkEnd w:id="32"/>
      <w:bookmarkEnd w:id="33"/>
      <w:bookmarkEnd w:id="34"/>
      <w:r>
        <w:rPr>
          <w:rFonts w:hint="eastAsia" w:eastAsia="方正仿宋_GBK"/>
          <w:sz w:val="28"/>
          <w:szCs w:val="28"/>
        </w:rPr>
        <w:t>编制原则和确定标准的主要内容</w:t>
      </w:r>
      <w:bookmarkEnd w:id="35"/>
    </w:p>
    <w:p w14:paraId="2CD40691">
      <w:pPr>
        <w:pStyle w:val="3"/>
        <w:numPr>
          <w:ilvl w:val="1"/>
          <w:numId w:val="7"/>
        </w:numPr>
        <w:spacing w:before="0" w:beforeLines="0" w:line="590" w:lineRule="exact"/>
        <w:ind w:left="0" w:firstLine="0"/>
        <w:rPr>
          <w:szCs w:val="28"/>
        </w:rPr>
      </w:pPr>
      <w:bookmarkStart w:id="36" w:name="_Toc204100082"/>
      <w:r>
        <w:rPr>
          <w:rFonts w:hint="eastAsia"/>
          <w:szCs w:val="28"/>
        </w:rPr>
        <w:t>编制原则</w:t>
      </w:r>
      <w:bookmarkEnd w:id="36"/>
    </w:p>
    <w:p w14:paraId="5D0CB1CE">
      <w:pPr>
        <w:spacing w:line="590" w:lineRule="exact"/>
        <w:ind w:firstLine="560"/>
        <w:rPr>
          <w:szCs w:val="28"/>
        </w:rPr>
      </w:pPr>
      <w:r>
        <w:rPr>
          <w:rFonts w:hint="eastAsia"/>
          <w:szCs w:val="28"/>
        </w:rPr>
        <w:t>本标准的编制工作遵循“统一性、协调性、适用性、一致性、规范性 ”的原 则，按照GB/T 1.1《标准化工作导则 第 1 部分：标准化文件的结构和起草规则》 给出的规则编写。</w:t>
      </w:r>
    </w:p>
    <w:p w14:paraId="4B0E1077">
      <w:pPr>
        <w:spacing w:line="590" w:lineRule="exact"/>
        <w:ind w:firstLine="560"/>
        <w:rPr>
          <w:szCs w:val="28"/>
        </w:rPr>
      </w:pPr>
      <w:r>
        <w:rPr>
          <w:rFonts w:hint="eastAsia"/>
          <w:szCs w:val="28"/>
        </w:rPr>
        <w:t>1）统一性。本标准严格遵循统一性原则，确保标准内容的整体性与连贯性。 标准内部各部分的编排遵循一致的结构逻辑，术语定义、核算边界、计算方法及数据来源等核心要素均采用标准化表述，避免歧义；同时与现行国家标准</w:t>
      </w:r>
      <w:r>
        <w:rPr>
          <w:szCs w:val="28"/>
        </w:rPr>
        <w:t>《建筑给水排水设计标准》（GB50015-2019）</w:t>
      </w:r>
      <w:r>
        <w:rPr>
          <w:rFonts w:hint="eastAsia"/>
          <w:szCs w:val="28"/>
        </w:rPr>
        <w:t>、</w:t>
      </w:r>
      <w:r>
        <w:rPr>
          <w:szCs w:val="28"/>
        </w:rPr>
        <w:t>《城镇污水处理厂污泥处理处置技术规范》（DB 61/T 1571-2022）</w:t>
      </w:r>
      <w:r>
        <w:rPr>
          <w:rFonts w:hint="eastAsia"/>
          <w:szCs w:val="28"/>
        </w:rPr>
        <w:t>、</w:t>
      </w:r>
      <w:r>
        <w:rPr>
          <w:szCs w:val="28"/>
        </w:rPr>
        <w:t>《城镇污水处理和污泥处理处置工程碳排放计算标准》（T/CAEPI 49-2022）</w:t>
      </w:r>
      <w:r>
        <w:rPr>
          <w:rFonts w:hint="eastAsia"/>
          <w:szCs w:val="28"/>
        </w:rPr>
        <w:t>等保持术语和核算框架的衔接，确保不同标准间的统一性。</w:t>
      </w:r>
    </w:p>
    <w:p w14:paraId="759A7CE5">
      <w:pPr>
        <w:spacing w:line="590" w:lineRule="exact"/>
        <w:ind w:firstLine="560"/>
        <w:rPr>
          <w:szCs w:val="28"/>
        </w:rPr>
      </w:pPr>
      <w:r>
        <w:rPr>
          <w:rFonts w:hint="eastAsia"/>
          <w:szCs w:val="28"/>
        </w:rPr>
        <w:t>2）协调性。为了确保标准的协调性，本标准在制定过程中充分参考了现行相关国家标准和行业标准，尤其是与</w:t>
      </w:r>
      <w:r>
        <w:rPr>
          <w:szCs w:val="28"/>
        </w:rPr>
        <w:t>国家和江苏省高碳排行业碳核算的地方标准</w:t>
      </w:r>
      <w:r>
        <w:rPr>
          <w:rFonts w:hint="eastAsia"/>
          <w:szCs w:val="28"/>
        </w:rPr>
        <w:t>进行了深入对比与协调。另外，与</w:t>
      </w:r>
      <w:r>
        <w:rPr>
          <w:szCs w:val="28"/>
        </w:rPr>
        <w:t>有关部门的管理需求兼容衔接</w:t>
      </w:r>
      <w:r>
        <w:rPr>
          <w:rFonts w:hint="eastAsia"/>
          <w:szCs w:val="28"/>
        </w:rPr>
        <w:t>，</w:t>
      </w:r>
      <w:r>
        <w:rPr>
          <w:szCs w:val="28"/>
        </w:rPr>
        <w:t>从环境管理需求出发，充分考虑废水处理设施温室气体排放机理，在明确界定污水处理行业核算边界的基础上，规范温室气体碳排放核算方法。</w:t>
      </w:r>
    </w:p>
    <w:p w14:paraId="42B64AF6">
      <w:pPr>
        <w:spacing w:line="590" w:lineRule="exact"/>
        <w:ind w:firstLine="560"/>
        <w:rPr>
          <w:szCs w:val="28"/>
        </w:rPr>
      </w:pPr>
      <w:r>
        <w:rPr>
          <w:rFonts w:hint="eastAsia"/>
          <w:szCs w:val="28"/>
        </w:rPr>
        <w:t>3）适用性。本标准内容能够直接用于污水处理系统中温室气体排放量的计算和管理。标准的条款设计便于污水处理系统及相关管理部门进行使用。同时，标准的编写也考虑了被其他相关文件引用的可能性，确保其条款具有良好的可引用性和扩展性，支持更广泛的应用。</w:t>
      </w:r>
    </w:p>
    <w:p w14:paraId="66669D40">
      <w:pPr>
        <w:spacing w:line="590" w:lineRule="exact"/>
        <w:ind w:firstLine="560"/>
        <w:rPr>
          <w:szCs w:val="28"/>
        </w:rPr>
      </w:pPr>
      <w:r>
        <w:rPr>
          <w:rFonts w:hint="eastAsia"/>
          <w:szCs w:val="28"/>
        </w:rPr>
        <w:t>4）一致性。在编制过程中，本标准力求与国家的先进标准保持一致性。这些细化的参数和补充的要求，体现了本标准在提高污水处理系统碳排放核算方面的先进性和实用性。</w:t>
      </w:r>
    </w:p>
    <w:p w14:paraId="09AB90F2">
      <w:pPr>
        <w:spacing w:line="590" w:lineRule="exact"/>
        <w:ind w:firstLine="560"/>
        <w:rPr>
          <w:szCs w:val="28"/>
        </w:rPr>
      </w:pPr>
      <w:r>
        <w:rPr>
          <w:rFonts w:hint="eastAsia"/>
          <w:szCs w:val="28"/>
        </w:rPr>
        <w:t>5）规范性。本标准的编制过程严格遵循国家标准化管理规定，确保符合与 标准制定相关的基础标准、法律法规以及技术规范。</w:t>
      </w:r>
    </w:p>
    <w:p w14:paraId="15E44E96">
      <w:pPr>
        <w:pStyle w:val="3"/>
        <w:numPr>
          <w:ilvl w:val="1"/>
          <w:numId w:val="7"/>
        </w:numPr>
        <w:spacing w:before="0" w:beforeLines="0" w:line="590" w:lineRule="exact"/>
        <w:ind w:left="0" w:firstLine="0"/>
        <w:rPr>
          <w:szCs w:val="28"/>
        </w:rPr>
      </w:pPr>
      <w:bookmarkStart w:id="37" w:name="_Toc204100083"/>
      <w:r>
        <w:rPr>
          <w:rFonts w:hint="eastAsia"/>
          <w:szCs w:val="28"/>
        </w:rPr>
        <w:t>确定标准主要内容的依据</w:t>
      </w:r>
      <w:bookmarkEnd w:id="37"/>
    </w:p>
    <w:p w14:paraId="72A78C95">
      <w:pPr>
        <w:ind w:firstLine="560"/>
      </w:pPr>
      <w:r>
        <w:rPr>
          <w:rFonts w:hint="eastAsia"/>
        </w:rPr>
        <w:t>本标准分为5章和2个附录，主要内容如下：</w:t>
      </w:r>
    </w:p>
    <w:p w14:paraId="20C923E5">
      <w:pPr>
        <w:ind w:firstLine="562"/>
      </w:pPr>
      <w:r>
        <w:rPr>
          <w:rFonts w:hint="eastAsia"/>
          <w:b/>
        </w:rPr>
        <w:t>第</w:t>
      </w:r>
      <w:r>
        <w:rPr>
          <w:b/>
        </w:rPr>
        <w:t>1</w:t>
      </w:r>
      <w:r>
        <w:rPr>
          <w:rFonts w:hint="eastAsia"/>
          <w:b/>
        </w:rPr>
        <w:t>章：适用范围。</w:t>
      </w:r>
      <w:r>
        <w:rPr>
          <w:rFonts w:hint="eastAsia"/>
        </w:rPr>
        <w:t>本标准规定了污水收集单元、污水处理单元和污泥处理处置环节的直接碳排放当量和间接碳排放当量的核算方法。本标准适用于污水处理系统碳排放当量的核算。</w:t>
      </w:r>
    </w:p>
    <w:p w14:paraId="5F72D418">
      <w:pPr>
        <w:ind w:firstLine="562"/>
      </w:pPr>
      <w:r>
        <w:rPr>
          <w:rFonts w:hint="eastAsia"/>
          <w:b/>
        </w:rPr>
        <w:t>第</w:t>
      </w:r>
      <w:r>
        <w:rPr>
          <w:b/>
        </w:rPr>
        <w:t>2</w:t>
      </w:r>
      <w:r>
        <w:rPr>
          <w:rFonts w:hint="eastAsia"/>
          <w:b/>
        </w:rPr>
        <w:t>章：规范性引用文件。</w:t>
      </w:r>
      <w:r>
        <w:rPr>
          <w:rFonts w:hint="eastAsia"/>
        </w:rPr>
        <w:t>全文共计引用了22项与本标准相关的标准。</w:t>
      </w:r>
    </w:p>
    <w:p w14:paraId="533F76A2">
      <w:pPr>
        <w:ind w:firstLine="562"/>
      </w:pPr>
      <w:r>
        <w:rPr>
          <w:rFonts w:hint="eastAsia"/>
          <w:b/>
        </w:rPr>
        <w:t>第</w:t>
      </w:r>
      <w:r>
        <w:rPr>
          <w:b/>
        </w:rPr>
        <w:t>3</w:t>
      </w:r>
      <w:r>
        <w:rPr>
          <w:rFonts w:hint="eastAsia"/>
          <w:b/>
        </w:rPr>
        <w:t>章：术语和定义。</w:t>
      </w:r>
      <w:r>
        <w:rPr>
          <w:rFonts w:hint="eastAsia"/>
        </w:rPr>
        <w:t>本章主要明确了适用于本标准的相关术语和定义，如温室气体、碳排放、化石源、直接碳排放当量、间接碳排放当量、污水处理系统、生活污水等。</w:t>
      </w:r>
    </w:p>
    <w:p w14:paraId="44B6FD7E">
      <w:pPr>
        <w:ind w:firstLine="562"/>
        <w:rPr>
          <w:bCs/>
        </w:rPr>
      </w:pPr>
      <w:r>
        <w:rPr>
          <w:rFonts w:hint="eastAsia"/>
          <w:b/>
        </w:rPr>
        <w:t>第</w:t>
      </w:r>
      <w:r>
        <w:rPr>
          <w:b/>
        </w:rPr>
        <w:t>4</w:t>
      </w:r>
      <w:r>
        <w:rPr>
          <w:rFonts w:hint="eastAsia"/>
          <w:b/>
        </w:rPr>
        <w:t>章：运行过程直接碳排放核算方法。</w:t>
      </w:r>
      <w:r>
        <w:rPr>
          <w:rFonts w:hint="eastAsia"/>
          <w:bCs/>
        </w:rPr>
        <w:t xml:space="preserve">本章主要介绍污水处理系统碳排放核算步骤及相关核算方法。核算工作围绕污水收集、污水处理、污泥处置过程的直接排放，以及电力和热力消耗产生的间接排放展开。  </w:t>
      </w:r>
    </w:p>
    <w:p w14:paraId="3B27A00B">
      <w:pPr>
        <w:ind w:firstLine="560"/>
        <w:rPr>
          <w:bCs/>
        </w:rPr>
      </w:pPr>
      <w:r>
        <w:rPr>
          <w:rFonts w:hint="eastAsia"/>
          <w:bCs/>
        </w:rPr>
        <w:t>（1）污水收集系统直接碳排放</w:t>
      </w:r>
    </w:p>
    <w:p w14:paraId="7A339498">
      <w:pPr>
        <w:ind w:firstLine="560"/>
        <w:rPr>
          <w:bCs/>
        </w:rPr>
      </w:pPr>
      <w:r>
        <w:rPr>
          <w:rFonts w:hint="eastAsia"/>
          <w:bCs/>
        </w:rPr>
        <w:t>污水收集系统碳排放核算方法结合了排放因子法和化学平衡法。其中，排放因子法适用于区域污水收集单元的直接碳排放核算，化学平衡法适用于单个管道、化粪池和泵站等污水收集设施的直接碳排放核算。</w:t>
      </w:r>
    </w:p>
    <w:p w14:paraId="27D879D1">
      <w:pPr>
        <w:ind w:firstLine="560"/>
        <w:rPr>
          <w:bCs/>
        </w:rPr>
      </w:pPr>
      <w:r>
        <w:rPr>
          <w:rFonts w:hint="eastAsia"/>
          <w:bCs/>
        </w:rPr>
        <w:t>在污水收集系统中，</w:t>
      </w:r>
      <w:r>
        <w:rPr>
          <w:bCs/>
        </w:rPr>
        <w:t>有机物厌氧水解过程和沉积物中厌氧内源呼吸降解过程</w:t>
      </w:r>
      <w:r>
        <w:rPr>
          <w:rFonts w:hint="eastAsia"/>
          <w:bCs/>
        </w:rPr>
        <w:t>是</w:t>
      </w:r>
      <w:r>
        <w:rPr>
          <w:bCs/>
        </w:rPr>
        <w:t>CH</w:t>
      </w:r>
      <w:r>
        <w:rPr>
          <w:bCs/>
          <w:vertAlign w:val="subscript"/>
        </w:rPr>
        <w:t>4</w:t>
      </w:r>
      <w:r>
        <w:rPr>
          <w:bCs/>
        </w:rPr>
        <w:t>与CO</w:t>
      </w:r>
      <w:r>
        <w:rPr>
          <w:bCs/>
          <w:vertAlign w:val="subscript"/>
        </w:rPr>
        <w:t>2</w:t>
      </w:r>
      <w:r>
        <w:rPr>
          <w:rFonts w:hint="eastAsia"/>
          <w:bCs/>
        </w:rPr>
        <w:t>的主要产生途经</w:t>
      </w:r>
      <w:r>
        <w:rPr>
          <w:bCs/>
        </w:rPr>
        <w:t>，</w:t>
      </w:r>
      <w:r>
        <w:rPr>
          <w:rFonts w:hint="eastAsia"/>
          <w:bCs/>
        </w:rPr>
        <w:t>产生的气态</w:t>
      </w:r>
      <w:r>
        <w:rPr>
          <w:bCs/>
        </w:rPr>
        <w:t>温室气体直接进入大气</w:t>
      </w:r>
      <w:r>
        <w:rPr>
          <w:rFonts w:hint="eastAsia"/>
          <w:bCs/>
        </w:rPr>
        <w:t>、</w:t>
      </w:r>
      <w:r>
        <w:rPr>
          <w:bCs/>
        </w:rPr>
        <w:t>水体中溶解态气体通过分子扩散的形式进入大气。</w:t>
      </w:r>
      <w:r>
        <w:rPr>
          <w:rFonts w:hint="eastAsia"/>
          <w:bCs/>
        </w:rPr>
        <w:t>化学平衡法围绕</w:t>
      </w:r>
      <w:r>
        <w:rPr>
          <w:bCs/>
        </w:rPr>
        <w:t>厌氧呼吸发生有机物（C</w:t>
      </w:r>
      <w:r>
        <w:rPr>
          <w:bCs/>
          <w:vertAlign w:val="subscript"/>
        </w:rPr>
        <w:t>10</w:t>
      </w:r>
      <w:r>
        <w:rPr>
          <w:bCs/>
        </w:rPr>
        <w:t>H</w:t>
      </w:r>
      <w:r>
        <w:rPr>
          <w:bCs/>
          <w:vertAlign w:val="subscript"/>
        </w:rPr>
        <w:t>19</w:t>
      </w:r>
      <w:r>
        <w:rPr>
          <w:bCs/>
        </w:rPr>
        <w:t>O</w:t>
      </w:r>
      <w:r>
        <w:rPr>
          <w:bCs/>
          <w:vertAlign w:val="subscript"/>
        </w:rPr>
        <w:t>3</w:t>
      </w:r>
      <w:r>
        <w:rPr>
          <w:bCs/>
        </w:rPr>
        <w:t>N）水解</w:t>
      </w:r>
      <w:r>
        <w:rPr>
          <w:rFonts w:hint="eastAsia"/>
          <w:bCs/>
        </w:rPr>
        <w:t>与微生物（</w:t>
      </w:r>
      <w:r>
        <w:rPr>
          <w:bCs/>
        </w:rPr>
        <w:t>C</w:t>
      </w:r>
      <w:r>
        <w:rPr>
          <w:bCs/>
          <w:vertAlign w:val="subscript"/>
        </w:rPr>
        <w:t>5</w:t>
      </w:r>
      <w:r>
        <w:rPr>
          <w:bCs/>
        </w:rPr>
        <w:t>H</w:t>
      </w:r>
      <w:r>
        <w:rPr>
          <w:bCs/>
          <w:vertAlign w:val="subscript"/>
        </w:rPr>
        <w:t>7</w:t>
      </w:r>
      <w:r>
        <w:rPr>
          <w:bCs/>
        </w:rPr>
        <w:t>O</w:t>
      </w:r>
      <w:r>
        <w:rPr>
          <w:bCs/>
          <w:vertAlign w:val="subscript"/>
        </w:rPr>
        <w:t>2</w:t>
      </w:r>
      <w:r>
        <w:rPr>
          <w:bCs/>
        </w:rPr>
        <w:t>N</w:t>
      </w:r>
      <w:r>
        <w:rPr>
          <w:rFonts w:hint="eastAsia"/>
          <w:bCs/>
        </w:rPr>
        <w:t>）</w:t>
      </w:r>
      <w:r>
        <w:rPr>
          <w:bCs/>
        </w:rPr>
        <w:t>内源呼吸降解过程</w:t>
      </w:r>
      <w:r>
        <w:rPr>
          <w:rFonts w:hint="eastAsia"/>
          <w:bCs/>
        </w:rPr>
        <w:t>及反应产物</w:t>
      </w:r>
      <w:r>
        <w:rPr>
          <w:bCs/>
        </w:rPr>
        <w:t>CH</w:t>
      </w:r>
      <w:r>
        <w:rPr>
          <w:bCs/>
          <w:vertAlign w:val="subscript"/>
        </w:rPr>
        <w:t>4</w:t>
      </w:r>
      <w:r>
        <w:rPr>
          <w:rFonts w:hint="eastAsia"/>
          <w:bCs/>
        </w:rPr>
        <w:t>和</w:t>
      </w:r>
      <w:r>
        <w:rPr>
          <w:bCs/>
        </w:rPr>
        <w:t>CO</w:t>
      </w:r>
      <w:r>
        <w:rPr>
          <w:bCs/>
          <w:vertAlign w:val="subscript"/>
        </w:rPr>
        <w:t>2</w:t>
      </w:r>
      <w:r>
        <w:rPr>
          <w:rFonts w:hint="eastAsia"/>
          <w:bCs/>
        </w:rPr>
        <w:t>建立化学平衡反应方程，分别得出</w:t>
      </w:r>
      <w:r>
        <w:rPr>
          <w:bCs/>
        </w:rPr>
        <w:t>CH</w:t>
      </w:r>
      <w:r>
        <w:rPr>
          <w:bCs/>
          <w:vertAlign w:val="subscript"/>
        </w:rPr>
        <w:t>4</w:t>
      </w:r>
      <w:r>
        <w:rPr>
          <w:rFonts w:hint="eastAsia"/>
          <w:bCs/>
        </w:rPr>
        <w:t>和</w:t>
      </w:r>
      <w:r>
        <w:rPr>
          <w:bCs/>
        </w:rPr>
        <w:t>CO</w:t>
      </w:r>
      <w:r>
        <w:rPr>
          <w:bCs/>
          <w:vertAlign w:val="subscript"/>
        </w:rPr>
        <w:t>2</w:t>
      </w:r>
      <w:r>
        <w:rPr>
          <w:rFonts w:hint="eastAsia"/>
          <w:bCs/>
        </w:rPr>
        <w:t>与有机物和微生物之间的化学计量关系，最后通过TOC的削减量和微生物的降解量计算得出</w:t>
      </w:r>
      <w:r>
        <w:rPr>
          <w:bCs/>
        </w:rPr>
        <w:t>CH</w:t>
      </w:r>
      <w:r>
        <w:rPr>
          <w:bCs/>
          <w:vertAlign w:val="subscript"/>
        </w:rPr>
        <w:t>4</w:t>
      </w:r>
      <w:r>
        <w:rPr>
          <w:rFonts w:hint="eastAsia"/>
          <w:bCs/>
        </w:rPr>
        <w:t>和</w:t>
      </w:r>
      <w:r>
        <w:rPr>
          <w:bCs/>
        </w:rPr>
        <w:t>CO</w:t>
      </w:r>
      <w:r>
        <w:rPr>
          <w:bCs/>
          <w:vertAlign w:val="subscript"/>
        </w:rPr>
        <w:t>2</w:t>
      </w:r>
      <w:r>
        <w:rPr>
          <w:rFonts w:hint="eastAsia"/>
          <w:bCs/>
        </w:rPr>
        <w:t>的产生量。</w:t>
      </w:r>
    </w:p>
    <w:p w14:paraId="36C5FE4C">
      <w:pPr>
        <w:spacing w:line="590" w:lineRule="exact"/>
        <w:ind w:firstLine="560"/>
        <w:rPr>
          <w:kern w:val="0"/>
          <w:szCs w:val="28"/>
        </w:rPr>
      </w:pPr>
      <w:r>
        <w:rPr>
          <w:kern w:val="0"/>
          <w:szCs w:val="28"/>
        </w:rPr>
        <w:t>有机物水解过程反应方程式：</w:t>
      </w:r>
    </w:p>
    <w:p w14:paraId="64B98C5D">
      <w:pPr>
        <w:ind w:firstLine="560"/>
        <w:rPr>
          <w:bCs/>
          <w:vertAlign w:val="superscript"/>
        </w:rPr>
      </w:pPr>
      <w:r>
        <w:rPr>
          <w:bCs/>
        </w:rPr>
        <w:t>20C</w:t>
      </w:r>
      <w:r>
        <w:rPr>
          <w:bCs/>
          <w:vertAlign w:val="subscript"/>
        </w:rPr>
        <w:t>10</w:t>
      </w:r>
      <w:r>
        <w:rPr>
          <w:bCs/>
        </w:rPr>
        <w:t>H</w:t>
      </w:r>
      <w:r>
        <w:rPr>
          <w:bCs/>
          <w:vertAlign w:val="subscript"/>
        </w:rPr>
        <w:t>19</w:t>
      </w:r>
      <w:r>
        <w:rPr>
          <w:bCs/>
        </w:rPr>
        <w:t>O</w:t>
      </w:r>
      <w:r>
        <w:rPr>
          <w:bCs/>
          <w:vertAlign w:val="subscript"/>
        </w:rPr>
        <w:t>3</w:t>
      </w:r>
      <w:r>
        <w:rPr>
          <w:bCs/>
        </w:rPr>
        <w:t>N+94H</w:t>
      </w:r>
      <w:r>
        <w:rPr>
          <w:bCs/>
          <w:vertAlign w:val="subscript"/>
        </w:rPr>
        <w:t>2</w:t>
      </w:r>
      <w:r>
        <w:rPr>
          <w:rFonts w:hint="eastAsia"/>
          <w:bCs/>
        </w:rPr>
        <w:t>O→4C</w:t>
      </w:r>
      <w:r>
        <w:rPr>
          <w:bCs/>
          <w:vertAlign w:val="subscript"/>
        </w:rPr>
        <w:t>5</w:t>
      </w:r>
      <w:r>
        <w:rPr>
          <w:bCs/>
        </w:rPr>
        <w:t>H</w:t>
      </w:r>
      <w:r>
        <w:rPr>
          <w:bCs/>
          <w:vertAlign w:val="subscript"/>
        </w:rPr>
        <w:t>7</w:t>
      </w:r>
      <w:r>
        <w:rPr>
          <w:bCs/>
        </w:rPr>
        <w:t>O</w:t>
      </w:r>
      <w:r>
        <w:rPr>
          <w:bCs/>
          <w:vertAlign w:val="subscript"/>
        </w:rPr>
        <w:t>2</w:t>
      </w:r>
      <w:r>
        <w:rPr>
          <w:bCs/>
        </w:rPr>
        <w:t>N+49CO</w:t>
      </w:r>
      <w:r>
        <w:rPr>
          <w:bCs/>
          <w:vertAlign w:val="subscript"/>
        </w:rPr>
        <w:t>2</w:t>
      </w:r>
      <w:r>
        <w:rPr>
          <w:bCs/>
        </w:rPr>
        <w:t>+115CH</w:t>
      </w:r>
      <w:r>
        <w:rPr>
          <w:bCs/>
          <w:vertAlign w:val="subscript"/>
        </w:rPr>
        <w:t>4</w:t>
      </w:r>
      <w:r>
        <w:rPr>
          <w:bCs/>
        </w:rPr>
        <w:t>+16HCO</w:t>
      </w:r>
      <w:r>
        <w:rPr>
          <w:bCs/>
          <w:vertAlign w:val="subscript"/>
        </w:rPr>
        <w:t>3</w:t>
      </w:r>
      <w:r>
        <w:rPr>
          <w:bCs/>
          <w:vertAlign w:val="superscript"/>
        </w:rPr>
        <w:t>-</w:t>
      </w:r>
      <w:r>
        <w:rPr>
          <w:bCs/>
        </w:rPr>
        <w:t>+16NH</w:t>
      </w:r>
      <w:r>
        <w:rPr>
          <w:bCs/>
          <w:vertAlign w:val="subscript"/>
        </w:rPr>
        <w:t>4</w:t>
      </w:r>
      <w:r>
        <w:rPr>
          <w:bCs/>
          <w:vertAlign w:val="superscript"/>
        </w:rPr>
        <w:t>+</w:t>
      </w:r>
    </w:p>
    <w:p w14:paraId="3D4AB50F">
      <w:pPr>
        <w:spacing w:line="590" w:lineRule="exact"/>
        <w:ind w:firstLine="560"/>
        <w:rPr>
          <w:kern w:val="0"/>
          <w:szCs w:val="28"/>
        </w:rPr>
      </w:pPr>
      <w:r>
        <w:rPr>
          <w:kern w:val="0"/>
          <w:szCs w:val="28"/>
        </w:rPr>
        <w:t>内源呼吸降解过程反应方程式：</w:t>
      </w:r>
    </w:p>
    <w:p w14:paraId="7610E227">
      <w:pPr>
        <w:widowControl/>
        <w:spacing w:line="590" w:lineRule="exact"/>
        <w:ind w:firstLine="560"/>
        <w:jc w:val="left"/>
        <w:rPr>
          <w:kern w:val="0"/>
          <w:szCs w:val="28"/>
        </w:rPr>
      </w:pPr>
      <w:r>
        <w:rPr>
          <w:kern w:val="0"/>
          <w:szCs w:val="28"/>
        </w:rPr>
        <w:t>2C</w:t>
      </w:r>
      <w:r>
        <w:rPr>
          <w:kern w:val="0"/>
          <w:szCs w:val="28"/>
          <w:vertAlign w:val="subscript"/>
        </w:rPr>
        <w:t>5</w:t>
      </w:r>
      <w:r>
        <w:rPr>
          <w:kern w:val="0"/>
          <w:szCs w:val="28"/>
        </w:rPr>
        <w:t>H</w:t>
      </w:r>
      <w:r>
        <w:rPr>
          <w:kern w:val="0"/>
          <w:szCs w:val="28"/>
          <w:vertAlign w:val="subscript"/>
        </w:rPr>
        <w:t>7</w:t>
      </w:r>
      <w:r>
        <w:rPr>
          <w:kern w:val="0"/>
          <w:szCs w:val="28"/>
        </w:rPr>
        <w:t>O</w:t>
      </w:r>
      <w:r>
        <w:rPr>
          <w:kern w:val="0"/>
          <w:szCs w:val="28"/>
          <w:vertAlign w:val="subscript"/>
        </w:rPr>
        <w:t>2</w:t>
      </w:r>
      <w:r>
        <w:rPr>
          <w:kern w:val="0"/>
          <w:szCs w:val="28"/>
        </w:rPr>
        <w:t>N+8H</w:t>
      </w:r>
      <w:r>
        <w:rPr>
          <w:kern w:val="0"/>
          <w:szCs w:val="28"/>
          <w:vertAlign w:val="subscript"/>
        </w:rPr>
        <w:t>2</w:t>
      </w:r>
      <w:r>
        <w:rPr>
          <w:kern w:val="0"/>
          <w:szCs w:val="28"/>
        </w:rPr>
        <w:t>O→3CO</w:t>
      </w:r>
      <w:r>
        <w:rPr>
          <w:kern w:val="0"/>
          <w:szCs w:val="28"/>
          <w:vertAlign w:val="subscript"/>
        </w:rPr>
        <w:t>2</w:t>
      </w:r>
      <w:r>
        <w:rPr>
          <w:kern w:val="0"/>
          <w:szCs w:val="28"/>
        </w:rPr>
        <w:t>+5CH</w:t>
      </w:r>
      <w:r>
        <w:rPr>
          <w:kern w:val="0"/>
          <w:szCs w:val="28"/>
          <w:vertAlign w:val="subscript"/>
        </w:rPr>
        <w:t>4</w:t>
      </w:r>
      <w:r>
        <w:rPr>
          <w:kern w:val="0"/>
          <w:szCs w:val="28"/>
        </w:rPr>
        <w:t>+2NH</w:t>
      </w:r>
      <w:r>
        <w:rPr>
          <w:kern w:val="0"/>
          <w:szCs w:val="28"/>
          <w:vertAlign w:val="subscript"/>
        </w:rPr>
        <w:t>4</w:t>
      </w:r>
      <w:r>
        <w:rPr>
          <w:kern w:val="0"/>
          <w:szCs w:val="28"/>
          <w:vertAlign w:val="superscript"/>
        </w:rPr>
        <w:t>+</w:t>
      </w:r>
      <w:r>
        <w:rPr>
          <w:kern w:val="0"/>
          <w:szCs w:val="28"/>
        </w:rPr>
        <w:t>+2HCO</w:t>
      </w:r>
      <w:r>
        <w:rPr>
          <w:kern w:val="0"/>
          <w:szCs w:val="28"/>
          <w:vertAlign w:val="subscript"/>
        </w:rPr>
        <w:t>3</w:t>
      </w:r>
      <w:r>
        <w:rPr>
          <w:kern w:val="0"/>
          <w:szCs w:val="28"/>
          <w:vertAlign w:val="superscript"/>
        </w:rPr>
        <w:t>-</w:t>
      </w:r>
    </w:p>
    <w:p w14:paraId="00C0ECFB">
      <w:pPr>
        <w:spacing w:line="590" w:lineRule="exact"/>
        <w:ind w:firstLine="560"/>
        <w:rPr>
          <w:szCs w:val="28"/>
        </w:rPr>
      </w:pPr>
      <w:r>
        <w:rPr>
          <w:szCs w:val="28"/>
        </w:rPr>
        <w:t>厌氧过程CO</w:t>
      </w:r>
      <w:r>
        <w:rPr>
          <w:szCs w:val="28"/>
          <w:vertAlign w:val="subscript"/>
        </w:rPr>
        <w:t>2</w:t>
      </w:r>
      <w:r>
        <w:rPr>
          <w:szCs w:val="28"/>
        </w:rPr>
        <w:t>和CH</w:t>
      </w:r>
      <w:r>
        <w:rPr>
          <w:szCs w:val="28"/>
          <w:vertAlign w:val="subscript"/>
        </w:rPr>
        <w:t>4</w:t>
      </w:r>
      <w:r>
        <w:rPr>
          <w:szCs w:val="28"/>
        </w:rPr>
        <w:t>产生</w:t>
      </w:r>
      <w:r>
        <w:rPr>
          <w:rFonts w:hint="eastAsia"/>
          <w:szCs w:val="28"/>
        </w:rPr>
        <w:t>量：</w:t>
      </w:r>
      <w:r>
        <w:rPr>
          <w:szCs w:val="28"/>
        </w:rPr>
        <w:t xml:space="preserve"> </w:t>
      </w:r>
    </w:p>
    <w:p w14:paraId="04500193">
      <w:pPr>
        <w:spacing w:line="590" w:lineRule="exact"/>
        <w:ind w:firstLine="0" w:firstLineChars="0"/>
        <w:jc w:val="center"/>
        <w:rPr>
          <w:szCs w:val="28"/>
          <w:vertAlign w:val="subscript"/>
        </w:rPr>
      </w:pPr>
      <w:r>
        <w:rPr>
          <w:szCs w:val="28"/>
        </w:rPr>
        <w:t>M</w:t>
      </w:r>
      <w:r>
        <w:rPr>
          <w:szCs w:val="28"/>
          <w:vertAlign w:val="subscript"/>
        </w:rPr>
        <w:t>CO2</w:t>
      </w:r>
      <w:r>
        <w:rPr>
          <w:szCs w:val="28"/>
        </w:rPr>
        <w:t>=0.91Q(TOC</w:t>
      </w:r>
      <w:r>
        <w:rPr>
          <w:szCs w:val="28"/>
          <w:vertAlign w:val="subscript"/>
        </w:rPr>
        <w:t>in</w:t>
      </w:r>
      <w:r>
        <w:rPr>
          <w:szCs w:val="28"/>
        </w:rPr>
        <w:t>-TOC</w:t>
      </w:r>
      <w:r>
        <w:rPr>
          <w:szCs w:val="28"/>
          <w:vertAlign w:val="subscript"/>
        </w:rPr>
        <w:t>out</w:t>
      </w:r>
      <w:r>
        <w:rPr>
          <w:szCs w:val="28"/>
        </w:rPr>
        <w:t>)×10</w:t>
      </w:r>
      <w:r>
        <w:rPr>
          <w:szCs w:val="28"/>
          <w:vertAlign w:val="superscript"/>
        </w:rPr>
        <w:t>-3</w:t>
      </w:r>
      <w:r>
        <w:rPr>
          <w:szCs w:val="28"/>
        </w:rPr>
        <w:t>+0.58M</w:t>
      </w:r>
      <w:r>
        <w:rPr>
          <w:szCs w:val="28"/>
          <w:vertAlign w:val="subscript"/>
        </w:rPr>
        <w:t>降解</w:t>
      </w:r>
    </w:p>
    <w:p w14:paraId="0C591436">
      <w:pPr>
        <w:spacing w:line="590" w:lineRule="exact"/>
        <w:ind w:firstLine="0" w:firstLineChars="0"/>
        <w:jc w:val="center"/>
        <w:rPr>
          <w:szCs w:val="28"/>
        </w:rPr>
      </w:pPr>
      <w:r>
        <w:rPr>
          <w:szCs w:val="28"/>
        </w:rPr>
        <w:t>M</w:t>
      </w:r>
      <w:r>
        <w:rPr>
          <w:szCs w:val="28"/>
          <w:vertAlign w:val="subscript"/>
        </w:rPr>
        <w:t>CH4</w:t>
      </w:r>
      <w:r>
        <w:rPr>
          <w:szCs w:val="28"/>
        </w:rPr>
        <w:t>=0.77Q(TOC</w:t>
      </w:r>
      <w:r>
        <w:rPr>
          <w:szCs w:val="28"/>
          <w:vertAlign w:val="subscript"/>
        </w:rPr>
        <w:t>in</w:t>
      </w:r>
      <w:r>
        <w:rPr>
          <w:szCs w:val="28"/>
        </w:rPr>
        <w:t>-TOC</w:t>
      </w:r>
      <w:r>
        <w:rPr>
          <w:szCs w:val="28"/>
          <w:vertAlign w:val="subscript"/>
        </w:rPr>
        <w:t>out</w:t>
      </w:r>
      <w:r>
        <w:rPr>
          <w:szCs w:val="28"/>
        </w:rPr>
        <w:t>)×10</w:t>
      </w:r>
      <w:r>
        <w:rPr>
          <w:szCs w:val="28"/>
          <w:vertAlign w:val="superscript"/>
        </w:rPr>
        <w:t>-3</w:t>
      </w:r>
      <w:r>
        <w:rPr>
          <w:szCs w:val="28"/>
        </w:rPr>
        <w:t>+0.35M</w:t>
      </w:r>
      <w:r>
        <w:rPr>
          <w:szCs w:val="28"/>
          <w:vertAlign w:val="subscript"/>
        </w:rPr>
        <w:t>降解</w:t>
      </w:r>
    </w:p>
    <w:p w14:paraId="5069163E">
      <w:pPr>
        <w:spacing w:line="590" w:lineRule="exact"/>
        <w:ind w:firstLine="0" w:firstLineChars="0"/>
        <w:jc w:val="center"/>
        <w:rPr>
          <w:szCs w:val="28"/>
          <w:vertAlign w:val="superscript"/>
        </w:rPr>
      </w:pPr>
      <w:r>
        <w:rPr>
          <w:szCs w:val="28"/>
        </w:rPr>
        <w:t>M</w:t>
      </w:r>
      <w:r>
        <w:rPr>
          <w:szCs w:val="28"/>
          <w:vertAlign w:val="subscript"/>
        </w:rPr>
        <w:t>降解</w:t>
      </w:r>
      <w:r>
        <w:rPr>
          <w:szCs w:val="28"/>
        </w:rPr>
        <w:t>=Q×HRT</w:t>
      </w:r>
      <w:r>
        <w:rPr>
          <w:szCs w:val="28"/>
          <w:vertAlign w:val="subscript"/>
        </w:rPr>
        <w:t>厌氧</w:t>
      </w:r>
      <w:r>
        <w:rPr>
          <w:szCs w:val="28"/>
        </w:rPr>
        <w:t>×MLVSS×K</w:t>
      </w:r>
      <w:r>
        <w:rPr>
          <w:szCs w:val="28"/>
          <w:vertAlign w:val="subscript"/>
        </w:rPr>
        <w:t>o</w:t>
      </w:r>
      <w:r>
        <w:rPr>
          <w:szCs w:val="28"/>
        </w:rPr>
        <w:t>×10</w:t>
      </w:r>
      <w:r>
        <w:rPr>
          <w:szCs w:val="28"/>
          <w:vertAlign w:val="superscript"/>
        </w:rPr>
        <w:t>-3</w:t>
      </w:r>
    </w:p>
    <w:p w14:paraId="6A87330D">
      <w:pPr>
        <w:ind w:firstLine="560"/>
        <w:rPr>
          <w:bCs/>
        </w:rPr>
      </w:pPr>
      <w:r>
        <w:rPr>
          <w:rFonts w:hint="eastAsia"/>
          <w:bCs/>
        </w:rPr>
        <w:t>区域污水收集单元的直接碳排放则采用排放因子法进行计算。排放因子取值基于实测数据，编制组选择具有代表性的主干管20个、干管20个、主支管20个、支管20个，化粪池和污水泵站10个进行采样；采用物质守恒和化学反应规律测算每种类别管网、不同尺寸化粪池和污水泵站直接碳排放强度；统计核算区域主干管、干管、主支管和支管长度，以及化粪池和污水泵站个数、尺寸；根据核算区域典型的污水收集单元碳排放量核算结果和统计数据，计算区域碳排放总量；通过区域碳排放总量计算和碳排放核算公式，反推区域污水收集系统碳排放因子。最后针对不同水力特点和排水分区的管道提出了不同的排放因子。</w:t>
      </w:r>
    </w:p>
    <w:p w14:paraId="5FBE66AB">
      <w:pPr>
        <w:ind w:firstLine="560"/>
        <w:rPr>
          <w:bCs/>
        </w:rPr>
      </w:pPr>
      <w:r>
        <w:rPr>
          <w:rFonts w:hint="eastAsia"/>
          <w:bCs/>
        </w:rPr>
        <w:t>（2）污水处理系统直接碳排放</w:t>
      </w:r>
    </w:p>
    <w:p w14:paraId="26758C02">
      <w:pPr>
        <w:ind w:firstLine="560"/>
        <w:rPr>
          <w:bCs/>
        </w:rPr>
      </w:pPr>
      <w:r>
        <w:rPr>
          <w:rFonts w:hint="eastAsia"/>
          <w:bCs/>
        </w:rPr>
        <w:t>编制组采集了江苏省生活污水</w:t>
      </w:r>
      <w:r>
        <w:rPr>
          <w:bCs/>
        </w:rPr>
        <w:t>5</w:t>
      </w:r>
      <w:r>
        <w:rPr>
          <w:rFonts w:hint="eastAsia"/>
          <w:bCs/>
        </w:rPr>
        <w:t>个样品，以及主要工业行业废水样品，包括纺织印染行业废水</w:t>
      </w:r>
      <w:r>
        <w:rPr>
          <w:bCs/>
        </w:rPr>
        <w:t>4</w:t>
      </w:r>
      <w:r>
        <w:rPr>
          <w:rFonts w:hint="eastAsia"/>
          <w:bCs/>
        </w:rPr>
        <w:t>个样品、造纸行业废水</w:t>
      </w:r>
      <w:r>
        <w:rPr>
          <w:bCs/>
        </w:rPr>
        <w:t>3</w:t>
      </w:r>
      <w:r>
        <w:rPr>
          <w:rFonts w:hint="eastAsia"/>
          <w:bCs/>
        </w:rPr>
        <w:t>个样品、化工行业废水</w:t>
      </w:r>
      <w:r>
        <w:rPr>
          <w:bCs/>
        </w:rPr>
        <w:t>5</w:t>
      </w:r>
      <w:r>
        <w:rPr>
          <w:rFonts w:hint="eastAsia"/>
          <w:bCs/>
        </w:rPr>
        <w:t>个样品、电子行业废水</w:t>
      </w:r>
      <w:r>
        <w:rPr>
          <w:bCs/>
        </w:rPr>
        <w:t>5</w:t>
      </w:r>
      <w:r>
        <w:rPr>
          <w:rFonts w:hint="eastAsia"/>
          <w:bCs/>
        </w:rPr>
        <w:t>个样品。采用美国材料协会放射性碳分析方法</w:t>
      </w:r>
      <w:r>
        <w:rPr>
          <w:bCs/>
        </w:rPr>
        <w:t>ASTMD6866-12</w:t>
      </w:r>
      <w:r>
        <w:rPr>
          <w:rFonts w:hint="eastAsia"/>
          <w:bCs/>
        </w:rPr>
        <w:t>，使用加速质谱仪进行</w:t>
      </w:r>
      <w:r>
        <w:rPr>
          <w:bCs/>
          <w:vertAlign w:val="superscript"/>
        </w:rPr>
        <w:t>14</w:t>
      </w:r>
      <w:r>
        <w:rPr>
          <w:bCs/>
        </w:rPr>
        <w:t>C</w:t>
      </w:r>
      <w:r>
        <w:rPr>
          <w:rFonts w:hint="eastAsia"/>
          <w:bCs/>
        </w:rPr>
        <w:t>含量分析。经检测，生活污水化石碳占比</w:t>
      </w:r>
      <w:r>
        <w:rPr>
          <w:bCs/>
        </w:rPr>
        <w:t>27.9%</w:t>
      </w:r>
      <w:r>
        <w:rPr>
          <w:rFonts w:hint="eastAsia"/>
          <w:bCs/>
        </w:rPr>
        <w:t>，医药、电子、机加工、石化、印染废水化石碳分别占比</w:t>
      </w:r>
      <w:r>
        <w:rPr>
          <w:bCs/>
        </w:rPr>
        <w:t>44.7%</w:t>
      </w:r>
      <w:r>
        <w:rPr>
          <w:rFonts w:hint="eastAsia"/>
          <w:bCs/>
        </w:rPr>
        <w:t>、</w:t>
      </w:r>
      <w:r>
        <w:rPr>
          <w:bCs/>
        </w:rPr>
        <w:t>77.8%</w:t>
      </w:r>
      <w:r>
        <w:rPr>
          <w:rFonts w:hint="eastAsia"/>
          <w:bCs/>
        </w:rPr>
        <w:t>、</w:t>
      </w:r>
      <w:r>
        <w:rPr>
          <w:bCs/>
        </w:rPr>
        <w:t>83.2%</w:t>
      </w:r>
      <w:r>
        <w:rPr>
          <w:rFonts w:hint="eastAsia"/>
          <w:bCs/>
        </w:rPr>
        <w:t>、</w:t>
      </w:r>
      <w:r>
        <w:rPr>
          <w:bCs/>
        </w:rPr>
        <w:t>85.1%</w:t>
      </w:r>
      <w:r>
        <w:rPr>
          <w:rFonts w:hint="eastAsia"/>
          <w:bCs/>
        </w:rPr>
        <w:t>和</w:t>
      </w:r>
      <w:r>
        <w:rPr>
          <w:bCs/>
        </w:rPr>
        <w:t>75.6%</w:t>
      </w:r>
      <w:r>
        <w:rPr>
          <w:rFonts w:hint="eastAsia"/>
          <w:bCs/>
        </w:rPr>
        <w:t>。</w:t>
      </w:r>
    </w:p>
    <w:p w14:paraId="0688F30F">
      <w:pPr>
        <w:spacing w:line="590" w:lineRule="exact"/>
        <w:ind w:firstLine="0" w:firstLineChars="0"/>
        <w:jc w:val="center"/>
        <w:rPr>
          <w:szCs w:val="28"/>
        </w:rPr>
      </w:pPr>
      <w:r>
        <w:rPr>
          <w:rFonts w:hint="eastAsia"/>
          <w:szCs w:val="28"/>
        </w:rPr>
        <w:t>表</w:t>
      </w:r>
      <w:r>
        <w:rPr>
          <w:szCs w:val="28"/>
        </w:rPr>
        <w:t xml:space="preserve"> 4.5.2-2 </w:t>
      </w:r>
      <w:r>
        <w:rPr>
          <w:rFonts w:hint="eastAsia"/>
          <w:szCs w:val="28"/>
        </w:rPr>
        <w:t>化石源碳测定结果</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0"/>
        <w:gridCol w:w="2776"/>
        <w:gridCol w:w="1245"/>
        <w:gridCol w:w="1685"/>
        <w:gridCol w:w="1210"/>
        <w:gridCol w:w="1290"/>
      </w:tblGrid>
      <w:tr w14:paraId="7ACE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89" w:type="pct"/>
            <w:tcBorders>
              <w:tl2br w:val="nil"/>
            </w:tcBorders>
            <w:tcMar>
              <w:top w:w="15" w:type="dxa"/>
              <w:left w:w="15" w:type="dxa"/>
              <w:bottom w:w="68" w:type="dxa"/>
              <w:right w:w="15" w:type="dxa"/>
            </w:tcMar>
            <w:vAlign w:val="center"/>
          </w:tcPr>
          <w:p w14:paraId="4EE1411E">
            <w:pPr>
              <w:snapToGrid w:val="0"/>
              <w:spacing w:line="240" w:lineRule="auto"/>
              <w:ind w:firstLine="0" w:firstLineChars="0"/>
              <w:jc w:val="center"/>
              <w:outlineLvl w:val="5"/>
              <w:rPr>
                <w:color w:val="000000"/>
                <w:sz w:val="24"/>
              </w:rPr>
            </w:pPr>
            <w:r>
              <w:rPr>
                <w:rFonts w:hint="eastAsia"/>
                <w:color w:val="000000"/>
                <w:sz w:val="24"/>
              </w:rPr>
              <w:t>样品</w:t>
            </w:r>
          </w:p>
        </w:tc>
        <w:tc>
          <w:tcPr>
            <w:tcW w:w="1525" w:type="pct"/>
            <w:tcMar>
              <w:top w:w="15" w:type="dxa"/>
              <w:left w:w="15" w:type="dxa"/>
              <w:bottom w:w="68" w:type="dxa"/>
              <w:right w:w="15" w:type="dxa"/>
            </w:tcMar>
            <w:vAlign w:val="center"/>
          </w:tcPr>
          <w:p w14:paraId="328BFE5B">
            <w:pPr>
              <w:snapToGrid w:val="0"/>
              <w:spacing w:line="240" w:lineRule="auto"/>
              <w:ind w:firstLine="0" w:firstLineChars="0"/>
              <w:jc w:val="center"/>
              <w:outlineLvl w:val="5"/>
              <w:rPr>
                <w:color w:val="000000"/>
                <w:sz w:val="24"/>
              </w:rPr>
            </w:pPr>
            <w:r>
              <w:rPr>
                <w:rFonts w:hint="eastAsia"/>
                <w:color w:val="000000"/>
                <w:sz w:val="24"/>
              </w:rPr>
              <w:t>样品类型</w:t>
            </w:r>
          </w:p>
        </w:tc>
        <w:tc>
          <w:tcPr>
            <w:tcW w:w="684" w:type="pct"/>
            <w:tcMar>
              <w:top w:w="15" w:type="dxa"/>
              <w:left w:w="15" w:type="dxa"/>
              <w:bottom w:w="68" w:type="dxa"/>
              <w:right w:w="15" w:type="dxa"/>
            </w:tcMar>
            <w:vAlign w:val="center"/>
          </w:tcPr>
          <w:p w14:paraId="3FA9B676">
            <w:pPr>
              <w:snapToGrid w:val="0"/>
              <w:spacing w:line="240" w:lineRule="auto"/>
              <w:ind w:firstLine="0" w:firstLineChars="0"/>
              <w:jc w:val="center"/>
              <w:outlineLvl w:val="5"/>
              <w:rPr>
                <w:color w:val="000000"/>
                <w:sz w:val="24"/>
              </w:rPr>
            </w:pPr>
            <w:r>
              <w:rPr>
                <w:color w:val="000000"/>
                <w:sz w:val="24"/>
              </w:rPr>
              <w:t>Fm</w:t>
            </w:r>
          </w:p>
        </w:tc>
        <w:tc>
          <w:tcPr>
            <w:tcW w:w="926" w:type="pct"/>
            <w:tcMar>
              <w:top w:w="15" w:type="dxa"/>
              <w:left w:w="15" w:type="dxa"/>
              <w:bottom w:w="68" w:type="dxa"/>
              <w:right w:w="15" w:type="dxa"/>
            </w:tcMar>
            <w:vAlign w:val="center"/>
          </w:tcPr>
          <w:p w14:paraId="6CC998B1">
            <w:pPr>
              <w:snapToGrid w:val="0"/>
              <w:spacing w:line="240" w:lineRule="auto"/>
              <w:ind w:firstLine="0" w:firstLineChars="0"/>
              <w:jc w:val="center"/>
              <w:outlineLvl w:val="5"/>
              <w:rPr>
                <w:color w:val="000000"/>
                <w:sz w:val="24"/>
              </w:rPr>
            </w:pPr>
            <w:r>
              <w:rPr>
                <w:rFonts w:hint="eastAsia"/>
                <w:color w:val="000000"/>
                <w:sz w:val="24"/>
              </w:rPr>
              <w:t>化石源碳比例</w:t>
            </w:r>
          </w:p>
        </w:tc>
        <w:tc>
          <w:tcPr>
            <w:tcW w:w="665" w:type="pct"/>
            <w:tcMar>
              <w:top w:w="15" w:type="dxa"/>
              <w:left w:w="15" w:type="dxa"/>
              <w:bottom w:w="68" w:type="dxa"/>
              <w:right w:w="15" w:type="dxa"/>
            </w:tcMar>
            <w:vAlign w:val="center"/>
          </w:tcPr>
          <w:p w14:paraId="0CF3B79D">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age (y)</w:t>
            </w:r>
          </w:p>
        </w:tc>
        <w:tc>
          <w:tcPr>
            <w:tcW w:w="709" w:type="pct"/>
            <w:tcMar>
              <w:top w:w="15" w:type="dxa"/>
              <w:left w:w="15" w:type="dxa"/>
              <w:bottom w:w="68" w:type="dxa"/>
              <w:right w:w="15" w:type="dxa"/>
            </w:tcMar>
            <w:vAlign w:val="center"/>
          </w:tcPr>
          <w:p w14:paraId="7CD7B881">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∆14C (‰)</w:t>
            </w:r>
          </w:p>
        </w:tc>
      </w:tr>
      <w:tr w14:paraId="65BF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89" w:type="pct"/>
            <w:tcMar>
              <w:top w:w="15" w:type="dxa"/>
              <w:left w:w="15" w:type="dxa"/>
              <w:bottom w:w="68" w:type="dxa"/>
              <w:right w:w="15" w:type="dxa"/>
            </w:tcMar>
            <w:vAlign w:val="center"/>
          </w:tcPr>
          <w:p w14:paraId="52F15381">
            <w:pPr>
              <w:snapToGrid w:val="0"/>
              <w:spacing w:line="240" w:lineRule="auto"/>
              <w:ind w:firstLine="0" w:firstLineChars="0"/>
              <w:jc w:val="center"/>
              <w:outlineLvl w:val="5"/>
              <w:rPr>
                <w:color w:val="000000"/>
                <w:sz w:val="24"/>
              </w:rPr>
            </w:pPr>
            <w:r>
              <w:rPr>
                <w:color w:val="000000"/>
                <w:sz w:val="24"/>
              </w:rPr>
              <w:t>1</w:t>
            </w:r>
          </w:p>
        </w:tc>
        <w:tc>
          <w:tcPr>
            <w:tcW w:w="1525" w:type="pct"/>
            <w:tcMar>
              <w:top w:w="15" w:type="dxa"/>
              <w:left w:w="15" w:type="dxa"/>
              <w:bottom w:w="68" w:type="dxa"/>
              <w:right w:w="15" w:type="dxa"/>
            </w:tcMar>
            <w:vAlign w:val="center"/>
          </w:tcPr>
          <w:p w14:paraId="0F1D6717">
            <w:pPr>
              <w:snapToGrid w:val="0"/>
              <w:spacing w:line="240" w:lineRule="auto"/>
              <w:ind w:firstLine="0" w:firstLineChars="0"/>
              <w:jc w:val="center"/>
              <w:outlineLvl w:val="5"/>
              <w:rPr>
                <w:color w:val="000000"/>
                <w:sz w:val="24"/>
              </w:rPr>
            </w:pPr>
            <w:r>
              <w:rPr>
                <w:color w:val="000000"/>
                <w:sz w:val="24"/>
              </w:rPr>
              <w:t>5</w:t>
            </w:r>
            <w:r>
              <w:rPr>
                <w:rFonts w:hint="eastAsia"/>
                <w:color w:val="000000"/>
                <w:sz w:val="24"/>
              </w:rPr>
              <w:t>个生活污水混合样</w:t>
            </w:r>
          </w:p>
        </w:tc>
        <w:tc>
          <w:tcPr>
            <w:tcW w:w="684" w:type="pct"/>
            <w:tcMar>
              <w:top w:w="15" w:type="dxa"/>
              <w:left w:w="15" w:type="dxa"/>
              <w:bottom w:w="68" w:type="dxa"/>
              <w:right w:w="15" w:type="dxa"/>
            </w:tcMar>
            <w:vAlign w:val="bottom"/>
          </w:tcPr>
          <w:p w14:paraId="76088E0E">
            <w:pPr>
              <w:snapToGrid w:val="0"/>
              <w:spacing w:line="240" w:lineRule="auto"/>
              <w:ind w:firstLine="0" w:firstLineChars="0"/>
              <w:jc w:val="center"/>
              <w:outlineLvl w:val="5"/>
              <w:rPr>
                <w:color w:val="000000"/>
                <w:sz w:val="24"/>
              </w:rPr>
            </w:pPr>
            <w:r>
              <w:rPr>
                <w:color w:val="000000"/>
                <w:sz w:val="24"/>
              </w:rPr>
              <w:t>0.7215</w:t>
            </w:r>
          </w:p>
        </w:tc>
        <w:tc>
          <w:tcPr>
            <w:tcW w:w="926" w:type="pct"/>
            <w:tcMar>
              <w:top w:w="14" w:type="dxa"/>
              <w:left w:w="14" w:type="dxa"/>
              <w:bottom w:w="65" w:type="dxa"/>
              <w:right w:w="14" w:type="dxa"/>
            </w:tcMar>
            <w:vAlign w:val="bottom"/>
          </w:tcPr>
          <w:p w14:paraId="413EB1D6">
            <w:pPr>
              <w:snapToGrid w:val="0"/>
              <w:spacing w:line="240" w:lineRule="auto"/>
              <w:ind w:firstLine="0" w:firstLineChars="0"/>
              <w:jc w:val="center"/>
              <w:outlineLvl w:val="5"/>
              <w:rPr>
                <w:color w:val="000000"/>
                <w:sz w:val="24"/>
              </w:rPr>
            </w:pPr>
            <w:r>
              <w:rPr>
                <w:color w:val="000000"/>
                <w:sz w:val="24"/>
              </w:rPr>
              <w:t>27.9%</w:t>
            </w:r>
          </w:p>
        </w:tc>
        <w:tc>
          <w:tcPr>
            <w:tcW w:w="665" w:type="pct"/>
            <w:tcMar>
              <w:top w:w="15" w:type="dxa"/>
              <w:left w:w="15" w:type="dxa"/>
              <w:bottom w:w="68" w:type="dxa"/>
              <w:right w:w="15" w:type="dxa"/>
            </w:tcMar>
            <w:vAlign w:val="bottom"/>
          </w:tcPr>
          <w:p w14:paraId="1D39373C">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2622</w:t>
            </w:r>
          </w:p>
        </w:tc>
        <w:tc>
          <w:tcPr>
            <w:tcW w:w="709" w:type="pct"/>
            <w:tcMar>
              <w:top w:w="15" w:type="dxa"/>
              <w:left w:w="15" w:type="dxa"/>
              <w:bottom w:w="68" w:type="dxa"/>
              <w:right w:w="15" w:type="dxa"/>
            </w:tcMar>
            <w:vAlign w:val="bottom"/>
          </w:tcPr>
          <w:p w14:paraId="3708C021">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-284.9</w:t>
            </w:r>
          </w:p>
        </w:tc>
      </w:tr>
      <w:tr w14:paraId="78FD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89" w:type="pct"/>
            <w:tcMar>
              <w:top w:w="15" w:type="dxa"/>
              <w:left w:w="15" w:type="dxa"/>
              <w:bottom w:w="68" w:type="dxa"/>
              <w:right w:w="15" w:type="dxa"/>
            </w:tcMar>
            <w:vAlign w:val="center"/>
          </w:tcPr>
          <w:p w14:paraId="7FF11ADB">
            <w:pPr>
              <w:snapToGrid w:val="0"/>
              <w:spacing w:line="240" w:lineRule="auto"/>
              <w:ind w:firstLine="0" w:firstLineChars="0"/>
              <w:jc w:val="center"/>
              <w:outlineLvl w:val="5"/>
              <w:rPr>
                <w:color w:val="000000"/>
                <w:sz w:val="24"/>
              </w:rPr>
            </w:pPr>
            <w:r>
              <w:rPr>
                <w:color w:val="000000"/>
                <w:sz w:val="24"/>
              </w:rPr>
              <w:t>2</w:t>
            </w:r>
          </w:p>
        </w:tc>
        <w:tc>
          <w:tcPr>
            <w:tcW w:w="1525" w:type="pct"/>
            <w:tcMar>
              <w:top w:w="15" w:type="dxa"/>
              <w:left w:w="15" w:type="dxa"/>
              <w:bottom w:w="68" w:type="dxa"/>
              <w:right w:w="15" w:type="dxa"/>
            </w:tcMar>
            <w:vAlign w:val="center"/>
          </w:tcPr>
          <w:p w14:paraId="5FA04EB3">
            <w:pPr>
              <w:snapToGrid w:val="0"/>
              <w:spacing w:line="240" w:lineRule="auto"/>
              <w:ind w:firstLine="0" w:firstLineChars="0"/>
              <w:jc w:val="center"/>
              <w:outlineLvl w:val="5"/>
              <w:rPr>
                <w:color w:val="000000"/>
                <w:sz w:val="24"/>
              </w:rPr>
            </w:pPr>
            <w:r>
              <w:rPr>
                <w:color w:val="000000"/>
                <w:sz w:val="24"/>
              </w:rPr>
              <w:t>3</w:t>
            </w:r>
            <w:r>
              <w:rPr>
                <w:rFonts w:hint="eastAsia"/>
                <w:color w:val="000000"/>
                <w:sz w:val="24"/>
              </w:rPr>
              <w:t>个医药废水混合样</w:t>
            </w:r>
          </w:p>
        </w:tc>
        <w:tc>
          <w:tcPr>
            <w:tcW w:w="684" w:type="pct"/>
            <w:tcMar>
              <w:top w:w="15" w:type="dxa"/>
              <w:left w:w="15" w:type="dxa"/>
              <w:bottom w:w="68" w:type="dxa"/>
              <w:right w:w="15" w:type="dxa"/>
            </w:tcMar>
            <w:vAlign w:val="bottom"/>
          </w:tcPr>
          <w:p w14:paraId="23F80EB5">
            <w:pPr>
              <w:snapToGrid w:val="0"/>
              <w:spacing w:line="240" w:lineRule="auto"/>
              <w:ind w:firstLine="0" w:firstLineChars="0"/>
              <w:jc w:val="center"/>
              <w:outlineLvl w:val="5"/>
              <w:rPr>
                <w:color w:val="000000"/>
                <w:sz w:val="24"/>
              </w:rPr>
            </w:pPr>
            <w:r>
              <w:rPr>
                <w:color w:val="000000"/>
                <w:sz w:val="24"/>
              </w:rPr>
              <w:t>0.5527</w:t>
            </w:r>
          </w:p>
        </w:tc>
        <w:tc>
          <w:tcPr>
            <w:tcW w:w="926" w:type="pct"/>
            <w:tcMar>
              <w:top w:w="14" w:type="dxa"/>
              <w:left w:w="14" w:type="dxa"/>
              <w:bottom w:w="65" w:type="dxa"/>
              <w:right w:w="14" w:type="dxa"/>
            </w:tcMar>
            <w:vAlign w:val="bottom"/>
          </w:tcPr>
          <w:p w14:paraId="7E58FBE2">
            <w:pPr>
              <w:snapToGrid w:val="0"/>
              <w:spacing w:line="240" w:lineRule="auto"/>
              <w:ind w:firstLine="0" w:firstLineChars="0"/>
              <w:jc w:val="center"/>
              <w:outlineLvl w:val="5"/>
              <w:rPr>
                <w:color w:val="000000"/>
                <w:sz w:val="24"/>
              </w:rPr>
            </w:pPr>
            <w:r>
              <w:rPr>
                <w:color w:val="000000"/>
                <w:sz w:val="24"/>
              </w:rPr>
              <w:t>44.7%</w:t>
            </w:r>
          </w:p>
        </w:tc>
        <w:tc>
          <w:tcPr>
            <w:tcW w:w="665" w:type="pct"/>
            <w:tcMar>
              <w:top w:w="15" w:type="dxa"/>
              <w:left w:w="15" w:type="dxa"/>
              <w:bottom w:w="68" w:type="dxa"/>
              <w:right w:w="15" w:type="dxa"/>
            </w:tcMar>
            <w:vAlign w:val="bottom"/>
          </w:tcPr>
          <w:p w14:paraId="36C40DE7">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4764</w:t>
            </w:r>
          </w:p>
        </w:tc>
        <w:tc>
          <w:tcPr>
            <w:tcW w:w="709" w:type="pct"/>
            <w:tcMar>
              <w:top w:w="15" w:type="dxa"/>
              <w:left w:w="15" w:type="dxa"/>
              <w:bottom w:w="68" w:type="dxa"/>
              <w:right w:w="15" w:type="dxa"/>
            </w:tcMar>
            <w:vAlign w:val="bottom"/>
          </w:tcPr>
          <w:p w14:paraId="1A563A0D">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-452.3</w:t>
            </w:r>
          </w:p>
        </w:tc>
      </w:tr>
      <w:tr w14:paraId="3E40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89" w:type="pct"/>
            <w:tcMar>
              <w:top w:w="15" w:type="dxa"/>
              <w:left w:w="15" w:type="dxa"/>
              <w:bottom w:w="68" w:type="dxa"/>
              <w:right w:w="15" w:type="dxa"/>
            </w:tcMar>
            <w:vAlign w:val="center"/>
          </w:tcPr>
          <w:p w14:paraId="3A5959A3">
            <w:pPr>
              <w:snapToGrid w:val="0"/>
              <w:spacing w:line="240" w:lineRule="auto"/>
              <w:ind w:firstLine="0" w:firstLineChars="0"/>
              <w:jc w:val="center"/>
              <w:outlineLvl w:val="5"/>
              <w:rPr>
                <w:color w:val="000000"/>
                <w:sz w:val="24"/>
              </w:rPr>
            </w:pPr>
            <w:r>
              <w:rPr>
                <w:color w:val="000000"/>
                <w:sz w:val="24"/>
              </w:rPr>
              <w:t>3</w:t>
            </w:r>
          </w:p>
        </w:tc>
        <w:tc>
          <w:tcPr>
            <w:tcW w:w="1525" w:type="pct"/>
            <w:tcMar>
              <w:top w:w="15" w:type="dxa"/>
              <w:left w:w="15" w:type="dxa"/>
              <w:bottom w:w="68" w:type="dxa"/>
              <w:right w:w="15" w:type="dxa"/>
            </w:tcMar>
            <w:vAlign w:val="center"/>
          </w:tcPr>
          <w:p w14:paraId="10D0989C">
            <w:pPr>
              <w:snapToGrid w:val="0"/>
              <w:spacing w:line="240" w:lineRule="auto"/>
              <w:ind w:firstLine="0" w:firstLineChars="0"/>
              <w:jc w:val="center"/>
              <w:outlineLvl w:val="5"/>
              <w:rPr>
                <w:color w:val="000000"/>
                <w:sz w:val="24"/>
              </w:rPr>
            </w:pPr>
            <w:r>
              <w:rPr>
                <w:color w:val="000000"/>
                <w:sz w:val="24"/>
              </w:rPr>
              <w:t>5</w:t>
            </w:r>
            <w:r>
              <w:rPr>
                <w:rFonts w:hint="eastAsia"/>
                <w:color w:val="000000"/>
                <w:sz w:val="24"/>
              </w:rPr>
              <w:t>个电子废水混合样</w:t>
            </w:r>
          </w:p>
        </w:tc>
        <w:tc>
          <w:tcPr>
            <w:tcW w:w="684" w:type="pct"/>
            <w:tcMar>
              <w:top w:w="15" w:type="dxa"/>
              <w:left w:w="15" w:type="dxa"/>
              <w:bottom w:w="68" w:type="dxa"/>
              <w:right w:w="15" w:type="dxa"/>
            </w:tcMar>
            <w:vAlign w:val="bottom"/>
          </w:tcPr>
          <w:p w14:paraId="2D7B5CB5">
            <w:pPr>
              <w:snapToGrid w:val="0"/>
              <w:spacing w:line="240" w:lineRule="auto"/>
              <w:ind w:firstLine="0" w:firstLineChars="0"/>
              <w:jc w:val="center"/>
              <w:outlineLvl w:val="5"/>
              <w:rPr>
                <w:color w:val="000000"/>
                <w:sz w:val="24"/>
              </w:rPr>
            </w:pPr>
            <w:r>
              <w:rPr>
                <w:color w:val="000000"/>
                <w:sz w:val="24"/>
              </w:rPr>
              <w:t>0.2223</w:t>
            </w:r>
          </w:p>
        </w:tc>
        <w:tc>
          <w:tcPr>
            <w:tcW w:w="926" w:type="pct"/>
            <w:tcMar>
              <w:top w:w="14" w:type="dxa"/>
              <w:left w:w="14" w:type="dxa"/>
              <w:bottom w:w="65" w:type="dxa"/>
              <w:right w:w="14" w:type="dxa"/>
            </w:tcMar>
            <w:vAlign w:val="bottom"/>
          </w:tcPr>
          <w:p w14:paraId="70A062E5">
            <w:pPr>
              <w:snapToGrid w:val="0"/>
              <w:spacing w:line="240" w:lineRule="auto"/>
              <w:ind w:firstLine="0" w:firstLineChars="0"/>
              <w:jc w:val="center"/>
              <w:outlineLvl w:val="5"/>
              <w:rPr>
                <w:color w:val="000000"/>
                <w:sz w:val="24"/>
              </w:rPr>
            </w:pPr>
            <w:r>
              <w:rPr>
                <w:color w:val="000000"/>
                <w:sz w:val="24"/>
              </w:rPr>
              <w:t>77.8%</w:t>
            </w:r>
          </w:p>
        </w:tc>
        <w:tc>
          <w:tcPr>
            <w:tcW w:w="665" w:type="pct"/>
            <w:tcMar>
              <w:top w:w="15" w:type="dxa"/>
              <w:left w:w="15" w:type="dxa"/>
              <w:bottom w:w="68" w:type="dxa"/>
              <w:right w:w="15" w:type="dxa"/>
            </w:tcMar>
            <w:vAlign w:val="bottom"/>
          </w:tcPr>
          <w:p w14:paraId="53FECE8C">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12078</w:t>
            </w:r>
          </w:p>
        </w:tc>
        <w:tc>
          <w:tcPr>
            <w:tcW w:w="709" w:type="pct"/>
            <w:tcMar>
              <w:top w:w="15" w:type="dxa"/>
              <w:left w:w="15" w:type="dxa"/>
              <w:bottom w:w="68" w:type="dxa"/>
              <w:right w:w="15" w:type="dxa"/>
            </w:tcMar>
            <w:vAlign w:val="bottom"/>
          </w:tcPr>
          <w:p w14:paraId="7146A54D">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-779.6</w:t>
            </w:r>
          </w:p>
        </w:tc>
      </w:tr>
      <w:tr w14:paraId="6E7E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89" w:type="pct"/>
            <w:tcMar>
              <w:top w:w="15" w:type="dxa"/>
              <w:left w:w="15" w:type="dxa"/>
              <w:bottom w:w="68" w:type="dxa"/>
              <w:right w:w="15" w:type="dxa"/>
            </w:tcMar>
            <w:vAlign w:val="center"/>
          </w:tcPr>
          <w:p w14:paraId="4915F270">
            <w:pPr>
              <w:snapToGrid w:val="0"/>
              <w:spacing w:line="240" w:lineRule="auto"/>
              <w:ind w:firstLine="0" w:firstLineChars="0"/>
              <w:jc w:val="center"/>
              <w:outlineLvl w:val="5"/>
              <w:rPr>
                <w:color w:val="000000"/>
                <w:sz w:val="24"/>
              </w:rPr>
            </w:pPr>
            <w:r>
              <w:rPr>
                <w:color w:val="000000"/>
                <w:sz w:val="24"/>
              </w:rPr>
              <w:t>4</w:t>
            </w:r>
          </w:p>
        </w:tc>
        <w:tc>
          <w:tcPr>
            <w:tcW w:w="1525" w:type="pct"/>
            <w:tcMar>
              <w:top w:w="15" w:type="dxa"/>
              <w:left w:w="15" w:type="dxa"/>
              <w:bottom w:w="68" w:type="dxa"/>
              <w:right w:w="15" w:type="dxa"/>
            </w:tcMar>
            <w:vAlign w:val="center"/>
          </w:tcPr>
          <w:p w14:paraId="6A029A3C">
            <w:pPr>
              <w:snapToGrid w:val="0"/>
              <w:spacing w:line="240" w:lineRule="auto"/>
              <w:ind w:firstLine="0" w:firstLineChars="0"/>
              <w:jc w:val="center"/>
              <w:outlineLvl w:val="5"/>
              <w:rPr>
                <w:color w:val="000000"/>
                <w:sz w:val="24"/>
              </w:rPr>
            </w:pPr>
            <w:r>
              <w:rPr>
                <w:color w:val="000000"/>
                <w:sz w:val="24"/>
              </w:rPr>
              <w:t>6</w:t>
            </w:r>
            <w:r>
              <w:rPr>
                <w:rFonts w:hint="eastAsia"/>
                <w:color w:val="000000"/>
                <w:sz w:val="24"/>
              </w:rPr>
              <w:t>个机械加工废水混合样</w:t>
            </w:r>
          </w:p>
        </w:tc>
        <w:tc>
          <w:tcPr>
            <w:tcW w:w="684" w:type="pct"/>
            <w:tcMar>
              <w:top w:w="15" w:type="dxa"/>
              <w:left w:w="15" w:type="dxa"/>
              <w:bottom w:w="68" w:type="dxa"/>
              <w:right w:w="15" w:type="dxa"/>
            </w:tcMar>
            <w:vAlign w:val="bottom"/>
          </w:tcPr>
          <w:p w14:paraId="00E3F10D">
            <w:pPr>
              <w:snapToGrid w:val="0"/>
              <w:spacing w:line="240" w:lineRule="auto"/>
              <w:ind w:firstLine="0" w:firstLineChars="0"/>
              <w:jc w:val="center"/>
              <w:outlineLvl w:val="5"/>
              <w:rPr>
                <w:color w:val="000000"/>
                <w:sz w:val="24"/>
              </w:rPr>
            </w:pPr>
            <w:r>
              <w:rPr>
                <w:color w:val="000000"/>
                <w:sz w:val="24"/>
              </w:rPr>
              <w:t>0.1678</w:t>
            </w:r>
          </w:p>
        </w:tc>
        <w:tc>
          <w:tcPr>
            <w:tcW w:w="926" w:type="pct"/>
            <w:tcMar>
              <w:top w:w="14" w:type="dxa"/>
              <w:left w:w="14" w:type="dxa"/>
              <w:bottom w:w="65" w:type="dxa"/>
              <w:right w:w="14" w:type="dxa"/>
            </w:tcMar>
            <w:vAlign w:val="bottom"/>
          </w:tcPr>
          <w:p w14:paraId="43A33FDD">
            <w:pPr>
              <w:snapToGrid w:val="0"/>
              <w:spacing w:line="240" w:lineRule="auto"/>
              <w:ind w:firstLine="0" w:firstLineChars="0"/>
              <w:jc w:val="center"/>
              <w:outlineLvl w:val="5"/>
              <w:rPr>
                <w:color w:val="000000"/>
                <w:sz w:val="24"/>
              </w:rPr>
            </w:pPr>
            <w:r>
              <w:rPr>
                <w:color w:val="000000"/>
                <w:sz w:val="24"/>
              </w:rPr>
              <w:t>83.2%</w:t>
            </w:r>
          </w:p>
        </w:tc>
        <w:tc>
          <w:tcPr>
            <w:tcW w:w="665" w:type="pct"/>
            <w:tcMar>
              <w:top w:w="15" w:type="dxa"/>
              <w:left w:w="15" w:type="dxa"/>
              <w:bottom w:w="68" w:type="dxa"/>
              <w:right w:w="15" w:type="dxa"/>
            </w:tcMar>
            <w:vAlign w:val="bottom"/>
          </w:tcPr>
          <w:p w14:paraId="68D5C758">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14337</w:t>
            </w:r>
          </w:p>
        </w:tc>
        <w:tc>
          <w:tcPr>
            <w:tcW w:w="709" w:type="pct"/>
            <w:tcMar>
              <w:top w:w="15" w:type="dxa"/>
              <w:left w:w="15" w:type="dxa"/>
              <w:bottom w:w="68" w:type="dxa"/>
              <w:right w:w="15" w:type="dxa"/>
            </w:tcMar>
            <w:vAlign w:val="bottom"/>
          </w:tcPr>
          <w:p w14:paraId="6C4D59E7">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-833.7</w:t>
            </w:r>
          </w:p>
        </w:tc>
      </w:tr>
      <w:tr w14:paraId="0E6F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89" w:type="pct"/>
            <w:tcMar>
              <w:top w:w="15" w:type="dxa"/>
              <w:left w:w="15" w:type="dxa"/>
              <w:bottom w:w="68" w:type="dxa"/>
              <w:right w:w="15" w:type="dxa"/>
            </w:tcMar>
            <w:vAlign w:val="center"/>
          </w:tcPr>
          <w:p w14:paraId="124E171F">
            <w:pPr>
              <w:snapToGrid w:val="0"/>
              <w:spacing w:line="240" w:lineRule="auto"/>
              <w:ind w:firstLine="0" w:firstLineChars="0"/>
              <w:jc w:val="center"/>
              <w:outlineLvl w:val="5"/>
              <w:rPr>
                <w:color w:val="000000"/>
                <w:sz w:val="24"/>
              </w:rPr>
            </w:pPr>
            <w:r>
              <w:rPr>
                <w:color w:val="000000"/>
                <w:sz w:val="24"/>
              </w:rPr>
              <w:t>5</w:t>
            </w:r>
          </w:p>
        </w:tc>
        <w:tc>
          <w:tcPr>
            <w:tcW w:w="1525" w:type="pct"/>
            <w:tcMar>
              <w:top w:w="15" w:type="dxa"/>
              <w:left w:w="15" w:type="dxa"/>
              <w:bottom w:w="68" w:type="dxa"/>
              <w:right w:w="15" w:type="dxa"/>
            </w:tcMar>
            <w:vAlign w:val="center"/>
          </w:tcPr>
          <w:p w14:paraId="58D9A93F">
            <w:pPr>
              <w:snapToGrid w:val="0"/>
              <w:spacing w:line="240" w:lineRule="auto"/>
              <w:ind w:firstLine="0" w:firstLineChars="0"/>
              <w:jc w:val="center"/>
              <w:outlineLvl w:val="5"/>
              <w:rPr>
                <w:color w:val="000000"/>
                <w:sz w:val="24"/>
              </w:rPr>
            </w:pPr>
            <w:r>
              <w:rPr>
                <w:color w:val="000000"/>
                <w:sz w:val="24"/>
              </w:rPr>
              <w:t>3</w:t>
            </w:r>
            <w:r>
              <w:rPr>
                <w:rFonts w:hint="eastAsia"/>
                <w:color w:val="000000"/>
                <w:sz w:val="24"/>
              </w:rPr>
              <w:t>个石化废水混合样</w:t>
            </w:r>
          </w:p>
        </w:tc>
        <w:tc>
          <w:tcPr>
            <w:tcW w:w="684" w:type="pct"/>
            <w:tcMar>
              <w:top w:w="105" w:type="dxa"/>
              <w:left w:w="160" w:type="dxa"/>
              <w:bottom w:w="105" w:type="dxa"/>
              <w:right w:w="160" w:type="dxa"/>
            </w:tcMar>
            <w:vAlign w:val="center"/>
          </w:tcPr>
          <w:p w14:paraId="313EBD70">
            <w:pPr>
              <w:snapToGrid w:val="0"/>
              <w:spacing w:line="240" w:lineRule="auto"/>
              <w:ind w:firstLine="0" w:firstLineChars="0"/>
              <w:jc w:val="center"/>
              <w:outlineLvl w:val="5"/>
              <w:rPr>
                <w:color w:val="000000"/>
                <w:sz w:val="24"/>
              </w:rPr>
            </w:pPr>
            <w:r>
              <w:rPr>
                <w:color w:val="000000"/>
                <w:sz w:val="24"/>
              </w:rPr>
              <w:t>0.1491</w:t>
            </w:r>
          </w:p>
        </w:tc>
        <w:tc>
          <w:tcPr>
            <w:tcW w:w="926" w:type="pct"/>
            <w:tcMar>
              <w:top w:w="105" w:type="dxa"/>
              <w:left w:w="160" w:type="dxa"/>
              <w:bottom w:w="105" w:type="dxa"/>
              <w:right w:w="160" w:type="dxa"/>
            </w:tcMar>
            <w:vAlign w:val="center"/>
          </w:tcPr>
          <w:p w14:paraId="4EF64C93">
            <w:pPr>
              <w:snapToGrid w:val="0"/>
              <w:spacing w:line="240" w:lineRule="auto"/>
              <w:ind w:firstLine="0" w:firstLineChars="0"/>
              <w:jc w:val="center"/>
              <w:outlineLvl w:val="5"/>
              <w:rPr>
                <w:color w:val="000000"/>
                <w:sz w:val="24"/>
              </w:rPr>
            </w:pPr>
            <w:r>
              <w:rPr>
                <w:color w:val="000000"/>
                <w:sz w:val="24"/>
              </w:rPr>
              <w:t>85.1%</w:t>
            </w:r>
          </w:p>
        </w:tc>
        <w:tc>
          <w:tcPr>
            <w:tcW w:w="665" w:type="pct"/>
            <w:tcMar>
              <w:top w:w="105" w:type="dxa"/>
              <w:left w:w="160" w:type="dxa"/>
              <w:bottom w:w="105" w:type="dxa"/>
              <w:right w:w="160" w:type="dxa"/>
            </w:tcMar>
            <w:vAlign w:val="center"/>
          </w:tcPr>
          <w:p w14:paraId="59E489E7">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15014</w:t>
            </w:r>
          </w:p>
        </w:tc>
        <w:tc>
          <w:tcPr>
            <w:tcW w:w="709" w:type="pct"/>
            <w:tcMar>
              <w:top w:w="105" w:type="dxa"/>
              <w:left w:w="160" w:type="dxa"/>
              <w:bottom w:w="105" w:type="dxa"/>
              <w:right w:w="160" w:type="dxa"/>
            </w:tcMar>
            <w:vAlign w:val="center"/>
          </w:tcPr>
          <w:p w14:paraId="2F8B4F57">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-855.8</w:t>
            </w:r>
          </w:p>
        </w:tc>
      </w:tr>
      <w:tr w14:paraId="0750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89" w:type="pct"/>
            <w:tcMar>
              <w:top w:w="15" w:type="dxa"/>
              <w:left w:w="15" w:type="dxa"/>
              <w:bottom w:w="68" w:type="dxa"/>
              <w:right w:w="15" w:type="dxa"/>
            </w:tcMar>
            <w:vAlign w:val="center"/>
          </w:tcPr>
          <w:p w14:paraId="68F71014">
            <w:pPr>
              <w:snapToGrid w:val="0"/>
              <w:spacing w:line="240" w:lineRule="auto"/>
              <w:ind w:firstLine="0" w:firstLineChars="0"/>
              <w:jc w:val="center"/>
              <w:outlineLvl w:val="5"/>
              <w:rPr>
                <w:color w:val="000000"/>
                <w:sz w:val="24"/>
              </w:rPr>
            </w:pPr>
            <w:r>
              <w:rPr>
                <w:color w:val="000000"/>
                <w:sz w:val="24"/>
              </w:rPr>
              <w:t>6</w:t>
            </w:r>
          </w:p>
        </w:tc>
        <w:tc>
          <w:tcPr>
            <w:tcW w:w="1525" w:type="pct"/>
            <w:tcMar>
              <w:top w:w="15" w:type="dxa"/>
              <w:left w:w="15" w:type="dxa"/>
              <w:bottom w:w="68" w:type="dxa"/>
              <w:right w:w="15" w:type="dxa"/>
            </w:tcMar>
            <w:vAlign w:val="center"/>
          </w:tcPr>
          <w:p w14:paraId="6930ADAC">
            <w:pPr>
              <w:snapToGrid w:val="0"/>
              <w:spacing w:line="240" w:lineRule="auto"/>
              <w:ind w:firstLine="0" w:firstLineChars="0"/>
              <w:jc w:val="center"/>
              <w:outlineLvl w:val="5"/>
              <w:rPr>
                <w:color w:val="000000"/>
                <w:sz w:val="24"/>
              </w:rPr>
            </w:pPr>
            <w:r>
              <w:rPr>
                <w:color w:val="000000"/>
                <w:sz w:val="24"/>
              </w:rPr>
              <w:t>4</w:t>
            </w:r>
            <w:r>
              <w:rPr>
                <w:rFonts w:hint="eastAsia"/>
                <w:color w:val="000000"/>
                <w:sz w:val="24"/>
              </w:rPr>
              <w:t>个印染废水混合样</w:t>
            </w:r>
          </w:p>
        </w:tc>
        <w:tc>
          <w:tcPr>
            <w:tcW w:w="684" w:type="pct"/>
            <w:tcMar>
              <w:top w:w="105" w:type="dxa"/>
              <w:left w:w="160" w:type="dxa"/>
              <w:bottom w:w="105" w:type="dxa"/>
              <w:right w:w="160" w:type="dxa"/>
            </w:tcMar>
            <w:vAlign w:val="center"/>
          </w:tcPr>
          <w:p w14:paraId="0B839A98">
            <w:pPr>
              <w:snapToGrid w:val="0"/>
              <w:spacing w:line="240" w:lineRule="auto"/>
              <w:ind w:firstLine="0" w:firstLineChars="0"/>
              <w:jc w:val="center"/>
              <w:outlineLvl w:val="5"/>
              <w:rPr>
                <w:color w:val="000000"/>
                <w:sz w:val="24"/>
              </w:rPr>
            </w:pPr>
            <w:r>
              <w:rPr>
                <w:color w:val="000000"/>
                <w:sz w:val="24"/>
              </w:rPr>
              <w:t>0.2439</w:t>
            </w:r>
          </w:p>
        </w:tc>
        <w:tc>
          <w:tcPr>
            <w:tcW w:w="926" w:type="pct"/>
            <w:tcMar>
              <w:top w:w="105" w:type="dxa"/>
              <w:left w:w="160" w:type="dxa"/>
              <w:bottom w:w="105" w:type="dxa"/>
              <w:right w:w="160" w:type="dxa"/>
            </w:tcMar>
            <w:vAlign w:val="center"/>
          </w:tcPr>
          <w:p w14:paraId="52CE7D67">
            <w:pPr>
              <w:snapToGrid w:val="0"/>
              <w:spacing w:line="240" w:lineRule="auto"/>
              <w:ind w:firstLine="0" w:firstLineChars="0"/>
              <w:jc w:val="center"/>
              <w:outlineLvl w:val="5"/>
              <w:rPr>
                <w:color w:val="000000"/>
                <w:sz w:val="24"/>
              </w:rPr>
            </w:pPr>
            <w:r>
              <w:rPr>
                <w:color w:val="000000"/>
                <w:sz w:val="24"/>
              </w:rPr>
              <w:t>75.6%</w:t>
            </w:r>
          </w:p>
        </w:tc>
        <w:tc>
          <w:tcPr>
            <w:tcW w:w="665" w:type="pct"/>
            <w:tcMar>
              <w:top w:w="105" w:type="dxa"/>
              <w:left w:w="160" w:type="dxa"/>
              <w:bottom w:w="105" w:type="dxa"/>
              <w:right w:w="160" w:type="dxa"/>
            </w:tcMar>
            <w:vAlign w:val="center"/>
          </w:tcPr>
          <w:p w14:paraId="56ADBD7F">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8513</w:t>
            </w:r>
          </w:p>
        </w:tc>
        <w:tc>
          <w:tcPr>
            <w:tcW w:w="709" w:type="pct"/>
            <w:tcMar>
              <w:top w:w="105" w:type="dxa"/>
              <w:left w:w="160" w:type="dxa"/>
              <w:bottom w:w="105" w:type="dxa"/>
              <w:right w:w="160" w:type="dxa"/>
            </w:tcMar>
            <w:vAlign w:val="center"/>
          </w:tcPr>
          <w:p w14:paraId="624B8C3F">
            <w:pPr>
              <w:pStyle w:val="26"/>
              <w:snapToGrid w:val="0"/>
              <w:spacing w:before="0" w:after="0" w:line="240" w:lineRule="auto"/>
              <w:ind w:firstLine="0" w:firstLineChars="0"/>
              <w:jc w:val="center"/>
              <w:rPr>
                <w:rFonts w:ascii="Times New Roman" w:hAnsi="Times New Roman"/>
                <w:color w:val="000000"/>
                <w:szCs w:val="24"/>
              </w:rPr>
            </w:pPr>
            <w:r>
              <w:rPr>
                <w:rFonts w:ascii="Times New Roman" w:hAnsi="Times New Roman"/>
                <w:color w:val="000000"/>
                <w:szCs w:val="24"/>
              </w:rPr>
              <w:t>-750.1</w:t>
            </w:r>
          </w:p>
        </w:tc>
      </w:tr>
    </w:tbl>
    <w:p w14:paraId="2DF2454E">
      <w:pPr>
        <w:ind w:firstLine="560"/>
        <w:rPr>
          <w:bCs/>
        </w:rPr>
      </w:pPr>
    </w:p>
    <w:p w14:paraId="425995EE">
      <w:pPr>
        <w:ind w:firstLine="560"/>
        <w:rPr>
          <w:bCs/>
        </w:rPr>
      </w:pPr>
      <w:r>
        <w:rPr>
          <w:rFonts w:hint="eastAsia"/>
          <w:bCs/>
        </w:rPr>
        <w:t>污水处理过程碳排放</w:t>
      </w:r>
      <w:r>
        <w:rPr>
          <w:bCs/>
        </w:rPr>
        <w:t>核算方法分为排放因子法和化学平衡法两种</w:t>
      </w:r>
      <w:r>
        <w:rPr>
          <w:rFonts w:hint="eastAsia"/>
          <w:bCs/>
        </w:rPr>
        <w:t>，其中排放因子法适用于管理部门对</w:t>
      </w:r>
      <w:r>
        <w:rPr>
          <w:bCs/>
        </w:rPr>
        <w:t>A</w:t>
      </w:r>
      <w:r>
        <w:rPr>
          <w:bCs/>
          <w:vertAlign w:val="superscript"/>
        </w:rPr>
        <w:t>2</w:t>
      </w:r>
      <w:r>
        <w:rPr>
          <w:bCs/>
        </w:rPr>
        <w:t>/O、A/O、氧化沟和SBR工艺污水厂碳排放总量的快速估</w:t>
      </w:r>
      <w:r>
        <w:rPr>
          <w:rFonts w:hint="eastAsia"/>
          <w:bCs/>
        </w:rPr>
        <w:t>算；化学平衡法适用于在数据充足的情况下，对A</w:t>
      </w:r>
      <w:r>
        <w:rPr>
          <w:bCs/>
          <w:vertAlign w:val="superscript"/>
        </w:rPr>
        <w:t>2</w:t>
      </w:r>
      <w:r>
        <w:rPr>
          <w:rFonts w:hint="eastAsia"/>
          <w:bCs/>
        </w:rPr>
        <w:t>/O、A/O、SBR、氧化沟、巴颠甫等常见工艺的污水处理厂碳排放详细核算。新污水处理工艺则适用于实测法。</w:t>
      </w:r>
    </w:p>
    <w:p w14:paraId="01D9A814">
      <w:pPr>
        <w:ind w:firstLine="560"/>
        <w:rPr>
          <w:bCs/>
        </w:rPr>
      </w:pPr>
      <w:r>
        <w:rPr>
          <w:rFonts w:hint="eastAsia"/>
          <w:bCs/>
        </w:rPr>
        <w:t>在污水处理过程中，温室气体的直接排放主要来源于</w:t>
      </w:r>
      <w:r>
        <w:rPr>
          <w:rFonts w:hint="eastAsia"/>
          <w:lang w:eastAsia="zh"/>
        </w:rPr>
        <w:t>微生物对有机物降解及氮类化合物转化</w:t>
      </w:r>
      <w:r>
        <w:rPr>
          <w:rFonts w:hint="eastAsia"/>
          <w:bCs/>
        </w:rPr>
        <w:t>，主要排放气体为二氧化碳（CO</w:t>
      </w:r>
      <w:r>
        <w:rPr>
          <w:bCs/>
          <w:vertAlign w:val="subscript"/>
        </w:rPr>
        <w:t>2</w:t>
      </w:r>
      <w:r>
        <w:rPr>
          <w:rFonts w:hint="eastAsia"/>
          <w:bCs/>
        </w:rPr>
        <w:t>）甲烷（CH</w:t>
      </w:r>
      <w:r>
        <w:rPr>
          <w:rFonts w:hint="eastAsia"/>
          <w:bCs/>
          <w:vertAlign w:val="subscript"/>
        </w:rPr>
        <w:t>4</w:t>
      </w:r>
      <w:r>
        <w:rPr>
          <w:rFonts w:hint="eastAsia"/>
          <w:bCs/>
        </w:rPr>
        <w:t>）和氧化亚氮（N</w:t>
      </w:r>
      <w:r>
        <w:rPr>
          <w:rFonts w:hint="eastAsia"/>
          <w:bCs/>
          <w:vertAlign w:val="subscript"/>
        </w:rPr>
        <w:t>2</w:t>
      </w:r>
      <w:r>
        <w:rPr>
          <w:rFonts w:hint="eastAsia"/>
          <w:bCs/>
        </w:rPr>
        <w:t>O）。微生物在不同氧气浓度下有不同的代谢通路，所以在化学平衡法中，考虑微生物有氧条件下分解有机物产生CO</w:t>
      </w:r>
      <w:r>
        <w:rPr>
          <w:bCs/>
          <w:vertAlign w:val="subscript"/>
        </w:rPr>
        <w:t>2</w:t>
      </w:r>
      <w:r>
        <w:rPr>
          <w:rFonts w:hint="eastAsia"/>
          <w:bCs/>
        </w:rPr>
        <w:t>、微生物内源呼吸分解细胞质产生CO</w:t>
      </w:r>
      <w:r>
        <w:rPr>
          <w:bCs/>
          <w:vertAlign w:val="subscript"/>
        </w:rPr>
        <w:t>2</w:t>
      </w:r>
      <w:r>
        <w:rPr>
          <w:rFonts w:hint="eastAsia"/>
          <w:bCs/>
        </w:rPr>
        <w:t>、反硝化过程产生CO</w:t>
      </w:r>
      <w:r>
        <w:rPr>
          <w:rFonts w:hint="eastAsia"/>
          <w:bCs/>
          <w:vertAlign w:val="subscript"/>
        </w:rPr>
        <w:t>2</w:t>
      </w:r>
      <w:r>
        <w:rPr>
          <w:rFonts w:hint="eastAsia"/>
          <w:bCs/>
        </w:rPr>
        <w:t>、有机物厌氧消化产生CH</w:t>
      </w:r>
      <w:r>
        <w:rPr>
          <w:rFonts w:hint="eastAsia"/>
          <w:bCs/>
          <w:vertAlign w:val="subscript"/>
        </w:rPr>
        <w:t>4</w:t>
      </w:r>
      <w:r>
        <w:rPr>
          <w:rFonts w:hint="eastAsia"/>
          <w:bCs/>
        </w:rPr>
        <w:t>、CO</w:t>
      </w:r>
      <w:r>
        <w:rPr>
          <w:rFonts w:hint="eastAsia"/>
          <w:bCs/>
          <w:vertAlign w:val="subscript"/>
        </w:rPr>
        <w:t>2</w:t>
      </w:r>
      <w:r>
        <w:rPr>
          <w:rFonts w:hint="eastAsia"/>
          <w:bCs/>
        </w:rPr>
        <w:t>和H</w:t>
      </w:r>
      <w:r>
        <w:rPr>
          <w:rFonts w:hint="eastAsia"/>
          <w:bCs/>
          <w:vertAlign w:val="subscript"/>
        </w:rPr>
        <w:t>2</w:t>
      </w:r>
      <w:r>
        <w:rPr>
          <w:rFonts w:hint="eastAsia"/>
          <w:bCs/>
        </w:rPr>
        <w:t>O几个化学反应过程，并围绕反应物和产物建立化学反应方程式，得出温室气体与有机物和微生物的化学计量学关系，对直接碳排放量进行计算。</w:t>
      </w:r>
    </w:p>
    <w:p w14:paraId="1611A7DD">
      <w:pPr>
        <w:ind w:firstLine="560"/>
        <w:rPr>
          <w:bCs/>
        </w:rPr>
      </w:pPr>
      <w:r>
        <w:rPr>
          <w:rFonts w:hint="eastAsia"/>
          <w:bCs/>
        </w:rPr>
        <w:t>CH</w:t>
      </w:r>
      <w:r>
        <w:rPr>
          <w:rFonts w:hint="eastAsia"/>
          <w:bCs/>
          <w:vertAlign w:val="subscript"/>
        </w:rPr>
        <w:t>4</w:t>
      </w:r>
      <w:r>
        <w:rPr>
          <w:rFonts w:hint="eastAsia"/>
          <w:bCs/>
        </w:rPr>
        <w:t>和CO</w:t>
      </w:r>
      <w:r>
        <w:rPr>
          <w:rFonts w:hint="eastAsia"/>
          <w:bCs/>
          <w:vertAlign w:val="subscript"/>
        </w:rPr>
        <w:t>2</w:t>
      </w:r>
      <w:r>
        <w:rPr>
          <w:rFonts w:hint="eastAsia"/>
          <w:bCs/>
        </w:rPr>
        <w:t>的排放因子通过碳排放量和COD及TN的削减量确定。编制组对南京、无锡、镇江、苏州、泰州、徐州和连云港等地87</w:t>
      </w:r>
      <w:r>
        <w:rPr>
          <w:bCs/>
        </w:rPr>
        <w:t>个污水处理厂</w:t>
      </w:r>
      <w:r>
        <w:rPr>
          <w:rFonts w:hint="eastAsia"/>
          <w:bCs/>
        </w:rPr>
        <w:t>进行采样，覆盖</w:t>
      </w:r>
      <w:r>
        <w:rPr>
          <w:bCs/>
        </w:rPr>
        <w:t>A</w:t>
      </w:r>
      <w:r>
        <w:rPr>
          <w:bCs/>
          <w:vertAlign w:val="superscript"/>
        </w:rPr>
        <w:t>2</w:t>
      </w:r>
      <w:r>
        <w:rPr>
          <w:bCs/>
        </w:rPr>
        <w:t>/O、A/O、氧化沟</w:t>
      </w:r>
      <w:r>
        <w:rPr>
          <w:rFonts w:hint="eastAsia"/>
          <w:bCs/>
        </w:rPr>
        <w:t>和</w:t>
      </w:r>
      <w:r>
        <w:rPr>
          <w:bCs/>
        </w:rPr>
        <w:t>SBR</w:t>
      </w:r>
      <w:r>
        <w:rPr>
          <w:rFonts w:hint="eastAsia"/>
          <w:bCs/>
        </w:rPr>
        <w:t>等主流工艺类型。基于采样数据采用化学平衡法计算直接碳排放量，并结合箱体图确定了不同工艺排放因子的取值范围，进而求平均值，确定最终排放因子取值。</w:t>
      </w:r>
    </w:p>
    <w:p w14:paraId="3E617D4A">
      <w:pPr>
        <w:ind w:firstLine="560"/>
        <w:rPr>
          <w:bCs/>
        </w:rPr>
      </w:pPr>
      <w:r>
        <w:rPr>
          <w:bCs/>
        </w:rPr>
        <w:t>N</w:t>
      </w:r>
      <w:r>
        <w:rPr>
          <w:bCs/>
          <w:vertAlign w:val="subscript"/>
        </w:rPr>
        <w:t>2</w:t>
      </w:r>
      <w:r>
        <w:rPr>
          <w:bCs/>
        </w:rPr>
        <w:t>O</w:t>
      </w:r>
      <w:r>
        <w:rPr>
          <w:rFonts w:hint="eastAsia"/>
          <w:bCs/>
        </w:rPr>
        <w:t>排放因子通过实测法确定。编制组选取运行良好污水处理厂，对常见生化工艺（A</w:t>
      </w:r>
      <w:r>
        <w:rPr>
          <w:bCs/>
          <w:vertAlign w:val="subscript"/>
        </w:rPr>
        <w:t>2</w:t>
      </w:r>
      <w:r>
        <w:rPr>
          <w:rFonts w:hint="eastAsia"/>
          <w:bCs/>
        </w:rPr>
        <w:t>/O、A/O）不同构筑物进行活性污泥采样，记录不同构筑物采样位点的水质条件和环境水平；对样品进行宏基因组检测，依照KEGG数据库筛选N</w:t>
      </w:r>
      <w:r>
        <w:rPr>
          <w:bCs/>
          <w:vertAlign w:val="subscript"/>
        </w:rPr>
        <w:t>2</w:t>
      </w:r>
      <w:r>
        <w:rPr>
          <w:rFonts w:hint="eastAsia"/>
          <w:bCs/>
        </w:rPr>
        <w:t>O产生和转化的关键酶对应的功能基因，并进行丰度标记；对比N</w:t>
      </w:r>
      <w:r>
        <w:rPr>
          <w:bCs/>
          <w:vertAlign w:val="subscript"/>
        </w:rPr>
        <w:t>2</w:t>
      </w:r>
      <w:r>
        <w:rPr>
          <w:rFonts w:hint="eastAsia"/>
          <w:bCs/>
        </w:rPr>
        <w:t>O硝化过程和反硝化过程三条产生路径相关功能基因的丰度，结合构筑物进出水水质数据和运行条件，得出进出水TN削减与N</w:t>
      </w:r>
      <w:r>
        <w:rPr>
          <w:bCs/>
          <w:vertAlign w:val="subscript"/>
        </w:rPr>
        <w:t>2</w:t>
      </w:r>
      <w:r>
        <w:rPr>
          <w:rFonts w:hint="eastAsia"/>
          <w:bCs/>
        </w:rPr>
        <w:t>O产生和转化的关系。</w:t>
      </w:r>
    </w:p>
    <w:p w14:paraId="3D104C9C">
      <w:pPr>
        <w:ind w:firstLine="560"/>
        <w:rPr>
          <w:bCs/>
        </w:rPr>
      </w:pPr>
    </w:p>
    <w:p w14:paraId="3557D683">
      <w:pPr>
        <w:ind w:firstLine="560"/>
        <w:rPr>
          <w:bCs/>
        </w:rPr>
      </w:pPr>
      <w:r>
        <w:rPr>
          <w:rFonts w:hint="eastAsia"/>
          <w:bCs/>
        </w:rPr>
        <w:t>（3）污泥处理处置直接碳排放</w:t>
      </w:r>
    </w:p>
    <w:p w14:paraId="05CD3144">
      <w:pPr>
        <w:ind w:firstLine="560"/>
        <w:rPr>
          <w:bCs/>
        </w:rPr>
      </w:pPr>
      <w:r>
        <w:rPr>
          <w:rFonts w:hint="eastAsia"/>
          <w:bCs/>
        </w:rPr>
        <w:t>污泥是污水处理的主要副产物之一，富含有机物和营养元素，在后续处理处置过程中会产生温室气体。编制组首先研究了污泥处理处置相关政策要求并对江苏省内污泥处理处置工艺进行了调研，目前江苏省内污泥处理处置方法主要有厌氧消化、好氧堆肥、焚烧、建材利用和土地利用五种，并对不同污泥处理处置装置进行了现场监测和实验，确定了产生的温室气体种类、有机物转化率等。</w:t>
      </w:r>
    </w:p>
    <w:p w14:paraId="2BE7B0BB">
      <w:pPr>
        <w:ind w:firstLine="560"/>
        <w:rPr>
          <w:bCs/>
        </w:rPr>
      </w:pPr>
      <w:r>
        <w:rPr>
          <w:bCs/>
        </w:rPr>
        <w:t>污泥厌氧消化是指在无氧条件下，污泥中可生物降解的有机物在兼性菌和厌氧细菌的作用下分解为CH</w:t>
      </w:r>
      <w:r>
        <w:rPr>
          <w:bCs/>
          <w:vertAlign w:val="subscript"/>
        </w:rPr>
        <w:t>4</w:t>
      </w:r>
      <w:r>
        <w:rPr>
          <w:bCs/>
        </w:rPr>
        <w:t>、CO</w:t>
      </w:r>
      <w:r>
        <w:rPr>
          <w:bCs/>
          <w:vertAlign w:val="subscript"/>
        </w:rPr>
        <w:t>2</w:t>
      </w:r>
      <w:r>
        <w:rPr>
          <w:bCs/>
        </w:rPr>
        <w:t>、H</w:t>
      </w:r>
      <w:r>
        <w:rPr>
          <w:bCs/>
          <w:vertAlign w:val="subscript"/>
        </w:rPr>
        <w:t>2</w:t>
      </w:r>
      <w:r>
        <w:rPr>
          <w:bCs/>
        </w:rPr>
        <w:t>O和H</w:t>
      </w:r>
      <w:r>
        <w:rPr>
          <w:bCs/>
          <w:vertAlign w:val="subscript"/>
        </w:rPr>
        <w:t>2</w:t>
      </w:r>
      <w:r>
        <w:rPr>
          <w:bCs/>
        </w:rPr>
        <w:t>S的过程。</w:t>
      </w:r>
      <w:r>
        <w:rPr>
          <w:rFonts w:hint="eastAsia"/>
          <w:bCs/>
        </w:rPr>
        <w:t>实际调研中发现，</w:t>
      </w:r>
      <w:r>
        <w:rPr>
          <w:bCs/>
        </w:rPr>
        <w:t>通过控制反应温度和pH值</w:t>
      </w:r>
      <w:r>
        <w:rPr>
          <w:rFonts w:hint="eastAsia"/>
          <w:bCs/>
        </w:rPr>
        <w:t>可以使厌氧消化反应器</w:t>
      </w:r>
      <w:r>
        <w:rPr>
          <w:bCs/>
        </w:rPr>
        <w:t>内进行稳定产气。厌氧消化产生的沼气收集在气包中，气体泄漏率小于0.1%，污泥厌氧消化过程视为有机物理想厌氧分解，生成气体完全收集。</w:t>
      </w:r>
    </w:p>
    <w:p w14:paraId="7273C428">
      <w:pPr>
        <w:ind w:firstLine="560"/>
        <w:rPr>
          <w:bCs/>
        </w:rPr>
      </w:pPr>
      <w:r>
        <w:rPr>
          <w:bCs/>
        </w:rPr>
        <w:t>厌氧消化反应原理构建化学方程式为：</w:t>
      </w:r>
    </w:p>
    <w:p w14:paraId="5E3924A5">
      <w:pPr>
        <w:ind w:firstLine="560"/>
        <w:rPr>
          <w:bCs/>
          <w:vertAlign w:val="subscript"/>
        </w:rPr>
      </w:pPr>
      <w:r>
        <w:rPr>
          <w:bCs/>
        </w:rPr>
        <w:t>C</w:t>
      </w:r>
      <w:r>
        <w:rPr>
          <w:bCs/>
          <w:vertAlign w:val="subscript"/>
        </w:rPr>
        <w:t>5</w:t>
      </w:r>
      <w:r>
        <w:rPr>
          <w:bCs/>
        </w:rPr>
        <w:t>H</w:t>
      </w:r>
      <w:r>
        <w:rPr>
          <w:bCs/>
          <w:vertAlign w:val="subscript"/>
        </w:rPr>
        <w:t>7</w:t>
      </w:r>
      <w:r>
        <w:rPr>
          <w:bCs/>
        </w:rPr>
        <w:t>O</w:t>
      </w:r>
      <w:r>
        <w:rPr>
          <w:bCs/>
          <w:vertAlign w:val="subscript"/>
        </w:rPr>
        <w:t>2</w:t>
      </w:r>
      <w:r>
        <w:rPr>
          <w:bCs/>
        </w:rPr>
        <w:t>N+3H</w:t>
      </w:r>
      <w:r>
        <w:rPr>
          <w:bCs/>
          <w:vertAlign w:val="subscript"/>
        </w:rPr>
        <w:t>2</w:t>
      </w:r>
      <w:r>
        <w:rPr>
          <w:bCs/>
        </w:rPr>
        <w:t>O</w:t>
      </w:r>
      <w:r>
        <w:rPr>
          <w:rFonts w:hint="eastAsia"/>
          <w:bCs/>
        </w:rPr>
        <w:t>→</w:t>
      </w:r>
      <w:r>
        <w:rPr>
          <w:bCs/>
        </w:rPr>
        <w:t>2.5CO</w:t>
      </w:r>
      <w:r>
        <w:rPr>
          <w:bCs/>
          <w:vertAlign w:val="subscript"/>
        </w:rPr>
        <w:t>2</w:t>
      </w:r>
      <w:r>
        <w:rPr>
          <w:bCs/>
        </w:rPr>
        <w:t>+2.5CH</w:t>
      </w:r>
      <w:r>
        <w:rPr>
          <w:bCs/>
          <w:vertAlign w:val="subscript"/>
        </w:rPr>
        <w:t>4</w:t>
      </w:r>
      <w:r>
        <w:rPr>
          <w:bCs/>
        </w:rPr>
        <w:t>+NH</w:t>
      </w:r>
      <w:r>
        <w:rPr>
          <w:bCs/>
          <w:vertAlign w:val="subscript"/>
        </w:rPr>
        <w:t>3</w:t>
      </w:r>
    </w:p>
    <w:p w14:paraId="513FC05B">
      <w:pPr>
        <w:ind w:firstLine="560"/>
        <w:rPr>
          <w:bCs/>
        </w:rPr>
      </w:pPr>
      <w:r>
        <w:rPr>
          <w:bCs/>
        </w:rPr>
        <w:t>CH</w:t>
      </w:r>
      <w:r>
        <w:rPr>
          <w:bCs/>
          <w:vertAlign w:val="subscript"/>
        </w:rPr>
        <w:t>4</w:t>
      </w:r>
      <w:r>
        <w:rPr>
          <w:bCs/>
        </w:rPr>
        <w:t>用于资源回收利用时不计算在碳排放量当中，但由于污泥中部分有机物为化石源有机物经微生物摄取而来，其消化后产生的沼气为化石源。因此该部分化石源CH</w:t>
      </w:r>
      <w:r>
        <w:rPr>
          <w:bCs/>
          <w:vertAlign w:val="subscript"/>
        </w:rPr>
        <w:t>4</w:t>
      </w:r>
      <w:r>
        <w:rPr>
          <w:bCs/>
        </w:rPr>
        <w:t>燃烧后产生的化石源CO</w:t>
      </w:r>
      <w:r>
        <w:rPr>
          <w:bCs/>
          <w:vertAlign w:val="subscript"/>
        </w:rPr>
        <w:t>2</w:t>
      </w:r>
      <w:r>
        <w:rPr>
          <w:bCs/>
        </w:rPr>
        <w:t>需要计入计算。当厌氧消化产甲烷用于资源回收利用时，相应产生的化石源二氧化碳核算为：</w:t>
      </w:r>
    </w:p>
    <w:p w14:paraId="15C34AE9">
      <w:pPr>
        <w:ind w:firstLine="560"/>
        <w:rPr>
          <w:bCs/>
        </w:rPr>
      </w:pPr>
      <w:r>
        <w:rPr>
          <w:bCs/>
        </w:rPr>
        <w:t>CH</w:t>
      </w:r>
      <w:r>
        <w:rPr>
          <w:bCs/>
          <w:vertAlign w:val="subscript"/>
        </w:rPr>
        <w:t>4</w:t>
      </w:r>
      <w:r>
        <w:rPr>
          <w:bCs/>
        </w:rPr>
        <w:t>+O</w:t>
      </w:r>
      <w:r>
        <w:rPr>
          <w:bCs/>
          <w:vertAlign w:val="subscript"/>
        </w:rPr>
        <w:t>2</w:t>
      </w:r>
      <w:r>
        <w:rPr>
          <w:rFonts w:hint="eastAsia"/>
          <w:bCs/>
        </w:rPr>
        <w:t>→</w:t>
      </w:r>
      <w:r>
        <w:rPr>
          <w:bCs/>
        </w:rPr>
        <w:t>CO</w:t>
      </w:r>
      <w:r>
        <w:rPr>
          <w:bCs/>
          <w:vertAlign w:val="subscript"/>
        </w:rPr>
        <w:t>2</w:t>
      </w:r>
      <w:r>
        <w:rPr>
          <w:bCs/>
        </w:rPr>
        <w:t>+H</w:t>
      </w:r>
      <w:r>
        <w:rPr>
          <w:bCs/>
          <w:vertAlign w:val="subscript"/>
        </w:rPr>
        <w:t>2</w:t>
      </w:r>
      <w:r>
        <w:rPr>
          <w:bCs/>
        </w:rPr>
        <w:t>O</w:t>
      </w:r>
    </w:p>
    <w:p w14:paraId="001D9D0C">
      <w:pPr>
        <w:ind w:firstLine="560"/>
        <w:rPr>
          <w:bCs/>
        </w:rPr>
      </w:pPr>
      <w:r>
        <w:rPr>
          <w:rFonts w:hint="eastAsia"/>
          <w:bCs/>
        </w:rPr>
        <w:t>由于在厌氧消化反应中，</w:t>
      </w:r>
      <w:r>
        <w:rPr>
          <w:bCs/>
        </w:rPr>
        <w:t>污泥有机质不能完全发生转化</w:t>
      </w:r>
      <w:r>
        <w:rPr>
          <w:rFonts w:hint="eastAsia"/>
          <w:bCs/>
        </w:rPr>
        <w:t>，需要引入污泥厌氧消化有机物转化率（</w:t>
      </w:r>
      <w:r>
        <w:rPr>
          <w:bCs/>
        </w:rPr>
        <w:t>μ</w:t>
      </w:r>
      <w:r>
        <w:rPr>
          <w:bCs/>
          <w:vertAlign w:val="subscript"/>
        </w:rPr>
        <w:t>re</w:t>
      </w:r>
      <w:r>
        <w:rPr>
          <w:rFonts w:hint="eastAsia"/>
          <w:bCs/>
        </w:rPr>
        <w:t>）以表征厌氧消化过程中污泥有机质的转化效率。编制组对污泥厌氧发酵产甲烷、不同质量比污泥与城市有机废弃物共消化产甲烷的效能以及水热预处理不同含固率污泥后产甲烷效能进行了实验室试验。</w:t>
      </w:r>
      <w:r>
        <w:rPr>
          <w:bCs/>
        </w:rPr>
        <w:t>试验结果表明，单独污泥厌氧消化甲烷产量为99.7-131.2 mL/g VSS。餐厨垃圾的添加使得甲烷产量有明显的提高</w:t>
      </w:r>
      <w:r>
        <w:rPr>
          <w:rFonts w:hint="eastAsia"/>
          <w:bCs/>
        </w:rPr>
        <w:t>，</w:t>
      </w:r>
      <w:r>
        <w:rPr>
          <w:bCs/>
        </w:rPr>
        <w:t>甲烷增长约40.08-76.52%</w:t>
      </w:r>
      <w:r>
        <w:rPr>
          <w:rFonts w:hint="eastAsia"/>
          <w:bCs/>
        </w:rPr>
        <w:t>，污泥中有机质最大转化率约为30%</w:t>
      </w:r>
      <w:r>
        <w:rPr>
          <w:bCs/>
        </w:rPr>
        <w:t>。即</w:t>
      </w:r>
      <w:r>
        <w:rPr>
          <w:rFonts w:hint="eastAsia"/>
          <w:bCs/>
        </w:rPr>
        <w:t>污泥与有机废弃物共消化时</w:t>
      </w:r>
      <w:r>
        <w:rPr>
          <w:bCs/>
        </w:rPr>
        <w:t>，</w:t>
      </w:r>
      <w:r>
        <w:rPr>
          <w:rFonts w:hint="eastAsia"/>
          <w:bCs/>
        </w:rPr>
        <w:t>有机质转化率可提升至30%，</w:t>
      </w:r>
      <w:r>
        <w:rPr>
          <w:bCs/>
        </w:rPr>
        <w:t>若要显著提高</w:t>
      </w:r>
      <w:r>
        <w:rPr>
          <w:rFonts w:hint="eastAsia"/>
          <w:bCs/>
        </w:rPr>
        <w:t>有机质</w:t>
      </w:r>
      <w:r>
        <w:rPr>
          <w:bCs/>
        </w:rPr>
        <w:t>去除率须经水热预处理，有机质去除率可提升至40%-50%。本方法以不经水热预处理实验中污泥有机质转化率为核算依据，有机质的去除率μ</w:t>
      </w:r>
      <w:r>
        <w:rPr>
          <w:bCs/>
          <w:vertAlign w:val="subscript"/>
        </w:rPr>
        <w:t>re</w:t>
      </w:r>
      <w:r>
        <w:rPr>
          <w:bCs/>
        </w:rPr>
        <w:t>推荐值取30%。</w:t>
      </w:r>
    </w:p>
    <w:p w14:paraId="0B1E8504">
      <w:pPr>
        <w:ind w:firstLine="560"/>
        <w:rPr>
          <w:bCs/>
        </w:rPr>
      </w:pPr>
      <w:r>
        <w:rPr>
          <w:bCs/>
        </w:rPr>
        <w:t>好氧发酵是在有氧条件下，利用好氧微生物将污泥中有机物进行氧化、分解，转化为腐殖质的过程</w:t>
      </w:r>
      <w:r>
        <w:rPr>
          <w:rFonts w:hint="eastAsia"/>
          <w:bCs/>
        </w:rPr>
        <w:t>，</w:t>
      </w:r>
      <w:r>
        <w:rPr>
          <w:bCs/>
        </w:rPr>
        <w:t>其中有机物料代谢为CO</w:t>
      </w:r>
      <w:r>
        <w:rPr>
          <w:bCs/>
          <w:vertAlign w:val="subscript"/>
        </w:rPr>
        <w:t>2</w:t>
      </w:r>
      <w:r>
        <w:rPr>
          <w:bCs/>
        </w:rPr>
        <w:t>、水和热</w:t>
      </w:r>
      <w:r>
        <w:rPr>
          <w:rFonts w:hint="eastAsia"/>
          <w:bCs/>
        </w:rPr>
        <w:t>，</w:t>
      </w:r>
      <w:r>
        <w:rPr>
          <w:bCs/>
        </w:rPr>
        <w:t>部分在局部厌氧条件下不完全分解产生CH</w:t>
      </w:r>
      <w:r>
        <w:rPr>
          <w:bCs/>
          <w:vertAlign w:val="subscript"/>
        </w:rPr>
        <w:t>4</w:t>
      </w:r>
      <w:r>
        <w:rPr>
          <w:bCs/>
        </w:rPr>
        <w:t>。</w:t>
      </w:r>
      <w:r>
        <w:rPr>
          <w:rFonts w:hint="eastAsia"/>
          <w:bCs/>
        </w:rPr>
        <w:t>在好氧堆肥的升温阶段、降温阶段和腐熟阶段也会产生部分</w:t>
      </w:r>
      <w:r>
        <w:rPr>
          <w:bCs/>
        </w:rPr>
        <w:t>N</w:t>
      </w:r>
      <w:r>
        <w:rPr>
          <w:bCs/>
          <w:vertAlign w:val="subscript"/>
        </w:rPr>
        <w:t>2</w:t>
      </w:r>
      <w:r>
        <w:rPr>
          <w:bCs/>
        </w:rPr>
        <w:t>O</w:t>
      </w:r>
      <w:r>
        <w:rPr>
          <w:rFonts w:hint="eastAsia"/>
          <w:bCs/>
        </w:rPr>
        <w:t>。</w:t>
      </w:r>
    </w:p>
    <w:p w14:paraId="2CE1B203">
      <w:pPr>
        <w:ind w:firstLine="560"/>
        <w:rPr>
          <w:bCs/>
        </w:rPr>
      </w:pPr>
      <w:r>
        <w:rPr>
          <w:bCs/>
        </w:rPr>
        <w:t>依据厌</w:t>
      </w:r>
      <w:r>
        <w:rPr>
          <w:rFonts w:hint="eastAsia"/>
          <w:bCs/>
        </w:rPr>
        <w:t>好氧堆肥</w:t>
      </w:r>
      <w:r>
        <w:rPr>
          <w:bCs/>
        </w:rPr>
        <w:t>原理及</w:t>
      </w:r>
      <w:r>
        <w:rPr>
          <w:rFonts w:hint="eastAsia"/>
          <w:bCs/>
        </w:rPr>
        <w:t>现场监测结果</w:t>
      </w:r>
      <w:r>
        <w:rPr>
          <w:bCs/>
        </w:rPr>
        <w:t>，好氧堆肥工艺CH</w:t>
      </w:r>
      <w:r>
        <w:rPr>
          <w:bCs/>
          <w:vertAlign w:val="subscript"/>
        </w:rPr>
        <w:t>4</w:t>
      </w:r>
      <w:r>
        <w:rPr>
          <w:bCs/>
        </w:rPr>
        <w:t>和N</w:t>
      </w:r>
      <w:r>
        <w:rPr>
          <w:bCs/>
          <w:vertAlign w:val="subscript"/>
        </w:rPr>
        <w:t>2</w:t>
      </w:r>
      <w:r>
        <w:rPr>
          <w:bCs/>
        </w:rPr>
        <w:t>O忽略不计，只核算CO</w:t>
      </w:r>
      <w:r>
        <w:rPr>
          <w:bCs/>
          <w:vertAlign w:val="subscript"/>
        </w:rPr>
        <w:t>2</w:t>
      </w:r>
      <w:r>
        <w:rPr>
          <w:bCs/>
        </w:rPr>
        <w:t>释放量，核算依据的化学反应方程式为：</w:t>
      </w:r>
    </w:p>
    <w:p w14:paraId="6976F0D9">
      <w:pPr>
        <w:ind w:firstLine="560"/>
        <w:rPr>
          <w:bCs/>
        </w:rPr>
      </w:pPr>
      <w:r>
        <w:rPr>
          <w:bCs/>
        </w:rPr>
        <w:t>C</w:t>
      </w:r>
      <w:r>
        <w:rPr>
          <w:bCs/>
          <w:vertAlign w:val="subscript"/>
        </w:rPr>
        <w:t>5</w:t>
      </w:r>
      <w:r>
        <w:rPr>
          <w:bCs/>
        </w:rPr>
        <w:t>H</w:t>
      </w:r>
      <w:r>
        <w:rPr>
          <w:bCs/>
          <w:vertAlign w:val="subscript"/>
        </w:rPr>
        <w:t>7</w:t>
      </w:r>
      <w:r>
        <w:rPr>
          <w:bCs/>
        </w:rPr>
        <w:t>O</w:t>
      </w:r>
      <w:r>
        <w:rPr>
          <w:bCs/>
          <w:vertAlign w:val="subscript"/>
        </w:rPr>
        <w:t>2</w:t>
      </w:r>
      <w:r>
        <w:rPr>
          <w:bCs/>
        </w:rPr>
        <w:t>N+O</w:t>
      </w:r>
      <w:r>
        <w:rPr>
          <w:bCs/>
          <w:vertAlign w:val="subscript"/>
        </w:rPr>
        <w:t>2</w:t>
      </w:r>
      <w:r>
        <w:rPr>
          <w:rFonts w:hint="eastAsia"/>
          <w:bCs/>
        </w:rPr>
        <w:t>→</w:t>
      </w:r>
      <w:r>
        <w:rPr>
          <w:bCs/>
        </w:rPr>
        <w:t>5CO</w:t>
      </w:r>
      <w:r>
        <w:rPr>
          <w:bCs/>
          <w:vertAlign w:val="subscript"/>
        </w:rPr>
        <w:t>2</w:t>
      </w:r>
      <w:r>
        <w:rPr>
          <w:bCs/>
        </w:rPr>
        <w:t>+3.5H</w:t>
      </w:r>
      <w:r>
        <w:rPr>
          <w:bCs/>
          <w:vertAlign w:val="subscript"/>
        </w:rPr>
        <w:t>2</w:t>
      </w:r>
      <w:r>
        <w:rPr>
          <w:bCs/>
        </w:rPr>
        <w:t>O+NH</w:t>
      </w:r>
      <w:r>
        <w:rPr>
          <w:bCs/>
          <w:vertAlign w:val="subscript"/>
        </w:rPr>
        <w:t>3</w:t>
      </w:r>
    </w:p>
    <w:p w14:paraId="1302A8A3">
      <w:pPr>
        <w:ind w:firstLine="560"/>
        <w:rPr>
          <w:bCs/>
        </w:rPr>
      </w:pPr>
      <w:r>
        <w:rPr>
          <w:bCs/>
        </w:rPr>
        <w:t>污泥焚烧是指在焚烧炉内利用高温将污泥中的可燃物质充分燃烧，最后生成水蒸气、CO</w:t>
      </w:r>
      <w:r>
        <w:rPr>
          <w:bCs/>
          <w:vertAlign w:val="subscript"/>
        </w:rPr>
        <w:t>2</w:t>
      </w:r>
      <w:r>
        <w:rPr>
          <w:bCs/>
        </w:rPr>
        <w:t>等无害物质并产生固体残渣的过程。</w:t>
      </w:r>
      <w:r>
        <w:rPr>
          <w:rFonts w:hint="eastAsia"/>
          <w:bCs/>
        </w:rPr>
        <w:t>掺烧污泥的焚烧装置的监测结果显示CH</w:t>
      </w:r>
      <w:r>
        <w:rPr>
          <w:bCs/>
          <w:vertAlign w:val="subscript"/>
        </w:rPr>
        <w:t>4</w:t>
      </w:r>
      <w:r>
        <w:rPr>
          <w:rFonts w:hint="eastAsia"/>
          <w:bCs/>
        </w:rPr>
        <w:t>、N</w:t>
      </w:r>
      <w:r>
        <w:rPr>
          <w:bCs/>
          <w:vertAlign w:val="subscript"/>
        </w:rPr>
        <w:t>2</w:t>
      </w:r>
      <w:r>
        <w:rPr>
          <w:rFonts w:hint="eastAsia"/>
          <w:bCs/>
        </w:rPr>
        <w:t>O的二氧化碳当量贡献率很低，仅有0.38%和0.03%，可以忽略不计。</w:t>
      </w:r>
    </w:p>
    <w:p w14:paraId="680C314E">
      <w:pPr>
        <w:ind w:firstLine="560"/>
        <w:rPr>
          <w:bCs/>
        </w:rPr>
      </w:pPr>
      <w:r>
        <w:rPr>
          <w:rFonts w:hint="eastAsia"/>
          <w:bCs/>
        </w:rPr>
        <w:t>污泥焚烧</w:t>
      </w:r>
      <w:r>
        <w:rPr>
          <w:bCs/>
        </w:rPr>
        <w:t>核算依据的化学反应方程式为：</w:t>
      </w:r>
    </w:p>
    <w:p w14:paraId="36CC711A">
      <w:pPr>
        <w:ind w:firstLine="560"/>
        <w:rPr>
          <w:bCs/>
        </w:rPr>
      </w:pPr>
      <w:r>
        <w:rPr>
          <w:bCs/>
        </w:rPr>
        <w:t>C</w:t>
      </w:r>
      <w:r>
        <w:rPr>
          <w:bCs/>
          <w:vertAlign w:val="subscript"/>
        </w:rPr>
        <w:t>5</w:t>
      </w:r>
      <w:r>
        <w:rPr>
          <w:bCs/>
        </w:rPr>
        <w:t>H</w:t>
      </w:r>
      <w:r>
        <w:rPr>
          <w:bCs/>
          <w:vertAlign w:val="subscript"/>
        </w:rPr>
        <w:t>7</w:t>
      </w:r>
      <w:r>
        <w:rPr>
          <w:bCs/>
        </w:rPr>
        <w:t>O</w:t>
      </w:r>
      <w:r>
        <w:rPr>
          <w:bCs/>
          <w:vertAlign w:val="subscript"/>
        </w:rPr>
        <w:t>2</w:t>
      </w:r>
      <w:r>
        <w:rPr>
          <w:bCs/>
        </w:rPr>
        <w:t>N+O</w:t>
      </w:r>
      <w:r>
        <w:rPr>
          <w:bCs/>
          <w:vertAlign w:val="subscript"/>
        </w:rPr>
        <w:t>2</w:t>
      </w:r>
      <w:r>
        <w:rPr>
          <w:rFonts w:hint="eastAsia"/>
          <w:bCs/>
        </w:rPr>
        <w:t>→</w:t>
      </w:r>
      <w:r>
        <w:rPr>
          <w:bCs/>
        </w:rPr>
        <w:t>5CO</w:t>
      </w:r>
      <w:r>
        <w:rPr>
          <w:bCs/>
          <w:vertAlign w:val="subscript"/>
        </w:rPr>
        <w:t>2</w:t>
      </w:r>
      <w:r>
        <w:rPr>
          <w:bCs/>
        </w:rPr>
        <w:t>+3.5H</w:t>
      </w:r>
      <w:r>
        <w:rPr>
          <w:bCs/>
          <w:vertAlign w:val="subscript"/>
        </w:rPr>
        <w:t>2</w:t>
      </w:r>
      <w:r>
        <w:rPr>
          <w:bCs/>
        </w:rPr>
        <w:t>O+0.5N</w:t>
      </w:r>
      <w:r>
        <w:rPr>
          <w:bCs/>
          <w:vertAlign w:val="subscript"/>
        </w:rPr>
        <w:t>2</w:t>
      </w:r>
    </w:p>
    <w:p w14:paraId="5C1BBE45">
      <w:pPr>
        <w:ind w:firstLine="560"/>
        <w:rPr>
          <w:bCs/>
        </w:rPr>
      </w:pPr>
      <w:r>
        <w:rPr>
          <w:bCs/>
        </w:rPr>
        <w:t>污泥建材利用是指将污泥作为制作建筑材料的部分原料的处置方式，污泥建材利用包括污泥制水泥、污泥制砖、制陶粒等。</w:t>
      </w:r>
      <w:r>
        <w:rPr>
          <w:rFonts w:hint="eastAsia"/>
          <w:bCs/>
        </w:rPr>
        <w:t>建材利用过程的反应条件为高温条件下燃烧，</w:t>
      </w:r>
      <w:r>
        <w:rPr>
          <w:bCs/>
        </w:rPr>
        <w:t>参照污泥焚烧过程的烟气成分，污泥建材利用只核算CO</w:t>
      </w:r>
      <w:r>
        <w:rPr>
          <w:bCs/>
          <w:vertAlign w:val="subscript"/>
        </w:rPr>
        <w:t>2</w:t>
      </w:r>
      <w:r>
        <w:rPr>
          <w:bCs/>
        </w:rPr>
        <w:t>气体，核算依据的化学反应方程式为</w:t>
      </w:r>
      <w:r>
        <w:rPr>
          <w:rFonts w:hint="eastAsia"/>
          <w:bCs/>
        </w:rPr>
        <w:t>：</w:t>
      </w:r>
    </w:p>
    <w:p w14:paraId="2F5F5660">
      <w:pPr>
        <w:ind w:firstLine="560"/>
        <w:rPr>
          <w:bCs/>
        </w:rPr>
      </w:pPr>
      <w:r>
        <w:rPr>
          <w:bCs/>
        </w:rPr>
        <w:t>C</w:t>
      </w:r>
      <w:r>
        <w:rPr>
          <w:bCs/>
          <w:vertAlign w:val="subscript"/>
        </w:rPr>
        <w:t>5</w:t>
      </w:r>
      <w:r>
        <w:rPr>
          <w:bCs/>
        </w:rPr>
        <w:t>H</w:t>
      </w:r>
      <w:r>
        <w:rPr>
          <w:bCs/>
          <w:vertAlign w:val="subscript"/>
        </w:rPr>
        <w:t>7</w:t>
      </w:r>
      <w:r>
        <w:rPr>
          <w:bCs/>
        </w:rPr>
        <w:t>O</w:t>
      </w:r>
      <w:r>
        <w:rPr>
          <w:bCs/>
          <w:vertAlign w:val="subscript"/>
        </w:rPr>
        <w:t>2</w:t>
      </w:r>
      <w:r>
        <w:rPr>
          <w:bCs/>
        </w:rPr>
        <w:t>N+O</w:t>
      </w:r>
      <w:r>
        <w:rPr>
          <w:bCs/>
          <w:vertAlign w:val="subscript"/>
        </w:rPr>
        <w:t>2</w:t>
      </w:r>
      <w:r>
        <w:rPr>
          <w:rFonts w:hint="eastAsia"/>
          <w:bCs/>
        </w:rPr>
        <w:t>→</w:t>
      </w:r>
      <w:r>
        <w:rPr>
          <w:bCs/>
        </w:rPr>
        <w:t>5CO</w:t>
      </w:r>
      <w:r>
        <w:rPr>
          <w:bCs/>
          <w:vertAlign w:val="subscript"/>
        </w:rPr>
        <w:t>2</w:t>
      </w:r>
      <w:r>
        <w:rPr>
          <w:bCs/>
        </w:rPr>
        <w:t>+3.5H</w:t>
      </w:r>
      <w:r>
        <w:rPr>
          <w:bCs/>
          <w:vertAlign w:val="subscript"/>
        </w:rPr>
        <w:t>2</w:t>
      </w:r>
      <w:r>
        <w:rPr>
          <w:bCs/>
        </w:rPr>
        <w:t>O+0.5N</w:t>
      </w:r>
      <w:r>
        <w:rPr>
          <w:bCs/>
          <w:vertAlign w:val="subscript"/>
        </w:rPr>
        <w:t>2</w:t>
      </w:r>
    </w:p>
    <w:p w14:paraId="77817DA2">
      <w:pPr>
        <w:ind w:firstLine="560"/>
        <w:rPr>
          <w:bCs/>
        </w:rPr>
      </w:pPr>
      <w:r>
        <w:rPr>
          <w:rFonts w:hint="eastAsia"/>
          <w:bCs/>
        </w:rPr>
        <w:t>土地利用是城镇生活污水处理厂产生的污泥经厌氧消化或好氧发酵处理后，作为肥料或土壤改良剂，用于国土绿化、园林建设、废弃矿场以及非农用的盐碱地和沙化地。用于肥料或土壤改良剂的污泥仅限于生活污水单独处理的污泥，对于含有毒有害水污染物的工业废水和生活污水混合处理的污水处理厂产生的污泥不用于农业生产。</w:t>
      </w:r>
    </w:p>
    <w:p w14:paraId="3DBDAB1C">
      <w:pPr>
        <w:ind w:firstLine="560"/>
        <w:rPr>
          <w:bCs/>
        </w:rPr>
      </w:pPr>
      <w:r>
        <w:rPr>
          <w:rFonts w:hint="eastAsia"/>
          <w:bCs/>
        </w:rPr>
        <w:t>江苏省污泥土地利用以园林绿化为主，污泥用于园林绿化时通常以作顶肥的形式施用与植物根茎附近，有机碳具有水溶性高、见效快和易吸收等优点，对作物的生长具有显著地促进作用。污泥中有机物部分经微生物腐解为小分子后被植物吸收，其余在好氧条件下发生自然分解。依据污泥土地利用过程的反应原理和利用方式限制，污泥用于园林绿化时核算CO</w:t>
      </w:r>
      <w:r>
        <w:rPr>
          <w:bCs/>
          <w:vertAlign w:val="subscript"/>
        </w:rPr>
        <w:t>2</w:t>
      </w:r>
      <w:r>
        <w:rPr>
          <w:rFonts w:hint="eastAsia"/>
          <w:bCs/>
        </w:rPr>
        <w:t>气体，核算依据的化学反应方程式为：</w:t>
      </w:r>
    </w:p>
    <w:p w14:paraId="305A235F">
      <w:pPr>
        <w:ind w:firstLine="560"/>
        <w:rPr>
          <w:bCs/>
          <w:vertAlign w:val="subscript"/>
        </w:rPr>
      </w:pPr>
      <w:r>
        <w:rPr>
          <w:bCs/>
        </w:rPr>
        <w:t>C</w:t>
      </w:r>
      <w:r>
        <w:rPr>
          <w:bCs/>
          <w:vertAlign w:val="subscript"/>
        </w:rPr>
        <w:t>5</w:t>
      </w:r>
      <w:r>
        <w:rPr>
          <w:bCs/>
        </w:rPr>
        <w:t>H</w:t>
      </w:r>
      <w:r>
        <w:rPr>
          <w:bCs/>
          <w:vertAlign w:val="subscript"/>
        </w:rPr>
        <w:t>7</w:t>
      </w:r>
      <w:r>
        <w:rPr>
          <w:bCs/>
        </w:rPr>
        <w:t>O</w:t>
      </w:r>
      <w:r>
        <w:rPr>
          <w:bCs/>
          <w:vertAlign w:val="subscript"/>
        </w:rPr>
        <w:t>2</w:t>
      </w:r>
      <w:r>
        <w:rPr>
          <w:bCs/>
        </w:rPr>
        <w:t>N+O</w:t>
      </w:r>
      <w:r>
        <w:rPr>
          <w:bCs/>
          <w:vertAlign w:val="subscript"/>
        </w:rPr>
        <w:t>2</w:t>
      </w:r>
      <w:r>
        <w:rPr>
          <w:rFonts w:hint="eastAsia"/>
          <w:bCs/>
        </w:rPr>
        <w:t>→</w:t>
      </w:r>
      <w:r>
        <w:rPr>
          <w:bCs/>
        </w:rPr>
        <w:t>5CO</w:t>
      </w:r>
      <w:r>
        <w:rPr>
          <w:bCs/>
          <w:vertAlign w:val="subscript"/>
        </w:rPr>
        <w:t>2</w:t>
      </w:r>
      <w:r>
        <w:rPr>
          <w:bCs/>
        </w:rPr>
        <w:t>+3.5H</w:t>
      </w:r>
      <w:r>
        <w:rPr>
          <w:bCs/>
          <w:vertAlign w:val="subscript"/>
        </w:rPr>
        <w:t>2</w:t>
      </w:r>
      <w:r>
        <w:rPr>
          <w:bCs/>
        </w:rPr>
        <w:t>O+NH</w:t>
      </w:r>
      <w:r>
        <w:rPr>
          <w:bCs/>
          <w:vertAlign w:val="subscript"/>
        </w:rPr>
        <w:t>3</w:t>
      </w:r>
    </w:p>
    <w:p w14:paraId="0D0BB0F5">
      <w:pPr>
        <w:ind w:firstLine="560"/>
        <w:rPr>
          <w:b/>
          <w:bCs/>
        </w:rPr>
      </w:pPr>
      <w:r>
        <w:rPr>
          <w:rFonts w:hint="eastAsia"/>
          <w:bCs/>
        </w:rPr>
        <w:t>由于在土地利用过程中，污泥有机质转移路径不唯一，所以需要引入</w:t>
      </w:r>
      <w:r>
        <w:rPr>
          <w:bCs/>
        </w:rPr>
        <w:t>污泥土地</w:t>
      </w:r>
      <w:r>
        <w:rPr>
          <w:rFonts w:hint="eastAsia"/>
          <w:bCs/>
        </w:rPr>
        <w:t>利用有机质吸收率（</w:t>
      </w:r>
      <w:r>
        <w:rPr>
          <w:bCs/>
        </w:rPr>
        <w:t>μ</w:t>
      </w:r>
      <w:r>
        <w:rPr>
          <w:rFonts w:hint="eastAsia"/>
          <w:bCs/>
          <w:vertAlign w:val="subscript"/>
        </w:rPr>
        <w:t>ab</w:t>
      </w:r>
      <w:r>
        <w:rPr>
          <w:rFonts w:hint="eastAsia"/>
          <w:bCs/>
        </w:rPr>
        <w:t>）这一参数。</w:t>
      </w:r>
    </w:p>
    <w:p w14:paraId="14905862">
      <w:pPr>
        <w:ind w:firstLine="560"/>
        <w:rPr>
          <w:bCs/>
        </w:rPr>
      </w:pPr>
      <w:r>
        <w:rPr>
          <w:bCs/>
        </w:rPr>
        <w:t>污泥进行土地利用时污泥有机质主要有土地吸收和分解两条消解路径，</w:t>
      </w:r>
      <w:r>
        <w:rPr>
          <w:rFonts w:hint="eastAsia"/>
          <w:bCs/>
        </w:rPr>
        <w:t>由于污泥土地利用尚缺少可靠的监测研究，</w:t>
      </w:r>
      <w:r>
        <w:rPr>
          <w:bCs/>
        </w:rPr>
        <w:t>为确定上述两部分在实际反应中的比例，参考了以玉米秸秆等物质制成的有机肥料为对象的相关研究</w:t>
      </w:r>
      <w:r>
        <w:rPr>
          <w:rFonts w:hint="eastAsia"/>
          <w:bCs/>
        </w:rPr>
        <w:t>，同时根据《城镇污水处理厂污泥处置 园林绿化用泥质》（GB/T 23486-2009）《城镇污水处理厂污泥处置 土地改良用泥质》（GB/T 24600-2009）中污泥各环节有机质控制标准确定本标准中污泥土地利用有机质吸收率</w:t>
      </w:r>
      <w:r>
        <w:rPr>
          <w:bCs/>
        </w:rPr>
        <w:t>。</w:t>
      </w:r>
    </w:p>
    <w:p w14:paraId="009B75FB">
      <w:pPr>
        <w:ind w:firstLine="560"/>
        <w:rPr>
          <w:bCs/>
        </w:rPr>
      </w:pPr>
      <w:r>
        <w:rPr>
          <w:bCs/>
        </w:rPr>
        <w:t>利用污泥、玉米秆等材料制成的有机肥用于土地改良时可以增强土壤中酶活性、改变土壤微生物细菌群落结构、提高氮素利用率、改变土壤的有机质组成，有利于土壤有机质的积累。调研以不同材料制成的有机肥在相同条件施用时的有机质吸收效率。其中，棉浆粕有机质收率为46.33±0.77%，玉米秆有机质收率为31.56±0.32%，甘蔗渣有机质收率为30.14±0.28%（参考刘朝霞《基于能源和肥料化利用的秸秆生物炭制备工艺与特性研究》）。污泥制有机肥（混掺秸秆）有机质吸收率取参考上述有机质吸收率取30%。</w:t>
      </w:r>
    </w:p>
    <w:p w14:paraId="7EB75253">
      <w:pPr>
        <w:ind w:firstLine="562"/>
        <w:rPr>
          <w:bCs/>
        </w:rPr>
      </w:pPr>
      <w:r>
        <w:rPr>
          <w:rFonts w:hint="eastAsia"/>
          <w:b/>
        </w:rPr>
        <w:t>第5章：间接碳排放。</w:t>
      </w:r>
      <w:r>
        <w:rPr>
          <w:rFonts w:hint="eastAsia"/>
          <w:bCs/>
        </w:rPr>
        <w:t>本章主要介绍污水收集单元、污水处理单元和污泥处理处置单元在运行过程中产生间接碳排放的计算方法。间接碳排放核算包含电力消耗和化学药剂消耗。其中电耗碳排放核算方法采用排放因子法，电耗排放因子参考生态环境部、国家统计局、国家能源局三部委联合会发布的全国电力碳足迹因子。药剂排放因子选取参考T/CAEPI 49－2022《污水处理厂低碳运行评价技术规范》。</w:t>
      </w:r>
    </w:p>
    <w:p w14:paraId="59DE273F">
      <w:pPr>
        <w:ind w:firstLine="562"/>
      </w:pPr>
      <w:r>
        <w:rPr>
          <w:rFonts w:hint="eastAsia"/>
          <w:b/>
        </w:rPr>
        <w:t>第5章：建设拆除过程碳排放。</w:t>
      </w:r>
      <w:r>
        <w:rPr>
          <w:rFonts w:hint="eastAsia"/>
          <w:bCs/>
        </w:rPr>
        <w:t>本章主要介绍污水处理系统建设拆除过程碳排放。核算工作围绕污水处理系统建设过程中化石燃料、电力消耗、材料消耗和运输过程中的间接碳排放和污水处理系统拆除过程中化石燃料燃烧、电力消耗、运输过程的间接碳排放以及材料回收碳补偿展开。</w:t>
      </w:r>
      <w:r>
        <w:rPr>
          <w:rFonts w:hint="eastAsia"/>
          <w:bCs/>
          <w:szCs w:val="28"/>
        </w:rPr>
        <w:t>燃料燃烧、电力消耗和热力消耗的核算方法及排放因子，与GB 32151系列国家标准保持一致。</w:t>
      </w:r>
    </w:p>
    <w:p w14:paraId="499CA073">
      <w:pPr>
        <w:ind w:firstLine="562"/>
      </w:pPr>
      <w:r>
        <w:rPr>
          <w:rFonts w:hint="eastAsia"/>
          <w:b/>
        </w:rPr>
        <w:t>附录</w:t>
      </w:r>
      <w:r>
        <w:rPr>
          <w:b/>
        </w:rPr>
        <w:t>A</w:t>
      </w:r>
      <w:r>
        <w:rPr>
          <w:rFonts w:hint="eastAsia"/>
          <w:b/>
        </w:rPr>
        <w:t>，B，C。</w:t>
      </w:r>
      <w:r>
        <w:rPr>
          <w:rFonts w:hint="eastAsia"/>
        </w:rPr>
        <w:t>附录</w:t>
      </w:r>
      <w:r>
        <w:t>A</w:t>
      </w:r>
      <w:r>
        <w:rPr>
          <w:rFonts w:hint="eastAsia"/>
        </w:rPr>
        <w:t>介绍碳排放检测计量方法，包含A.1曝气处理单元碳排放检测计量方法和A.2非曝气处理单元碳排放检测计量方法；附录B介绍间接碳排放计算所需的排放因子，包含B.1化石燃料排放因子，B.2中国地区电力排放因子，B.3常见建筑材料排放因子，B.4各类运输方式排放因子。</w:t>
      </w:r>
      <w:bookmarkStart w:id="38" w:name="_Hlk113374066"/>
      <w:r>
        <w:rPr>
          <w:rFonts w:hint="eastAsia"/>
        </w:rPr>
        <w:t>附录C介绍用于污水处理单元直接碳排放计算的化学平衡法。</w:t>
      </w:r>
    </w:p>
    <w:p w14:paraId="6F271334">
      <w:pPr>
        <w:spacing w:line="590" w:lineRule="exact"/>
        <w:ind w:firstLine="198" w:firstLineChars="62"/>
        <w:rPr>
          <w:rFonts w:eastAsia="宋体"/>
          <w:sz w:val="32"/>
          <w:szCs w:val="32"/>
        </w:rPr>
        <w:sectPr>
          <w:footerReference r:id="rId11" w:type="default"/>
          <w:pgSz w:w="11905" w:h="16838"/>
          <w:pgMar w:top="2098" w:right="1417" w:bottom="1020" w:left="1417" w:header="454" w:footer="992" w:gutter="0"/>
          <w:pgNumType w:start="1"/>
          <w:cols w:space="720" w:num="1"/>
          <w:docGrid w:type="lines" w:linePitch="381" w:charSpace="0"/>
        </w:sectPr>
      </w:pPr>
    </w:p>
    <w:bookmarkEnd w:id="38"/>
    <w:p w14:paraId="491893AC">
      <w:pPr>
        <w:pStyle w:val="2"/>
        <w:numPr>
          <w:ilvl w:val="0"/>
          <w:numId w:val="7"/>
        </w:numPr>
        <w:spacing w:before="0" w:beforeLines="0" w:after="0" w:afterLines="0" w:line="590" w:lineRule="exact"/>
        <w:rPr>
          <w:szCs w:val="28"/>
        </w:rPr>
      </w:pPr>
      <w:bookmarkStart w:id="39" w:name="_Toc204100084"/>
      <w:bookmarkStart w:id="40" w:name="_Hlk113374274"/>
      <w:r>
        <w:rPr>
          <w:rFonts w:hint="eastAsia" w:eastAsia="方正仿宋_GBK"/>
          <w:sz w:val="28"/>
          <w:szCs w:val="28"/>
        </w:rPr>
        <w:t>主要试验（或验证）的分析、综述报告</w:t>
      </w:r>
      <w:bookmarkEnd w:id="39"/>
    </w:p>
    <w:p w14:paraId="4EE608F9">
      <w:pPr>
        <w:pStyle w:val="3"/>
        <w:numPr>
          <w:ilvl w:val="1"/>
          <w:numId w:val="7"/>
        </w:numPr>
        <w:spacing w:before="0" w:beforeLines="0" w:line="590" w:lineRule="exact"/>
        <w:ind w:left="0" w:firstLine="0"/>
        <w:rPr>
          <w:b w:val="0"/>
          <w:bCs w:val="0"/>
          <w:szCs w:val="28"/>
        </w:rPr>
      </w:pPr>
      <w:bookmarkStart w:id="41" w:name="_Toc204100085"/>
      <w:r>
        <w:rPr>
          <w:rFonts w:hint="eastAsia"/>
          <w:szCs w:val="28"/>
        </w:rPr>
        <w:t>主要试验（验证）的分析、综述报告</w:t>
      </w:r>
      <w:bookmarkEnd w:id="41"/>
    </w:p>
    <w:p w14:paraId="69F309FA">
      <w:pPr>
        <w:ind w:firstLine="560"/>
      </w:pPr>
      <w:r>
        <w:rPr>
          <w:rFonts w:hint="eastAsia"/>
          <w:lang w:bidi="ar"/>
        </w:rPr>
        <w:t>本标准总结了江苏省省内污水收集和处理系统温室气体排放的相关研究结果，并对省内污水收集和处理系统进行了长期、系统化的调研和研讨，征求行业意见后完成的。本标准在确定内容之前开展以下工作：</w:t>
      </w:r>
    </w:p>
    <w:p w14:paraId="2BD2ADA3">
      <w:pPr>
        <w:ind w:firstLine="560"/>
      </w:pPr>
      <w:r>
        <w:rPr>
          <w:lang w:bidi="ar"/>
        </w:rPr>
        <w:t>1</w:t>
      </w:r>
      <w:r>
        <w:rPr>
          <w:rFonts w:hint="eastAsia"/>
          <w:lang w:bidi="ar"/>
        </w:rPr>
        <w:t>）收集、分析了污水收集和处理系统温室气体排放与核算相关的国内外标准、文献和统计资料。</w:t>
      </w:r>
    </w:p>
    <w:p w14:paraId="4C5C1CAF">
      <w:pPr>
        <w:ind w:firstLine="560"/>
        <w:rPr>
          <w:lang w:bidi="ar"/>
        </w:rPr>
      </w:pPr>
      <w:r>
        <w:rPr>
          <w:lang w:bidi="ar"/>
        </w:rPr>
        <w:t>2</w:t>
      </w:r>
      <w:r>
        <w:rPr>
          <w:rFonts w:hint="eastAsia"/>
          <w:lang w:bidi="ar"/>
        </w:rPr>
        <w:t>）开展省内调研采样，通过研究</w:t>
      </w:r>
      <w:r>
        <w:rPr>
          <w:rFonts w:hint="eastAsia"/>
          <w:lang w:eastAsia="zh" w:bidi="ar"/>
        </w:rPr>
        <w:t>污水收集和处理系统</w:t>
      </w:r>
      <w:r>
        <w:rPr>
          <w:rFonts w:hint="eastAsia"/>
          <w:lang w:bidi="ar"/>
        </w:rPr>
        <w:t>主要生产单元、主要生产设备、原辅料、主要工艺过程、温室气体产生种类、温室气体排放来源识别</w:t>
      </w:r>
      <w:r>
        <w:rPr>
          <w:rFonts w:hint="eastAsia"/>
          <w:lang w:eastAsia="zh" w:bidi="ar"/>
        </w:rPr>
        <w:t>、</w:t>
      </w:r>
      <w:r>
        <w:rPr>
          <w:rFonts w:hint="eastAsia"/>
          <w:lang w:bidi="ar"/>
        </w:rPr>
        <w:t>排放因子数据等内容，确定污水收集和处理系统的碳核算方法。</w:t>
      </w:r>
    </w:p>
    <w:p w14:paraId="04C53095">
      <w:pPr>
        <w:ind w:firstLine="560"/>
      </w:pPr>
      <w:r>
        <w:rPr>
          <w:lang w:bidi="ar"/>
        </w:rPr>
        <w:t>3</w:t>
      </w:r>
      <w:r>
        <w:rPr>
          <w:rFonts w:hint="eastAsia"/>
          <w:lang w:bidi="ar"/>
        </w:rPr>
        <w:t>）组织专家针对主要技术问题多次召开线上线下的</w:t>
      </w:r>
      <w:r>
        <w:rPr>
          <w:rFonts w:hint="eastAsia"/>
          <w:lang w:eastAsia="zh" w:bidi="ar"/>
        </w:rPr>
        <w:t>研讨会</w:t>
      </w:r>
      <w:r>
        <w:rPr>
          <w:rFonts w:hint="eastAsia"/>
          <w:lang w:bidi="ar"/>
        </w:rPr>
        <w:t>，对标准中的核心问题广泛吸纳了相关单位的专业意见和建议。</w:t>
      </w:r>
    </w:p>
    <w:p w14:paraId="1BE570CA">
      <w:pPr>
        <w:ind w:firstLine="560"/>
        <w:rPr>
          <w:lang w:bidi="ar"/>
        </w:rPr>
      </w:pPr>
      <w:r>
        <w:rPr>
          <w:lang w:bidi="ar"/>
        </w:rPr>
        <w:t>4</w:t>
      </w:r>
      <w:r>
        <w:rPr>
          <w:rFonts w:hint="eastAsia"/>
          <w:lang w:bidi="ar"/>
        </w:rPr>
        <w:t>）确定碳核算方法后，分别对污水排放系统和污水处理系统开展</w:t>
      </w:r>
      <w:r>
        <w:rPr>
          <w:rFonts w:hint="eastAsia"/>
          <w:lang w:eastAsia="zh" w:bidi="ar"/>
        </w:rPr>
        <w:t>试算，其中污水处理系统</w:t>
      </w:r>
      <w:r>
        <w:rPr>
          <w:color w:val="000000"/>
          <w:szCs w:val="28"/>
        </w:rPr>
        <w:t>选取南京市高科水务作为连续在线监测污水厂</w:t>
      </w:r>
      <w:r>
        <w:rPr>
          <w:rFonts w:hint="eastAsia"/>
          <w:color w:val="000000"/>
          <w:szCs w:val="28"/>
        </w:rPr>
        <w:t>研究</w:t>
      </w:r>
      <w:r>
        <w:rPr>
          <w:color w:val="000000"/>
          <w:szCs w:val="28"/>
        </w:rPr>
        <w:t>样本</w:t>
      </w:r>
      <w:r>
        <w:rPr>
          <w:rFonts w:hint="eastAsia"/>
          <w:lang w:bidi="ar"/>
        </w:rPr>
        <w:t>。污水收集系统和污水处理系统的试算结果表明，本标准确定的核算方法计算出的碳排放量与实测碳排放量之间的误差均在20%以内，能准确反应江苏省污水收集和处理行业的碳排放情况，且各主要参数均合理有效、切实可行。</w:t>
      </w:r>
    </w:p>
    <w:p w14:paraId="4C24B2C0">
      <w:pPr>
        <w:ind w:firstLine="560"/>
        <w:rPr>
          <w:szCs w:val="28"/>
        </w:rPr>
      </w:pPr>
      <w:r>
        <w:rPr>
          <w:rFonts w:hint="eastAsia"/>
          <w:lang w:bidi="ar"/>
        </w:rPr>
        <w:t>试算结果表明，</w:t>
      </w:r>
      <w:r>
        <w:rPr>
          <w:rFonts w:hint="eastAsia"/>
          <w:szCs w:val="28"/>
        </w:rPr>
        <w:t>采用本标准核算方法计算的污水收集系统</w:t>
      </w:r>
      <w:r>
        <w:rPr>
          <w:szCs w:val="28"/>
        </w:rPr>
        <w:t>碳排放量与实测碳排放量相比，两者之间的差距呈随时间增大而减小的趋势，两者之间的差距总体在20%以内。</w:t>
      </w:r>
    </w:p>
    <w:p w14:paraId="36EA4086">
      <w:pPr>
        <w:spacing w:line="240" w:lineRule="auto"/>
        <w:ind w:firstLine="0" w:firstLineChars="0"/>
        <w:jc w:val="center"/>
        <w:rPr>
          <w:szCs w:val="28"/>
        </w:rPr>
      </w:pPr>
      <w:r>
        <w:rPr>
          <w:rFonts w:eastAsiaTheme="minorEastAsia"/>
          <w:sz w:val="21"/>
          <w:szCs w:val="22"/>
        </w:rPr>
        <w:drawing>
          <wp:inline distT="0" distB="0" distL="0" distR="0">
            <wp:extent cx="2591435" cy="2018665"/>
            <wp:effectExtent l="0" t="0" r="12065" b="635"/>
            <wp:docPr id="176610176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01765"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l="4372" t="8475" r="11030" b="5384"/>
                    <a:stretch>
                      <a:fillRect/>
                    </a:stretch>
                  </pic:blipFill>
                  <pic:spPr>
                    <a:xfrm>
                      <a:off x="0" y="0"/>
                      <a:ext cx="2592000" cy="2018709"/>
                    </a:xfrm>
                    <a:prstGeom prst="rect">
                      <a:avLst/>
                    </a:prstGeom>
                    <a:noFill/>
                    <a:ln>
                      <a:noFill/>
                    </a:ln>
                  </pic:spPr>
                </pic:pic>
              </a:graphicData>
            </a:graphic>
          </wp:inline>
        </w:drawing>
      </w:r>
      <w:r>
        <w:rPr>
          <w:szCs w:val="28"/>
        </w:rPr>
        <w:t xml:space="preserve"> </w:t>
      </w:r>
      <w:r>
        <w:rPr>
          <w:rFonts w:eastAsiaTheme="minorEastAsia"/>
          <w:sz w:val="21"/>
          <w:szCs w:val="22"/>
        </w:rPr>
        <w:drawing>
          <wp:inline distT="0" distB="0" distL="0" distR="0">
            <wp:extent cx="2591435" cy="2019300"/>
            <wp:effectExtent l="0" t="0" r="12065" b="0"/>
            <wp:docPr id="94304206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42063"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l="4373" t="8672" r="11647" b="5786"/>
                    <a:stretch>
                      <a:fillRect/>
                    </a:stretch>
                  </pic:blipFill>
                  <pic:spPr>
                    <a:xfrm>
                      <a:off x="0" y="0"/>
                      <a:ext cx="2592000" cy="2019413"/>
                    </a:xfrm>
                    <a:prstGeom prst="rect">
                      <a:avLst/>
                    </a:prstGeom>
                    <a:noFill/>
                    <a:ln>
                      <a:noFill/>
                    </a:ln>
                  </pic:spPr>
                </pic:pic>
              </a:graphicData>
            </a:graphic>
          </wp:inline>
        </w:drawing>
      </w:r>
    </w:p>
    <w:p w14:paraId="53BA272D">
      <w:pPr>
        <w:spacing w:line="240" w:lineRule="auto"/>
        <w:ind w:firstLine="0" w:firstLineChars="0"/>
        <w:jc w:val="center"/>
        <w:rPr>
          <w:szCs w:val="28"/>
        </w:rPr>
      </w:pPr>
      <w:r>
        <w:rPr>
          <w:szCs w:val="28"/>
        </w:rPr>
        <w:t>图</w:t>
      </w:r>
      <w:r>
        <w:rPr>
          <w:rFonts w:hint="eastAsia"/>
          <w:szCs w:val="28"/>
        </w:rPr>
        <w:t xml:space="preserve">4.5.1-8 </w:t>
      </w:r>
      <w:r>
        <w:rPr>
          <w:szCs w:val="28"/>
        </w:rPr>
        <w:t xml:space="preserve">  研究管段实测与核算碳排放量对比图</w:t>
      </w:r>
    </w:p>
    <w:p w14:paraId="277DC2AA">
      <w:pPr>
        <w:widowControl/>
        <w:spacing w:line="590" w:lineRule="exact"/>
        <w:ind w:firstLine="560"/>
        <w:rPr>
          <w:bCs/>
          <w:color w:val="000000"/>
          <w:kern w:val="0"/>
          <w:szCs w:val="28"/>
        </w:rPr>
      </w:pPr>
      <w:r>
        <w:rPr>
          <w:rFonts w:hint="eastAsia"/>
          <w:color w:val="000000"/>
          <w:szCs w:val="28"/>
        </w:rPr>
        <w:t>污水处理系统试算比较了以长时间污水处理厂碳排放现场检测浓度、本标准构建的核算方法与IPCC排放因子法。</w:t>
      </w:r>
      <w:r>
        <w:rPr>
          <w:rFonts w:hint="eastAsia"/>
          <w:szCs w:val="28"/>
        </w:rPr>
        <w:t>经过连续30天</w:t>
      </w:r>
      <w:r>
        <w:rPr>
          <w:bCs/>
          <w:color w:val="000000"/>
          <w:kern w:val="0"/>
          <w:szCs w:val="28"/>
        </w:rPr>
        <w:t>碳排放</w:t>
      </w:r>
      <w:r>
        <w:rPr>
          <w:rFonts w:hint="eastAsia"/>
          <w:bCs/>
          <w:color w:val="000000"/>
          <w:kern w:val="0"/>
          <w:szCs w:val="28"/>
        </w:rPr>
        <w:t>量在线监测</w:t>
      </w:r>
      <w:r>
        <w:rPr>
          <w:bCs/>
          <w:color w:val="000000"/>
          <w:kern w:val="0"/>
          <w:szCs w:val="28"/>
        </w:rPr>
        <w:t>，</w:t>
      </w:r>
      <w:r>
        <w:rPr>
          <w:rFonts w:hint="eastAsia"/>
          <w:bCs/>
          <w:color w:val="000000"/>
          <w:kern w:val="0"/>
          <w:szCs w:val="28"/>
        </w:rPr>
        <w:t>本研究构建的方法核算结果与碳排放现场检测差异＜20%；</w:t>
      </w:r>
      <w:r>
        <w:rPr>
          <w:bCs/>
          <w:color w:val="000000"/>
          <w:kern w:val="0"/>
          <w:szCs w:val="28"/>
        </w:rPr>
        <w:t>对比IPCC方法计算结果与碳排放现场检测，瞬时差异＜15%，但采样30天后，差异扩大至50%~70%。</w:t>
      </w:r>
    </w:p>
    <w:p w14:paraId="1EA1BB04">
      <w:pPr>
        <w:spacing w:line="240" w:lineRule="atLeast"/>
        <w:ind w:firstLine="0" w:firstLineChars="0"/>
      </w:pPr>
      <w:r>
        <w:drawing>
          <wp:inline distT="0" distB="0" distL="114300" distR="114300">
            <wp:extent cx="2932430" cy="1979930"/>
            <wp:effectExtent l="0" t="0" r="1270" b="1270"/>
            <wp:docPr id="914569061" name="图片 91456906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69061" name="图片 914569061" descr="图片1"/>
                    <pic:cNvPicPr>
                      <a:picLocks noChangeAspect="1"/>
                    </pic:cNvPicPr>
                  </pic:nvPicPr>
                  <pic:blipFill>
                    <a:blip r:embed="rId16"/>
                    <a:stretch>
                      <a:fillRect/>
                    </a:stretch>
                  </pic:blipFill>
                  <pic:spPr>
                    <a:xfrm>
                      <a:off x="0" y="0"/>
                      <a:ext cx="2932430" cy="1979930"/>
                    </a:xfrm>
                    <a:prstGeom prst="rect">
                      <a:avLst/>
                    </a:prstGeom>
                  </pic:spPr>
                </pic:pic>
              </a:graphicData>
            </a:graphic>
          </wp:inline>
        </w:drawing>
      </w:r>
      <w:r>
        <w:drawing>
          <wp:inline distT="0" distB="0" distL="114300" distR="114300">
            <wp:extent cx="2792730" cy="1979930"/>
            <wp:effectExtent l="0" t="0" r="7620" b="127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17"/>
                    <a:stretch>
                      <a:fillRect/>
                    </a:stretch>
                  </pic:blipFill>
                  <pic:spPr>
                    <a:xfrm>
                      <a:off x="0" y="0"/>
                      <a:ext cx="2792730" cy="1979930"/>
                    </a:xfrm>
                    <a:prstGeom prst="rect">
                      <a:avLst/>
                    </a:prstGeom>
                  </pic:spPr>
                </pic:pic>
              </a:graphicData>
            </a:graphic>
          </wp:inline>
        </w:drawing>
      </w:r>
    </w:p>
    <w:p w14:paraId="3D905854">
      <w:pPr>
        <w:ind w:firstLine="560"/>
        <w:rPr>
          <w:lang w:bidi="ar"/>
        </w:rPr>
      </w:pPr>
      <w:r>
        <w:rPr>
          <w:lang w:bidi="ar"/>
        </w:rPr>
        <w:t>图</w:t>
      </w:r>
      <w:r>
        <w:rPr>
          <w:rFonts w:hint="eastAsia"/>
          <w:lang w:bidi="ar"/>
        </w:rPr>
        <w:t xml:space="preserve"> 4.5.2-2</w:t>
      </w:r>
      <w:r>
        <w:rPr>
          <w:lang w:bidi="ar"/>
        </w:rPr>
        <w:t xml:space="preserve"> 污水处理厂CH</w:t>
      </w:r>
      <w:r>
        <w:rPr>
          <w:vertAlign w:val="subscript"/>
          <w:lang w:bidi="ar"/>
        </w:rPr>
        <w:t>4</w:t>
      </w:r>
      <w:r>
        <w:rPr>
          <w:lang w:bidi="ar"/>
        </w:rPr>
        <w:t>（左）和N</w:t>
      </w:r>
      <w:r>
        <w:rPr>
          <w:vertAlign w:val="subscript"/>
          <w:lang w:bidi="ar"/>
        </w:rPr>
        <w:t>2</w:t>
      </w:r>
      <w:r>
        <w:rPr>
          <w:lang w:bidi="ar"/>
        </w:rPr>
        <w:t>O（左）计算值与实测值对比</w:t>
      </w:r>
    </w:p>
    <w:p w14:paraId="65995A1E">
      <w:pPr>
        <w:pStyle w:val="3"/>
        <w:numPr>
          <w:ilvl w:val="1"/>
          <w:numId w:val="7"/>
        </w:numPr>
        <w:spacing w:before="0" w:beforeLines="0" w:line="590" w:lineRule="exact"/>
        <w:ind w:left="0" w:firstLine="0"/>
        <w:rPr>
          <w:b w:val="0"/>
          <w:bCs w:val="0"/>
          <w:szCs w:val="28"/>
        </w:rPr>
      </w:pPr>
      <w:bookmarkStart w:id="42" w:name="_Toc204100086"/>
      <w:r>
        <w:rPr>
          <w:rFonts w:hint="eastAsia"/>
          <w:szCs w:val="28"/>
        </w:rPr>
        <w:t>技术经济论证</w:t>
      </w:r>
      <w:bookmarkEnd w:id="42"/>
    </w:p>
    <w:p w14:paraId="4723154D">
      <w:pPr>
        <w:ind w:firstLine="560"/>
      </w:pPr>
      <w:r>
        <w:rPr>
          <w:rFonts w:hint="eastAsia"/>
        </w:rPr>
        <w:t>无</w:t>
      </w:r>
    </w:p>
    <w:p w14:paraId="27F51419">
      <w:pPr>
        <w:pStyle w:val="3"/>
        <w:numPr>
          <w:ilvl w:val="1"/>
          <w:numId w:val="7"/>
        </w:numPr>
        <w:spacing w:before="0" w:beforeLines="0" w:line="590" w:lineRule="exact"/>
        <w:ind w:left="0" w:firstLine="0"/>
        <w:rPr>
          <w:b w:val="0"/>
          <w:bCs w:val="0"/>
          <w:szCs w:val="28"/>
        </w:rPr>
      </w:pPr>
      <w:bookmarkStart w:id="43" w:name="_Toc204100087"/>
      <w:r>
        <w:rPr>
          <w:rFonts w:hint="eastAsia"/>
          <w:szCs w:val="28"/>
        </w:rPr>
        <w:t>预期的经济效果</w:t>
      </w:r>
      <w:bookmarkEnd w:id="43"/>
    </w:p>
    <w:p w14:paraId="0010D6DB">
      <w:pPr>
        <w:ind w:firstLine="560"/>
        <w:rPr>
          <w:b/>
          <w:bCs/>
          <w:kern w:val="44"/>
          <w:szCs w:val="28"/>
        </w:rPr>
      </w:pPr>
      <w:r>
        <w:rPr>
          <w:rFonts w:hint="eastAsia"/>
        </w:rPr>
        <w:t>无</w:t>
      </w:r>
    </w:p>
    <w:p w14:paraId="210F45E2">
      <w:pPr>
        <w:pStyle w:val="2"/>
        <w:numPr>
          <w:ilvl w:val="0"/>
          <w:numId w:val="7"/>
        </w:numPr>
        <w:spacing w:before="0" w:beforeLines="0" w:after="0" w:afterLines="0" w:line="590" w:lineRule="exact"/>
        <w:rPr>
          <w:szCs w:val="28"/>
        </w:rPr>
      </w:pPr>
      <w:bookmarkStart w:id="44" w:name="_Toc204100088"/>
      <w:r>
        <w:rPr>
          <w:rFonts w:hint="eastAsia" w:eastAsia="方正仿宋_GBK"/>
          <w:sz w:val="28"/>
          <w:szCs w:val="28"/>
        </w:rPr>
        <w:t>标准中涉及专利的情况（专利和软著）</w:t>
      </w:r>
      <w:bookmarkEnd w:id="44"/>
    </w:p>
    <w:p w14:paraId="61F8BD07">
      <w:pPr>
        <w:ind w:firstLine="560"/>
      </w:pPr>
      <w:r>
        <w:rPr>
          <w:rFonts w:hint="eastAsia"/>
        </w:rPr>
        <w:t>无。</w:t>
      </w:r>
    </w:p>
    <w:p w14:paraId="1E78996D">
      <w:pPr>
        <w:pStyle w:val="2"/>
        <w:numPr>
          <w:ilvl w:val="0"/>
          <w:numId w:val="7"/>
        </w:numPr>
        <w:spacing w:before="0" w:beforeLines="0" w:after="0" w:afterLines="0" w:line="590" w:lineRule="exact"/>
      </w:pPr>
      <w:bookmarkStart w:id="45" w:name="_Toc204100089"/>
      <w:r>
        <w:rPr>
          <w:rFonts w:hint="eastAsia" w:eastAsia="方正仿宋_GBK"/>
          <w:sz w:val="28"/>
          <w:szCs w:val="28"/>
        </w:rPr>
        <w:t>采用国际标准和国外先进标准的程度</w:t>
      </w:r>
      <w:bookmarkEnd w:id="45"/>
    </w:p>
    <w:p w14:paraId="13A2A2F2">
      <w:pPr>
        <w:ind w:firstLine="560"/>
      </w:pPr>
      <w:r>
        <w:rPr>
          <w:rFonts w:hint="eastAsia"/>
        </w:rPr>
        <w:t>本标准为自主制定，未采用国际标准。</w:t>
      </w:r>
    </w:p>
    <w:p w14:paraId="6151E82B">
      <w:pPr>
        <w:pStyle w:val="2"/>
        <w:numPr>
          <w:ilvl w:val="0"/>
          <w:numId w:val="7"/>
        </w:numPr>
        <w:spacing w:before="0" w:beforeLines="0" w:after="0" w:afterLines="0" w:line="590" w:lineRule="exact"/>
        <w:rPr>
          <w:rFonts w:eastAsia="方正仿宋_GBK"/>
          <w:sz w:val="28"/>
          <w:szCs w:val="28"/>
        </w:rPr>
      </w:pPr>
      <w:bookmarkStart w:id="46" w:name="_Toc204100090"/>
      <w:r>
        <w:rPr>
          <w:rFonts w:hint="eastAsia" w:eastAsia="方正仿宋_GBK"/>
          <w:sz w:val="28"/>
          <w:szCs w:val="28"/>
        </w:rPr>
        <w:t>与有关的现行法律、法规和强制性国家标准的关系</w:t>
      </w:r>
      <w:bookmarkEnd w:id="46"/>
    </w:p>
    <w:p w14:paraId="1E4493B0">
      <w:pPr>
        <w:ind w:firstLine="560"/>
      </w:pPr>
      <w:r>
        <w:rPr>
          <w:rFonts w:hint="eastAsia"/>
        </w:rPr>
        <w:t>本标准与IPCC编制的《国家温室气体清单指南》相比，相同点是均用到了排放因子法，不同点是本标准核算边界更加完整，排放因子更加本地化。</w:t>
      </w:r>
    </w:p>
    <w:p w14:paraId="47E28727">
      <w:pPr>
        <w:ind w:firstLine="560"/>
      </w:pPr>
      <w:r>
        <w:rPr>
          <w:rFonts w:hint="eastAsia"/>
        </w:rPr>
        <w:t>《城镇污水处理厂污染物去除协同控制温室气体核算技术指南》完全参考IPCC编制的《国家温室气体清单指南》，本标准与其相比，相同点也是均用到了排放因子法，不同点也是本标准核算边界更加完整，排放因子更加本地化。</w:t>
      </w:r>
    </w:p>
    <w:p w14:paraId="5867B031">
      <w:pPr>
        <w:ind w:firstLine="560"/>
      </w:pPr>
      <w:r>
        <w:rPr>
          <w:rFonts w:hint="eastAsia"/>
        </w:rPr>
        <w:t>本标准与中国城镇供水排水协会编制的《城镇水务系统碳核算与减排路径技术指南》相比，相同点是均用到了排放因子法且核算边界均是从污水收集系统开始到污水厂全流程进行核算，不同点是本标准排放因子更加本地化，且提出化学平衡法用于核算不同情景。</w:t>
      </w:r>
    </w:p>
    <w:p w14:paraId="1CDF3D84">
      <w:pPr>
        <w:ind w:firstLine="560"/>
      </w:pPr>
      <w:r>
        <w:rPr>
          <w:rFonts w:hint="eastAsia"/>
        </w:rPr>
        <w:t>本标准与中国建筑节能协会编制的《城镇污水处理和污泥处理处置工程碳排放计算标准》相比，相同点是均用到了排放因子法，不同点是本标准排放因子更加本地化，核算边界除污水处理厂和污泥处理处置外，还包含了污水收集系统。</w:t>
      </w:r>
    </w:p>
    <w:p w14:paraId="3B47B224">
      <w:pPr>
        <w:ind w:firstLine="560"/>
      </w:pPr>
      <w:r>
        <w:rPr>
          <w:rFonts w:hint="eastAsia"/>
        </w:rPr>
        <w:t>本标准与中国城镇供水排水协会编制的《城镇污水处理厂碳减排评估标准》相比，相同点是均用到了排放因子法，不同点是本标准重点在于污水处理厂不同工艺的碳排放核算，而《城镇污水处理厂碳减排评估标准》重点在于减排措施减碳量评估。</w:t>
      </w:r>
    </w:p>
    <w:p w14:paraId="4889E9F7">
      <w:pPr>
        <w:ind w:firstLine="560"/>
      </w:pPr>
      <w:r>
        <w:rPr>
          <w:rFonts w:hint="eastAsia"/>
        </w:rPr>
        <w:t>本标准与中国环境保护产业协会编制的《污水处理厂低碳运行评价技术规范》相比，相同点是均用到了排放因子法，不同点是在于本标准排放因子更加本地化，核算边界除污水处理厂和污泥处理处置外，还包含了污水收集系统。</w:t>
      </w:r>
    </w:p>
    <w:p w14:paraId="6DE18F3B">
      <w:pPr>
        <w:ind w:firstLine="560"/>
      </w:pPr>
      <w:r>
        <w:rPr>
          <w:rFonts w:hint="eastAsia"/>
        </w:rPr>
        <w:t>本标准与兰州大学编制的《温室气体排放核算方法与报告指南 第1部分 污水处理厂》相比，相同点是均用到了排放因子法，不同点是在于本标准排放因子更加本地化，核算边界除污水处理厂外，还包含了污水收集系统和污泥处理处置。</w:t>
      </w:r>
    </w:p>
    <w:p w14:paraId="0140B6DC">
      <w:pPr>
        <w:ind w:firstLine="560"/>
      </w:pPr>
      <w:r>
        <w:rPr>
          <w:rFonts w:hint="eastAsia"/>
        </w:rPr>
        <w:t>本标准与上海城投、上海环科院编制的《上海城镇污水处理厂温室气体排放核算指南》相比，相同点是均用到了排放因子法，不同点是在于提出化学平衡法用于核算不同情景，制定了本地化的排放因子，完善了碳排放核算边界。</w:t>
      </w:r>
    </w:p>
    <w:p w14:paraId="2AB3C31B">
      <w:pPr>
        <w:ind w:firstLine="560"/>
      </w:pPr>
      <w:r>
        <w:rPr>
          <w:rFonts w:hint="eastAsia"/>
        </w:rPr>
        <w:t>本标准与上海环科院编制的《工业污水处理设施温室气体排放核算技术标准》相比，相同点是均用到了排放因子法，不同点是在于本标准不仅适用于工业污水，还适用于生活污水，且提出化学平衡法用于核算不同情景，核算边界除污水处理厂外，还包含了污水收集系统和污泥处理处置。</w:t>
      </w:r>
    </w:p>
    <w:p w14:paraId="4D50AA97">
      <w:pPr>
        <w:ind w:firstLine="560"/>
      </w:pPr>
    </w:p>
    <w:p w14:paraId="2AAD48A6">
      <w:pPr>
        <w:ind w:firstLine="560"/>
      </w:pPr>
      <w:r>
        <w:rPr>
          <w:rFonts w:hint="eastAsia"/>
        </w:rPr>
        <w:t>引用标准列表：</w:t>
      </w:r>
    </w:p>
    <w:p w14:paraId="54C8C5BF">
      <w:pPr>
        <w:ind w:firstLine="560"/>
      </w:pPr>
      <w:r>
        <w:rPr>
          <w:rFonts w:hint="eastAsia"/>
        </w:rPr>
        <w:t>GB 4282-2018 农用污泥污染物控制标准 引用了本标准中污泥农用的相关名词。</w:t>
      </w:r>
    </w:p>
    <w:p w14:paraId="35570821">
      <w:pPr>
        <w:ind w:firstLine="560"/>
      </w:pPr>
      <w:r>
        <w:rPr>
          <w:rFonts w:hint="eastAsia"/>
        </w:rPr>
        <w:t>GB/T 8984-2008 气体中一氧化碳、二氧化碳和碳氢化合物的测定 气相色谱法引用了本标准中二氧化碳的测量方法。</w:t>
      </w:r>
    </w:p>
    <w:p w14:paraId="66DFA85C">
      <w:pPr>
        <w:ind w:firstLine="560"/>
      </w:pPr>
      <w:r>
        <w:rPr>
          <w:rFonts w:hint="eastAsia"/>
        </w:rPr>
        <w:t>GB 23486-2009 城镇污水处理厂 园林绿化用泥质 引用了本标准中污泥用于园林绿化的相关名词和参数。</w:t>
      </w:r>
    </w:p>
    <w:p w14:paraId="2D4AD17A">
      <w:pPr>
        <w:ind w:firstLine="560"/>
      </w:pPr>
      <w:r>
        <w:rPr>
          <w:rFonts w:hint="eastAsia"/>
        </w:rPr>
        <w:t>GB 24600-2009 城镇污水处理厂污泥处置 土地改良用泥质 引用了本标准中污泥土地利用的相关名词和参数。</w:t>
      </w:r>
    </w:p>
    <w:p w14:paraId="2A52F90F">
      <w:pPr>
        <w:ind w:firstLine="560"/>
      </w:pPr>
      <w:r>
        <w:rPr>
          <w:rFonts w:hint="eastAsia"/>
        </w:rPr>
        <w:t>GB/T 32150-2015 工业企业温室气体排放核算和报告通则 引用了本标准中温室气体、工业废水的相关名词。</w:t>
      </w:r>
    </w:p>
    <w:p w14:paraId="4C296FB8">
      <w:pPr>
        <w:ind w:firstLine="560"/>
      </w:pPr>
      <w:r>
        <w:rPr>
          <w:rFonts w:hint="eastAsia"/>
        </w:rPr>
        <w:t>GB 50014-2021 室外排水设计标准 引用了本标准中污水收集系统的相关名词。</w:t>
      </w:r>
    </w:p>
    <w:p w14:paraId="6CAFB351">
      <w:pPr>
        <w:ind w:firstLine="560"/>
      </w:pPr>
      <w:r>
        <w:rPr>
          <w:rFonts w:hint="eastAsia"/>
        </w:rPr>
        <w:t>GB 50015-2019 建筑给水排水设计标准 引用了本标准中居民生活污水定额的参数。</w:t>
      </w:r>
    </w:p>
    <w:p w14:paraId="2B7F2396">
      <w:pPr>
        <w:ind w:firstLine="560"/>
      </w:pPr>
      <w:r>
        <w:rPr>
          <w:rFonts w:hint="eastAsia"/>
        </w:rPr>
        <w:t>CJJ 68-2016 城镇排水管渠与泵站运行、维护及安全技术规程 引用了本标准中管道分级分类的方法</w:t>
      </w:r>
    </w:p>
    <w:p w14:paraId="47850064">
      <w:pPr>
        <w:ind w:firstLine="560"/>
      </w:pPr>
      <w:r>
        <w:rPr>
          <w:rFonts w:hint="eastAsia"/>
        </w:rPr>
        <w:t>CJ/T 307-2009 城镇排水设施气体的检测方法 引用了本标准中温室气体的检测方法。</w:t>
      </w:r>
    </w:p>
    <w:p w14:paraId="546CE06E">
      <w:pPr>
        <w:ind w:firstLine="560"/>
      </w:pPr>
      <w:r>
        <w:rPr>
          <w:rFonts w:hint="eastAsia"/>
        </w:rPr>
        <w:t>HJ 38-2017 固定污染源废气 总烃、甲烷和非甲烷总烃的测定 气相色谱法 引用了本标准中甲烷的检测方法。</w:t>
      </w:r>
    </w:p>
    <w:p w14:paraId="6FEACF93">
      <w:pPr>
        <w:ind w:firstLine="560"/>
      </w:pPr>
      <w:r>
        <w:rPr>
          <w:rFonts w:hint="eastAsia"/>
        </w:rPr>
        <w:t>HJ 493-2009 水质 样品的保存和管理技术规定 引用了本标准中水样的保存管理。</w:t>
      </w:r>
    </w:p>
    <w:p w14:paraId="1E2A1EA9">
      <w:pPr>
        <w:ind w:firstLine="560"/>
      </w:pPr>
      <w:r>
        <w:rPr>
          <w:rFonts w:hint="eastAsia"/>
        </w:rPr>
        <w:t>HJ 494-2009 水质采样技术指导 引用了本标准中水样的采样方法。</w:t>
      </w:r>
    </w:p>
    <w:p w14:paraId="50E6EE5E">
      <w:pPr>
        <w:ind w:firstLine="560"/>
      </w:pPr>
      <w:r>
        <w:rPr>
          <w:rFonts w:hint="eastAsia"/>
        </w:rPr>
        <w:t>HJ 495-2009 水质 采样方案设计技术指导 引用了本标准中采样点位选取原则。</w:t>
      </w:r>
    </w:p>
    <w:p w14:paraId="46537619">
      <w:pPr>
        <w:ind w:firstLine="560"/>
      </w:pPr>
      <w:r>
        <w:rPr>
          <w:rFonts w:hint="eastAsia"/>
        </w:rPr>
        <w:t>HJ/T 199-2023 水质 总氮的测定 气相分子吸收光谱法 引用了本标准中总氮的测量方法。</w:t>
      </w:r>
    </w:p>
    <w:p w14:paraId="0AE670C8">
      <w:pPr>
        <w:ind w:firstLine="560"/>
      </w:pPr>
      <w:r>
        <w:rPr>
          <w:rFonts w:hint="eastAsia"/>
        </w:rPr>
        <w:t>HJ/T 399-2007 水质 化学需氧量的测定 快速消解分光光度法 引用了本标准中化学需氧量的测量方法。</w:t>
      </w:r>
    </w:p>
    <w:p w14:paraId="45815803">
      <w:pPr>
        <w:ind w:firstLine="560"/>
      </w:pPr>
      <w:r>
        <w:rPr>
          <w:rFonts w:hint="eastAsia"/>
        </w:rPr>
        <w:t>DB 61/T 1571-2022 城镇污水处理厂污泥处理处置技术规范 引用了本标准中污泥处理处置的相关名词。</w:t>
      </w:r>
    </w:p>
    <w:p w14:paraId="0E1A3D24">
      <w:pPr>
        <w:ind w:firstLine="560"/>
      </w:pPr>
      <w:r>
        <w:rPr>
          <w:rFonts w:hint="eastAsia"/>
        </w:rPr>
        <w:t>T/CABEE 040-2022 城镇污水处理和污泥处理处置工程碳排放计算标准 引用了本标准中碳排放强度等相关名词。</w:t>
      </w:r>
    </w:p>
    <w:p w14:paraId="1FA83D96">
      <w:pPr>
        <w:ind w:firstLine="560"/>
      </w:pPr>
      <w:r>
        <w:rPr>
          <w:rFonts w:hint="eastAsia"/>
        </w:rPr>
        <w:t>T/CAEPI 49-2022 污水处理厂低碳运行评价技术规范 引用了本标准中直接碳排放当量等相关名词。</w:t>
      </w:r>
    </w:p>
    <w:p w14:paraId="144F5D1D">
      <w:pPr>
        <w:ind w:firstLine="560"/>
      </w:pPr>
      <w:r>
        <w:rPr>
          <w:rFonts w:hint="eastAsia"/>
        </w:rPr>
        <w:t>T/CUWA 50051-2022 城镇排水系统通沟污泥处理处置技术规程 引用了本标准中通沟污泥清掏频次等参数。</w:t>
      </w:r>
    </w:p>
    <w:p w14:paraId="43B3EF29">
      <w:pPr>
        <w:ind w:firstLine="560"/>
      </w:pPr>
      <w:r>
        <w:rPr>
          <w:rFonts w:hint="eastAsia"/>
        </w:rPr>
        <w:t>T/LCAA 0007-2020 气体中甲烷、氧化亚氮和二氧化碳浓度测定——气相色谱法引用了本标准中甲烷、氧化亚氮和二氧化碳的测量方法。</w:t>
      </w:r>
    </w:p>
    <w:p w14:paraId="68EAD8A0">
      <w:pPr>
        <w:ind w:firstLine="560"/>
      </w:pPr>
      <w:r>
        <w:rPr>
          <w:rFonts w:hint="eastAsia"/>
        </w:rPr>
        <w:t>HJ-BAT-002 城镇污水处理厂污泥处理处置污染防治最佳可行技术指南（试行）引用了本标准中污泥处理处置方式及技术参数。</w:t>
      </w:r>
    </w:p>
    <w:p w14:paraId="14855F13">
      <w:pPr>
        <w:ind w:firstLine="560"/>
      </w:pPr>
      <w:r>
        <w:rPr>
          <w:rFonts w:hint="eastAsia"/>
        </w:rPr>
        <w:t>IPCC 2006年国家温室气体清单标准（2019修订版）引用了本标准中排放因子等相关名词。</w:t>
      </w:r>
    </w:p>
    <w:p w14:paraId="5B9D136C">
      <w:pPr>
        <w:pStyle w:val="2"/>
        <w:numPr>
          <w:ilvl w:val="0"/>
          <w:numId w:val="7"/>
        </w:numPr>
        <w:spacing w:before="0" w:beforeLines="0" w:after="0" w:afterLines="0" w:line="590" w:lineRule="exact"/>
      </w:pPr>
      <w:bookmarkStart w:id="47" w:name="_Toc204100091"/>
      <w:r>
        <w:rPr>
          <w:rFonts w:hint="eastAsia" w:eastAsia="方正仿宋_GBK"/>
          <w:sz w:val="28"/>
          <w:szCs w:val="28"/>
        </w:rPr>
        <w:t>重大分歧意见的处理经过和依据</w:t>
      </w:r>
      <w:bookmarkEnd w:id="47"/>
    </w:p>
    <w:p w14:paraId="33FF06ED">
      <w:pPr>
        <w:ind w:firstLine="560"/>
      </w:pPr>
      <w:r>
        <w:rPr>
          <w:rFonts w:hint="eastAsia"/>
        </w:rPr>
        <w:t>标准编制过程中无重大分歧意见。</w:t>
      </w:r>
    </w:p>
    <w:p w14:paraId="59B99321">
      <w:pPr>
        <w:pStyle w:val="2"/>
        <w:numPr>
          <w:ilvl w:val="0"/>
          <w:numId w:val="7"/>
        </w:numPr>
        <w:spacing w:before="0" w:beforeLines="0" w:after="0" w:afterLines="0" w:line="590" w:lineRule="exact"/>
        <w:rPr>
          <w:szCs w:val="28"/>
        </w:rPr>
      </w:pPr>
      <w:bookmarkStart w:id="48" w:name="_Toc204100092"/>
      <w:r>
        <w:rPr>
          <w:rFonts w:hint="eastAsia" w:eastAsia="方正仿宋_GBK"/>
          <w:sz w:val="28"/>
          <w:szCs w:val="28"/>
        </w:rPr>
        <w:t>作为推荐性标准的建议</w:t>
      </w:r>
      <w:bookmarkEnd w:id="48"/>
    </w:p>
    <w:p w14:paraId="3F4E3B72">
      <w:pPr>
        <w:ind w:firstLine="560"/>
      </w:pPr>
      <w:r>
        <w:rPr>
          <w:rFonts w:hint="eastAsia"/>
        </w:rPr>
        <w:t>本标准不涉及保障人体健康，人身、财产安全等强制性条款和内容，建议作为推荐性团体标准发布并实施。</w:t>
      </w:r>
    </w:p>
    <w:p w14:paraId="374B51D1">
      <w:pPr>
        <w:pStyle w:val="2"/>
        <w:numPr>
          <w:ilvl w:val="0"/>
          <w:numId w:val="7"/>
        </w:numPr>
        <w:spacing w:before="0" w:beforeLines="0" w:after="0" w:afterLines="0" w:line="590" w:lineRule="exact"/>
        <w:rPr>
          <w:szCs w:val="28"/>
        </w:rPr>
      </w:pPr>
      <w:bookmarkStart w:id="49" w:name="_Toc204100093"/>
      <w:r>
        <w:rPr>
          <w:rFonts w:hint="eastAsia" w:eastAsia="方正仿宋_GBK"/>
          <w:sz w:val="28"/>
          <w:szCs w:val="28"/>
        </w:rPr>
        <w:t>贯彻团体标准的要求和措施建议</w:t>
      </w:r>
      <w:bookmarkEnd w:id="49"/>
    </w:p>
    <w:p w14:paraId="5F8E8AC0">
      <w:pPr>
        <w:ind w:firstLine="560"/>
      </w:pPr>
      <w:r>
        <w:rPr>
          <w:rFonts w:hint="eastAsia"/>
        </w:rPr>
        <w:t>建议本标准在批准发布 3 个月后实施。</w:t>
      </w:r>
    </w:p>
    <w:p w14:paraId="7A6DE10E">
      <w:pPr>
        <w:ind w:firstLine="560"/>
      </w:pPr>
      <w:r>
        <w:rPr>
          <w:rFonts w:hint="eastAsia"/>
        </w:rPr>
        <w:t>本标准发布后，应向江苏省标准经协会会员单位进行宣传、贯彻，向行业相关企业推荐执行本标准。</w:t>
      </w:r>
    </w:p>
    <w:p w14:paraId="645FD935">
      <w:pPr>
        <w:pStyle w:val="2"/>
        <w:numPr>
          <w:ilvl w:val="0"/>
          <w:numId w:val="7"/>
        </w:numPr>
        <w:spacing w:before="0" w:beforeLines="0" w:after="0" w:afterLines="0" w:line="590" w:lineRule="exact"/>
        <w:rPr>
          <w:szCs w:val="28"/>
        </w:rPr>
      </w:pPr>
      <w:bookmarkStart w:id="50" w:name="_Toc204100094"/>
      <w:r>
        <w:rPr>
          <w:rFonts w:hint="eastAsia" w:eastAsia="方正仿宋_GBK"/>
          <w:sz w:val="28"/>
          <w:szCs w:val="28"/>
        </w:rPr>
        <w:t>废止现行有关标准的建议</w:t>
      </w:r>
      <w:bookmarkEnd w:id="50"/>
    </w:p>
    <w:p w14:paraId="4C1CC1A9">
      <w:pPr>
        <w:ind w:firstLine="560"/>
      </w:pPr>
      <w:r>
        <w:rPr>
          <w:rFonts w:hint="eastAsia"/>
        </w:rPr>
        <w:t>不涉及。</w:t>
      </w:r>
    </w:p>
    <w:p w14:paraId="063E5075">
      <w:pPr>
        <w:pStyle w:val="2"/>
        <w:numPr>
          <w:ilvl w:val="0"/>
          <w:numId w:val="7"/>
        </w:numPr>
        <w:spacing w:before="0" w:beforeLines="0" w:after="0" w:afterLines="0" w:line="590" w:lineRule="exact"/>
        <w:rPr>
          <w:szCs w:val="28"/>
        </w:rPr>
      </w:pPr>
      <w:bookmarkStart w:id="51" w:name="_Toc204100095"/>
      <w:r>
        <w:rPr>
          <w:rFonts w:hint="eastAsia" w:eastAsia="方正仿宋_GBK"/>
          <w:sz w:val="28"/>
          <w:szCs w:val="28"/>
        </w:rPr>
        <w:t>其他应予说明的事项</w:t>
      </w:r>
      <w:bookmarkEnd w:id="51"/>
    </w:p>
    <w:p w14:paraId="1FA146BD">
      <w:pPr>
        <w:ind w:firstLine="560"/>
      </w:pPr>
      <w:r>
        <w:rPr>
          <w:rFonts w:hint="eastAsia"/>
        </w:rPr>
        <w:t>无。</w:t>
      </w:r>
    </w:p>
    <w:bookmarkEnd w:id="40"/>
    <w:p w14:paraId="092376E9">
      <w:pPr>
        <w:ind w:firstLine="0" w:firstLineChars="0"/>
      </w:pPr>
    </w:p>
    <w:sectPr>
      <w:footerReference r:id="rId12" w:type="default"/>
      <w:pgSz w:w="11905" w:h="16838"/>
      <w:pgMar w:top="2098" w:right="1417" w:bottom="1020" w:left="1417" w:header="454" w:footer="992" w:gutter="0"/>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226C">
    <w:pPr>
      <w:pStyle w:val="22"/>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44623">
                          <w:pPr>
                            <w:pStyle w:val="22"/>
                            <w:ind w:firstLine="360"/>
                          </w:pPr>
                          <w:r>
                            <w:t xml:space="preserve">— </w:t>
                          </w:r>
                          <w:r>
                            <w:fldChar w:fldCharType="begin"/>
                          </w:r>
                          <w:r>
                            <w:instrText xml:space="preserve"> PAGE  \* MERGEFORMAT </w:instrText>
                          </w:r>
                          <w:r>
                            <w:fldChar w:fldCharType="separate"/>
                          </w:r>
                          <w:r>
                            <w:t>II</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B844623">
                    <w:pPr>
                      <w:pStyle w:val="22"/>
                      <w:ind w:firstLine="360"/>
                    </w:pPr>
                    <w:r>
                      <w:t xml:space="preserve">— </w:t>
                    </w:r>
                    <w:r>
                      <w:fldChar w:fldCharType="begin"/>
                    </w:r>
                    <w:r>
                      <w:instrText xml:space="preserve"> PAGE  \* MERGEFORMAT </w:instrText>
                    </w:r>
                    <w:r>
                      <w:fldChar w:fldCharType="separate"/>
                    </w:r>
                    <w:r>
                      <w:t>II</w:t>
                    </w:r>
                    <w:r>
                      <w:fldChar w:fldCharType="end"/>
                    </w:r>
                    <w:r>
                      <w:t xml:space="preserve"> —</w:t>
                    </w:r>
                  </w:p>
                </w:txbxContent>
              </v:textbox>
            </v:shape>
          </w:pict>
        </mc:Fallback>
      </mc:AlternateContent>
    </w:r>
  </w:p>
  <w:p w14:paraId="1F5C61A7">
    <w:pPr>
      <w:pStyle w:val="22"/>
      <w:spacing w:line="240" w:lineRule="auto"/>
      <w:ind w:firstLine="0" w:firstLineChars="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E5FC">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DDA33">
    <w:pPr>
      <w:pStyle w:val="2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22B">
    <w:pPr>
      <w:pStyle w:val="22"/>
      <w:spacing w:line="360" w:lineRule="exact"/>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F936A">
                          <w:pPr>
                            <w:ind w:firstLine="56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BBF936A">
                    <w:pPr>
                      <w:ind w:firstLine="56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0D38">
    <w:pPr>
      <w:tabs>
        <w:tab w:val="center" w:pos="4153"/>
        <w:tab w:val="right" w:pos="8306"/>
      </w:tabs>
      <w:snapToGrid w:val="0"/>
      <w:ind w:firstLine="360"/>
      <w:jc w:val="left"/>
      <w:rPr>
        <w:rFonts w:eastAsia="Times New Roman"/>
        <w:sz w:val="18"/>
      </w:rPr>
    </w:pPr>
    <w:r>
      <w:rPr>
        <w:rFonts w:eastAsia="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25950">
                          <w:pPr>
                            <w:tabs>
                              <w:tab w:val="center" w:pos="4153"/>
                              <w:tab w:val="right" w:pos="8306"/>
                            </w:tabs>
                            <w:snapToGrid w:val="0"/>
                            <w:ind w:firstLine="480"/>
                            <w:jc w:val="left"/>
                            <w:rPr>
                              <w:rFonts w:eastAsia="Times New Roman"/>
                              <w:sz w:val="24"/>
                            </w:rPr>
                          </w:pPr>
                          <w:r>
                            <w:rPr>
                              <w:rFonts w:eastAsia="Times New Roman"/>
                              <w:sz w:val="24"/>
                            </w:rPr>
                            <w:t xml:space="preserve">— </w:t>
                          </w:r>
                          <w:r>
                            <w:rPr>
                              <w:rFonts w:eastAsia="Times New Roman"/>
                              <w:sz w:val="24"/>
                            </w:rPr>
                            <w:fldChar w:fldCharType="begin"/>
                          </w:r>
                          <w:r>
                            <w:rPr>
                              <w:rFonts w:eastAsia="Times New Roman"/>
                              <w:sz w:val="24"/>
                            </w:rPr>
                            <w:instrText xml:space="preserve"> PAGE  \* MERGEFORMAT </w:instrText>
                          </w:r>
                          <w:r>
                            <w:rPr>
                              <w:rFonts w:eastAsia="Times New Roman"/>
                              <w:sz w:val="24"/>
                            </w:rPr>
                            <w:fldChar w:fldCharType="separate"/>
                          </w:r>
                          <w:r>
                            <w:rPr>
                              <w:rFonts w:eastAsia="Times New Roman"/>
                              <w:sz w:val="24"/>
                            </w:rPr>
                            <w:t>15</w:t>
                          </w:r>
                          <w:r>
                            <w:rPr>
                              <w:rFonts w:eastAsia="Times New Roman"/>
                              <w:sz w:val="24"/>
                            </w:rPr>
                            <w:fldChar w:fldCharType="end"/>
                          </w:r>
                          <w:r>
                            <w:rPr>
                              <w:rFonts w:eastAsia="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B9vIzAgAAZ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we5aF&#10;jd5aHqGjPN4uDwFyJpWjKJ0S6E48YPpSny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lB9vIzAgAAZQQAAA4AAAAAAAAAAQAgAAAAHwEAAGRycy9lMm9Eb2MueG1sUEsF&#10;BgAAAAAGAAYAWQEAAMQFAAAAAA==&#10;">
              <v:fill on="f" focussize="0,0"/>
              <v:stroke on="f" weight="0.5pt"/>
              <v:imagedata o:title=""/>
              <o:lock v:ext="edit" aspectratio="f"/>
              <v:textbox inset="0mm,0mm,0mm,0mm" style="mso-fit-shape-to-text:t;">
                <w:txbxContent>
                  <w:p w14:paraId="4EE25950">
                    <w:pPr>
                      <w:tabs>
                        <w:tab w:val="center" w:pos="4153"/>
                        <w:tab w:val="right" w:pos="8306"/>
                      </w:tabs>
                      <w:snapToGrid w:val="0"/>
                      <w:ind w:firstLine="480"/>
                      <w:jc w:val="left"/>
                      <w:rPr>
                        <w:rFonts w:eastAsia="Times New Roman"/>
                        <w:sz w:val="24"/>
                      </w:rPr>
                    </w:pPr>
                    <w:r>
                      <w:rPr>
                        <w:rFonts w:eastAsia="Times New Roman"/>
                        <w:sz w:val="24"/>
                      </w:rPr>
                      <w:t xml:space="preserve">— </w:t>
                    </w:r>
                    <w:r>
                      <w:rPr>
                        <w:rFonts w:eastAsia="Times New Roman"/>
                        <w:sz w:val="24"/>
                      </w:rPr>
                      <w:fldChar w:fldCharType="begin"/>
                    </w:r>
                    <w:r>
                      <w:rPr>
                        <w:rFonts w:eastAsia="Times New Roman"/>
                        <w:sz w:val="24"/>
                      </w:rPr>
                      <w:instrText xml:space="preserve"> PAGE  \* MERGEFORMAT </w:instrText>
                    </w:r>
                    <w:r>
                      <w:rPr>
                        <w:rFonts w:eastAsia="Times New Roman"/>
                        <w:sz w:val="24"/>
                      </w:rPr>
                      <w:fldChar w:fldCharType="separate"/>
                    </w:r>
                    <w:r>
                      <w:rPr>
                        <w:rFonts w:eastAsia="Times New Roman"/>
                        <w:sz w:val="24"/>
                      </w:rPr>
                      <w:t>15</w:t>
                    </w:r>
                    <w:r>
                      <w:rPr>
                        <w:rFonts w:eastAsia="Times New Roman"/>
                        <w:sz w:val="24"/>
                      </w:rPr>
                      <w:fldChar w:fldCharType="end"/>
                    </w:r>
                    <w:r>
                      <w:rPr>
                        <w:rFonts w:eastAsia="Times New Roman"/>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22BB">
    <w:pPr>
      <w:pStyle w:val="23"/>
      <w:pBdr>
        <w:bottom w:val="none" w:color="auto" w:sz="0" w:space="0"/>
      </w:pBdr>
      <w:ind w:firstLine="42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90371">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81DF">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51"/>
      <w:isLgl/>
      <w:suff w:val="nothing"/>
      <w:lvlText w:val="%2　"/>
      <w:lvlJc w:val="left"/>
      <w:pPr>
        <w:ind w:left="18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67E1D67"/>
    <w:multiLevelType w:val="multilevel"/>
    <w:tmpl w:val="167E1D6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19643811"/>
    <w:multiLevelType w:val="multilevel"/>
    <w:tmpl w:val="1964381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1" w:hanging="851"/>
      </w:pPr>
      <w:rPr>
        <w:rFonts w:hint="default"/>
      </w:rPr>
    </w:lvl>
    <w:lvl w:ilvl="4" w:tentative="0">
      <w:start w:val="1"/>
      <w:numFmt w:val="decimal"/>
      <w:lvlText w:val="%1.%2.%3.%4.%5."/>
      <w:lvlJc w:val="left"/>
      <w:pPr>
        <w:ind w:left="992" w:hanging="992"/>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6" w:hanging="1276"/>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9" w:hanging="1559"/>
      </w:pPr>
      <w:rPr>
        <w:rFonts w:hint="default"/>
      </w:rPr>
    </w:lvl>
  </w:abstractNum>
  <w:abstractNum w:abstractNumId="3">
    <w:nsid w:val="48802D1C"/>
    <w:multiLevelType w:val="multilevel"/>
    <w:tmpl w:val="48802D1C"/>
    <w:lvl w:ilvl="0" w:tentative="0">
      <w:start w:val="1"/>
      <w:numFmt w:val="upperLetter"/>
      <w:pStyle w:val="169"/>
      <w:lvlText w:val="%1"/>
      <w:lvlJc w:val="left"/>
      <w:pPr>
        <w:ind w:left="420" w:hanging="420"/>
      </w:pPr>
      <w:rPr>
        <w:rFonts w:hint="eastAsia"/>
      </w:rPr>
    </w:lvl>
    <w:lvl w:ilvl="1" w:tentative="0">
      <w:start w:val="1"/>
      <w:numFmt w:val="decimal"/>
      <w:pStyle w:val="16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4F302902"/>
    <w:multiLevelType w:val="multilevel"/>
    <w:tmpl w:val="4F302902"/>
    <w:lvl w:ilvl="0" w:tentative="0">
      <w:start w:val="1"/>
      <w:numFmt w:val="none"/>
      <w:pStyle w:val="49"/>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46260FA"/>
    <w:multiLevelType w:val="multilevel"/>
    <w:tmpl w:val="646260FA"/>
    <w:lvl w:ilvl="0" w:tentative="0">
      <w:start w:val="1"/>
      <w:numFmt w:val="decimal"/>
      <w:pStyle w:val="161"/>
      <w:suff w:val="nothing"/>
      <w:lvlText w:val="表%1　"/>
      <w:lvlJc w:val="left"/>
      <w:pPr>
        <w:ind w:left="3828" w:firstLine="0"/>
      </w:pPr>
      <w:rPr>
        <w:rFonts w:ascii="黑体" w:hAnsi="黑体" w:eastAsia="黑体"/>
        <w:sz w:val="21"/>
        <w:szCs w:val="21"/>
      </w:rPr>
    </w:lvl>
    <w:lvl w:ilvl="1" w:tentative="0">
      <w:start w:val="1"/>
      <w:numFmt w:val="decimal"/>
      <w:lvlText w:val="%1.%2"/>
      <w:lvlJc w:val="left"/>
      <w:pPr>
        <w:tabs>
          <w:tab w:val="left" w:pos="1276"/>
        </w:tabs>
        <w:ind w:left="1276" w:hanging="567"/>
      </w:pPr>
    </w:lvl>
    <w:lvl w:ilvl="2" w:tentative="0">
      <w:start w:val="1"/>
      <w:numFmt w:val="decimal"/>
      <w:lvlText w:val="%1.%2.%3"/>
      <w:lvlJc w:val="left"/>
      <w:pPr>
        <w:tabs>
          <w:tab w:val="left" w:pos="1701"/>
        </w:tabs>
        <w:ind w:left="1701" w:hanging="567"/>
      </w:pPr>
    </w:lvl>
    <w:lvl w:ilvl="3" w:tentative="0">
      <w:start w:val="1"/>
      <w:numFmt w:val="decimal"/>
      <w:lvlText w:val="%1.%2.%3.%4"/>
      <w:lvlJc w:val="left"/>
      <w:pPr>
        <w:tabs>
          <w:tab w:val="left" w:pos="2268"/>
        </w:tabs>
        <w:ind w:left="2268" w:hanging="708"/>
      </w:pPr>
    </w:lvl>
    <w:lvl w:ilvl="4" w:tentative="0">
      <w:start w:val="1"/>
      <w:numFmt w:val="decimal"/>
      <w:lvlText w:val="%1.%2.%3.%4.%5"/>
      <w:lvlJc w:val="left"/>
      <w:pPr>
        <w:tabs>
          <w:tab w:val="left" w:pos="2835"/>
        </w:tabs>
        <w:ind w:left="2835" w:hanging="850"/>
      </w:pPr>
    </w:lvl>
    <w:lvl w:ilvl="5" w:tentative="0">
      <w:start w:val="1"/>
      <w:numFmt w:val="decimal"/>
      <w:lvlText w:val="%1.%2.%3.%4.%5.%6"/>
      <w:lvlJc w:val="left"/>
      <w:pPr>
        <w:tabs>
          <w:tab w:val="left" w:pos="3544"/>
        </w:tabs>
        <w:ind w:left="3544" w:hanging="1134"/>
      </w:pPr>
    </w:lvl>
    <w:lvl w:ilvl="6" w:tentative="0">
      <w:start w:val="1"/>
      <w:numFmt w:val="decimal"/>
      <w:lvlText w:val="%1.%2.%3.%4.%5.%6.%7"/>
      <w:lvlJc w:val="left"/>
      <w:pPr>
        <w:tabs>
          <w:tab w:val="left" w:pos="4111"/>
        </w:tabs>
        <w:ind w:left="4111" w:hanging="1276"/>
      </w:pPr>
    </w:lvl>
    <w:lvl w:ilvl="7" w:tentative="0">
      <w:start w:val="1"/>
      <w:numFmt w:val="decimal"/>
      <w:lvlText w:val="%1.%2.%3.%4.%5.%6.%7.%8"/>
      <w:lvlJc w:val="left"/>
      <w:pPr>
        <w:tabs>
          <w:tab w:val="left" w:pos="4678"/>
        </w:tabs>
        <w:ind w:left="4678" w:hanging="1418"/>
      </w:pPr>
    </w:lvl>
    <w:lvl w:ilvl="8" w:tentative="0">
      <w:start w:val="1"/>
      <w:numFmt w:val="decimal"/>
      <w:lvlText w:val="%1.%2.%3.%4.%5.%6.%7.%8.%9"/>
      <w:lvlJc w:val="left"/>
      <w:pPr>
        <w:tabs>
          <w:tab w:val="left" w:pos="5386"/>
        </w:tabs>
        <w:ind w:left="5386" w:hanging="1700"/>
      </w:pPr>
    </w:lvl>
  </w:abstractNum>
  <w:abstractNum w:abstractNumId="6">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55"/>
      <w:suff w:val="nothing"/>
      <w:lvlText w:val="%1%2　"/>
      <w:lvlJc w:val="left"/>
      <w:pPr>
        <w:ind w:left="142" w:firstLine="0"/>
      </w:pPr>
      <w:rPr>
        <w:rFonts w:hint="eastAsia" w:ascii="黑体" w:eastAsia="黑体"/>
        <w:b w:val="0"/>
        <w:i w:val="0"/>
        <w:sz w:val="21"/>
      </w:rPr>
    </w:lvl>
    <w:lvl w:ilvl="2" w:tentative="0">
      <w:start w:val="1"/>
      <w:numFmt w:val="decimal"/>
      <w:pStyle w:val="156"/>
      <w:suff w:val="nothing"/>
      <w:lvlText w:val="%1%2.%3　"/>
      <w:lvlJc w:val="left"/>
      <w:pPr>
        <w:ind w:left="70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51"/>
      <w:suff w:val="nothing"/>
      <w:lvlText w:val="%1%2.%3.%4　"/>
      <w:lvlJc w:val="left"/>
      <w:pPr>
        <w:ind w:left="425" w:firstLine="0"/>
      </w:pPr>
      <w:rPr>
        <w:rFonts w:hint="eastAsia" w:ascii="黑体" w:eastAsia="黑体"/>
        <w:b w:val="0"/>
        <w:i w:val="0"/>
        <w:sz w:val="21"/>
      </w:rPr>
    </w:lvl>
    <w:lvl w:ilvl="4" w:tentative="0">
      <w:start w:val="1"/>
      <w:numFmt w:val="decimal"/>
      <w:pStyle w:val="152"/>
      <w:suff w:val="nothing"/>
      <w:lvlText w:val="%1%2.%3.%4.%5　"/>
      <w:lvlJc w:val="left"/>
      <w:pPr>
        <w:ind w:left="0" w:firstLine="0"/>
      </w:pPr>
      <w:rPr>
        <w:rFonts w:hint="eastAsia" w:ascii="黑体" w:eastAsia="黑体"/>
        <w:b w:val="0"/>
        <w:i w:val="0"/>
        <w:sz w:val="21"/>
      </w:rPr>
    </w:lvl>
    <w:lvl w:ilvl="5" w:tentative="0">
      <w:start w:val="1"/>
      <w:numFmt w:val="decimal"/>
      <w:pStyle w:val="153"/>
      <w:suff w:val="nothing"/>
      <w:lvlText w:val="%1%2.%3.%4.%5.%6　"/>
      <w:lvlJc w:val="left"/>
      <w:pPr>
        <w:ind w:left="0" w:firstLine="0"/>
      </w:pPr>
      <w:rPr>
        <w:rFonts w:hint="eastAsia" w:ascii="黑体" w:eastAsia="黑体"/>
        <w:b w:val="0"/>
        <w:i w:val="0"/>
        <w:sz w:val="21"/>
      </w:rPr>
    </w:lvl>
    <w:lvl w:ilvl="6" w:tentative="0">
      <w:start w:val="1"/>
      <w:numFmt w:val="decimal"/>
      <w:pStyle w:val="15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40"/>
  <w:drawingGridVerticalSpacing w:val="395"/>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SyMDA0MLe0NDGzNDRV0lEKTi0uzszPAykwqQUAl4QgHSwAAAA="/>
    <w:docVar w:name="commondata" w:val="eyJoZGlkIjoiYWEwYTI1ZGVkY2Q5MmZjMTljYzQ5N2Y4MDIyYjFhOWQifQ=="/>
  </w:docVars>
  <w:rsids>
    <w:rsidRoot w:val="0091106E"/>
    <w:rsid w:val="00000365"/>
    <w:rsid w:val="000008AF"/>
    <w:rsid w:val="00000BF7"/>
    <w:rsid w:val="00000C43"/>
    <w:rsid w:val="00003C8B"/>
    <w:rsid w:val="00005D9D"/>
    <w:rsid w:val="00007BFC"/>
    <w:rsid w:val="000125C8"/>
    <w:rsid w:val="00013DC8"/>
    <w:rsid w:val="00015661"/>
    <w:rsid w:val="000232BC"/>
    <w:rsid w:val="00024E26"/>
    <w:rsid w:val="0002647D"/>
    <w:rsid w:val="000265DD"/>
    <w:rsid w:val="000320DB"/>
    <w:rsid w:val="00033BE9"/>
    <w:rsid w:val="000371D1"/>
    <w:rsid w:val="000373F9"/>
    <w:rsid w:val="000378F5"/>
    <w:rsid w:val="00042894"/>
    <w:rsid w:val="00043E9B"/>
    <w:rsid w:val="00045D5D"/>
    <w:rsid w:val="0004716B"/>
    <w:rsid w:val="00050079"/>
    <w:rsid w:val="00053297"/>
    <w:rsid w:val="00053F9F"/>
    <w:rsid w:val="00056959"/>
    <w:rsid w:val="00056BFC"/>
    <w:rsid w:val="00056F85"/>
    <w:rsid w:val="000573C1"/>
    <w:rsid w:val="000577FB"/>
    <w:rsid w:val="00060AA6"/>
    <w:rsid w:val="00061777"/>
    <w:rsid w:val="000651E5"/>
    <w:rsid w:val="00066DEF"/>
    <w:rsid w:val="00067135"/>
    <w:rsid w:val="00075EAA"/>
    <w:rsid w:val="000769E9"/>
    <w:rsid w:val="0007709B"/>
    <w:rsid w:val="00077229"/>
    <w:rsid w:val="00077EC5"/>
    <w:rsid w:val="000808D5"/>
    <w:rsid w:val="00084C4C"/>
    <w:rsid w:val="00085532"/>
    <w:rsid w:val="0008620A"/>
    <w:rsid w:val="00086DF3"/>
    <w:rsid w:val="00086E65"/>
    <w:rsid w:val="00086FA1"/>
    <w:rsid w:val="00091393"/>
    <w:rsid w:val="00093C0F"/>
    <w:rsid w:val="000947C7"/>
    <w:rsid w:val="00094D53"/>
    <w:rsid w:val="000950CB"/>
    <w:rsid w:val="00095B3B"/>
    <w:rsid w:val="000A4151"/>
    <w:rsid w:val="000B1E56"/>
    <w:rsid w:val="000B23F8"/>
    <w:rsid w:val="000B342A"/>
    <w:rsid w:val="000B53AD"/>
    <w:rsid w:val="000C081C"/>
    <w:rsid w:val="000C45F2"/>
    <w:rsid w:val="000C559F"/>
    <w:rsid w:val="000C6EFA"/>
    <w:rsid w:val="000D05BF"/>
    <w:rsid w:val="000D2461"/>
    <w:rsid w:val="000D3D85"/>
    <w:rsid w:val="000D55AB"/>
    <w:rsid w:val="000D58AB"/>
    <w:rsid w:val="000D6358"/>
    <w:rsid w:val="000D7181"/>
    <w:rsid w:val="000E01A4"/>
    <w:rsid w:val="000E0F5F"/>
    <w:rsid w:val="000E2069"/>
    <w:rsid w:val="000E379B"/>
    <w:rsid w:val="000E4896"/>
    <w:rsid w:val="000E4CEE"/>
    <w:rsid w:val="000E65A2"/>
    <w:rsid w:val="000E69CD"/>
    <w:rsid w:val="000F127A"/>
    <w:rsid w:val="000F2AD4"/>
    <w:rsid w:val="000F41FA"/>
    <w:rsid w:val="00100B8B"/>
    <w:rsid w:val="00100E36"/>
    <w:rsid w:val="00101C26"/>
    <w:rsid w:val="00102F5D"/>
    <w:rsid w:val="0010423E"/>
    <w:rsid w:val="00110198"/>
    <w:rsid w:val="001127FB"/>
    <w:rsid w:val="00115852"/>
    <w:rsid w:val="00116C67"/>
    <w:rsid w:val="001218A1"/>
    <w:rsid w:val="001224CB"/>
    <w:rsid w:val="00123569"/>
    <w:rsid w:val="001240F8"/>
    <w:rsid w:val="001306F4"/>
    <w:rsid w:val="00132A77"/>
    <w:rsid w:val="00132DE9"/>
    <w:rsid w:val="001334B1"/>
    <w:rsid w:val="001343BB"/>
    <w:rsid w:val="00134FD4"/>
    <w:rsid w:val="0013571C"/>
    <w:rsid w:val="00136BEE"/>
    <w:rsid w:val="00136F23"/>
    <w:rsid w:val="0013704F"/>
    <w:rsid w:val="00140E7F"/>
    <w:rsid w:val="0014141B"/>
    <w:rsid w:val="00141D89"/>
    <w:rsid w:val="0014421D"/>
    <w:rsid w:val="00147FAC"/>
    <w:rsid w:val="001501FA"/>
    <w:rsid w:val="00155EAC"/>
    <w:rsid w:val="00161383"/>
    <w:rsid w:val="00162388"/>
    <w:rsid w:val="00162494"/>
    <w:rsid w:val="00165CCF"/>
    <w:rsid w:val="00166391"/>
    <w:rsid w:val="0016671E"/>
    <w:rsid w:val="0017309D"/>
    <w:rsid w:val="00183F7C"/>
    <w:rsid w:val="00184BAB"/>
    <w:rsid w:val="00186C12"/>
    <w:rsid w:val="00191817"/>
    <w:rsid w:val="00193C09"/>
    <w:rsid w:val="001947BA"/>
    <w:rsid w:val="00194D0F"/>
    <w:rsid w:val="00195487"/>
    <w:rsid w:val="001A7406"/>
    <w:rsid w:val="001B05DC"/>
    <w:rsid w:val="001B19A0"/>
    <w:rsid w:val="001B3A82"/>
    <w:rsid w:val="001B41A3"/>
    <w:rsid w:val="001B4A3B"/>
    <w:rsid w:val="001C16F8"/>
    <w:rsid w:val="001C2983"/>
    <w:rsid w:val="001C2E4A"/>
    <w:rsid w:val="001C3EC5"/>
    <w:rsid w:val="001C5971"/>
    <w:rsid w:val="001D026E"/>
    <w:rsid w:val="001D1012"/>
    <w:rsid w:val="001D1B9B"/>
    <w:rsid w:val="001D24BD"/>
    <w:rsid w:val="001D285B"/>
    <w:rsid w:val="001D2A04"/>
    <w:rsid w:val="001D2E54"/>
    <w:rsid w:val="001D37FA"/>
    <w:rsid w:val="001D3AB5"/>
    <w:rsid w:val="001D43C8"/>
    <w:rsid w:val="001D77B6"/>
    <w:rsid w:val="001E14B1"/>
    <w:rsid w:val="001E16E8"/>
    <w:rsid w:val="001E33BA"/>
    <w:rsid w:val="001E624C"/>
    <w:rsid w:val="001F206F"/>
    <w:rsid w:val="001F2D9C"/>
    <w:rsid w:val="001F6F23"/>
    <w:rsid w:val="002023D5"/>
    <w:rsid w:val="00202C51"/>
    <w:rsid w:val="0020433E"/>
    <w:rsid w:val="00204CBB"/>
    <w:rsid w:val="00206025"/>
    <w:rsid w:val="00206B15"/>
    <w:rsid w:val="00210AB3"/>
    <w:rsid w:val="002154C3"/>
    <w:rsid w:val="002155D5"/>
    <w:rsid w:val="00216AB5"/>
    <w:rsid w:val="0021772F"/>
    <w:rsid w:val="00222A12"/>
    <w:rsid w:val="00222E86"/>
    <w:rsid w:val="002252D2"/>
    <w:rsid w:val="00227241"/>
    <w:rsid w:val="0022767A"/>
    <w:rsid w:val="002352F6"/>
    <w:rsid w:val="00235D2D"/>
    <w:rsid w:val="002361BA"/>
    <w:rsid w:val="00237E07"/>
    <w:rsid w:val="00237E9C"/>
    <w:rsid w:val="0024006A"/>
    <w:rsid w:val="002416E9"/>
    <w:rsid w:val="0025036C"/>
    <w:rsid w:val="00251371"/>
    <w:rsid w:val="002535AB"/>
    <w:rsid w:val="00255CD1"/>
    <w:rsid w:val="00260815"/>
    <w:rsid w:val="002613A0"/>
    <w:rsid w:val="00262081"/>
    <w:rsid w:val="00263D82"/>
    <w:rsid w:val="00264DC6"/>
    <w:rsid w:val="00271E1B"/>
    <w:rsid w:val="00272E1E"/>
    <w:rsid w:val="002761BF"/>
    <w:rsid w:val="00276776"/>
    <w:rsid w:val="002808E2"/>
    <w:rsid w:val="00280AD9"/>
    <w:rsid w:val="00281A65"/>
    <w:rsid w:val="002824F2"/>
    <w:rsid w:val="00284523"/>
    <w:rsid w:val="00284DA3"/>
    <w:rsid w:val="002903FC"/>
    <w:rsid w:val="002915F0"/>
    <w:rsid w:val="0029190C"/>
    <w:rsid w:val="00292939"/>
    <w:rsid w:val="002A45AF"/>
    <w:rsid w:val="002A4DB1"/>
    <w:rsid w:val="002A565B"/>
    <w:rsid w:val="002A5D34"/>
    <w:rsid w:val="002B532E"/>
    <w:rsid w:val="002B7241"/>
    <w:rsid w:val="002B7867"/>
    <w:rsid w:val="002C16F6"/>
    <w:rsid w:val="002C2F96"/>
    <w:rsid w:val="002C34B2"/>
    <w:rsid w:val="002C3EB5"/>
    <w:rsid w:val="002C5778"/>
    <w:rsid w:val="002D043E"/>
    <w:rsid w:val="002D33CA"/>
    <w:rsid w:val="002D3FF9"/>
    <w:rsid w:val="002D6717"/>
    <w:rsid w:val="002D7242"/>
    <w:rsid w:val="002E3620"/>
    <w:rsid w:val="002E70F0"/>
    <w:rsid w:val="002F16B6"/>
    <w:rsid w:val="002F1CC2"/>
    <w:rsid w:val="002F1CFE"/>
    <w:rsid w:val="002F2ED4"/>
    <w:rsid w:val="002F308F"/>
    <w:rsid w:val="002F3E00"/>
    <w:rsid w:val="002F452F"/>
    <w:rsid w:val="002F7656"/>
    <w:rsid w:val="00303342"/>
    <w:rsid w:val="00303CA3"/>
    <w:rsid w:val="00304A75"/>
    <w:rsid w:val="00304EF1"/>
    <w:rsid w:val="0030508C"/>
    <w:rsid w:val="0030553F"/>
    <w:rsid w:val="0031306B"/>
    <w:rsid w:val="003146C2"/>
    <w:rsid w:val="00320DD9"/>
    <w:rsid w:val="00321843"/>
    <w:rsid w:val="00324140"/>
    <w:rsid w:val="003257E0"/>
    <w:rsid w:val="00330E99"/>
    <w:rsid w:val="0033112B"/>
    <w:rsid w:val="003313D6"/>
    <w:rsid w:val="0033199C"/>
    <w:rsid w:val="00335BE9"/>
    <w:rsid w:val="00343873"/>
    <w:rsid w:val="00350A5D"/>
    <w:rsid w:val="00351184"/>
    <w:rsid w:val="00352AED"/>
    <w:rsid w:val="00352EC2"/>
    <w:rsid w:val="00357EE5"/>
    <w:rsid w:val="00362208"/>
    <w:rsid w:val="0036234C"/>
    <w:rsid w:val="0036471F"/>
    <w:rsid w:val="003655E2"/>
    <w:rsid w:val="00365A5E"/>
    <w:rsid w:val="003708E6"/>
    <w:rsid w:val="00372C99"/>
    <w:rsid w:val="00372FDB"/>
    <w:rsid w:val="003740B9"/>
    <w:rsid w:val="00376244"/>
    <w:rsid w:val="003767F5"/>
    <w:rsid w:val="00376D89"/>
    <w:rsid w:val="00377E86"/>
    <w:rsid w:val="00380514"/>
    <w:rsid w:val="00382758"/>
    <w:rsid w:val="00390148"/>
    <w:rsid w:val="00390CBF"/>
    <w:rsid w:val="00393815"/>
    <w:rsid w:val="00393BF4"/>
    <w:rsid w:val="00394DC0"/>
    <w:rsid w:val="00395DB7"/>
    <w:rsid w:val="00395E12"/>
    <w:rsid w:val="00395E29"/>
    <w:rsid w:val="003A32B7"/>
    <w:rsid w:val="003A340D"/>
    <w:rsid w:val="003A6B99"/>
    <w:rsid w:val="003B0182"/>
    <w:rsid w:val="003B19D5"/>
    <w:rsid w:val="003B24F1"/>
    <w:rsid w:val="003B4ABD"/>
    <w:rsid w:val="003B4C4C"/>
    <w:rsid w:val="003B584D"/>
    <w:rsid w:val="003B5D72"/>
    <w:rsid w:val="003B6431"/>
    <w:rsid w:val="003B7AB9"/>
    <w:rsid w:val="003C2873"/>
    <w:rsid w:val="003C30C0"/>
    <w:rsid w:val="003C4934"/>
    <w:rsid w:val="003C5946"/>
    <w:rsid w:val="003C745B"/>
    <w:rsid w:val="003C79CE"/>
    <w:rsid w:val="003D192F"/>
    <w:rsid w:val="003D2243"/>
    <w:rsid w:val="003D2509"/>
    <w:rsid w:val="003D4D87"/>
    <w:rsid w:val="003D5861"/>
    <w:rsid w:val="003D5BDD"/>
    <w:rsid w:val="003E1509"/>
    <w:rsid w:val="003E1FD0"/>
    <w:rsid w:val="003E3D91"/>
    <w:rsid w:val="003E4D50"/>
    <w:rsid w:val="003E50E0"/>
    <w:rsid w:val="003E6B34"/>
    <w:rsid w:val="003E74EB"/>
    <w:rsid w:val="003E7A6E"/>
    <w:rsid w:val="003F2323"/>
    <w:rsid w:val="003F28ED"/>
    <w:rsid w:val="003F38AD"/>
    <w:rsid w:val="003F4046"/>
    <w:rsid w:val="003F41D2"/>
    <w:rsid w:val="003F4AA5"/>
    <w:rsid w:val="003F538F"/>
    <w:rsid w:val="003F5CE5"/>
    <w:rsid w:val="003F7929"/>
    <w:rsid w:val="00400FD5"/>
    <w:rsid w:val="00401A9C"/>
    <w:rsid w:val="004044E7"/>
    <w:rsid w:val="004058D2"/>
    <w:rsid w:val="004115A7"/>
    <w:rsid w:val="00412425"/>
    <w:rsid w:val="00417138"/>
    <w:rsid w:val="004207B7"/>
    <w:rsid w:val="004238C7"/>
    <w:rsid w:val="00423ECE"/>
    <w:rsid w:val="00425554"/>
    <w:rsid w:val="004261D8"/>
    <w:rsid w:val="00426D7F"/>
    <w:rsid w:val="00426F4A"/>
    <w:rsid w:val="004306A1"/>
    <w:rsid w:val="00431C77"/>
    <w:rsid w:val="004360E6"/>
    <w:rsid w:val="004409A9"/>
    <w:rsid w:val="004416D1"/>
    <w:rsid w:val="004436E9"/>
    <w:rsid w:val="0044453A"/>
    <w:rsid w:val="00444866"/>
    <w:rsid w:val="004452A6"/>
    <w:rsid w:val="00446C0F"/>
    <w:rsid w:val="00447C39"/>
    <w:rsid w:val="00452B04"/>
    <w:rsid w:val="00454352"/>
    <w:rsid w:val="00455F74"/>
    <w:rsid w:val="00456867"/>
    <w:rsid w:val="004579F9"/>
    <w:rsid w:val="0046027C"/>
    <w:rsid w:val="00470A6C"/>
    <w:rsid w:val="004769ED"/>
    <w:rsid w:val="00476A23"/>
    <w:rsid w:val="00481C89"/>
    <w:rsid w:val="00482ED1"/>
    <w:rsid w:val="00484348"/>
    <w:rsid w:val="0048598D"/>
    <w:rsid w:val="00485C15"/>
    <w:rsid w:val="00486371"/>
    <w:rsid w:val="00490B4A"/>
    <w:rsid w:val="00492B6B"/>
    <w:rsid w:val="00492C7E"/>
    <w:rsid w:val="00494C91"/>
    <w:rsid w:val="004950D2"/>
    <w:rsid w:val="00495702"/>
    <w:rsid w:val="004A1E6D"/>
    <w:rsid w:val="004A60F0"/>
    <w:rsid w:val="004B05CB"/>
    <w:rsid w:val="004B0667"/>
    <w:rsid w:val="004B2805"/>
    <w:rsid w:val="004B367E"/>
    <w:rsid w:val="004B3869"/>
    <w:rsid w:val="004B4615"/>
    <w:rsid w:val="004B4E04"/>
    <w:rsid w:val="004B562B"/>
    <w:rsid w:val="004B5A16"/>
    <w:rsid w:val="004B5D7F"/>
    <w:rsid w:val="004B78DE"/>
    <w:rsid w:val="004C08E0"/>
    <w:rsid w:val="004C0A95"/>
    <w:rsid w:val="004C3EB3"/>
    <w:rsid w:val="004C4065"/>
    <w:rsid w:val="004C4BEA"/>
    <w:rsid w:val="004C6474"/>
    <w:rsid w:val="004D1BB0"/>
    <w:rsid w:val="004D2E69"/>
    <w:rsid w:val="004D3D2C"/>
    <w:rsid w:val="004E20D6"/>
    <w:rsid w:val="004E272D"/>
    <w:rsid w:val="004E3D5C"/>
    <w:rsid w:val="004E4EDB"/>
    <w:rsid w:val="004E52F3"/>
    <w:rsid w:val="004E6847"/>
    <w:rsid w:val="004E7D96"/>
    <w:rsid w:val="004F0CAC"/>
    <w:rsid w:val="004F450B"/>
    <w:rsid w:val="004F5320"/>
    <w:rsid w:val="004F5CEF"/>
    <w:rsid w:val="004F5DD5"/>
    <w:rsid w:val="004F6737"/>
    <w:rsid w:val="004F71C2"/>
    <w:rsid w:val="005008DD"/>
    <w:rsid w:val="005012BC"/>
    <w:rsid w:val="0050190E"/>
    <w:rsid w:val="00501E01"/>
    <w:rsid w:val="00502D50"/>
    <w:rsid w:val="005033B6"/>
    <w:rsid w:val="00503460"/>
    <w:rsid w:val="00504259"/>
    <w:rsid w:val="0050477B"/>
    <w:rsid w:val="005047B4"/>
    <w:rsid w:val="0050503A"/>
    <w:rsid w:val="005058C4"/>
    <w:rsid w:val="00506858"/>
    <w:rsid w:val="00506CA6"/>
    <w:rsid w:val="005107EE"/>
    <w:rsid w:val="00511873"/>
    <w:rsid w:val="005141F2"/>
    <w:rsid w:val="0051773A"/>
    <w:rsid w:val="00520CAA"/>
    <w:rsid w:val="00520D2D"/>
    <w:rsid w:val="0052111E"/>
    <w:rsid w:val="005221B0"/>
    <w:rsid w:val="005225EE"/>
    <w:rsid w:val="005227DF"/>
    <w:rsid w:val="00522982"/>
    <w:rsid w:val="00523893"/>
    <w:rsid w:val="00524863"/>
    <w:rsid w:val="0052560C"/>
    <w:rsid w:val="005256A0"/>
    <w:rsid w:val="005310F9"/>
    <w:rsid w:val="00532052"/>
    <w:rsid w:val="00543521"/>
    <w:rsid w:val="00543F0C"/>
    <w:rsid w:val="00545B3F"/>
    <w:rsid w:val="00550BE5"/>
    <w:rsid w:val="00550DF1"/>
    <w:rsid w:val="005546F0"/>
    <w:rsid w:val="00556E75"/>
    <w:rsid w:val="005572A4"/>
    <w:rsid w:val="00560A32"/>
    <w:rsid w:val="005632AF"/>
    <w:rsid w:val="0056478E"/>
    <w:rsid w:val="00564E61"/>
    <w:rsid w:val="00573023"/>
    <w:rsid w:val="00577FC6"/>
    <w:rsid w:val="00582A5E"/>
    <w:rsid w:val="00584BA1"/>
    <w:rsid w:val="0058563C"/>
    <w:rsid w:val="00591037"/>
    <w:rsid w:val="00591E3E"/>
    <w:rsid w:val="005920D4"/>
    <w:rsid w:val="00593C16"/>
    <w:rsid w:val="00593CFF"/>
    <w:rsid w:val="005970AF"/>
    <w:rsid w:val="0059755F"/>
    <w:rsid w:val="00597B39"/>
    <w:rsid w:val="005A6A0F"/>
    <w:rsid w:val="005A7046"/>
    <w:rsid w:val="005A78CC"/>
    <w:rsid w:val="005B0955"/>
    <w:rsid w:val="005B1D8E"/>
    <w:rsid w:val="005B30A1"/>
    <w:rsid w:val="005B7410"/>
    <w:rsid w:val="005C01D4"/>
    <w:rsid w:val="005C7715"/>
    <w:rsid w:val="005C7DA3"/>
    <w:rsid w:val="005D1092"/>
    <w:rsid w:val="005D2889"/>
    <w:rsid w:val="005D3FA9"/>
    <w:rsid w:val="005D44E1"/>
    <w:rsid w:val="005D4E9E"/>
    <w:rsid w:val="005D7FA2"/>
    <w:rsid w:val="005E269F"/>
    <w:rsid w:val="005E425C"/>
    <w:rsid w:val="005E57EF"/>
    <w:rsid w:val="005E66C7"/>
    <w:rsid w:val="005F17CC"/>
    <w:rsid w:val="005F5969"/>
    <w:rsid w:val="005F67E9"/>
    <w:rsid w:val="006118B9"/>
    <w:rsid w:val="00611ED3"/>
    <w:rsid w:val="00611F90"/>
    <w:rsid w:val="0061247F"/>
    <w:rsid w:val="00612B0C"/>
    <w:rsid w:val="006131B0"/>
    <w:rsid w:val="006150DC"/>
    <w:rsid w:val="00622365"/>
    <w:rsid w:val="00622EC8"/>
    <w:rsid w:val="00623128"/>
    <w:rsid w:val="00630F23"/>
    <w:rsid w:val="0063396C"/>
    <w:rsid w:val="00634D5C"/>
    <w:rsid w:val="00634E4F"/>
    <w:rsid w:val="00635D1B"/>
    <w:rsid w:val="006365FE"/>
    <w:rsid w:val="00642011"/>
    <w:rsid w:val="00642951"/>
    <w:rsid w:val="00645221"/>
    <w:rsid w:val="00647DB1"/>
    <w:rsid w:val="006512D0"/>
    <w:rsid w:val="00651AE9"/>
    <w:rsid w:val="0065496A"/>
    <w:rsid w:val="00655879"/>
    <w:rsid w:val="006558C1"/>
    <w:rsid w:val="00656169"/>
    <w:rsid w:val="00656FA1"/>
    <w:rsid w:val="00661007"/>
    <w:rsid w:val="006618B1"/>
    <w:rsid w:val="006629EA"/>
    <w:rsid w:val="00664A73"/>
    <w:rsid w:val="00666422"/>
    <w:rsid w:val="00671AB0"/>
    <w:rsid w:val="00672B27"/>
    <w:rsid w:val="00676592"/>
    <w:rsid w:val="00680DA7"/>
    <w:rsid w:val="006820AD"/>
    <w:rsid w:val="0068256C"/>
    <w:rsid w:val="00683361"/>
    <w:rsid w:val="00683395"/>
    <w:rsid w:val="00683418"/>
    <w:rsid w:val="00684191"/>
    <w:rsid w:val="00684A25"/>
    <w:rsid w:val="00687B4D"/>
    <w:rsid w:val="006903F4"/>
    <w:rsid w:val="0069175C"/>
    <w:rsid w:val="00693749"/>
    <w:rsid w:val="006964FD"/>
    <w:rsid w:val="006967B6"/>
    <w:rsid w:val="0069681C"/>
    <w:rsid w:val="0069783E"/>
    <w:rsid w:val="00697D8E"/>
    <w:rsid w:val="006A1515"/>
    <w:rsid w:val="006A29BF"/>
    <w:rsid w:val="006A332B"/>
    <w:rsid w:val="006A3D28"/>
    <w:rsid w:val="006A5E0F"/>
    <w:rsid w:val="006B08F0"/>
    <w:rsid w:val="006B172A"/>
    <w:rsid w:val="006B178C"/>
    <w:rsid w:val="006B181F"/>
    <w:rsid w:val="006B65B8"/>
    <w:rsid w:val="006B7358"/>
    <w:rsid w:val="006B77D6"/>
    <w:rsid w:val="006C0638"/>
    <w:rsid w:val="006C3539"/>
    <w:rsid w:val="006C427D"/>
    <w:rsid w:val="006C4E22"/>
    <w:rsid w:val="006C4E99"/>
    <w:rsid w:val="006C507C"/>
    <w:rsid w:val="006D2D48"/>
    <w:rsid w:val="006D4BDD"/>
    <w:rsid w:val="006D4DF9"/>
    <w:rsid w:val="006D57E4"/>
    <w:rsid w:val="006E0DEA"/>
    <w:rsid w:val="006E1FCF"/>
    <w:rsid w:val="006E1FF3"/>
    <w:rsid w:val="006E3D97"/>
    <w:rsid w:val="006E3E73"/>
    <w:rsid w:val="006E5E79"/>
    <w:rsid w:val="006E7A5C"/>
    <w:rsid w:val="006E7D5E"/>
    <w:rsid w:val="006F0CA3"/>
    <w:rsid w:val="006F2302"/>
    <w:rsid w:val="006F2D18"/>
    <w:rsid w:val="006F3DBA"/>
    <w:rsid w:val="006F41D9"/>
    <w:rsid w:val="006F65B1"/>
    <w:rsid w:val="00701326"/>
    <w:rsid w:val="0070140A"/>
    <w:rsid w:val="00701525"/>
    <w:rsid w:val="007032E8"/>
    <w:rsid w:val="00703674"/>
    <w:rsid w:val="007042EC"/>
    <w:rsid w:val="00710D75"/>
    <w:rsid w:val="007149F0"/>
    <w:rsid w:val="007168D8"/>
    <w:rsid w:val="007175BF"/>
    <w:rsid w:val="00717D5F"/>
    <w:rsid w:val="007219C6"/>
    <w:rsid w:val="007264D8"/>
    <w:rsid w:val="00726BFC"/>
    <w:rsid w:val="00726C16"/>
    <w:rsid w:val="007324C0"/>
    <w:rsid w:val="0073257F"/>
    <w:rsid w:val="0073381C"/>
    <w:rsid w:val="007355F7"/>
    <w:rsid w:val="007378E4"/>
    <w:rsid w:val="007404CB"/>
    <w:rsid w:val="00741D1D"/>
    <w:rsid w:val="00743048"/>
    <w:rsid w:val="00743F0F"/>
    <w:rsid w:val="0074446C"/>
    <w:rsid w:val="007450B7"/>
    <w:rsid w:val="00745CC7"/>
    <w:rsid w:val="0075138B"/>
    <w:rsid w:val="00751571"/>
    <w:rsid w:val="00751C24"/>
    <w:rsid w:val="00751D4B"/>
    <w:rsid w:val="0075252B"/>
    <w:rsid w:val="00752E11"/>
    <w:rsid w:val="0075301D"/>
    <w:rsid w:val="00756FE7"/>
    <w:rsid w:val="007604CA"/>
    <w:rsid w:val="00766288"/>
    <w:rsid w:val="00774D63"/>
    <w:rsid w:val="007804DC"/>
    <w:rsid w:val="00781850"/>
    <w:rsid w:val="007867AD"/>
    <w:rsid w:val="00787BAA"/>
    <w:rsid w:val="00790EC3"/>
    <w:rsid w:val="0079155B"/>
    <w:rsid w:val="00794F22"/>
    <w:rsid w:val="00795E7B"/>
    <w:rsid w:val="007A0E3E"/>
    <w:rsid w:val="007A3D4D"/>
    <w:rsid w:val="007A5061"/>
    <w:rsid w:val="007B1310"/>
    <w:rsid w:val="007B244D"/>
    <w:rsid w:val="007B2FB3"/>
    <w:rsid w:val="007B36AE"/>
    <w:rsid w:val="007C168E"/>
    <w:rsid w:val="007C2392"/>
    <w:rsid w:val="007C2919"/>
    <w:rsid w:val="007C3BCC"/>
    <w:rsid w:val="007C42F9"/>
    <w:rsid w:val="007C4570"/>
    <w:rsid w:val="007C5AC0"/>
    <w:rsid w:val="007D23C3"/>
    <w:rsid w:val="007D4026"/>
    <w:rsid w:val="007D6803"/>
    <w:rsid w:val="007E2EC4"/>
    <w:rsid w:val="007E3402"/>
    <w:rsid w:val="007E56DF"/>
    <w:rsid w:val="007E7325"/>
    <w:rsid w:val="007F1B05"/>
    <w:rsid w:val="007F313D"/>
    <w:rsid w:val="007F39ED"/>
    <w:rsid w:val="00800A93"/>
    <w:rsid w:val="00803F07"/>
    <w:rsid w:val="008052F4"/>
    <w:rsid w:val="00805A08"/>
    <w:rsid w:val="00806047"/>
    <w:rsid w:val="00810FC4"/>
    <w:rsid w:val="00811E84"/>
    <w:rsid w:val="00815AEC"/>
    <w:rsid w:val="00815EF0"/>
    <w:rsid w:val="00816333"/>
    <w:rsid w:val="0082117F"/>
    <w:rsid w:val="0082584E"/>
    <w:rsid w:val="00830231"/>
    <w:rsid w:val="008320A8"/>
    <w:rsid w:val="008326C3"/>
    <w:rsid w:val="00834004"/>
    <w:rsid w:val="0083540B"/>
    <w:rsid w:val="00842377"/>
    <w:rsid w:val="00842482"/>
    <w:rsid w:val="008451AE"/>
    <w:rsid w:val="00845BA4"/>
    <w:rsid w:val="00846F5F"/>
    <w:rsid w:val="008551D8"/>
    <w:rsid w:val="008577E8"/>
    <w:rsid w:val="00862F57"/>
    <w:rsid w:val="008636DD"/>
    <w:rsid w:val="00863803"/>
    <w:rsid w:val="00863FED"/>
    <w:rsid w:val="00867A31"/>
    <w:rsid w:val="008717E9"/>
    <w:rsid w:val="0087581B"/>
    <w:rsid w:val="00876CD9"/>
    <w:rsid w:val="00882AE2"/>
    <w:rsid w:val="00882DBE"/>
    <w:rsid w:val="008834CC"/>
    <w:rsid w:val="008853B9"/>
    <w:rsid w:val="00885974"/>
    <w:rsid w:val="00887750"/>
    <w:rsid w:val="00887937"/>
    <w:rsid w:val="00891E82"/>
    <w:rsid w:val="00892C9F"/>
    <w:rsid w:val="00893671"/>
    <w:rsid w:val="00894328"/>
    <w:rsid w:val="00894F26"/>
    <w:rsid w:val="008A0F07"/>
    <w:rsid w:val="008B1D99"/>
    <w:rsid w:val="008B357E"/>
    <w:rsid w:val="008B395F"/>
    <w:rsid w:val="008B4869"/>
    <w:rsid w:val="008C2B0D"/>
    <w:rsid w:val="008C336F"/>
    <w:rsid w:val="008C36EF"/>
    <w:rsid w:val="008C56D0"/>
    <w:rsid w:val="008C7062"/>
    <w:rsid w:val="008C708C"/>
    <w:rsid w:val="008C7267"/>
    <w:rsid w:val="008D1063"/>
    <w:rsid w:val="008D3DB0"/>
    <w:rsid w:val="008D5364"/>
    <w:rsid w:val="008D78C2"/>
    <w:rsid w:val="008D7EE8"/>
    <w:rsid w:val="008E26CA"/>
    <w:rsid w:val="008E5634"/>
    <w:rsid w:val="008F03CC"/>
    <w:rsid w:val="008F171A"/>
    <w:rsid w:val="008F2505"/>
    <w:rsid w:val="008F3250"/>
    <w:rsid w:val="008F533B"/>
    <w:rsid w:val="008F6A7F"/>
    <w:rsid w:val="008F6BBE"/>
    <w:rsid w:val="0090115A"/>
    <w:rsid w:val="009013DD"/>
    <w:rsid w:val="00902B6A"/>
    <w:rsid w:val="00903F55"/>
    <w:rsid w:val="0090658C"/>
    <w:rsid w:val="00906624"/>
    <w:rsid w:val="009068B6"/>
    <w:rsid w:val="0090773E"/>
    <w:rsid w:val="0091106E"/>
    <w:rsid w:val="00913E8F"/>
    <w:rsid w:val="00913F8E"/>
    <w:rsid w:val="00915477"/>
    <w:rsid w:val="0092428B"/>
    <w:rsid w:val="00925638"/>
    <w:rsid w:val="00930B16"/>
    <w:rsid w:val="00931C7C"/>
    <w:rsid w:val="009326B8"/>
    <w:rsid w:val="00932AF2"/>
    <w:rsid w:val="0093393A"/>
    <w:rsid w:val="00934323"/>
    <w:rsid w:val="0093636C"/>
    <w:rsid w:val="0094147D"/>
    <w:rsid w:val="00941A57"/>
    <w:rsid w:val="00946117"/>
    <w:rsid w:val="00946B27"/>
    <w:rsid w:val="00950162"/>
    <w:rsid w:val="009514A8"/>
    <w:rsid w:val="00952F1F"/>
    <w:rsid w:val="009534D2"/>
    <w:rsid w:val="009542C9"/>
    <w:rsid w:val="00954979"/>
    <w:rsid w:val="00956F80"/>
    <w:rsid w:val="0095714E"/>
    <w:rsid w:val="00960ABB"/>
    <w:rsid w:val="009627B7"/>
    <w:rsid w:val="00962E4D"/>
    <w:rsid w:val="009630ED"/>
    <w:rsid w:val="009641C3"/>
    <w:rsid w:val="0096433C"/>
    <w:rsid w:val="00965A6A"/>
    <w:rsid w:val="0096647B"/>
    <w:rsid w:val="00970108"/>
    <w:rsid w:val="00971A44"/>
    <w:rsid w:val="0097479E"/>
    <w:rsid w:val="009774DA"/>
    <w:rsid w:val="00977751"/>
    <w:rsid w:val="00980C48"/>
    <w:rsid w:val="00981CF7"/>
    <w:rsid w:val="00983B05"/>
    <w:rsid w:val="00984011"/>
    <w:rsid w:val="00985EC3"/>
    <w:rsid w:val="009878DB"/>
    <w:rsid w:val="0099179A"/>
    <w:rsid w:val="00994F02"/>
    <w:rsid w:val="00995452"/>
    <w:rsid w:val="009A39EC"/>
    <w:rsid w:val="009A66EF"/>
    <w:rsid w:val="009B3401"/>
    <w:rsid w:val="009B4306"/>
    <w:rsid w:val="009B62AC"/>
    <w:rsid w:val="009C0322"/>
    <w:rsid w:val="009C1213"/>
    <w:rsid w:val="009C17F8"/>
    <w:rsid w:val="009C289A"/>
    <w:rsid w:val="009C3244"/>
    <w:rsid w:val="009C386C"/>
    <w:rsid w:val="009C4D14"/>
    <w:rsid w:val="009C67A2"/>
    <w:rsid w:val="009C6C5B"/>
    <w:rsid w:val="009C6FB9"/>
    <w:rsid w:val="009D01BE"/>
    <w:rsid w:val="009D0346"/>
    <w:rsid w:val="009D296E"/>
    <w:rsid w:val="009D39E2"/>
    <w:rsid w:val="009D5C7D"/>
    <w:rsid w:val="009D6117"/>
    <w:rsid w:val="009E005E"/>
    <w:rsid w:val="009E1A77"/>
    <w:rsid w:val="009E3F8D"/>
    <w:rsid w:val="009E4333"/>
    <w:rsid w:val="009E456A"/>
    <w:rsid w:val="009E4A27"/>
    <w:rsid w:val="009E4BBD"/>
    <w:rsid w:val="009E6B89"/>
    <w:rsid w:val="009F472A"/>
    <w:rsid w:val="009F5A01"/>
    <w:rsid w:val="009F72B8"/>
    <w:rsid w:val="00A001EA"/>
    <w:rsid w:val="00A01612"/>
    <w:rsid w:val="00A03034"/>
    <w:rsid w:val="00A06A36"/>
    <w:rsid w:val="00A10A86"/>
    <w:rsid w:val="00A11378"/>
    <w:rsid w:val="00A16565"/>
    <w:rsid w:val="00A173FF"/>
    <w:rsid w:val="00A21C84"/>
    <w:rsid w:val="00A221B4"/>
    <w:rsid w:val="00A22A8B"/>
    <w:rsid w:val="00A26294"/>
    <w:rsid w:val="00A3053C"/>
    <w:rsid w:val="00A30DD0"/>
    <w:rsid w:val="00A346A7"/>
    <w:rsid w:val="00A3541C"/>
    <w:rsid w:val="00A35A7B"/>
    <w:rsid w:val="00A37634"/>
    <w:rsid w:val="00A3781F"/>
    <w:rsid w:val="00A379E9"/>
    <w:rsid w:val="00A41B8E"/>
    <w:rsid w:val="00A42107"/>
    <w:rsid w:val="00A421CF"/>
    <w:rsid w:val="00A437FF"/>
    <w:rsid w:val="00A45928"/>
    <w:rsid w:val="00A468FE"/>
    <w:rsid w:val="00A5261F"/>
    <w:rsid w:val="00A647A3"/>
    <w:rsid w:val="00A65539"/>
    <w:rsid w:val="00A66535"/>
    <w:rsid w:val="00A66B66"/>
    <w:rsid w:val="00A66FEC"/>
    <w:rsid w:val="00A67EDC"/>
    <w:rsid w:val="00A7231E"/>
    <w:rsid w:val="00A73780"/>
    <w:rsid w:val="00A75B9A"/>
    <w:rsid w:val="00A80A18"/>
    <w:rsid w:val="00A82124"/>
    <w:rsid w:val="00A83747"/>
    <w:rsid w:val="00A90049"/>
    <w:rsid w:val="00A974CB"/>
    <w:rsid w:val="00A97B51"/>
    <w:rsid w:val="00AA29A4"/>
    <w:rsid w:val="00AA3227"/>
    <w:rsid w:val="00AA6FEB"/>
    <w:rsid w:val="00AA7D27"/>
    <w:rsid w:val="00AA7DE8"/>
    <w:rsid w:val="00AB26ED"/>
    <w:rsid w:val="00AB2D09"/>
    <w:rsid w:val="00AB7126"/>
    <w:rsid w:val="00AB7374"/>
    <w:rsid w:val="00AC3E6E"/>
    <w:rsid w:val="00AC544A"/>
    <w:rsid w:val="00AC66CA"/>
    <w:rsid w:val="00AC7722"/>
    <w:rsid w:val="00AC7B88"/>
    <w:rsid w:val="00AC7F1A"/>
    <w:rsid w:val="00AD1684"/>
    <w:rsid w:val="00AD19A6"/>
    <w:rsid w:val="00AD3E18"/>
    <w:rsid w:val="00AD6222"/>
    <w:rsid w:val="00AD6DE9"/>
    <w:rsid w:val="00AF1387"/>
    <w:rsid w:val="00AF1B63"/>
    <w:rsid w:val="00AF209D"/>
    <w:rsid w:val="00AF2BC2"/>
    <w:rsid w:val="00AF321A"/>
    <w:rsid w:val="00AF47C8"/>
    <w:rsid w:val="00AF6534"/>
    <w:rsid w:val="00B0022D"/>
    <w:rsid w:val="00B0313E"/>
    <w:rsid w:val="00B0485D"/>
    <w:rsid w:val="00B152F7"/>
    <w:rsid w:val="00B21B27"/>
    <w:rsid w:val="00B21E3E"/>
    <w:rsid w:val="00B229CC"/>
    <w:rsid w:val="00B23FE1"/>
    <w:rsid w:val="00B2608A"/>
    <w:rsid w:val="00B30F30"/>
    <w:rsid w:val="00B31E61"/>
    <w:rsid w:val="00B32B3F"/>
    <w:rsid w:val="00B3307B"/>
    <w:rsid w:val="00B34D43"/>
    <w:rsid w:val="00B364CF"/>
    <w:rsid w:val="00B36DF9"/>
    <w:rsid w:val="00B4170D"/>
    <w:rsid w:val="00B44280"/>
    <w:rsid w:val="00B45739"/>
    <w:rsid w:val="00B45DD9"/>
    <w:rsid w:val="00B473D8"/>
    <w:rsid w:val="00B50A1A"/>
    <w:rsid w:val="00B51BB5"/>
    <w:rsid w:val="00B51BE2"/>
    <w:rsid w:val="00B52C12"/>
    <w:rsid w:val="00B54CE6"/>
    <w:rsid w:val="00B555FF"/>
    <w:rsid w:val="00B5585F"/>
    <w:rsid w:val="00B560BB"/>
    <w:rsid w:val="00B60088"/>
    <w:rsid w:val="00B612A6"/>
    <w:rsid w:val="00B616EA"/>
    <w:rsid w:val="00B65F1C"/>
    <w:rsid w:val="00B675BE"/>
    <w:rsid w:val="00B71081"/>
    <w:rsid w:val="00B7166C"/>
    <w:rsid w:val="00B749F5"/>
    <w:rsid w:val="00B779F8"/>
    <w:rsid w:val="00B80E00"/>
    <w:rsid w:val="00B83394"/>
    <w:rsid w:val="00B83C52"/>
    <w:rsid w:val="00B8414C"/>
    <w:rsid w:val="00B90203"/>
    <w:rsid w:val="00B90D74"/>
    <w:rsid w:val="00B9209E"/>
    <w:rsid w:val="00B9396B"/>
    <w:rsid w:val="00B94573"/>
    <w:rsid w:val="00B9534E"/>
    <w:rsid w:val="00B95562"/>
    <w:rsid w:val="00B96707"/>
    <w:rsid w:val="00B9706A"/>
    <w:rsid w:val="00B9762E"/>
    <w:rsid w:val="00BA0142"/>
    <w:rsid w:val="00BA13E0"/>
    <w:rsid w:val="00BA2090"/>
    <w:rsid w:val="00BB1208"/>
    <w:rsid w:val="00BB3883"/>
    <w:rsid w:val="00BB38FC"/>
    <w:rsid w:val="00BB417C"/>
    <w:rsid w:val="00BB647A"/>
    <w:rsid w:val="00BC17FF"/>
    <w:rsid w:val="00BC1B17"/>
    <w:rsid w:val="00BC289A"/>
    <w:rsid w:val="00BD0555"/>
    <w:rsid w:val="00BD0B47"/>
    <w:rsid w:val="00BD0FE9"/>
    <w:rsid w:val="00BD3023"/>
    <w:rsid w:val="00BD4B58"/>
    <w:rsid w:val="00BE006E"/>
    <w:rsid w:val="00BE0F1C"/>
    <w:rsid w:val="00BE16E8"/>
    <w:rsid w:val="00BE244E"/>
    <w:rsid w:val="00BE3C40"/>
    <w:rsid w:val="00BE492C"/>
    <w:rsid w:val="00BF05E3"/>
    <w:rsid w:val="00BF0D08"/>
    <w:rsid w:val="00BF190A"/>
    <w:rsid w:val="00BF408E"/>
    <w:rsid w:val="00BF48A4"/>
    <w:rsid w:val="00BF4F7F"/>
    <w:rsid w:val="00C01210"/>
    <w:rsid w:val="00C01F29"/>
    <w:rsid w:val="00C02EBE"/>
    <w:rsid w:val="00C03265"/>
    <w:rsid w:val="00C055E0"/>
    <w:rsid w:val="00C072D4"/>
    <w:rsid w:val="00C077FC"/>
    <w:rsid w:val="00C10C1F"/>
    <w:rsid w:val="00C1159D"/>
    <w:rsid w:val="00C13D93"/>
    <w:rsid w:val="00C17ECE"/>
    <w:rsid w:val="00C202B0"/>
    <w:rsid w:val="00C340E7"/>
    <w:rsid w:val="00C34678"/>
    <w:rsid w:val="00C35374"/>
    <w:rsid w:val="00C35671"/>
    <w:rsid w:val="00C37B0F"/>
    <w:rsid w:val="00C42C2E"/>
    <w:rsid w:val="00C46FFB"/>
    <w:rsid w:val="00C52486"/>
    <w:rsid w:val="00C52AF1"/>
    <w:rsid w:val="00C56DC6"/>
    <w:rsid w:val="00C57E71"/>
    <w:rsid w:val="00C611F6"/>
    <w:rsid w:val="00C6150C"/>
    <w:rsid w:val="00C63696"/>
    <w:rsid w:val="00C658D0"/>
    <w:rsid w:val="00C6670A"/>
    <w:rsid w:val="00C674B1"/>
    <w:rsid w:val="00C67B22"/>
    <w:rsid w:val="00C738BB"/>
    <w:rsid w:val="00C74AAA"/>
    <w:rsid w:val="00C76ABC"/>
    <w:rsid w:val="00C80896"/>
    <w:rsid w:val="00C83C46"/>
    <w:rsid w:val="00C84E47"/>
    <w:rsid w:val="00C90D0B"/>
    <w:rsid w:val="00C93660"/>
    <w:rsid w:val="00C96143"/>
    <w:rsid w:val="00C9680C"/>
    <w:rsid w:val="00C97755"/>
    <w:rsid w:val="00CA1559"/>
    <w:rsid w:val="00CA323D"/>
    <w:rsid w:val="00CA4109"/>
    <w:rsid w:val="00CA618B"/>
    <w:rsid w:val="00CA7978"/>
    <w:rsid w:val="00CB0E7E"/>
    <w:rsid w:val="00CB1970"/>
    <w:rsid w:val="00CB6307"/>
    <w:rsid w:val="00CC349F"/>
    <w:rsid w:val="00CC3E85"/>
    <w:rsid w:val="00CC4795"/>
    <w:rsid w:val="00CC620C"/>
    <w:rsid w:val="00CC6288"/>
    <w:rsid w:val="00CC71BE"/>
    <w:rsid w:val="00CD205B"/>
    <w:rsid w:val="00CE0359"/>
    <w:rsid w:val="00CE5933"/>
    <w:rsid w:val="00CE6DA2"/>
    <w:rsid w:val="00CE76E4"/>
    <w:rsid w:val="00CE7A61"/>
    <w:rsid w:val="00CF236A"/>
    <w:rsid w:val="00CF238E"/>
    <w:rsid w:val="00CF519E"/>
    <w:rsid w:val="00CF6A49"/>
    <w:rsid w:val="00D01B92"/>
    <w:rsid w:val="00D03526"/>
    <w:rsid w:val="00D03EBF"/>
    <w:rsid w:val="00D03F62"/>
    <w:rsid w:val="00D063E6"/>
    <w:rsid w:val="00D07120"/>
    <w:rsid w:val="00D136CA"/>
    <w:rsid w:val="00D23192"/>
    <w:rsid w:val="00D243A1"/>
    <w:rsid w:val="00D26D6E"/>
    <w:rsid w:val="00D305D5"/>
    <w:rsid w:val="00D30B4A"/>
    <w:rsid w:val="00D31ECD"/>
    <w:rsid w:val="00D32C30"/>
    <w:rsid w:val="00D333ED"/>
    <w:rsid w:val="00D33B7D"/>
    <w:rsid w:val="00D34CA7"/>
    <w:rsid w:val="00D35F18"/>
    <w:rsid w:val="00D409A5"/>
    <w:rsid w:val="00D518C8"/>
    <w:rsid w:val="00D550C2"/>
    <w:rsid w:val="00D553D6"/>
    <w:rsid w:val="00D55494"/>
    <w:rsid w:val="00D5641E"/>
    <w:rsid w:val="00D60BDE"/>
    <w:rsid w:val="00D616D6"/>
    <w:rsid w:val="00D617E7"/>
    <w:rsid w:val="00D62609"/>
    <w:rsid w:val="00D627F1"/>
    <w:rsid w:val="00D6308F"/>
    <w:rsid w:val="00D6516E"/>
    <w:rsid w:val="00D70952"/>
    <w:rsid w:val="00D71170"/>
    <w:rsid w:val="00D7121B"/>
    <w:rsid w:val="00D716B0"/>
    <w:rsid w:val="00D72458"/>
    <w:rsid w:val="00D7260B"/>
    <w:rsid w:val="00D73CBB"/>
    <w:rsid w:val="00D74149"/>
    <w:rsid w:val="00D75C57"/>
    <w:rsid w:val="00D77113"/>
    <w:rsid w:val="00D812AF"/>
    <w:rsid w:val="00D82A81"/>
    <w:rsid w:val="00D83610"/>
    <w:rsid w:val="00D845BB"/>
    <w:rsid w:val="00D86993"/>
    <w:rsid w:val="00D91DBD"/>
    <w:rsid w:val="00D94513"/>
    <w:rsid w:val="00D96AC8"/>
    <w:rsid w:val="00DA634A"/>
    <w:rsid w:val="00DA741C"/>
    <w:rsid w:val="00DB0CFC"/>
    <w:rsid w:val="00DB12F3"/>
    <w:rsid w:val="00DB17F0"/>
    <w:rsid w:val="00DB3E90"/>
    <w:rsid w:val="00DB447A"/>
    <w:rsid w:val="00DB67B0"/>
    <w:rsid w:val="00DB6F64"/>
    <w:rsid w:val="00DC1439"/>
    <w:rsid w:val="00DC3E56"/>
    <w:rsid w:val="00DC4688"/>
    <w:rsid w:val="00DC48F4"/>
    <w:rsid w:val="00DC5771"/>
    <w:rsid w:val="00DC6289"/>
    <w:rsid w:val="00DC6AED"/>
    <w:rsid w:val="00DC6CA5"/>
    <w:rsid w:val="00DD10F9"/>
    <w:rsid w:val="00DD37DF"/>
    <w:rsid w:val="00DD4462"/>
    <w:rsid w:val="00DD6994"/>
    <w:rsid w:val="00DE02F1"/>
    <w:rsid w:val="00DE1382"/>
    <w:rsid w:val="00DE25D6"/>
    <w:rsid w:val="00DE2D6A"/>
    <w:rsid w:val="00DE3955"/>
    <w:rsid w:val="00DE68AC"/>
    <w:rsid w:val="00DF0E69"/>
    <w:rsid w:val="00DF21EB"/>
    <w:rsid w:val="00DF306A"/>
    <w:rsid w:val="00DF3955"/>
    <w:rsid w:val="00DF5F86"/>
    <w:rsid w:val="00E00295"/>
    <w:rsid w:val="00E013C9"/>
    <w:rsid w:val="00E028EB"/>
    <w:rsid w:val="00E02C57"/>
    <w:rsid w:val="00E037EC"/>
    <w:rsid w:val="00E042BF"/>
    <w:rsid w:val="00E101C5"/>
    <w:rsid w:val="00E1563E"/>
    <w:rsid w:val="00E16129"/>
    <w:rsid w:val="00E20B20"/>
    <w:rsid w:val="00E23247"/>
    <w:rsid w:val="00E23B3C"/>
    <w:rsid w:val="00E2421E"/>
    <w:rsid w:val="00E267A5"/>
    <w:rsid w:val="00E328C8"/>
    <w:rsid w:val="00E32BA9"/>
    <w:rsid w:val="00E3564A"/>
    <w:rsid w:val="00E36194"/>
    <w:rsid w:val="00E3656B"/>
    <w:rsid w:val="00E36D54"/>
    <w:rsid w:val="00E37309"/>
    <w:rsid w:val="00E37328"/>
    <w:rsid w:val="00E522BB"/>
    <w:rsid w:val="00E54394"/>
    <w:rsid w:val="00E55691"/>
    <w:rsid w:val="00E5605E"/>
    <w:rsid w:val="00E564FC"/>
    <w:rsid w:val="00E62804"/>
    <w:rsid w:val="00E726A4"/>
    <w:rsid w:val="00E72C10"/>
    <w:rsid w:val="00E7341A"/>
    <w:rsid w:val="00E7646D"/>
    <w:rsid w:val="00E76729"/>
    <w:rsid w:val="00E76E5F"/>
    <w:rsid w:val="00E80C21"/>
    <w:rsid w:val="00E82949"/>
    <w:rsid w:val="00E84984"/>
    <w:rsid w:val="00E84F2B"/>
    <w:rsid w:val="00E852BF"/>
    <w:rsid w:val="00E90AC7"/>
    <w:rsid w:val="00E92781"/>
    <w:rsid w:val="00E94DA5"/>
    <w:rsid w:val="00E95BFC"/>
    <w:rsid w:val="00EA2D74"/>
    <w:rsid w:val="00EA775F"/>
    <w:rsid w:val="00EB387E"/>
    <w:rsid w:val="00EB552D"/>
    <w:rsid w:val="00EB6C44"/>
    <w:rsid w:val="00EB7734"/>
    <w:rsid w:val="00EC2912"/>
    <w:rsid w:val="00EC5298"/>
    <w:rsid w:val="00EC5BB3"/>
    <w:rsid w:val="00EC5DBC"/>
    <w:rsid w:val="00EC5FF9"/>
    <w:rsid w:val="00EC7742"/>
    <w:rsid w:val="00ED011B"/>
    <w:rsid w:val="00ED0419"/>
    <w:rsid w:val="00ED221A"/>
    <w:rsid w:val="00ED2BC9"/>
    <w:rsid w:val="00ED3484"/>
    <w:rsid w:val="00ED4CEB"/>
    <w:rsid w:val="00ED51D5"/>
    <w:rsid w:val="00ED620D"/>
    <w:rsid w:val="00ED6FEF"/>
    <w:rsid w:val="00EE0AE4"/>
    <w:rsid w:val="00EE20A8"/>
    <w:rsid w:val="00EE2ADC"/>
    <w:rsid w:val="00EE733F"/>
    <w:rsid w:val="00EF0FBE"/>
    <w:rsid w:val="00EF3EA2"/>
    <w:rsid w:val="00EF410F"/>
    <w:rsid w:val="00EF475A"/>
    <w:rsid w:val="00EF4F9A"/>
    <w:rsid w:val="00EF6641"/>
    <w:rsid w:val="00EF690A"/>
    <w:rsid w:val="00F029B3"/>
    <w:rsid w:val="00F06632"/>
    <w:rsid w:val="00F10EDC"/>
    <w:rsid w:val="00F12165"/>
    <w:rsid w:val="00F13E0F"/>
    <w:rsid w:val="00F147DE"/>
    <w:rsid w:val="00F229FB"/>
    <w:rsid w:val="00F23F71"/>
    <w:rsid w:val="00F242A8"/>
    <w:rsid w:val="00F2532C"/>
    <w:rsid w:val="00F26189"/>
    <w:rsid w:val="00F26B65"/>
    <w:rsid w:val="00F304C4"/>
    <w:rsid w:val="00F31186"/>
    <w:rsid w:val="00F33320"/>
    <w:rsid w:val="00F34C58"/>
    <w:rsid w:val="00F41617"/>
    <w:rsid w:val="00F418FD"/>
    <w:rsid w:val="00F4343E"/>
    <w:rsid w:val="00F443A1"/>
    <w:rsid w:val="00F44D38"/>
    <w:rsid w:val="00F46077"/>
    <w:rsid w:val="00F5363C"/>
    <w:rsid w:val="00F6220C"/>
    <w:rsid w:val="00F63C25"/>
    <w:rsid w:val="00F64FA3"/>
    <w:rsid w:val="00F65A7A"/>
    <w:rsid w:val="00F666BE"/>
    <w:rsid w:val="00F66F45"/>
    <w:rsid w:val="00F7350F"/>
    <w:rsid w:val="00F76038"/>
    <w:rsid w:val="00F762AF"/>
    <w:rsid w:val="00F769FF"/>
    <w:rsid w:val="00F77D2E"/>
    <w:rsid w:val="00F80AD1"/>
    <w:rsid w:val="00F82C83"/>
    <w:rsid w:val="00F82EDC"/>
    <w:rsid w:val="00F835F9"/>
    <w:rsid w:val="00F84449"/>
    <w:rsid w:val="00F8452C"/>
    <w:rsid w:val="00F86B6E"/>
    <w:rsid w:val="00F931C0"/>
    <w:rsid w:val="00F953CC"/>
    <w:rsid w:val="00F95526"/>
    <w:rsid w:val="00F9651F"/>
    <w:rsid w:val="00FA0563"/>
    <w:rsid w:val="00FA2233"/>
    <w:rsid w:val="00FA22A2"/>
    <w:rsid w:val="00FA29D8"/>
    <w:rsid w:val="00FA32B0"/>
    <w:rsid w:val="00FA4D5D"/>
    <w:rsid w:val="00FB1074"/>
    <w:rsid w:val="00FB41D3"/>
    <w:rsid w:val="00FB6E6A"/>
    <w:rsid w:val="00FB750F"/>
    <w:rsid w:val="00FB7DDD"/>
    <w:rsid w:val="00FC2C54"/>
    <w:rsid w:val="00FC4BB6"/>
    <w:rsid w:val="00FC4DFB"/>
    <w:rsid w:val="00FC7D52"/>
    <w:rsid w:val="00FD0AE4"/>
    <w:rsid w:val="00FD0C55"/>
    <w:rsid w:val="00FD0C87"/>
    <w:rsid w:val="00FD1A89"/>
    <w:rsid w:val="00FD2D2C"/>
    <w:rsid w:val="00FD32F3"/>
    <w:rsid w:val="00FD62CB"/>
    <w:rsid w:val="00FD7ED3"/>
    <w:rsid w:val="00FE013C"/>
    <w:rsid w:val="00FE69C6"/>
    <w:rsid w:val="00FE6FCF"/>
    <w:rsid w:val="00FF109F"/>
    <w:rsid w:val="00FF1A4C"/>
    <w:rsid w:val="00FF1D4C"/>
    <w:rsid w:val="00FF2C71"/>
    <w:rsid w:val="00FF31C9"/>
    <w:rsid w:val="00FF3609"/>
    <w:rsid w:val="00FF38A6"/>
    <w:rsid w:val="086F51C0"/>
    <w:rsid w:val="0A4368F2"/>
    <w:rsid w:val="0A7D30C8"/>
    <w:rsid w:val="0AE7485B"/>
    <w:rsid w:val="0B8A3A86"/>
    <w:rsid w:val="0BE06954"/>
    <w:rsid w:val="0FA83D43"/>
    <w:rsid w:val="14350E5A"/>
    <w:rsid w:val="16585AC8"/>
    <w:rsid w:val="19306E33"/>
    <w:rsid w:val="1B754FB5"/>
    <w:rsid w:val="1BCC65FD"/>
    <w:rsid w:val="20C57B5E"/>
    <w:rsid w:val="2134727F"/>
    <w:rsid w:val="25A6334E"/>
    <w:rsid w:val="29F57932"/>
    <w:rsid w:val="2C6164CD"/>
    <w:rsid w:val="2DF96F7E"/>
    <w:rsid w:val="31735765"/>
    <w:rsid w:val="3340534A"/>
    <w:rsid w:val="34A74C06"/>
    <w:rsid w:val="3501339B"/>
    <w:rsid w:val="36CD3B4C"/>
    <w:rsid w:val="36D27A6F"/>
    <w:rsid w:val="3A393485"/>
    <w:rsid w:val="3D4637A1"/>
    <w:rsid w:val="3DB62489"/>
    <w:rsid w:val="3F7329F7"/>
    <w:rsid w:val="3FD27762"/>
    <w:rsid w:val="40E13EB9"/>
    <w:rsid w:val="41B53AA0"/>
    <w:rsid w:val="421F415E"/>
    <w:rsid w:val="42277D70"/>
    <w:rsid w:val="42F37B33"/>
    <w:rsid w:val="441701BF"/>
    <w:rsid w:val="46844EB7"/>
    <w:rsid w:val="4B2870B0"/>
    <w:rsid w:val="4E5F08F9"/>
    <w:rsid w:val="549B38D1"/>
    <w:rsid w:val="56332AEF"/>
    <w:rsid w:val="56DC70D2"/>
    <w:rsid w:val="59AA62BD"/>
    <w:rsid w:val="5A5F1B1E"/>
    <w:rsid w:val="5D9162E3"/>
    <w:rsid w:val="5DC12120"/>
    <w:rsid w:val="5F4E339A"/>
    <w:rsid w:val="60FA3BF8"/>
    <w:rsid w:val="614B38A4"/>
    <w:rsid w:val="61CA35E5"/>
    <w:rsid w:val="64C271FF"/>
    <w:rsid w:val="64CD1F42"/>
    <w:rsid w:val="66AC1EC2"/>
    <w:rsid w:val="679F08CC"/>
    <w:rsid w:val="6BF57A8B"/>
    <w:rsid w:val="6E433AD8"/>
    <w:rsid w:val="6F6C394E"/>
    <w:rsid w:val="72407DC3"/>
    <w:rsid w:val="742C0CB9"/>
    <w:rsid w:val="74AC118C"/>
    <w:rsid w:val="75A458F3"/>
    <w:rsid w:val="77CF6879"/>
    <w:rsid w:val="79DF0BD6"/>
    <w:rsid w:val="7F77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方正仿宋_GBK" w:cs="Times New Roman"/>
      <w:kern w:val="2"/>
      <w:sz w:val="28"/>
      <w:szCs w:val="24"/>
      <w:lang w:val="en-US" w:eastAsia="zh-CN" w:bidi="ar-SA"/>
    </w:rPr>
  </w:style>
  <w:style w:type="paragraph" w:styleId="2">
    <w:name w:val="heading 1"/>
    <w:basedOn w:val="1"/>
    <w:next w:val="1"/>
    <w:link w:val="90"/>
    <w:qFormat/>
    <w:uiPriority w:val="0"/>
    <w:pPr>
      <w:keepNext/>
      <w:keepLines/>
      <w:spacing w:before="50" w:beforeLines="50" w:after="50" w:afterLines="50"/>
      <w:ind w:firstLine="0" w:firstLineChars="0"/>
      <w:outlineLvl w:val="0"/>
    </w:pPr>
    <w:rPr>
      <w:rFonts w:eastAsia="黑体"/>
      <w:b/>
      <w:bCs/>
      <w:kern w:val="44"/>
      <w:sz w:val="30"/>
      <w:szCs w:val="44"/>
    </w:rPr>
  </w:style>
  <w:style w:type="paragraph" w:styleId="3">
    <w:name w:val="heading 2"/>
    <w:basedOn w:val="1"/>
    <w:next w:val="1"/>
    <w:link w:val="91"/>
    <w:qFormat/>
    <w:uiPriority w:val="0"/>
    <w:pPr>
      <w:keepNext/>
      <w:keepLines/>
      <w:spacing w:before="50" w:beforeLines="50"/>
      <w:ind w:firstLine="0" w:firstLineChars="0"/>
      <w:outlineLvl w:val="1"/>
    </w:pPr>
    <w:rPr>
      <w:b/>
      <w:bCs/>
      <w:szCs w:val="32"/>
    </w:rPr>
  </w:style>
  <w:style w:type="paragraph" w:styleId="4">
    <w:name w:val="heading 3"/>
    <w:basedOn w:val="1"/>
    <w:next w:val="1"/>
    <w:link w:val="101"/>
    <w:qFormat/>
    <w:uiPriority w:val="9"/>
    <w:pPr>
      <w:keepNext/>
      <w:keepLines/>
      <w:ind w:firstLine="0" w:firstLineChars="0"/>
      <w:outlineLvl w:val="2"/>
    </w:pPr>
    <w:rPr>
      <w:b/>
      <w:bCs/>
      <w:szCs w:val="32"/>
    </w:rPr>
  </w:style>
  <w:style w:type="paragraph" w:styleId="5">
    <w:name w:val="heading 4"/>
    <w:basedOn w:val="1"/>
    <w:next w:val="1"/>
    <w:link w:val="65"/>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66"/>
    <w:semiHidden/>
    <w:unhideWhenUsed/>
    <w:qFormat/>
    <w:uiPriority w:val="0"/>
    <w:pPr>
      <w:keepNext/>
      <w:keepLines/>
      <w:spacing w:before="280" w:after="290" w:line="376" w:lineRule="auto"/>
      <w:outlineLvl w:val="4"/>
    </w:pPr>
    <w:rPr>
      <w:b/>
      <w:bCs/>
      <w:szCs w:val="28"/>
    </w:rPr>
  </w:style>
  <w:style w:type="paragraph" w:styleId="7">
    <w:name w:val="heading 6"/>
    <w:basedOn w:val="1"/>
    <w:next w:val="1"/>
    <w:link w:val="6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68"/>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69"/>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70"/>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
    <w:qFormat/>
    <w:uiPriority w:val="0"/>
    <w:pPr>
      <w:autoSpaceDE w:val="0"/>
      <w:autoSpaceDN w:val="0"/>
      <w:adjustRightInd w:val="0"/>
      <w:spacing w:line="590" w:lineRule="atLeast"/>
      <w:jc w:val="left"/>
    </w:pPr>
    <w:rPr>
      <w:snapToGrid w:val="0"/>
      <w:spacing w:val="-25"/>
      <w:kern w:val="0"/>
      <w:sz w:val="32"/>
      <w:szCs w:val="20"/>
    </w:rPr>
  </w:style>
  <w:style w:type="paragraph" w:styleId="12">
    <w:name w:val="caption"/>
    <w:basedOn w:val="1"/>
    <w:next w:val="1"/>
    <w:unhideWhenUsed/>
    <w:qFormat/>
    <w:uiPriority w:val="35"/>
    <w:pPr>
      <w:widowControl/>
      <w:spacing w:line="360" w:lineRule="auto"/>
      <w:ind w:firstLine="0" w:firstLineChars="0"/>
      <w:jc w:val="center"/>
    </w:pPr>
    <w:rPr>
      <w:rFonts w:eastAsia="黑体"/>
      <w:kern w:val="0"/>
      <w:sz w:val="20"/>
    </w:rPr>
  </w:style>
  <w:style w:type="paragraph" w:styleId="13">
    <w:name w:val="Document Map"/>
    <w:basedOn w:val="1"/>
    <w:link w:val="99"/>
    <w:semiHidden/>
    <w:qFormat/>
    <w:uiPriority w:val="0"/>
    <w:pPr>
      <w:shd w:val="clear" w:color="auto" w:fill="000080"/>
    </w:pPr>
  </w:style>
  <w:style w:type="paragraph" w:styleId="14">
    <w:name w:val="annotation text"/>
    <w:basedOn w:val="1"/>
    <w:link w:val="78"/>
    <w:semiHidden/>
    <w:qFormat/>
    <w:uiPriority w:val="0"/>
    <w:pPr>
      <w:jc w:val="left"/>
    </w:pPr>
  </w:style>
  <w:style w:type="paragraph" w:styleId="15">
    <w:name w:val="Body Text 3"/>
    <w:basedOn w:val="1"/>
    <w:link w:val="82"/>
    <w:qFormat/>
    <w:uiPriority w:val="0"/>
    <w:pPr>
      <w:spacing w:line="480" w:lineRule="exact"/>
      <w:ind w:firstLine="0" w:firstLineChars="0"/>
      <w:jc w:val="center"/>
    </w:pPr>
    <w:rPr>
      <w:rFonts w:ascii="Calibri" w:hAnsi="Calibri" w:eastAsia="楷体_GB2312"/>
      <w:b/>
      <w:sz w:val="72"/>
    </w:rPr>
  </w:style>
  <w:style w:type="paragraph" w:styleId="16">
    <w:name w:val="Body Text"/>
    <w:basedOn w:val="1"/>
    <w:link w:val="58"/>
    <w:qFormat/>
    <w:uiPriority w:val="0"/>
    <w:pPr>
      <w:spacing w:after="120"/>
    </w:pPr>
  </w:style>
  <w:style w:type="paragraph" w:styleId="17">
    <w:name w:val="Body Text Indent"/>
    <w:basedOn w:val="1"/>
    <w:link w:val="80"/>
    <w:qFormat/>
    <w:uiPriority w:val="0"/>
    <w:pPr>
      <w:spacing w:after="120"/>
      <w:ind w:left="420" w:leftChars="200"/>
    </w:pPr>
  </w:style>
  <w:style w:type="paragraph" w:styleId="18">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9">
    <w:name w:val="Date"/>
    <w:basedOn w:val="1"/>
    <w:next w:val="1"/>
    <w:link w:val="79"/>
    <w:qFormat/>
    <w:uiPriority w:val="99"/>
    <w:rPr>
      <w:szCs w:val="20"/>
    </w:r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92"/>
    <w:qFormat/>
    <w:uiPriority w:val="0"/>
    <w:rPr>
      <w:sz w:val="18"/>
      <w:szCs w:val="18"/>
    </w:rPr>
  </w:style>
  <w:style w:type="paragraph" w:styleId="22">
    <w:name w:val="footer"/>
    <w:basedOn w:val="1"/>
    <w:link w:val="72"/>
    <w:qFormat/>
    <w:uiPriority w:val="99"/>
    <w:pPr>
      <w:tabs>
        <w:tab w:val="center" w:pos="4153"/>
        <w:tab w:val="right" w:pos="8306"/>
      </w:tabs>
      <w:snapToGrid w:val="0"/>
      <w:jc w:val="left"/>
    </w:pPr>
    <w:rPr>
      <w:sz w:val="18"/>
      <w:szCs w:val="18"/>
    </w:rPr>
  </w:style>
  <w:style w:type="paragraph" w:styleId="23">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296"/>
      </w:tabs>
      <w:ind w:firstLine="560"/>
    </w:pPr>
    <w:rPr>
      <w:rFonts w:eastAsia="宋体"/>
      <w:sz w:val="32"/>
    </w:rPr>
  </w:style>
  <w:style w:type="paragraph" w:styleId="25">
    <w:name w:val="toc 2"/>
    <w:basedOn w:val="1"/>
    <w:next w:val="1"/>
    <w:qFormat/>
    <w:uiPriority w:val="39"/>
    <w:pPr>
      <w:ind w:left="420" w:leftChars="200"/>
    </w:pPr>
    <w:rPr>
      <w:rFonts w:eastAsia="宋体"/>
      <w:sz w:val="30"/>
    </w:rPr>
  </w:style>
  <w:style w:type="paragraph" w:styleId="26">
    <w:name w:val="Normal (Web)"/>
    <w:basedOn w:val="1"/>
    <w:qFormat/>
    <w:uiPriority w:val="0"/>
    <w:pPr>
      <w:widowControl/>
      <w:spacing w:before="100" w:after="100"/>
      <w:jc w:val="left"/>
    </w:pPr>
    <w:rPr>
      <w:rFonts w:ascii="宋体" w:hAnsi="宋体"/>
      <w:kern w:val="0"/>
      <w:sz w:val="24"/>
      <w:szCs w:val="20"/>
    </w:rPr>
  </w:style>
  <w:style w:type="paragraph" w:styleId="27">
    <w:name w:val="annotation subject"/>
    <w:basedOn w:val="14"/>
    <w:next w:val="14"/>
    <w:semiHidden/>
    <w:qFormat/>
    <w:uiPriority w:val="0"/>
    <w:rPr>
      <w:b/>
      <w:bCs/>
    </w:rPr>
  </w:style>
  <w:style w:type="paragraph" w:styleId="28">
    <w:name w:val="Body Text First Indent 2"/>
    <w:basedOn w:val="17"/>
    <w:link w:val="149"/>
    <w:qFormat/>
    <w:uiPriority w:val="0"/>
    <w:pPr>
      <w:ind w:firstLine="42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basedOn w:val="31"/>
    <w:unhideWhenUsed/>
    <w:qFormat/>
    <w:uiPriority w:val="99"/>
    <w:rPr>
      <w:color w:val="954F72"/>
      <w:u w:val="single"/>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paragraph" w:customStyle="1" w:styleId="36">
    <w:name w:val="Char Char Char"/>
    <w:basedOn w:val="1"/>
    <w:qFormat/>
    <w:uiPriority w:val="0"/>
  </w:style>
  <w:style w:type="paragraph" w:customStyle="1" w:styleId="37">
    <w:name w:val="Char1"/>
    <w:basedOn w:val="1"/>
    <w:qFormat/>
    <w:uiPriority w:val="0"/>
    <w:rPr>
      <w:sz w:val="24"/>
    </w:rPr>
  </w:style>
  <w:style w:type="paragraph" w:customStyle="1" w:styleId="3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
    <w:name w:val="Char Char Char1 Char"/>
    <w:basedOn w:val="1"/>
    <w:qFormat/>
    <w:uiPriority w:val="0"/>
  </w:style>
  <w:style w:type="paragraph" w:customStyle="1" w:styleId="4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3">
    <w:name w:val="目录 11"/>
    <w:basedOn w:val="1"/>
    <w:next w:val="1"/>
    <w:qFormat/>
    <w:uiPriority w:val="39"/>
    <w:pPr>
      <w:tabs>
        <w:tab w:val="right" w:leader="dot" w:pos="9061"/>
      </w:tabs>
      <w:ind w:firstLine="0" w:firstLineChars="0"/>
      <w:jc w:val="left"/>
    </w:pPr>
    <w:rPr>
      <w:sz w:val="24"/>
    </w:rPr>
  </w:style>
  <w:style w:type="paragraph" w:customStyle="1" w:styleId="44">
    <w:name w:val="目录 21"/>
    <w:basedOn w:val="1"/>
    <w:next w:val="1"/>
    <w:qFormat/>
    <w:uiPriority w:val="39"/>
    <w:pPr>
      <w:tabs>
        <w:tab w:val="right" w:leader="dot" w:pos="9061"/>
      </w:tabs>
      <w:ind w:left="240" w:firstLine="0" w:firstLineChars="0"/>
      <w:jc w:val="left"/>
    </w:pPr>
  </w:style>
  <w:style w:type="paragraph" w:customStyle="1" w:styleId="45">
    <w:name w:val="Char Char Char11"/>
    <w:basedOn w:val="1"/>
    <w:qFormat/>
    <w:uiPriority w:val="0"/>
  </w:style>
  <w:style w:type="paragraph" w:customStyle="1" w:styleId="46">
    <w:name w:val="Char Char Char Char Char Char Char Char"/>
    <w:basedOn w:val="1"/>
    <w:qFormat/>
    <w:uiPriority w:val="0"/>
  </w:style>
  <w:style w:type="paragraph" w:customStyle="1" w:styleId="47">
    <w:name w:val="Char Char Char1"/>
    <w:basedOn w:val="1"/>
    <w:qFormat/>
    <w:uiPriority w:val="0"/>
  </w:style>
  <w:style w:type="paragraph" w:customStyle="1" w:styleId="48">
    <w:name w:val="表格文本"/>
    <w:basedOn w:val="1"/>
    <w:qFormat/>
    <w:uiPriority w:val="0"/>
    <w:pPr>
      <w:spacing w:line="360" w:lineRule="exact"/>
      <w:jc w:val="center"/>
    </w:pPr>
    <w:rPr>
      <w:rFonts w:ascii="仿宋_GB2312" w:hAnsi="宋体" w:eastAsia="仿宋_GB2312"/>
      <w:szCs w:val="21"/>
    </w:rPr>
  </w:style>
  <w:style w:type="paragraph" w:customStyle="1" w:styleId="49">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50">
    <w:name w:val="段"/>
    <w:link w:val="10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章标题"/>
    <w:next w:val="5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2">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53">
    <w:name w:val="标题3"/>
    <w:basedOn w:val="1"/>
    <w:next w:val="1"/>
    <w:qFormat/>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54">
    <w:name w:val="样式 标题 2 + Times New Roman 四号 加粗 黑色 行距: 固定值 20 磅"/>
    <w:basedOn w:val="3"/>
    <w:link w:val="55"/>
    <w:qFormat/>
    <w:uiPriority w:val="0"/>
    <w:pPr>
      <w:keepNext w:val="0"/>
      <w:keepLines w:val="0"/>
      <w:autoSpaceDE w:val="0"/>
      <w:autoSpaceDN w:val="0"/>
      <w:adjustRightInd w:val="0"/>
      <w:spacing w:before="100" w:beforeAutospacing="1" w:after="100" w:afterAutospacing="1" w:line="400" w:lineRule="exact"/>
      <w:jc w:val="left"/>
    </w:pPr>
    <w:rPr>
      <w:rFonts w:eastAsia="黑体" w:cs="宋体"/>
      <w:b w:val="0"/>
      <w:color w:val="000000"/>
      <w:kern w:val="0"/>
      <w:szCs w:val="20"/>
    </w:rPr>
  </w:style>
  <w:style w:type="character" w:customStyle="1" w:styleId="55">
    <w:name w:val="样式 标题 2 + Times New Roman 四号 加粗 黑色 行距: 固定值 20 磅 Char"/>
    <w:link w:val="54"/>
    <w:qFormat/>
    <w:uiPriority w:val="0"/>
    <w:rPr>
      <w:rFonts w:eastAsia="黑体" w:cs="宋体"/>
      <w:bCs/>
      <w:color w:val="000000"/>
      <w:sz w:val="28"/>
      <w:lang w:val="en-US" w:eastAsia="zh-CN" w:bidi="ar-SA"/>
    </w:rPr>
  </w:style>
  <w:style w:type="paragraph" w:customStyle="1" w:styleId="56">
    <w:name w:val="正文1"/>
    <w:basedOn w:val="1"/>
    <w:link w:val="57"/>
    <w:qFormat/>
    <w:uiPriority w:val="0"/>
    <w:pPr>
      <w:widowControl/>
      <w:spacing w:line="520" w:lineRule="exact"/>
      <w:jc w:val="left"/>
    </w:pPr>
    <w:rPr>
      <w:color w:val="000000"/>
      <w:szCs w:val="28"/>
    </w:rPr>
  </w:style>
  <w:style w:type="character" w:customStyle="1" w:styleId="57">
    <w:name w:val="正文1 字符"/>
    <w:link w:val="56"/>
    <w:qFormat/>
    <w:uiPriority w:val="0"/>
    <w:rPr>
      <w:color w:val="000000"/>
      <w:kern w:val="2"/>
      <w:sz w:val="28"/>
      <w:szCs w:val="28"/>
    </w:rPr>
  </w:style>
  <w:style w:type="character" w:customStyle="1" w:styleId="58">
    <w:name w:val="正文文本 字符"/>
    <w:link w:val="16"/>
    <w:qFormat/>
    <w:uiPriority w:val="0"/>
    <w:rPr>
      <w:kern w:val="2"/>
      <w:sz w:val="21"/>
      <w:szCs w:val="24"/>
    </w:rPr>
  </w:style>
  <w:style w:type="paragraph" w:customStyle="1" w:styleId="59">
    <w:name w:val="表格"/>
    <w:basedOn w:val="1"/>
    <w:qFormat/>
    <w:uiPriority w:val="0"/>
    <w:rPr>
      <w:color w:val="000000"/>
    </w:rPr>
  </w:style>
  <w:style w:type="paragraph" w:customStyle="1" w:styleId="60">
    <w:name w:val="表格1"/>
    <w:basedOn w:val="1"/>
    <w:link w:val="61"/>
    <w:qFormat/>
    <w:uiPriority w:val="0"/>
    <w:pPr>
      <w:jc w:val="left"/>
    </w:pPr>
    <w:rPr>
      <w:rFonts w:cs="仿宋"/>
      <w:bCs/>
      <w:color w:val="000000"/>
      <w:sz w:val="24"/>
    </w:rPr>
  </w:style>
  <w:style w:type="character" w:customStyle="1" w:styleId="61">
    <w:name w:val="表格1 字符"/>
    <w:link w:val="60"/>
    <w:qFormat/>
    <w:uiPriority w:val="0"/>
    <w:rPr>
      <w:rFonts w:cs="仿宋"/>
      <w:bCs/>
      <w:color w:val="000000"/>
      <w:kern w:val="2"/>
      <w:sz w:val="24"/>
      <w:szCs w:val="24"/>
    </w:rPr>
  </w:style>
  <w:style w:type="paragraph" w:styleId="62">
    <w:name w:val="List Paragraph"/>
    <w:basedOn w:val="1"/>
    <w:qFormat/>
    <w:uiPriority w:val="99"/>
    <w:pPr>
      <w:ind w:firstLine="420"/>
    </w:pPr>
  </w:style>
  <w:style w:type="paragraph" w:customStyle="1" w:styleId="63">
    <w:name w:val="TOC 标题1"/>
    <w:basedOn w:val="2"/>
    <w:next w:val="1"/>
    <w:unhideWhenUsed/>
    <w:qFormat/>
    <w:uiPriority w:val="39"/>
    <w:pPr>
      <w:widowControl/>
      <w:spacing w:before="240" w:line="259" w:lineRule="auto"/>
      <w:jc w:val="left"/>
      <w:outlineLvl w:val="9"/>
    </w:pPr>
    <w:rPr>
      <w:rFonts w:ascii="等线 Light" w:hAnsi="等线 Light" w:eastAsia="等线 Light"/>
      <w:b w:val="0"/>
      <w:bCs w:val="0"/>
      <w:color w:val="2F5496"/>
      <w:kern w:val="0"/>
      <w:szCs w:val="32"/>
    </w:rPr>
  </w:style>
  <w:style w:type="paragraph" w:customStyle="1" w:styleId="64">
    <w:name w:val="列表段落1"/>
    <w:basedOn w:val="1"/>
    <w:qFormat/>
    <w:uiPriority w:val="34"/>
    <w:pPr>
      <w:spacing w:line="360" w:lineRule="auto"/>
      <w:ind w:firstLine="420"/>
    </w:pPr>
    <w:rPr>
      <w:sz w:val="24"/>
      <w:szCs w:val="22"/>
    </w:rPr>
  </w:style>
  <w:style w:type="character" w:customStyle="1" w:styleId="65">
    <w:name w:val="标题 4 字符"/>
    <w:basedOn w:val="31"/>
    <w:link w:val="5"/>
    <w:semiHidden/>
    <w:qFormat/>
    <w:uiPriority w:val="0"/>
    <w:rPr>
      <w:rFonts w:asciiTheme="majorHAnsi" w:hAnsiTheme="majorHAnsi" w:eastAsiaTheme="majorEastAsia" w:cstheme="majorBidi"/>
      <w:b/>
      <w:bCs/>
      <w:kern w:val="2"/>
      <w:sz w:val="28"/>
      <w:szCs w:val="28"/>
    </w:rPr>
  </w:style>
  <w:style w:type="character" w:customStyle="1" w:styleId="66">
    <w:name w:val="标题 5 字符"/>
    <w:basedOn w:val="31"/>
    <w:link w:val="6"/>
    <w:semiHidden/>
    <w:qFormat/>
    <w:uiPriority w:val="0"/>
    <w:rPr>
      <w:b/>
      <w:bCs/>
      <w:kern w:val="2"/>
      <w:sz w:val="28"/>
      <w:szCs w:val="28"/>
    </w:rPr>
  </w:style>
  <w:style w:type="character" w:customStyle="1" w:styleId="67">
    <w:name w:val="标题 6 字符"/>
    <w:basedOn w:val="31"/>
    <w:link w:val="7"/>
    <w:semiHidden/>
    <w:qFormat/>
    <w:uiPriority w:val="0"/>
    <w:rPr>
      <w:rFonts w:asciiTheme="majorHAnsi" w:hAnsiTheme="majorHAnsi" w:eastAsiaTheme="majorEastAsia" w:cstheme="majorBidi"/>
      <w:b/>
      <w:bCs/>
      <w:kern w:val="2"/>
      <w:sz w:val="24"/>
      <w:szCs w:val="24"/>
    </w:rPr>
  </w:style>
  <w:style w:type="character" w:customStyle="1" w:styleId="68">
    <w:name w:val="标题 7 字符"/>
    <w:basedOn w:val="31"/>
    <w:link w:val="8"/>
    <w:semiHidden/>
    <w:qFormat/>
    <w:uiPriority w:val="0"/>
    <w:rPr>
      <w:b/>
      <w:bCs/>
      <w:kern w:val="2"/>
      <w:sz w:val="24"/>
      <w:szCs w:val="24"/>
    </w:rPr>
  </w:style>
  <w:style w:type="character" w:customStyle="1" w:styleId="69">
    <w:name w:val="标题 8 字符"/>
    <w:basedOn w:val="31"/>
    <w:link w:val="9"/>
    <w:semiHidden/>
    <w:qFormat/>
    <w:uiPriority w:val="0"/>
    <w:rPr>
      <w:rFonts w:asciiTheme="majorHAnsi" w:hAnsiTheme="majorHAnsi" w:eastAsiaTheme="majorEastAsia" w:cstheme="majorBidi"/>
      <w:kern w:val="2"/>
      <w:sz w:val="24"/>
      <w:szCs w:val="24"/>
    </w:rPr>
  </w:style>
  <w:style w:type="character" w:customStyle="1" w:styleId="70">
    <w:name w:val="标题 9 字符"/>
    <w:basedOn w:val="31"/>
    <w:link w:val="10"/>
    <w:semiHidden/>
    <w:qFormat/>
    <w:uiPriority w:val="0"/>
    <w:rPr>
      <w:rFonts w:asciiTheme="majorHAnsi" w:hAnsiTheme="majorHAnsi" w:eastAsiaTheme="majorEastAsia" w:cstheme="majorBidi"/>
      <w:kern w:val="2"/>
      <w:sz w:val="21"/>
      <w:szCs w:val="21"/>
    </w:rPr>
  </w:style>
  <w:style w:type="paragraph" w:customStyle="1" w:styleId="71">
    <w:name w:val="列出段落2"/>
    <w:basedOn w:val="1"/>
    <w:qFormat/>
    <w:uiPriority w:val="34"/>
    <w:pPr>
      <w:spacing w:line="360" w:lineRule="auto"/>
      <w:ind w:firstLine="420"/>
    </w:pPr>
    <w:rPr>
      <w:sz w:val="24"/>
      <w:szCs w:val="22"/>
    </w:rPr>
  </w:style>
  <w:style w:type="character" w:customStyle="1" w:styleId="72">
    <w:name w:val="页脚 字符"/>
    <w:basedOn w:val="31"/>
    <w:link w:val="22"/>
    <w:qFormat/>
    <w:uiPriority w:val="99"/>
    <w:rPr>
      <w:kern w:val="2"/>
      <w:sz w:val="18"/>
      <w:szCs w:val="18"/>
    </w:rPr>
  </w:style>
  <w:style w:type="paragraph" w:customStyle="1" w:styleId="7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5">
    <w:name w:val="页眉 字符"/>
    <w:basedOn w:val="31"/>
    <w:link w:val="23"/>
    <w:qFormat/>
    <w:uiPriority w:val="0"/>
    <w:rPr>
      <w:kern w:val="2"/>
      <w:sz w:val="18"/>
      <w:szCs w:val="18"/>
    </w:rPr>
  </w:style>
  <w:style w:type="table" w:customStyle="1" w:styleId="76">
    <w:name w:val="网格型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5"/>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批注文字 字符"/>
    <w:basedOn w:val="31"/>
    <w:link w:val="14"/>
    <w:semiHidden/>
    <w:qFormat/>
    <w:uiPriority w:val="0"/>
    <w:rPr>
      <w:kern w:val="2"/>
      <w:sz w:val="21"/>
      <w:szCs w:val="24"/>
    </w:rPr>
  </w:style>
  <w:style w:type="character" w:customStyle="1" w:styleId="79">
    <w:name w:val="日期 字符"/>
    <w:basedOn w:val="31"/>
    <w:link w:val="19"/>
    <w:qFormat/>
    <w:uiPriority w:val="99"/>
    <w:rPr>
      <w:kern w:val="2"/>
      <w:sz w:val="21"/>
    </w:rPr>
  </w:style>
  <w:style w:type="character" w:customStyle="1" w:styleId="80">
    <w:name w:val="正文文本缩进 字符"/>
    <w:basedOn w:val="31"/>
    <w:link w:val="17"/>
    <w:qFormat/>
    <w:uiPriority w:val="0"/>
    <w:rPr>
      <w:kern w:val="2"/>
      <w:sz w:val="21"/>
      <w:szCs w:val="24"/>
    </w:rPr>
  </w:style>
  <w:style w:type="table" w:customStyle="1" w:styleId="81">
    <w:name w:val="网格型1"/>
    <w:basedOn w:val="2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2">
    <w:name w:val="正文文本 3 字符"/>
    <w:basedOn w:val="31"/>
    <w:link w:val="15"/>
    <w:qFormat/>
    <w:uiPriority w:val="0"/>
    <w:rPr>
      <w:rFonts w:ascii="Calibri" w:hAnsi="Calibri" w:eastAsia="楷体_GB2312"/>
      <w:b/>
      <w:kern w:val="2"/>
      <w:sz w:val="72"/>
      <w:szCs w:val="24"/>
    </w:rPr>
  </w:style>
  <w:style w:type="table" w:customStyle="1" w:styleId="83">
    <w:name w:val="网格型2"/>
    <w:basedOn w:val="29"/>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修订2"/>
    <w:hidden/>
    <w:semiHidden/>
    <w:qFormat/>
    <w:uiPriority w:val="99"/>
    <w:rPr>
      <w:rFonts w:ascii="Times New Roman" w:hAnsi="Times New Roman" w:eastAsia="方正仿宋_GBK" w:cs="Times New Roman"/>
      <w:kern w:val="2"/>
      <w:sz w:val="28"/>
      <w:szCs w:val="24"/>
      <w:lang w:val="en-US" w:eastAsia="zh-CN" w:bidi="ar-SA"/>
    </w:rPr>
  </w:style>
  <w:style w:type="paragraph" w:customStyle="1" w:styleId="85">
    <w:name w:val="目录2"/>
    <w:basedOn w:val="1"/>
    <w:next w:val="1"/>
    <w:qFormat/>
    <w:uiPriority w:val="39"/>
    <w:pPr>
      <w:spacing w:before="120" w:after="120" w:line="480" w:lineRule="exact"/>
      <w:ind w:firstLine="0" w:firstLineChars="0"/>
      <w:jc w:val="left"/>
    </w:pPr>
    <w:rPr>
      <w:rFonts w:ascii="Calibri" w:hAnsi="Calibri" w:eastAsia="宋体"/>
      <w:b/>
      <w:bCs/>
      <w:caps/>
      <w:sz w:val="20"/>
    </w:rPr>
  </w:style>
  <w:style w:type="paragraph" w:customStyle="1" w:styleId="86">
    <w:name w:val="修订3"/>
    <w:hidden/>
    <w:semiHidden/>
    <w:qFormat/>
    <w:uiPriority w:val="99"/>
    <w:rPr>
      <w:rFonts w:ascii="Times New Roman" w:hAnsi="Times New Roman" w:eastAsia="方正仿宋_GBK" w:cs="Times New Roman"/>
      <w:kern w:val="2"/>
      <w:sz w:val="28"/>
      <w:szCs w:val="24"/>
      <w:lang w:val="en-US" w:eastAsia="zh-CN" w:bidi="ar-SA"/>
    </w:rPr>
  </w:style>
  <w:style w:type="paragraph" w:customStyle="1" w:styleId="87">
    <w:name w:val="样式 小四 红色 居中 行距: 固定值 18 磅 首行缩进:  0 字符"/>
    <w:basedOn w:val="1"/>
    <w:qFormat/>
    <w:uiPriority w:val="0"/>
    <w:pPr>
      <w:spacing w:line="360" w:lineRule="exact"/>
      <w:ind w:firstLine="0" w:firstLineChars="0"/>
      <w:jc w:val="center"/>
    </w:pPr>
    <w:rPr>
      <w:rFonts w:cs="宋体"/>
      <w:color w:val="FF0000"/>
      <w:sz w:val="24"/>
      <w:szCs w:val="20"/>
    </w:rPr>
  </w:style>
  <w:style w:type="paragraph" w:customStyle="1" w:styleId="88">
    <w:name w:val="标准文件_表格"/>
    <w:basedOn w:val="1"/>
    <w:qFormat/>
    <w:uiPriority w:val="0"/>
    <w:pPr>
      <w:widowControl/>
      <w:autoSpaceDE w:val="0"/>
      <w:autoSpaceDN w:val="0"/>
      <w:spacing w:line="240" w:lineRule="auto"/>
      <w:ind w:firstLine="0" w:firstLineChars="0"/>
      <w:jc w:val="center"/>
    </w:pPr>
    <w:rPr>
      <w:rFonts w:ascii="宋体" w:eastAsia="宋体"/>
      <w:kern w:val="0"/>
      <w:sz w:val="18"/>
      <w:szCs w:val="20"/>
    </w:rPr>
  </w:style>
  <w:style w:type="paragraph" w:customStyle="1" w:styleId="89">
    <w:name w:val="一级条标题"/>
    <w:next w:val="50"/>
    <w:qFormat/>
    <w:uiPriority w:val="0"/>
    <w:pPr>
      <w:outlineLvl w:val="2"/>
    </w:pPr>
    <w:rPr>
      <w:rFonts w:ascii="Times New Roman" w:hAnsi="Times New Roman" w:eastAsia="黑体" w:cs="Times New Roman"/>
      <w:sz w:val="21"/>
      <w:lang w:val="en-US" w:eastAsia="zh-CN" w:bidi="ar-SA"/>
    </w:rPr>
  </w:style>
  <w:style w:type="character" w:customStyle="1" w:styleId="90">
    <w:name w:val="标题 1 字符"/>
    <w:basedOn w:val="31"/>
    <w:link w:val="2"/>
    <w:qFormat/>
    <w:uiPriority w:val="0"/>
    <w:rPr>
      <w:rFonts w:eastAsia="黑体"/>
      <w:b/>
      <w:bCs/>
      <w:kern w:val="44"/>
      <w:sz w:val="30"/>
      <w:szCs w:val="44"/>
    </w:rPr>
  </w:style>
  <w:style w:type="character" w:customStyle="1" w:styleId="91">
    <w:name w:val="标题 2 字符"/>
    <w:basedOn w:val="31"/>
    <w:link w:val="3"/>
    <w:qFormat/>
    <w:uiPriority w:val="0"/>
    <w:rPr>
      <w:rFonts w:eastAsia="方正仿宋_GBK"/>
      <w:b/>
      <w:bCs/>
      <w:kern w:val="2"/>
      <w:sz w:val="28"/>
      <w:szCs w:val="32"/>
    </w:rPr>
  </w:style>
  <w:style w:type="character" w:customStyle="1" w:styleId="92">
    <w:name w:val="批注框文本 字符"/>
    <w:basedOn w:val="31"/>
    <w:link w:val="21"/>
    <w:qFormat/>
    <w:uiPriority w:val="0"/>
    <w:rPr>
      <w:rFonts w:eastAsia="方正仿宋_GBK"/>
      <w:kern w:val="2"/>
      <w:sz w:val="18"/>
      <w:szCs w:val="18"/>
    </w:rPr>
  </w:style>
  <w:style w:type="paragraph" w:customStyle="1" w:styleId="93">
    <w:name w:val="正文文本 (2)"/>
    <w:basedOn w:val="1"/>
    <w:qFormat/>
    <w:uiPriority w:val="0"/>
    <w:pPr>
      <w:shd w:val="clear" w:color="auto" w:fill="FFFFFF"/>
      <w:spacing w:after="140" w:line="312" w:lineRule="exact"/>
      <w:ind w:firstLine="480"/>
      <w:jc w:val="left"/>
    </w:pPr>
    <w:rPr>
      <w:rFonts w:ascii="黑体" w:hAnsi="黑体" w:eastAsia="黑体" w:cs="黑体"/>
      <w:color w:val="000000"/>
      <w:sz w:val="20"/>
      <w:szCs w:val="20"/>
      <w:lang w:val="zh-CN" w:bidi="zh-CN"/>
    </w:rPr>
  </w:style>
  <w:style w:type="paragraph" w:customStyle="1" w:styleId="94">
    <w:name w:val="其他"/>
    <w:basedOn w:val="1"/>
    <w:qFormat/>
    <w:uiPriority w:val="0"/>
    <w:pPr>
      <w:shd w:val="clear" w:color="auto" w:fill="FFFFFF"/>
      <w:spacing w:line="300" w:lineRule="auto"/>
      <w:ind w:firstLine="480"/>
      <w:jc w:val="left"/>
    </w:pPr>
    <w:rPr>
      <w:rFonts w:ascii="宋体" w:hAnsi="宋体" w:eastAsia="宋体" w:cs="宋体"/>
      <w:color w:val="000000"/>
      <w:sz w:val="18"/>
      <w:szCs w:val="18"/>
      <w:lang w:val="zh-CN" w:bidi="zh-CN"/>
    </w:rPr>
  </w:style>
  <w:style w:type="character" w:customStyle="1" w:styleId="95">
    <w:name w:val="font41"/>
    <w:basedOn w:val="31"/>
    <w:qFormat/>
    <w:uiPriority w:val="0"/>
    <w:rPr>
      <w:rFonts w:hint="eastAsia" w:ascii="宋体" w:hAnsi="宋体" w:eastAsia="宋体" w:cs="宋体"/>
      <w:b/>
      <w:bCs/>
      <w:color w:val="000000"/>
      <w:sz w:val="20"/>
      <w:szCs w:val="20"/>
      <w:u w:val="none"/>
      <w:vertAlign w:val="superscript"/>
    </w:rPr>
  </w:style>
  <w:style w:type="character" w:customStyle="1" w:styleId="96">
    <w:name w:val="font01"/>
    <w:basedOn w:val="31"/>
    <w:qFormat/>
    <w:uiPriority w:val="0"/>
    <w:rPr>
      <w:rFonts w:hint="eastAsia" w:ascii="宋体" w:hAnsi="宋体" w:eastAsia="宋体" w:cs="宋体"/>
      <w:color w:val="000000"/>
      <w:sz w:val="20"/>
      <w:szCs w:val="20"/>
      <w:u w:val="none"/>
    </w:rPr>
  </w:style>
  <w:style w:type="character" w:customStyle="1" w:styleId="97">
    <w:name w:val="font51"/>
    <w:basedOn w:val="31"/>
    <w:qFormat/>
    <w:uiPriority w:val="0"/>
    <w:rPr>
      <w:rFonts w:hint="eastAsia" w:ascii="宋体" w:hAnsi="宋体" w:eastAsia="宋体" w:cs="宋体"/>
      <w:color w:val="000000"/>
      <w:sz w:val="20"/>
      <w:szCs w:val="20"/>
      <w:u w:val="none"/>
      <w:vertAlign w:val="superscript"/>
    </w:rPr>
  </w:style>
  <w:style w:type="character" w:customStyle="1" w:styleId="98">
    <w:name w:val="font61"/>
    <w:basedOn w:val="31"/>
    <w:qFormat/>
    <w:uiPriority w:val="0"/>
    <w:rPr>
      <w:rFonts w:hint="eastAsia" w:ascii="宋体" w:hAnsi="宋体" w:eastAsia="宋体" w:cs="宋体"/>
      <w:b/>
      <w:bCs/>
      <w:color w:val="000000"/>
      <w:sz w:val="20"/>
      <w:szCs w:val="20"/>
      <w:u w:val="none"/>
    </w:rPr>
  </w:style>
  <w:style w:type="character" w:customStyle="1" w:styleId="99">
    <w:name w:val="文档结构图 字符"/>
    <w:basedOn w:val="31"/>
    <w:link w:val="13"/>
    <w:semiHidden/>
    <w:qFormat/>
    <w:uiPriority w:val="0"/>
    <w:rPr>
      <w:rFonts w:eastAsia="方正仿宋_GBK"/>
      <w:kern w:val="2"/>
      <w:sz w:val="28"/>
      <w:szCs w:val="24"/>
      <w:shd w:val="clear" w:color="auto" w:fill="000080"/>
    </w:rPr>
  </w:style>
  <w:style w:type="character" w:customStyle="1" w:styleId="100">
    <w:name w:val="段 Char"/>
    <w:link w:val="50"/>
    <w:qFormat/>
    <w:uiPriority w:val="0"/>
    <w:rPr>
      <w:rFonts w:ascii="宋体"/>
      <w:sz w:val="21"/>
    </w:rPr>
  </w:style>
  <w:style w:type="character" w:customStyle="1" w:styleId="101">
    <w:name w:val="标题 3 字符"/>
    <w:basedOn w:val="31"/>
    <w:link w:val="4"/>
    <w:qFormat/>
    <w:uiPriority w:val="9"/>
    <w:rPr>
      <w:rFonts w:eastAsia="方正仿宋_GBK"/>
      <w:b/>
      <w:bCs/>
      <w:kern w:val="2"/>
      <w:sz w:val="28"/>
      <w:szCs w:val="32"/>
    </w:rPr>
  </w:style>
  <w:style w:type="paragraph" w:customStyle="1" w:styleId="102">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03">
    <w:name w:val="font5"/>
    <w:basedOn w:val="1"/>
    <w:qFormat/>
    <w:uiPriority w:val="0"/>
    <w:pPr>
      <w:widowControl/>
      <w:spacing w:before="100" w:beforeAutospacing="1" w:after="100" w:afterAutospacing="1" w:line="240" w:lineRule="auto"/>
      <w:ind w:firstLine="0" w:firstLineChars="0"/>
      <w:jc w:val="left"/>
    </w:pPr>
    <w:rPr>
      <w:rFonts w:eastAsia="宋体"/>
      <w:color w:val="000000"/>
      <w:kern w:val="0"/>
      <w:sz w:val="24"/>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方正仿宋_GBK" w:hAnsi="方正仿宋_GBK" w:cs="方正仿宋_GBK"/>
      <w:color w:val="000000"/>
      <w:kern w:val="0"/>
      <w:sz w:val="24"/>
    </w:rPr>
  </w:style>
  <w:style w:type="paragraph" w:customStyle="1" w:styleId="105">
    <w:name w:val="font7"/>
    <w:basedOn w:val="1"/>
    <w:qFormat/>
    <w:uiPriority w:val="0"/>
    <w:pPr>
      <w:widowControl/>
      <w:spacing w:before="100" w:beforeAutospacing="1" w:after="100" w:afterAutospacing="1" w:line="240" w:lineRule="auto"/>
      <w:ind w:firstLine="0" w:firstLineChars="0"/>
      <w:jc w:val="left"/>
    </w:pPr>
    <w:rPr>
      <w:rFonts w:ascii="方正仿宋_GBK" w:hAnsi="方正仿宋_GBK" w:cs="方正仿宋_GBK"/>
      <w:color w:val="000000"/>
      <w:kern w:val="0"/>
      <w:sz w:val="24"/>
    </w:rPr>
  </w:style>
  <w:style w:type="paragraph" w:customStyle="1" w:styleId="106">
    <w:name w:val="font8"/>
    <w:basedOn w:val="1"/>
    <w:qFormat/>
    <w:uiPriority w:val="0"/>
    <w:pPr>
      <w:widowControl/>
      <w:spacing w:before="100" w:beforeAutospacing="1" w:after="100" w:afterAutospacing="1" w:line="240" w:lineRule="auto"/>
      <w:ind w:firstLine="0" w:firstLineChars="0"/>
      <w:jc w:val="left"/>
    </w:pPr>
    <w:rPr>
      <w:rFonts w:ascii="方正仿宋_GBK" w:hAnsi="方正仿宋_GBK" w:cs="方正仿宋_GBK"/>
      <w:color w:val="FF0000"/>
      <w:kern w:val="0"/>
      <w:sz w:val="24"/>
    </w:rPr>
  </w:style>
  <w:style w:type="paragraph" w:customStyle="1" w:styleId="107">
    <w:name w:val="font9"/>
    <w:basedOn w:val="1"/>
    <w:qFormat/>
    <w:uiPriority w:val="0"/>
    <w:pPr>
      <w:widowControl/>
      <w:spacing w:before="100" w:beforeAutospacing="1" w:after="100" w:afterAutospacing="1" w:line="240" w:lineRule="auto"/>
      <w:ind w:firstLine="0" w:firstLineChars="0"/>
      <w:jc w:val="left"/>
    </w:pPr>
    <w:rPr>
      <w:rFonts w:eastAsia="宋体"/>
      <w:color w:val="000000"/>
      <w:kern w:val="0"/>
      <w:sz w:val="24"/>
    </w:rPr>
  </w:style>
  <w:style w:type="paragraph" w:customStyle="1" w:styleId="108">
    <w:name w:val="font10"/>
    <w:basedOn w:val="1"/>
    <w:qFormat/>
    <w:uiPriority w:val="0"/>
    <w:pPr>
      <w:widowControl/>
      <w:spacing w:before="100" w:beforeAutospacing="1" w:after="100" w:afterAutospacing="1" w:line="240" w:lineRule="auto"/>
      <w:ind w:firstLine="0" w:firstLineChars="0"/>
      <w:jc w:val="left"/>
    </w:pPr>
    <w:rPr>
      <w:rFonts w:ascii="方正仿宋_GBK" w:hAnsi="方正仿宋_GBK" w:cs="方正仿宋_GBK"/>
      <w:kern w:val="0"/>
      <w:sz w:val="24"/>
    </w:rPr>
  </w:style>
  <w:style w:type="paragraph" w:customStyle="1" w:styleId="109">
    <w:name w:val="font11"/>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110">
    <w:name w:val="font12"/>
    <w:basedOn w:val="1"/>
    <w:qFormat/>
    <w:uiPriority w:val="0"/>
    <w:pPr>
      <w:widowControl/>
      <w:spacing w:before="100" w:beforeAutospacing="1" w:after="100" w:afterAutospacing="1" w:line="240" w:lineRule="auto"/>
      <w:ind w:firstLine="0" w:firstLineChars="0"/>
      <w:jc w:val="left"/>
    </w:pPr>
    <w:rPr>
      <w:rFonts w:eastAsia="宋体"/>
      <w:color w:val="000000"/>
      <w:kern w:val="0"/>
      <w:sz w:val="24"/>
    </w:rPr>
  </w:style>
  <w:style w:type="paragraph" w:customStyle="1" w:styleId="111">
    <w:name w:val="font13"/>
    <w:basedOn w:val="1"/>
    <w:qFormat/>
    <w:uiPriority w:val="0"/>
    <w:pPr>
      <w:widowControl/>
      <w:spacing w:before="100" w:beforeAutospacing="1" w:after="100" w:afterAutospacing="1" w:line="240" w:lineRule="auto"/>
      <w:ind w:firstLine="0" w:firstLineChars="0"/>
      <w:jc w:val="left"/>
    </w:pPr>
    <w:rPr>
      <w:rFonts w:ascii="方正仿宋_GBK" w:hAnsi="方正仿宋_GBK" w:cs="方正仿宋_GBK"/>
      <w:color w:val="000000"/>
      <w:kern w:val="0"/>
      <w:sz w:val="24"/>
    </w:rPr>
  </w:style>
  <w:style w:type="paragraph" w:customStyle="1" w:styleId="112">
    <w:name w:val="font14"/>
    <w:basedOn w:val="1"/>
    <w:qFormat/>
    <w:uiPriority w:val="0"/>
    <w:pPr>
      <w:widowControl/>
      <w:spacing w:before="100" w:beforeAutospacing="1" w:after="100" w:afterAutospacing="1" w:line="240" w:lineRule="auto"/>
      <w:ind w:firstLine="0" w:firstLineChars="0"/>
      <w:jc w:val="left"/>
    </w:pPr>
    <w:rPr>
      <w:rFonts w:eastAsia="宋体"/>
      <w:color w:val="000000"/>
      <w:kern w:val="0"/>
      <w:sz w:val="24"/>
    </w:rPr>
  </w:style>
  <w:style w:type="paragraph" w:customStyle="1" w:styleId="113">
    <w:name w:val="font15"/>
    <w:basedOn w:val="1"/>
    <w:qFormat/>
    <w:uiPriority w:val="0"/>
    <w:pPr>
      <w:widowControl/>
      <w:spacing w:before="100" w:beforeAutospacing="1" w:after="100" w:afterAutospacing="1" w:line="240" w:lineRule="auto"/>
      <w:ind w:firstLine="0" w:firstLineChars="0"/>
      <w:jc w:val="left"/>
    </w:pPr>
    <w:rPr>
      <w:rFonts w:ascii="方正仿宋_GBK" w:hAnsi="方正仿宋_GBK" w:cs="方正仿宋_GBK"/>
      <w:color w:val="5B9BD5"/>
      <w:kern w:val="0"/>
      <w:sz w:val="24"/>
    </w:rPr>
  </w:style>
  <w:style w:type="paragraph" w:customStyle="1" w:styleId="114">
    <w:name w:val="font1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15">
    <w:name w:val="font17"/>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5B9BD5"/>
      <w:kern w:val="0"/>
      <w:sz w:val="24"/>
    </w:rPr>
  </w:style>
  <w:style w:type="paragraph" w:customStyle="1" w:styleId="1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color w:val="000000"/>
      <w:kern w:val="0"/>
      <w:sz w:val="24"/>
    </w:rPr>
  </w:style>
  <w:style w:type="paragraph" w:customStyle="1" w:styleId="1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color w:val="FF0000"/>
      <w:kern w:val="0"/>
      <w:sz w:val="24"/>
    </w:rPr>
  </w:style>
  <w:style w:type="paragraph" w:customStyle="1" w:styleId="1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kern w:val="0"/>
      <w:sz w:val="24"/>
    </w:rPr>
  </w:style>
  <w:style w:type="paragraph" w:customStyle="1" w:styleId="1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olor w:val="000000"/>
      <w:kern w:val="0"/>
      <w:sz w:val="24"/>
    </w:rPr>
  </w:style>
  <w:style w:type="paragraph" w:customStyle="1" w:styleId="1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kern w:val="0"/>
      <w:sz w:val="24"/>
    </w:rPr>
  </w:style>
  <w:style w:type="paragraph" w:customStyle="1" w:styleId="1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olor w:val="FF0000"/>
      <w:kern w:val="0"/>
      <w:sz w:val="24"/>
    </w:rPr>
  </w:style>
  <w:style w:type="paragraph" w:customStyle="1" w:styleId="1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kern w:val="0"/>
      <w:sz w:val="24"/>
    </w:rPr>
  </w:style>
  <w:style w:type="paragraph" w:customStyle="1" w:styleId="12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b/>
      <w:bCs/>
      <w:color w:val="000000"/>
      <w:kern w:val="0"/>
      <w:sz w:val="24"/>
    </w:rPr>
  </w:style>
  <w:style w:type="paragraph" w:customStyle="1" w:styleId="1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b/>
      <w:bCs/>
      <w:kern w:val="0"/>
      <w:sz w:val="24"/>
    </w:rPr>
  </w:style>
  <w:style w:type="paragraph" w:customStyle="1" w:styleId="126">
    <w:name w:val="xl75"/>
    <w:basedOn w:val="1"/>
    <w:qFormat/>
    <w:uiPriority w:val="0"/>
    <w:pPr>
      <w:widowControl/>
      <w:spacing w:before="100" w:beforeAutospacing="1" w:after="100" w:afterAutospacing="1" w:line="240" w:lineRule="auto"/>
      <w:ind w:firstLine="0" w:firstLineChars="0"/>
      <w:jc w:val="left"/>
      <w:textAlignment w:val="center"/>
    </w:pPr>
    <w:rPr>
      <w:rFonts w:ascii="方正仿宋_GBK" w:hAnsi="方正仿宋_GBK" w:cs="方正仿宋_GBK"/>
      <w:b/>
      <w:bCs/>
      <w:kern w:val="0"/>
      <w:sz w:val="24"/>
    </w:rPr>
  </w:style>
  <w:style w:type="paragraph" w:customStyle="1" w:styleId="1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b/>
      <w:bCs/>
      <w:color w:val="000000"/>
      <w:kern w:val="0"/>
      <w:sz w:val="24"/>
    </w:rPr>
  </w:style>
  <w:style w:type="paragraph" w:customStyle="1" w:styleId="1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color w:val="000000"/>
      <w:kern w:val="0"/>
      <w:sz w:val="24"/>
    </w:rPr>
  </w:style>
  <w:style w:type="paragraph" w:customStyle="1" w:styleId="1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olor w:val="000000"/>
      <w:kern w:val="0"/>
      <w:sz w:val="24"/>
    </w:rPr>
  </w:style>
  <w:style w:type="paragraph" w:customStyle="1" w:styleId="1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color w:val="FF0000"/>
      <w:kern w:val="0"/>
      <w:sz w:val="24"/>
    </w:rPr>
  </w:style>
  <w:style w:type="paragraph" w:customStyle="1" w:styleId="1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4"/>
    </w:rPr>
  </w:style>
  <w:style w:type="paragraph" w:customStyle="1" w:styleId="133">
    <w:name w:val="xl8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kern w:val="0"/>
      <w:szCs w:val="28"/>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方正仿宋_GBK" w:cs="方正仿宋_GBK"/>
      <w:b/>
      <w:bCs/>
      <w:color w:val="000000"/>
      <w:kern w:val="0"/>
      <w:sz w:val="24"/>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eastAsia="宋体"/>
      <w:color w:val="5B9BD5"/>
      <w:kern w:val="0"/>
      <w:sz w:val="24"/>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方正仿宋_GBK" w:hAnsi="方正仿宋_GBK" w:cs="方正仿宋_GBK"/>
      <w:kern w:val="0"/>
      <w:sz w:val="24"/>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b/>
      <w:bCs/>
      <w:kern w:val="0"/>
      <w:sz w:val="24"/>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color w:val="5B9BD5"/>
      <w:kern w:val="0"/>
      <w:sz w:val="24"/>
    </w:rPr>
  </w:style>
  <w:style w:type="paragraph" w:customStyle="1" w:styleId="140">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textAlignment w:val="center"/>
    </w:pPr>
    <w:rPr>
      <w:rFonts w:eastAsia="宋体"/>
      <w:color w:val="000000"/>
      <w:kern w:val="0"/>
      <w:sz w:val="24"/>
    </w:rPr>
  </w:style>
  <w:style w:type="paragraph" w:customStyle="1" w:styleId="141">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olor w:val="000000"/>
      <w:kern w:val="0"/>
      <w:sz w:val="24"/>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方正仿宋_GBK" w:hAnsi="方正仿宋_GBK" w:cs="方正仿宋_GBK"/>
      <w:color w:val="000000"/>
      <w:kern w:val="0"/>
      <w:sz w:val="24"/>
    </w:rPr>
  </w:style>
  <w:style w:type="paragraph" w:customStyle="1" w:styleId="143">
    <w:name w:val="xl92"/>
    <w:basedOn w:val="1"/>
    <w:qFormat/>
    <w:uiPriority w:val="0"/>
    <w:pPr>
      <w:widowControl/>
      <w:pBdr>
        <w:top w:val="single" w:color="auto" w:sz="4" w:space="0"/>
        <w:left w:val="single" w:color="auto" w:sz="8" w:space="0"/>
      </w:pBdr>
      <w:spacing w:before="100" w:beforeAutospacing="1" w:after="100" w:afterAutospacing="1" w:line="240" w:lineRule="auto"/>
      <w:ind w:firstLine="0" w:firstLineChars="0"/>
      <w:jc w:val="left"/>
      <w:textAlignment w:val="center"/>
    </w:pPr>
    <w:rPr>
      <w:rFonts w:ascii="方正仿宋_GBK" w:hAnsi="方正仿宋_GBK" w:cs="方正仿宋_GBK"/>
      <w:color w:val="000000"/>
      <w:kern w:val="0"/>
      <w:sz w:val="24"/>
    </w:rPr>
  </w:style>
  <w:style w:type="paragraph" w:customStyle="1" w:styleId="144">
    <w:name w:val="xl93"/>
    <w:basedOn w:val="1"/>
    <w:qFormat/>
    <w:uiPriority w:val="0"/>
    <w:pPr>
      <w:widowControl/>
      <w:pBdr>
        <w:top w:val="single" w:color="auto" w:sz="4" w:space="0"/>
      </w:pBdr>
      <w:spacing w:before="100" w:beforeAutospacing="1" w:after="100" w:afterAutospacing="1" w:line="240" w:lineRule="auto"/>
      <w:ind w:firstLine="0" w:firstLineChars="0"/>
      <w:jc w:val="left"/>
      <w:textAlignment w:val="center"/>
    </w:pPr>
    <w:rPr>
      <w:rFonts w:ascii="方正仿宋_GBK" w:hAnsi="方正仿宋_GBK" w:cs="方正仿宋_GBK"/>
      <w:color w:val="000000"/>
      <w:kern w:val="0"/>
      <w:sz w:val="24"/>
    </w:rPr>
  </w:style>
  <w:style w:type="paragraph" w:customStyle="1" w:styleId="145">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b/>
      <w:bCs/>
      <w:kern w:val="0"/>
      <w:sz w:val="24"/>
    </w:rPr>
  </w:style>
  <w:style w:type="paragraph" w:customStyle="1" w:styleId="146">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方正仿宋_GBK" w:hAnsi="方正仿宋_GBK" w:cs="方正仿宋_GBK"/>
      <w:b/>
      <w:bCs/>
      <w:kern w:val="0"/>
      <w:sz w:val="24"/>
    </w:rPr>
  </w:style>
  <w:style w:type="paragraph" w:customStyle="1" w:styleId="14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kern w:val="0"/>
      <w:sz w:val="24"/>
    </w:rPr>
  </w:style>
  <w:style w:type="paragraph" w:customStyle="1" w:styleId="14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eastAsia="宋体"/>
      <w:color w:val="000000"/>
      <w:kern w:val="0"/>
      <w:sz w:val="24"/>
    </w:rPr>
  </w:style>
  <w:style w:type="character" w:customStyle="1" w:styleId="149">
    <w:name w:val="正文文本首行缩进 2 字符"/>
    <w:basedOn w:val="80"/>
    <w:link w:val="28"/>
    <w:qFormat/>
    <w:uiPriority w:val="0"/>
    <w:rPr>
      <w:rFonts w:eastAsia="方正仿宋_GBK"/>
      <w:kern w:val="2"/>
      <w:sz w:val="28"/>
      <w:szCs w:val="24"/>
    </w:rPr>
  </w:style>
  <w:style w:type="paragraph" w:styleId="150">
    <w:name w:val="No Spacing"/>
    <w:qFormat/>
    <w:uiPriority w:val="1"/>
    <w:pPr>
      <w:widowControl w:val="0"/>
      <w:ind w:firstLine="200" w:firstLineChars="200"/>
      <w:jc w:val="both"/>
    </w:pPr>
    <w:rPr>
      <w:rFonts w:ascii="Times New Roman" w:hAnsi="Times New Roman" w:eastAsia="方正仿宋_GBK" w:cs="Times New Roman"/>
      <w:kern w:val="2"/>
      <w:sz w:val="28"/>
      <w:szCs w:val="24"/>
      <w:lang w:val="en-US" w:eastAsia="zh-CN" w:bidi="ar-SA"/>
    </w:rPr>
  </w:style>
  <w:style w:type="paragraph" w:customStyle="1" w:styleId="151">
    <w:name w:val="标准文件_二级条标题"/>
    <w:next w:val="1"/>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2">
    <w:name w:val="标准文件_三级条标题"/>
    <w:basedOn w:val="151"/>
    <w:next w:val="1"/>
    <w:qFormat/>
    <w:uiPriority w:val="0"/>
    <w:pPr>
      <w:widowControl/>
      <w:numPr>
        <w:ilvl w:val="4"/>
      </w:numPr>
      <w:outlineLvl w:val="3"/>
    </w:pPr>
  </w:style>
  <w:style w:type="paragraph" w:customStyle="1" w:styleId="153">
    <w:name w:val="标准文件_四级条标题"/>
    <w:next w:val="1"/>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54">
    <w:name w:val="标准文件_五级条标题"/>
    <w:next w:val="1"/>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55">
    <w:name w:val="标准文件_章标题"/>
    <w:next w:val="1"/>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6">
    <w:name w:val="标准文件_一级条标题"/>
    <w:basedOn w:val="155"/>
    <w:next w:val="1"/>
    <w:qFormat/>
    <w:uiPriority w:val="0"/>
    <w:pPr>
      <w:numPr>
        <w:ilvl w:val="2"/>
      </w:numPr>
      <w:spacing w:before="50" w:beforeLines="50" w:after="50" w:afterLines="50"/>
      <w:outlineLvl w:val="1"/>
    </w:pPr>
  </w:style>
  <w:style w:type="paragraph" w:customStyle="1" w:styleId="157">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标准文件_二级无标题"/>
    <w:basedOn w:val="151"/>
    <w:qFormat/>
    <w:uiPriority w:val="0"/>
    <w:pPr>
      <w:spacing w:before="0" w:beforeLines="0" w:after="0" w:afterLines="0"/>
      <w:outlineLvl w:val="9"/>
    </w:pPr>
    <w:rPr>
      <w:rFonts w:ascii="宋体" w:eastAsia="宋体"/>
    </w:rPr>
  </w:style>
  <w:style w:type="character" w:customStyle="1" w:styleId="159">
    <w:name w:val="未处理的提及1"/>
    <w:basedOn w:val="31"/>
    <w:semiHidden/>
    <w:unhideWhenUsed/>
    <w:qFormat/>
    <w:uiPriority w:val="99"/>
    <w:rPr>
      <w:color w:val="605E5C"/>
      <w:shd w:val="clear" w:color="auto" w:fill="E1DFDD"/>
    </w:rPr>
  </w:style>
  <w:style w:type="character" w:styleId="160">
    <w:name w:val="Placeholder Text"/>
    <w:basedOn w:val="31"/>
    <w:semiHidden/>
    <w:qFormat/>
    <w:uiPriority w:val="99"/>
    <w:rPr>
      <w:color w:val="808080"/>
    </w:rPr>
  </w:style>
  <w:style w:type="paragraph" w:customStyle="1" w:styleId="161">
    <w:name w:val="标准文件_正文表标题"/>
    <w:next w:val="1"/>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table" w:customStyle="1" w:styleId="162">
    <w:name w:val="网格型21"/>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3">
    <w:name w:val="未处理的提及11"/>
    <w:basedOn w:val="31"/>
    <w:semiHidden/>
    <w:unhideWhenUsed/>
    <w:qFormat/>
    <w:uiPriority w:val="99"/>
    <w:rPr>
      <w:color w:val="605E5C"/>
      <w:shd w:val="clear" w:color="auto" w:fill="E1DFDD"/>
    </w:rPr>
  </w:style>
  <w:style w:type="paragraph" w:customStyle="1" w:styleId="164">
    <w:name w:val="标准文件_段"/>
    <w:link w:val="16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165">
    <w:name w:val="网格型22"/>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166">
    <w:name w:val="修订4"/>
    <w:hidden/>
    <w:semiHidden/>
    <w:qFormat/>
    <w:uiPriority w:val="99"/>
    <w:rPr>
      <w:rFonts w:ascii="Times New Roman" w:hAnsi="Times New Roman" w:eastAsia="方正仿宋_GBK" w:cs="Times New Roman"/>
      <w:kern w:val="2"/>
      <w:sz w:val="28"/>
      <w:szCs w:val="24"/>
      <w:lang w:val="en-US" w:eastAsia="zh-CN" w:bidi="ar-SA"/>
    </w:rPr>
  </w:style>
  <w:style w:type="character" w:customStyle="1" w:styleId="167">
    <w:name w:val="标准文件_段 Char"/>
    <w:link w:val="164"/>
    <w:qFormat/>
    <w:uiPriority w:val="0"/>
    <w:rPr>
      <w:rFonts w:ascii="宋体"/>
      <w:sz w:val="21"/>
    </w:rPr>
  </w:style>
  <w:style w:type="paragraph" w:customStyle="1" w:styleId="168">
    <w:name w:val="标准文件_附录图标题"/>
    <w:next w:val="164"/>
    <w:qFormat/>
    <w:uiPriority w:val="0"/>
    <w:pPr>
      <w:numPr>
        <w:ilvl w:val="1"/>
        <w:numId w:val="5"/>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69">
    <w:name w:val="标准文件_附录图标号"/>
    <w:basedOn w:val="164"/>
    <w:next w:val="164"/>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170">
    <w:name w:val="修订5"/>
    <w:hidden/>
    <w:semiHidden/>
    <w:qFormat/>
    <w:uiPriority w:val="99"/>
    <w:rPr>
      <w:rFonts w:ascii="Times New Roman" w:hAnsi="Times New Roman" w:eastAsia="方正仿宋_GBK" w:cs="Times New Roman"/>
      <w:kern w:val="2"/>
      <w:sz w:val="28"/>
      <w:szCs w:val="24"/>
      <w:lang w:val="en-US" w:eastAsia="zh-CN" w:bidi="ar-SA"/>
    </w:rPr>
  </w:style>
  <w:style w:type="paragraph" w:customStyle="1" w:styleId="171">
    <w:name w:val="修订6"/>
    <w:hidden/>
    <w:semiHidden/>
    <w:qFormat/>
    <w:uiPriority w:val="99"/>
    <w:rPr>
      <w:rFonts w:ascii="Times New Roman" w:hAnsi="Times New Roman" w:eastAsia="方正仿宋_GBK" w:cs="Times New Roman"/>
      <w:kern w:val="2"/>
      <w:sz w:val="28"/>
      <w:szCs w:val="24"/>
      <w:lang w:val="en-US" w:eastAsia="zh-CN" w:bidi="ar-SA"/>
    </w:rPr>
  </w:style>
  <w:style w:type="paragraph" w:customStyle="1" w:styleId="172">
    <w:name w:val="修订7"/>
    <w:hidden/>
    <w:semiHidden/>
    <w:qFormat/>
    <w:uiPriority w:val="99"/>
    <w:rPr>
      <w:rFonts w:ascii="Times New Roman" w:hAnsi="Times New Roman" w:eastAsia="方正仿宋_GBK" w:cs="Times New Roman"/>
      <w:kern w:val="2"/>
      <w:sz w:val="28"/>
      <w:szCs w:val="24"/>
      <w:lang w:val="en-US" w:eastAsia="zh-CN" w:bidi="ar-SA"/>
    </w:rPr>
  </w:style>
  <w:style w:type="paragraph" w:customStyle="1" w:styleId="173">
    <w:name w:val="修订8"/>
    <w:hidden/>
    <w:unhideWhenUsed/>
    <w:qFormat/>
    <w:uiPriority w:val="99"/>
    <w:rPr>
      <w:rFonts w:ascii="Times New Roman" w:hAnsi="Times New Roman" w:eastAsia="方正仿宋_GBK" w:cs="Times New Roman"/>
      <w:kern w:val="2"/>
      <w:sz w:val="28"/>
      <w:szCs w:val="24"/>
      <w:lang w:val="en-US" w:eastAsia="zh-CN" w:bidi="ar-SA"/>
    </w:rPr>
  </w:style>
  <w:style w:type="character" w:customStyle="1" w:styleId="174">
    <w:name w:val="font81"/>
    <w:basedOn w:val="31"/>
    <w:qFormat/>
    <w:uiPriority w:val="0"/>
    <w:rPr>
      <w:rFonts w:hint="default" w:ascii="Times New Roman" w:hAnsi="Times New Roman" w:cs="Times New Roman"/>
      <w:b/>
      <w:bCs/>
      <w:color w:val="000000"/>
      <w:sz w:val="21"/>
      <w:szCs w:val="21"/>
      <w:u w:val="none"/>
    </w:rPr>
  </w:style>
  <w:style w:type="character" w:customStyle="1" w:styleId="175">
    <w:name w:val="font91"/>
    <w:basedOn w:val="31"/>
    <w:qFormat/>
    <w:uiPriority w:val="0"/>
    <w:rPr>
      <w:rFonts w:hint="default" w:ascii="Times New Roman" w:hAnsi="Times New Roman" w:cs="Times New Roman"/>
      <w:b/>
      <w:bCs/>
      <w:color w:val="00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tiff"/><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CB2C0-EF96-429B-944F-86EB2CA8FB6E}">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25</Pages>
  <Words>13557</Words>
  <Characters>15301</Characters>
  <Lines>376</Lines>
  <Paragraphs>266</Paragraphs>
  <TotalTime>1</TotalTime>
  <ScaleCrop>false</ScaleCrop>
  <LinksUpToDate>false</LinksUpToDate>
  <CharactersWithSpaces>15485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2025-08-14T02:44:00Z</dcterms:created>
  <dc:creator>Liu Miao</dc:creator>
  <cp:lastModifiedBy>meng</cp:lastModifiedBy>
  <cp:lastPrinted>2023-06-16T13:42:00Z</cp:lastPrinted>
  <dcterms:modified xsi:type="dcterms:W3CDTF">2025-09-01T03:30:41Z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BE182273FE5B4ECFBB51547E14237661_13</vt:lpwstr>
  </property>
  <property fmtid="{D5CDD505-2E9C-101B-9397-08002B2CF9AE}" pid="4" name="KSOTemplateDocerSaveRecord">
    <vt:lpwstr>eyJoZGlkIjoiMTY3ZGRmYWJmZTU1MjczOTc1ODQ0MTQ3MWYzN2Q4NWUiLCJ1c2VySWQiOiIxMjQxOTIwMjE0In0=</vt:lpwstr>
  </property>
</Properties>
</file>