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2D951">
      <w:pPr>
        <w:pStyle w:val="2"/>
        <w:bidi w:val="0"/>
        <w:spacing w:line="360" w:lineRule="auto"/>
        <w:ind w:firstLine="760" w:firstLineChars="200"/>
        <w:rPr>
          <w:rFonts w:hint="eastAsia" w:ascii="黑体" w:hAnsi="黑体" w:eastAsia="黑体" w:cs="黑体"/>
          <w:color w:val="auto"/>
          <w:sz w:val="40"/>
          <w:szCs w:val="40"/>
          <w:lang w:val="en-US" w:eastAsia="zh-CN"/>
          <w14:ligatures w14:val="standardContextual"/>
        </w:rPr>
      </w:pPr>
      <w:r>
        <w:rPr>
          <w:rFonts w:hint="eastAsia" w:ascii="黑体" w:hAnsi="黑体" w:eastAsia="黑体" w:cs="黑体"/>
          <w:color w:val="auto"/>
          <w:sz w:val="40"/>
          <w:szCs w:val="40"/>
          <w:lang w:eastAsia="zh-CN"/>
          <w14:ligatures w14:val="standardContextual"/>
        </w:rPr>
        <w:t>《</w:t>
      </w:r>
      <w:r>
        <w:rPr>
          <w:rFonts w:hint="eastAsia" w:ascii="黑体" w:hAnsi="黑体" w:eastAsia="黑体" w:cs="黑体"/>
          <w:color w:val="auto"/>
          <w:sz w:val="40"/>
          <w:szCs w:val="40"/>
          <w:lang w:val="en-US" w:eastAsia="zh-CN"/>
          <w14:ligatures w14:val="standardContextual"/>
        </w:rPr>
        <w:t xml:space="preserve">食用农产品批发市场食品安全管理操作规范 </w:t>
      </w:r>
    </w:p>
    <w:p w14:paraId="7B33EE2F">
      <w:pPr>
        <w:pStyle w:val="2"/>
        <w:bidi w:val="0"/>
        <w:spacing w:line="360" w:lineRule="auto"/>
        <w:ind w:firstLine="760" w:firstLineChars="200"/>
        <w:rPr>
          <w:rFonts w:hint="eastAsia" w:ascii="黑体" w:hAnsi="黑体" w:eastAsia="黑体" w:cs="黑体"/>
          <w:color w:val="auto"/>
          <w:sz w:val="40"/>
          <w:szCs w:val="40"/>
          <w:lang w:eastAsia="zh-CN"/>
          <w14:ligatures w14:val="standardContextual"/>
        </w:rPr>
      </w:pPr>
      <w:r>
        <w:rPr>
          <w:rFonts w:hint="eastAsia" w:ascii="黑体" w:hAnsi="黑体" w:eastAsia="黑体" w:cs="黑体"/>
          <w:color w:val="auto"/>
          <w:sz w:val="40"/>
          <w:szCs w:val="40"/>
          <w:lang w:val="en-US" w:eastAsia="zh-CN"/>
          <w14:ligatures w14:val="standardContextual"/>
        </w:rPr>
        <w:t>第3部分:农产品入场快速检测</w:t>
      </w:r>
      <w:r>
        <w:rPr>
          <w:rFonts w:hint="eastAsia" w:ascii="黑体" w:hAnsi="黑体" w:eastAsia="黑体" w:cs="黑体"/>
          <w:color w:val="auto"/>
          <w:sz w:val="40"/>
          <w:szCs w:val="40"/>
          <w:lang w:eastAsia="zh-CN"/>
          <w14:ligatures w14:val="standardContextual"/>
        </w:rPr>
        <w:t>》</w:t>
      </w:r>
    </w:p>
    <w:p w14:paraId="17CCB373">
      <w:pPr>
        <w:pStyle w:val="2"/>
        <w:bidi w:val="0"/>
        <w:spacing w:line="360" w:lineRule="auto"/>
        <w:ind w:firstLine="760" w:firstLineChars="200"/>
        <w:rPr>
          <w:rFonts w:hint="eastAsia" w:ascii="黑体" w:hAnsi="黑体" w:eastAsia="黑体" w:cs="黑体"/>
          <w:color w:val="auto"/>
          <w:sz w:val="40"/>
          <w:szCs w:val="40"/>
          <w:lang w:val="en-US" w:eastAsia="zh-CN"/>
          <w14:ligatures w14:val="standardContextual"/>
        </w:rPr>
      </w:pPr>
      <w:r>
        <w:rPr>
          <w:rFonts w:hint="eastAsia" w:ascii="黑体" w:hAnsi="黑体" w:eastAsia="黑体" w:cs="黑体"/>
          <w:color w:val="auto"/>
          <w:sz w:val="40"/>
          <w:szCs w:val="40"/>
          <w:lang w:val="en-US" w:eastAsia="zh-CN"/>
          <w14:ligatures w14:val="standardContextual"/>
        </w:rPr>
        <w:t>编制说明</w:t>
      </w:r>
    </w:p>
    <w:p w14:paraId="1374CE36">
      <w:pPr>
        <w:numPr>
          <w:ilvl w:val="0"/>
          <w:numId w:val="1"/>
        </w:numPr>
        <w:ind w:left="210" w:leftChars="0" w:firstLineChars="0"/>
        <w:jc w:val="left"/>
        <w:rPr>
          <w:rFonts w:hint="eastAsia"/>
          <w:b/>
          <w:bCs/>
          <w:color w:val="auto"/>
          <w:sz w:val="28"/>
          <w:szCs w:val="36"/>
          <w:lang w:val="en-US" w:eastAsia="zh-CN"/>
        </w:rPr>
      </w:pPr>
      <w:r>
        <w:rPr>
          <w:rFonts w:hint="eastAsia"/>
          <w:b/>
          <w:bCs/>
          <w:color w:val="auto"/>
          <w:sz w:val="28"/>
          <w:szCs w:val="36"/>
          <w:lang w:val="en-US" w:eastAsia="zh-CN"/>
        </w:rPr>
        <w:t>工作简况</w:t>
      </w:r>
    </w:p>
    <w:p w14:paraId="7FDDF343">
      <w:pPr>
        <w:numPr>
          <w:ilvl w:val="0"/>
          <w:numId w:val="2"/>
        </w:numPr>
        <w:jc w:val="left"/>
        <w:rPr>
          <w:rFonts w:hint="eastAsia"/>
          <w:b w:val="0"/>
          <w:bCs w:val="0"/>
          <w:color w:val="auto"/>
          <w:sz w:val="28"/>
          <w:szCs w:val="36"/>
          <w:lang w:val="en-US" w:eastAsia="zh-CN"/>
        </w:rPr>
      </w:pPr>
      <w:r>
        <w:rPr>
          <w:rFonts w:hint="eastAsia"/>
          <w:b w:val="0"/>
          <w:bCs w:val="0"/>
          <w:color w:val="auto"/>
          <w:sz w:val="28"/>
          <w:szCs w:val="36"/>
          <w:lang w:val="en-US" w:eastAsia="zh-CN"/>
        </w:rPr>
        <w:t xml:space="preserve"> 任务来源</w:t>
      </w:r>
    </w:p>
    <w:p w14:paraId="1EAA1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b w:val="0"/>
          <w:bCs w:val="0"/>
          <w:color w:val="auto"/>
          <w:sz w:val="28"/>
          <w:szCs w:val="36"/>
          <w:lang w:val="en-US" w:eastAsia="zh-CN"/>
        </w:rPr>
      </w:pPr>
      <w:r>
        <w:rPr>
          <w:rFonts w:hint="eastAsia"/>
          <w:b w:val="0"/>
          <w:bCs w:val="0"/>
          <w:color w:val="auto"/>
          <w:sz w:val="28"/>
          <w:szCs w:val="36"/>
          <w:lang w:val="en-US" w:eastAsia="zh-CN"/>
        </w:rPr>
        <w:t>随着经济的快速增长，人民物质生活水平不断提高，农产品的需求量也不断增加。然而，由于我国的自然环境、社会经济背景和管理体制等因素，食用农产品安全问题一直备受关注，尤其近年来频频发生的安全事件更让消费者深感担忧。由于农产品从生产到销售环节中涉及很多环节，管理体制不规范、监管不到位也是存在的问题。例如，一些不法生厂商为追求更多利润，不遵守生产标准，通过非法添加等手段获取更多利润，危害消费者健康。</w:t>
      </w:r>
    </w:p>
    <w:p w14:paraId="73882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b w:val="0"/>
          <w:bCs w:val="0"/>
          <w:color w:val="auto"/>
          <w:sz w:val="28"/>
          <w:szCs w:val="36"/>
          <w:lang w:val="en-US" w:eastAsia="zh-CN"/>
        </w:rPr>
      </w:pPr>
      <w:r>
        <w:rPr>
          <w:rFonts w:hint="eastAsia"/>
          <w:b w:val="0"/>
          <w:bCs w:val="0"/>
          <w:color w:val="auto"/>
          <w:sz w:val="28"/>
          <w:szCs w:val="36"/>
          <w:lang w:val="en-US" w:eastAsia="zh-CN"/>
        </w:rPr>
        <w:t>食用农产品批发市场作为食用农产品流通的主要渠道，农批市场开办者应当依法依规全面履行食品安全管理责任，对进入市场的食用农产品加强入场查验，坚守好市场食品安全的第一道关口。批发市场需要对入场农产品制定详细的入场查验标准，通过快速检测方式，对入场农产品进行快速、高效的检测，以便作出入场的初步判断。</w:t>
      </w:r>
    </w:p>
    <w:p w14:paraId="465C94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b w:val="0"/>
          <w:bCs w:val="0"/>
          <w:color w:val="auto"/>
          <w:sz w:val="28"/>
          <w:szCs w:val="36"/>
          <w:lang w:val="en-US" w:eastAsia="zh-CN"/>
        </w:rPr>
      </w:pPr>
      <w:r>
        <w:rPr>
          <w:rFonts w:hint="eastAsia"/>
          <w:b w:val="0"/>
          <w:bCs w:val="0"/>
          <w:color w:val="auto"/>
          <w:sz w:val="28"/>
          <w:szCs w:val="36"/>
          <w:lang w:val="en-US" w:eastAsia="zh-CN"/>
        </w:rPr>
        <w:t>为加强食品入场快速检测查验的管理，进一步落实市场开办者主体责任落实，应加快推进入场农产品快速检测的操作规范标准的制定。制定入场农产品查验及入场快速检测管理制度，将有效促进食用农产品批发市场食品安全管理的进步，提高市场内农产品质量，保障消费者“舌尖上安全”。</w:t>
      </w:r>
    </w:p>
    <w:p w14:paraId="3FE68E39">
      <w:pPr>
        <w:numPr>
          <w:ilvl w:val="0"/>
          <w:numId w:val="0"/>
        </w:numPr>
        <w:ind w:firstLine="560" w:firstLineChars="200"/>
        <w:jc w:val="both"/>
        <w:rPr>
          <w:rFonts w:hint="default"/>
          <w:b w:val="0"/>
          <w:bCs w:val="0"/>
          <w:color w:val="auto"/>
          <w:sz w:val="28"/>
          <w:szCs w:val="36"/>
          <w:lang w:val="en-US" w:eastAsia="zh-CN"/>
        </w:rPr>
      </w:pPr>
      <w:r>
        <w:rPr>
          <w:rFonts w:hint="eastAsia" w:ascii="Times New Roman" w:hAnsi="Times New Roman" w:cs="Times New Roman"/>
          <w:b w:val="0"/>
          <w:bCs w:val="0"/>
          <w:color w:val="auto"/>
          <w:sz w:val="28"/>
          <w:szCs w:val="28"/>
          <w:lang w:val="en-US" w:eastAsia="zh-CN"/>
        </w:rPr>
        <w:t>根据我国农用农产品市场需求，由全国城市农贸中心联合会牵头，无锡天鹏集团有限公司作为起草单位，浙江嘉昕农产品股份有限公司、中山市深中标准质量研究中心、中国供销农产品集团有限公司、西安丝路粮食贸易中心有限责任公司</w:t>
      </w:r>
      <w:bookmarkStart w:id="0" w:name="_GoBack"/>
      <w:bookmarkEnd w:id="0"/>
      <w:r>
        <w:rPr>
          <w:rFonts w:hint="eastAsia" w:ascii="Times New Roman" w:hAnsi="Times New Roman" w:cs="Times New Roman"/>
          <w:b w:val="0"/>
          <w:bCs w:val="0"/>
          <w:color w:val="auto"/>
          <w:sz w:val="28"/>
          <w:szCs w:val="28"/>
          <w:lang w:val="en-US" w:eastAsia="zh-CN"/>
        </w:rPr>
        <w:t>作为参与单位，</w:t>
      </w:r>
      <w:r>
        <w:rPr>
          <w:rFonts w:ascii="Times New Roman" w:hAnsi="Times New Roman" w:eastAsia="宋体" w:cs="Times New Roman"/>
          <w:color w:val="auto"/>
          <w:sz w:val="28"/>
          <w:szCs w:val="28"/>
        </w:rPr>
        <w:t>按照团体标准</w:t>
      </w:r>
      <w:r>
        <w:rPr>
          <w:rFonts w:hint="eastAsia" w:ascii="Times New Roman" w:hAnsi="Times New Roman" w:eastAsia="宋体" w:cs="Times New Roman"/>
          <w:color w:val="auto"/>
          <w:sz w:val="28"/>
          <w:szCs w:val="28"/>
        </w:rPr>
        <w:t>管理办法的规定</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成立了</w:t>
      </w:r>
      <w:r>
        <w:rPr>
          <w:rFonts w:hint="eastAsia"/>
          <w:b w:val="0"/>
          <w:bCs w:val="0"/>
          <w:color w:val="auto"/>
          <w:sz w:val="28"/>
          <w:szCs w:val="36"/>
          <w:lang w:val="en-US" w:eastAsia="zh-CN"/>
        </w:rPr>
        <w:t>《食用农产品批发市场食品安全管理操作规范 第3部分:农产品入场快速检测》</w:t>
      </w:r>
      <w:r>
        <w:rPr>
          <w:rFonts w:hint="eastAsia" w:ascii="Times New Roman" w:hAnsi="Times New Roman" w:eastAsia="宋体" w:cs="Times New Roman"/>
          <w:color w:val="auto"/>
          <w:sz w:val="28"/>
          <w:szCs w:val="28"/>
        </w:rPr>
        <w:t>团体标准编制工作组</w:t>
      </w:r>
      <w:r>
        <w:rPr>
          <w:rFonts w:ascii="Times New Roman" w:hAnsi="Times New Roman" w:eastAsia="宋体" w:cs="Times New Roman"/>
          <w:color w:val="auto"/>
          <w:sz w:val="28"/>
          <w:szCs w:val="28"/>
        </w:rPr>
        <w:t>（以下简称</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工作组</w:t>
      </w:r>
      <w:r>
        <w:rPr>
          <w:rFonts w:hint="eastAsia" w:ascii="Times New Roman" w:hAnsi="Times New Roman" w:eastAsia="宋体" w:cs="Times New Roman"/>
          <w:color w:val="auto"/>
          <w:sz w:val="28"/>
          <w:szCs w:val="28"/>
          <w:lang w:eastAsia="zh-CN"/>
        </w:rPr>
        <w:t>”</w:t>
      </w:r>
      <w:r>
        <w:rPr>
          <w:rFonts w:ascii="Times New Roman" w:hAnsi="Times New Roman" w:eastAsia="宋体" w:cs="Times New Roman"/>
          <w:color w:val="auto"/>
          <w:sz w:val="28"/>
          <w:szCs w:val="28"/>
        </w:rPr>
        <w:t>）</w:t>
      </w:r>
      <w:r>
        <w:rPr>
          <w:rFonts w:hint="eastAsia" w:ascii="Times New Roman" w:hAnsi="Times New Roman" w:cs="Times New Roman"/>
          <w:b w:val="0"/>
          <w:bCs w:val="0"/>
          <w:color w:val="auto"/>
          <w:sz w:val="28"/>
          <w:szCs w:val="28"/>
          <w:lang w:val="en-US" w:eastAsia="zh-CN"/>
        </w:rPr>
        <w:t>。</w:t>
      </w:r>
    </w:p>
    <w:p w14:paraId="5C4B7611">
      <w:pPr>
        <w:numPr>
          <w:ilvl w:val="0"/>
          <w:numId w:val="2"/>
        </w:numPr>
        <w:jc w:val="left"/>
        <w:rPr>
          <w:rFonts w:hint="default"/>
          <w:b w:val="0"/>
          <w:bCs w:val="0"/>
          <w:color w:val="auto"/>
          <w:sz w:val="28"/>
          <w:szCs w:val="36"/>
          <w:lang w:val="en-US" w:eastAsia="zh-CN"/>
        </w:rPr>
      </w:pPr>
      <w:r>
        <w:rPr>
          <w:rFonts w:hint="eastAsia"/>
          <w:b w:val="0"/>
          <w:bCs w:val="0"/>
          <w:color w:val="auto"/>
          <w:sz w:val="28"/>
          <w:szCs w:val="36"/>
          <w:lang w:val="en-US" w:eastAsia="zh-CN"/>
        </w:rPr>
        <w:t>编制过程</w:t>
      </w:r>
    </w:p>
    <w:p w14:paraId="2102F77E">
      <w:pPr>
        <w:numPr>
          <w:ilvl w:val="0"/>
          <w:numId w:val="0"/>
        </w:numPr>
        <w:jc w:val="left"/>
        <w:rPr>
          <w:rFonts w:hint="eastAsia"/>
          <w:b w:val="0"/>
          <w:bCs w:val="0"/>
          <w:color w:val="auto"/>
          <w:sz w:val="28"/>
          <w:szCs w:val="36"/>
          <w:lang w:val="en-US" w:eastAsia="zh-CN"/>
        </w:rPr>
      </w:pPr>
      <w:r>
        <w:rPr>
          <w:rFonts w:hint="eastAsia"/>
          <w:b w:val="0"/>
          <w:bCs w:val="0"/>
          <w:color w:val="auto"/>
          <w:sz w:val="28"/>
          <w:szCs w:val="36"/>
          <w:lang w:val="en-US" w:eastAsia="zh-CN"/>
        </w:rPr>
        <w:t>2.1预研阶段</w:t>
      </w:r>
    </w:p>
    <w:p w14:paraId="37F0B0B4">
      <w:pPr>
        <w:numPr>
          <w:ilvl w:val="1"/>
          <w:numId w:val="3"/>
        </w:numPr>
        <w:jc w:val="both"/>
        <w:rPr>
          <w:rFonts w:ascii="Times New Roman" w:hAnsi="Times New Roman" w:eastAsia="宋体" w:cs="Times New Roman"/>
          <w:color w:val="auto"/>
          <w:sz w:val="28"/>
          <w:szCs w:val="28"/>
        </w:rPr>
      </w:pPr>
      <w:r>
        <w:rPr>
          <w:rFonts w:hint="default" w:ascii="Times New Roman" w:hAnsi="Times New Roman" w:eastAsia="宋体" w:cs="Times New Roman"/>
          <w:b w:val="0"/>
          <w:bCs w:val="0"/>
          <w:color w:val="auto"/>
          <w:sz w:val="28"/>
          <w:szCs w:val="28"/>
          <w:lang w:val="en-US" w:eastAsia="zh-CN"/>
        </w:rPr>
        <w:t>预研阶段</w:t>
      </w:r>
    </w:p>
    <w:p w14:paraId="07A859A8">
      <w:pPr>
        <w:numPr>
          <w:ilvl w:val="0"/>
          <w:numId w:val="0"/>
        </w:numPr>
        <w:ind w:leftChars="0" w:firstLine="560" w:firstLineChars="200"/>
        <w:jc w:val="both"/>
        <w:rPr>
          <w:rFonts w:ascii="Times New Roman" w:hAnsi="Times New Roman" w:eastAsia="宋体" w:cs="Times New Roman"/>
          <w:color w:val="auto"/>
          <w:sz w:val="28"/>
          <w:szCs w:val="28"/>
        </w:rPr>
      </w:pPr>
      <w:r>
        <w:rPr>
          <w:rFonts w:hint="eastAsia" w:ascii="Times New Roman" w:hAnsi="Times New Roman" w:eastAsia="宋体" w:cs="Times New Roman"/>
          <w:b w:val="0"/>
          <w:bCs w:val="0"/>
          <w:color w:val="auto"/>
          <w:sz w:val="28"/>
          <w:szCs w:val="28"/>
          <w:lang w:val="en-US" w:eastAsia="zh-CN"/>
        </w:rPr>
        <w:t>2024年7月至2024年9月</w:t>
      </w:r>
      <w:r>
        <w:rPr>
          <w:rFonts w:hint="eastAsia" w:ascii="Times New Roman" w:hAnsi="Times New Roman" w:eastAsia="宋体" w:cs="Times New Roman"/>
          <w:color w:val="auto"/>
          <w:sz w:val="28"/>
          <w:szCs w:val="28"/>
          <w:lang w:val="en-US" w:eastAsia="zh-CN"/>
        </w:rPr>
        <w:t>，工作</w:t>
      </w:r>
      <w:r>
        <w:rPr>
          <w:rFonts w:hint="eastAsia" w:ascii="Times New Roman" w:hAnsi="Times New Roman" w:eastAsia="宋体" w:cs="Times New Roman"/>
          <w:color w:val="auto"/>
          <w:sz w:val="28"/>
          <w:szCs w:val="28"/>
        </w:rPr>
        <w:t>组查询相关国内外标准</w:t>
      </w:r>
      <w:r>
        <w:rPr>
          <w:rFonts w:ascii="Times New Roman" w:hAnsi="Times New Roman" w:eastAsia="宋体" w:cs="Times New Roman"/>
          <w:color w:val="auto"/>
          <w:sz w:val="28"/>
          <w:szCs w:val="28"/>
        </w:rPr>
        <w:t>，在收集、整理不同类型资料的基础上，对《</w:t>
      </w:r>
      <w:r>
        <w:rPr>
          <w:rFonts w:hint="eastAsia"/>
          <w:b w:val="0"/>
          <w:bCs w:val="0"/>
          <w:color w:val="auto"/>
          <w:sz w:val="28"/>
          <w:szCs w:val="36"/>
          <w:lang w:val="en-US" w:eastAsia="zh-CN"/>
        </w:rPr>
        <w:t>食用农产品批发市场食品安全管理操作规范 第3部分:农产品入场快速检测</w:t>
      </w:r>
      <w:r>
        <w:rPr>
          <w:rFonts w:ascii="Times New Roman" w:hAnsi="Times New Roman" w:eastAsia="宋体" w:cs="Times New Roman"/>
          <w:color w:val="auto"/>
          <w:sz w:val="28"/>
          <w:szCs w:val="28"/>
        </w:rPr>
        <w:t>》标准项目进行了预研。通过多轮的技术研讨，</w:t>
      </w:r>
      <w:r>
        <w:rPr>
          <w:rFonts w:hint="eastAsia" w:ascii="Times New Roman" w:hAnsi="Times New Roman" w:eastAsia="宋体" w:cs="Times New Roman"/>
          <w:color w:val="auto"/>
          <w:sz w:val="28"/>
          <w:szCs w:val="28"/>
          <w:lang w:val="en-US" w:eastAsia="zh-CN"/>
        </w:rPr>
        <w:t>工作</w:t>
      </w:r>
      <w:r>
        <w:rPr>
          <w:rFonts w:ascii="Times New Roman" w:hAnsi="Times New Roman" w:eastAsia="宋体" w:cs="Times New Roman"/>
          <w:color w:val="auto"/>
          <w:sz w:val="28"/>
          <w:szCs w:val="28"/>
        </w:rPr>
        <w:t>组明确了标准项目的研制目标。</w:t>
      </w:r>
      <w:r>
        <w:rPr>
          <w:rFonts w:hint="eastAsia" w:ascii="Times New Roman" w:hAnsi="Times New Roman" w:eastAsia="宋体" w:cs="Times New Roman"/>
          <w:color w:val="auto"/>
          <w:sz w:val="28"/>
          <w:szCs w:val="28"/>
          <w:lang w:val="en-US" w:eastAsia="zh-CN"/>
        </w:rPr>
        <w:t>工作</w:t>
      </w:r>
      <w:r>
        <w:rPr>
          <w:rFonts w:ascii="Times New Roman" w:hAnsi="Times New Roman" w:eastAsia="宋体" w:cs="Times New Roman"/>
          <w:color w:val="auto"/>
          <w:sz w:val="28"/>
          <w:szCs w:val="28"/>
        </w:rPr>
        <w:t>组拟从</w:t>
      </w:r>
      <w:r>
        <w:rPr>
          <w:rFonts w:hint="eastAsia" w:ascii="Times New Roman" w:hAnsi="Times New Roman" w:eastAsia="宋体" w:cs="Times New Roman"/>
          <w:color w:val="auto"/>
          <w:sz w:val="28"/>
          <w:szCs w:val="28"/>
          <w:lang w:val="en-US" w:eastAsia="zh-CN"/>
        </w:rPr>
        <w:t>快速检测的总体要求、检测项目与方法、检测结果判定和记录管理</w:t>
      </w:r>
      <w:r>
        <w:rPr>
          <w:rFonts w:ascii="Times New Roman" w:hAnsi="Times New Roman" w:eastAsia="宋体" w:cs="Times New Roman"/>
          <w:color w:val="auto"/>
          <w:sz w:val="28"/>
          <w:szCs w:val="28"/>
        </w:rPr>
        <w:t>等</w:t>
      </w:r>
      <w:r>
        <w:rPr>
          <w:rFonts w:hint="eastAsia" w:ascii="Times New Roman" w:hAnsi="Times New Roman" w:eastAsia="宋体" w:cs="Times New Roman"/>
          <w:color w:val="auto"/>
          <w:sz w:val="28"/>
          <w:szCs w:val="28"/>
          <w:lang w:val="en-US" w:eastAsia="zh-CN"/>
        </w:rPr>
        <w:t>方面制定该标准</w:t>
      </w:r>
      <w:r>
        <w:rPr>
          <w:rFonts w:ascii="Times New Roman" w:hAnsi="Times New Roman" w:eastAsia="宋体" w:cs="Times New Roman"/>
          <w:color w:val="auto"/>
          <w:sz w:val="28"/>
          <w:szCs w:val="28"/>
        </w:rPr>
        <w:t>。</w:t>
      </w:r>
    </w:p>
    <w:p w14:paraId="7F08AF65">
      <w:pPr>
        <w:ind w:firstLine="560" w:firstLineChars="20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2024年11月</w:t>
      </w: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工作组</w:t>
      </w:r>
      <w:r>
        <w:rPr>
          <w:rFonts w:ascii="Times New Roman" w:hAnsi="Times New Roman" w:eastAsia="宋体" w:cs="Times New Roman"/>
          <w:color w:val="auto"/>
          <w:sz w:val="28"/>
          <w:szCs w:val="28"/>
        </w:rPr>
        <w:t>向全国城市农贸中心联合会提交了团体标准建议书与标准草案，进行申报立项。</w:t>
      </w:r>
    </w:p>
    <w:p w14:paraId="7B1B557C">
      <w:pPr>
        <w:numPr>
          <w:ilvl w:val="0"/>
          <w:numId w:val="0"/>
        </w:numPr>
        <w:jc w:val="left"/>
        <w:rPr>
          <w:rFonts w:hint="eastAsia"/>
          <w:b w:val="0"/>
          <w:bCs w:val="0"/>
          <w:color w:val="auto"/>
          <w:sz w:val="28"/>
          <w:szCs w:val="36"/>
          <w:lang w:val="en-US" w:eastAsia="zh-CN"/>
        </w:rPr>
      </w:pPr>
      <w:r>
        <w:rPr>
          <w:rFonts w:hint="eastAsia"/>
          <w:b w:val="0"/>
          <w:bCs w:val="0"/>
          <w:color w:val="auto"/>
          <w:sz w:val="28"/>
          <w:szCs w:val="36"/>
          <w:lang w:val="en-US" w:eastAsia="zh-CN"/>
        </w:rPr>
        <w:t>2.2立项阶段</w:t>
      </w:r>
    </w:p>
    <w:p w14:paraId="10C96E54">
      <w:pPr>
        <w:ind w:firstLine="560" w:firstLineChars="200"/>
        <w:rPr>
          <w:rFonts w:hint="eastAsia"/>
          <w:b w:val="0"/>
          <w:bCs w:val="0"/>
          <w:color w:val="auto"/>
          <w:sz w:val="28"/>
          <w:szCs w:val="36"/>
          <w:lang w:val="en-US" w:eastAsia="zh-CN"/>
        </w:rPr>
      </w:pPr>
      <w:r>
        <w:rPr>
          <w:rFonts w:hint="eastAsia" w:ascii="Times New Roman" w:hAnsi="Times New Roman" w:eastAsia="宋体" w:cs="Times New Roman"/>
          <w:b w:val="0"/>
          <w:bCs w:val="0"/>
          <w:color w:val="auto"/>
          <w:sz w:val="28"/>
          <w:szCs w:val="28"/>
          <w:lang w:val="en-US" w:eastAsia="zh-CN"/>
        </w:rPr>
        <w:t>2025年1月17日</w:t>
      </w:r>
      <w:r>
        <w:rPr>
          <w:rFonts w:ascii="Times New Roman" w:hAnsi="Times New Roman" w:eastAsia="宋体" w:cs="Times New Roman"/>
          <w:color w:val="auto"/>
          <w:sz w:val="28"/>
          <w:szCs w:val="28"/>
        </w:rPr>
        <w:t>，全国城市农贸中心联合会发布</w:t>
      </w:r>
      <w:r>
        <w:rPr>
          <w:rFonts w:hint="eastAsia" w:ascii="Times New Roman" w:hAnsi="Times New Roman" w:eastAsia="宋体" w:cs="Times New Roman"/>
          <w:b w:val="0"/>
          <w:bCs w:val="0"/>
          <w:color w:val="auto"/>
          <w:sz w:val="28"/>
          <w:szCs w:val="28"/>
          <w:lang w:val="en-US" w:eastAsia="zh-CN"/>
        </w:rPr>
        <w:t>《关于发布&lt;食用农产品批发市场食品安全管理操作规范 第1部分：机构建设及运行&gt;等十项团体标准立项的公告》，</w:t>
      </w:r>
      <w:r>
        <w:rPr>
          <w:rFonts w:ascii="Times New Roman" w:hAnsi="Times New Roman" w:eastAsia="宋体" w:cs="Times New Roman"/>
          <w:color w:val="auto"/>
          <w:sz w:val="28"/>
          <w:szCs w:val="28"/>
        </w:rPr>
        <w:t>对该项团体标准予以正式立项并公告，标准立项号</w:t>
      </w:r>
      <w:r>
        <w:rPr>
          <w:rFonts w:hint="eastAsia" w:ascii="Times New Roman" w:hAnsi="Times New Roman" w:eastAsia="宋体" w:cs="Times New Roman"/>
          <w:b w:val="0"/>
          <w:bCs w:val="0"/>
          <w:color w:val="auto"/>
          <w:sz w:val="28"/>
          <w:szCs w:val="28"/>
          <w:lang w:val="en-US" w:eastAsia="zh-CN"/>
        </w:rPr>
        <w:t>P/CAWA- 3-2025</w:t>
      </w:r>
      <w:r>
        <w:rPr>
          <w:rFonts w:ascii="Times New Roman" w:hAnsi="Times New Roman" w:eastAsia="宋体" w:cs="Times New Roman"/>
          <w:color w:val="auto"/>
          <w:sz w:val="28"/>
          <w:szCs w:val="28"/>
        </w:rPr>
        <w:t>。</w:t>
      </w:r>
    </w:p>
    <w:p w14:paraId="384CFC30">
      <w:pPr>
        <w:numPr>
          <w:ilvl w:val="0"/>
          <w:numId w:val="0"/>
        </w:numPr>
        <w:jc w:val="left"/>
        <w:rPr>
          <w:rFonts w:hint="eastAsia"/>
          <w:b w:val="0"/>
          <w:bCs w:val="0"/>
          <w:color w:val="auto"/>
          <w:sz w:val="28"/>
          <w:szCs w:val="36"/>
          <w:lang w:val="en-US" w:eastAsia="zh-CN"/>
        </w:rPr>
      </w:pPr>
      <w:r>
        <w:rPr>
          <w:rFonts w:hint="eastAsia"/>
          <w:b w:val="0"/>
          <w:bCs w:val="0"/>
          <w:color w:val="auto"/>
          <w:sz w:val="28"/>
          <w:szCs w:val="36"/>
          <w:lang w:val="en-US" w:eastAsia="zh-CN"/>
        </w:rPr>
        <w:t>2.3起草阶段</w:t>
      </w:r>
    </w:p>
    <w:p w14:paraId="27D071A7">
      <w:pPr>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针对该标准项目，正式成立了标准起草工作组，明确了任务要求，安排了工作进度，根据参与人员的专业、技能合理分配任务。依据GB/T 1.1—2020《标准化工作导则 第1部分：标准化文件的结构和起草规则》对标准草案进一步完善的同时，开展技术指标的验证工作。</w:t>
      </w:r>
    </w:p>
    <w:p w14:paraId="004F20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在此期间，起草组组织农产品批发市场相关人员召开了3次工作会议，会议就</w:t>
      </w:r>
      <w:r>
        <w:rPr>
          <w:rFonts w:ascii="Times New Roman" w:hAnsi="Times New Roman" w:eastAsia="宋体" w:cs="Times New Roman"/>
          <w:color w:val="auto"/>
          <w:sz w:val="28"/>
          <w:szCs w:val="28"/>
        </w:rPr>
        <w:t>标准制定的相关问题</w:t>
      </w:r>
      <w:r>
        <w:rPr>
          <w:rFonts w:hint="eastAsia" w:ascii="Times New Roman" w:hAnsi="Times New Roman" w:eastAsia="宋体" w:cs="Times New Roman"/>
          <w:color w:val="auto"/>
          <w:sz w:val="28"/>
          <w:szCs w:val="28"/>
        </w:rPr>
        <w:t>和评价指标</w:t>
      </w:r>
      <w:r>
        <w:rPr>
          <w:rFonts w:ascii="Times New Roman" w:hAnsi="Times New Roman" w:eastAsia="宋体" w:cs="Times New Roman"/>
          <w:color w:val="auto"/>
          <w:sz w:val="28"/>
          <w:szCs w:val="28"/>
        </w:rPr>
        <w:t>进行了协商与研究。由此形成了最终的《</w:t>
      </w:r>
      <w:r>
        <w:rPr>
          <w:rFonts w:hint="eastAsia"/>
          <w:b w:val="0"/>
          <w:bCs w:val="0"/>
          <w:color w:val="auto"/>
          <w:sz w:val="28"/>
          <w:szCs w:val="36"/>
          <w:lang w:val="en-US" w:eastAsia="zh-CN"/>
        </w:rPr>
        <w:t>食用农产品批发市场食品安全管理操作规范 第3部分:农产品入场快速检测</w:t>
      </w:r>
      <w:r>
        <w:rPr>
          <w:rFonts w:ascii="Times New Roman" w:hAnsi="Times New Roman" w:eastAsia="宋体" w:cs="Times New Roman"/>
          <w:color w:val="auto"/>
          <w:sz w:val="28"/>
          <w:szCs w:val="28"/>
        </w:rPr>
        <w:t>》团体标准和编制说明的征求意见稿。</w:t>
      </w:r>
    </w:p>
    <w:p w14:paraId="3DC77F31">
      <w:pPr>
        <w:numPr>
          <w:ilvl w:val="0"/>
          <w:numId w:val="1"/>
        </w:numPr>
        <w:ind w:left="210" w:leftChars="0" w:firstLineChars="0"/>
        <w:jc w:val="left"/>
        <w:rPr>
          <w:rFonts w:hint="default"/>
          <w:b/>
          <w:bCs/>
          <w:color w:val="auto"/>
          <w:sz w:val="28"/>
          <w:szCs w:val="36"/>
          <w:lang w:val="en-US" w:eastAsia="zh-CN"/>
        </w:rPr>
      </w:pPr>
      <w:r>
        <w:rPr>
          <w:rFonts w:hint="eastAsia"/>
          <w:b/>
          <w:bCs/>
          <w:color w:val="auto"/>
          <w:sz w:val="28"/>
          <w:szCs w:val="36"/>
          <w:lang w:val="en-US" w:eastAsia="zh-CN"/>
        </w:rPr>
        <w:t>编制原则、标准主要技术要求的依据</w:t>
      </w:r>
    </w:p>
    <w:p w14:paraId="6B319D49">
      <w:pPr>
        <w:numPr>
          <w:ilvl w:val="0"/>
          <w:numId w:val="4"/>
        </w:numPr>
        <w:jc w:val="left"/>
        <w:rPr>
          <w:rFonts w:hint="eastAsia"/>
          <w:b w:val="0"/>
          <w:bCs w:val="0"/>
          <w:color w:val="auto"/>
          <w:sz w:val="28"/>
          <w:szCs w:val="36"/>
          <w:lang w:val="en-US" w:eastAsia="zh-CN"/>
        </w:rPr>
      </w:pPr>
      <w:r>
        <w:rPr>
          <w:rFonts w:hint="eastAsia"/>
          <w:b w:val="0"/>
          <w:bCs w:val="0"/>
          <w:color w:val="auto"/>
          <w:sz w:val="28"/>
          <w:szCs w:val="36"/>
          <w:lang w:val="en-US" w:eastAsia="zh-CN"/>
        </w:rPr>
        <w:t>标准编制主要原则</w:t>
      </w:r>
    </w:p>
    <w:p w14:paraId="1BA0FDA2">
      <w:pPr>
        <w:numPr>
          <w:ilvl w:val="255"/>
          <w:numId w:val="0"/>
        </w:numPr>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标准格式按照GB/T 1.1-2020《标准化工作导则 第1部分：标准的结构和编写》及相关法规的要求编写。</w:t>
      </w:r>
    </w:p>
    <w:p w14:paraId="7024A20D">
      <w:pPr>
        <w:numPr>
          <w:ilvl w:val="255"/>
          <w:numId w:val="0"/>
        </w:numPr>
        <w:rPr>
          <w:rFonts w:hint="eastAsia"/>
          <w:b w:val="0"/>
          <w:bCs w:val="0"/>
          <w:color w:val="auto"/>
          <w:sz w:val="28"/>
          <w:szCs w:val="36"/>
          <w:lang w:val="en-US" w:eastAsia="zh-CN"/>
        </w:rPr>
      </w:pPr>
      <w:r>
        <w:rPr>
          <w:rFonts w:ascii="Times New Roman" w:hAnsi="Times New Roman" w:eastAsia="宋体" w:cs="Times New Roman"/>
          <w:color w:val="auto"/>
          <w:sz w:val="28"/>
          <w:szCs w:val="28"/>
        </w:rPr>
        <w:t>1.2</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制定标准已充分考虑</w:t>
      </w:r>
      <w:r>
        <w:rPr>
          <w:rFonts w:hint="eastAsia" w:ascii="Times New Roman" w:hAnsi="Times New Roman" w:eastAsia="宋体" w:cs="Times New Roman"/>
          <w:color w:val="auto"/>
          <w:sz w:val="28"/>
          <w:szCs w:val="28"/>
        </w:rPr>
        <w:t>国内外相关</w:t>
      </w:r>
      <w:r>
        <w:rPr>
          <w:rFonts w:ascii="Times New Roman" w:hAnsi="Times New Roman" w:eastAsia="宋体" w:cs="Times New Roman"/>
          <w:color w:val="auto"/>
          <w:sz w:val="28"/>
          <w:szCs w:val="28"/>
        </w:rPr>
        <w:t>企业</w:t>
      </w:r>
      <w:r>
        <w:rPr>
          <w:rFonts w:hint="eastAsia" w:ascii="Times New Roman" w:hAnsi="Times New Roman" w:eastAsia="宋体" w:cs="Times New Roman"/>
          <w:color w:val="auto"/>
          <w:sz w:val="28"/>
          <w:szCs w:val="28"/>
        </w:rPr>
        <w:t>、协会</w:t>
      </w:r>
      <w:r>
        <w:rPr>
          <w:rFonts w:ascii="Times New Roman" w:hAnsi="Times New Roman" w:eastAsia="宋体" w:cs="Times New Roman"/>
          <w:color w:val="auto"/>
          <w:sz w:val="28"/>
          <w:szCs w:val="28"/>
        </w:rPr>
        <w:t>以及专家的意见和建议，既要求标准切实可行，具有可操作性，又要求标准具有先进性、科学性。</w:t>
      </w:r>
    </w:p>
    <w:p w14:paraId="2CD970BC">
      <w:pPr>
        <w:numPr>
          <w:ilvl w:val="0"/>
          <w:numId w:val="4"/>
        </w:numPr>
        <w:jc w:val="left"/>
        <w:rPr>
          <w:rFonts w:hint="eastAsia"/>
          <w:b w:val="0"/>
          <w:bCs w:val="0"/>
          <w:color w:val="auto"/>
          <w:sz w:val="28"/>
          <w:szCs w:val="36"/>
          <w:lang w:val="en-US" w:eastAsia="zh-CN"/>
        </w:rPr>
      </w:pPr>
      <w:r>
        <w:rPr>
          <w:rFonts w:hint="eastAsia"/>
          <w:b w:val="0"/>
          <w:bCs w:val="0"/>
          <w:color w:val="auto"/>
          <w:sz w:val="28"/>
          <w:szCs w:val="36"/>
          <w:lang w:val="en-US" w:eastAsia="zh-CN"/>
        </w:rPr>
        <w:t>标准组成成分</w:t>
      </w:r>
    </w:p>
    <w:p w14:paraId="357EC78E">
      <w:pPr>
        <w:numPr>
          <w:ilvl w:val="0"/>
          <w:numId w:val="0"/>
        </w:numPr>
        <w:jc w:val="left"/>
        <w:rPr>
          <w:rFonts w:hint="eastAsia"/>
          <w:b w:val="0"/>
          <w:bCs w:val="0"/>
          <w:color w:val="auto"/>
          <w:sz w:val="28"/>
          <w:szCs w:val="36"/>
          <w:lang w:val="en-US" w:eastAsia="zh-CN"/>
        </w:rPr>
      </w:pPr>
      <w:r>
        <w:rPr>
          <w:rFonts w:hint="eastAsia"/>
          <w:b w:val="0"/>
          <w:bCs w:val="0"/>
          <w:color w:val="auto"/>
          <w:sz w:val="28"/>
          <w:szCs w:val="36"/>
          <w:lang w:val="en-US" w:eastAsia="zh-CN"/>
        </w:rPr>
        <w:t>2.1 范围</w:t>
      </w:r>
    </w:p>
    <w:p w14:paraId="07337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本文件界定了入场快速检测的术语与定义，规定了食用农产品入场快速检测的总体要求、标准物质与试剂耗材的要求、检测项目与方法、检测结果判定和记录管理的要求。</w:t>
      </w:r>
    </w:p>
    <w:p w14:paraId="23D56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本文件适用于食用农产品批发市场农产品入场快速检测的食品安全管理操作规范。本文件适用于食用农产品批发市场中入场快速检测操作管理规范。</w:t>
      </w:r>
    </w:p>
    <w:p w14:paraId="669155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2.2 规范性引用文件</w:t>
      </w:r>
    </w:p>
    <w:p w14:paraId="50B6A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本文件没有规范性引用文件。</w:t>
      </w:r>
    </w:p>
    <w:p w14:paraId="7A0C7B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2.3术语与定义</w:t>
      </w:r>
    </w:p>
    <w:p w14:paraId="1313F7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2.3.1</w:t>
      </w:r>
    </w:p>
    <w:p w14:paraId="3C6317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560" w:firstLineChars="200"/>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入场快速检测 rapid entry detection</w:t>
      </w:r>
    </w:p>
    <w:p w14:paraId="549E88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560" w:firstLineChars="200"/>
        <w:jc w:val="both"/>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在食用农产品入场前，利用快速检测设施设备及试剂，按照国务院有关部门规定的快速检测方法，采取抽样的方式进行某种特定物质或指标的快速定性检测，在较短时间内获得检测结果。</w:t>
      </w:r>
    </w:p>
    <w:p w14:paraId="11187D9C">
      <w:pPr>
        <w:numPr>
          <w:ilvl w:val="0"/>
          <w:numId w:val="0"/>
        </w:numPr>
        <w:ind w:leftChars="0"/>
        <w:jc w:val="left"/>
        <w:rPr>
          <w:rFonts w:hint="default"/>
          <w:b w:val="0"/>
          <w:bCs w:val="0"/>
          <w:color w:val="auto"/>
          <w:sz w:val="28"/>
          <w:szCs w:val="36"/>
          <w:lang w:val="en-US" w:eastAsia="zh-CN"/>
        </w:rPr>
      </w:pPr>
      <w:r>
        <w:rPr>
          <w:rFonts w:hint="eastAsia"/>
          <w:b w:val="0"/>
          <w:bCs w:val="0"/>
          <w:color w:val="auto"/>
          <w:sz w:val="28"/>
          <w:szCs w:val="36"/>
          <w:lang w:val="en-US" w:eastAsia="zh-CN"/>
        </w:rPr>
        <w:t>2.4 标准主要内容</w:t>
      </w:r>
    </w:p>
    <w:p w14:paraId="1A4595E7">
      <w:pPr>
        <w:numPr>
          <w:ilvl w:val="0"/>
          <w:numId w:val="0"/>
        </w:numPr>
        <w:ind w:leftChars="0"/>
        <w:jc w:val="left"/>
        <w:rPr>
          <w:rFonts w:hint="default"/>
          <w:b w:val="0"/>
          <w:bCs w:val="0"/>
          <w:color w:val="auto"/>
          <w:sz w:val="28"/>
          <w:szCs w:val="36"/>
          <w:lang w:val="en-US" w:eastAsia="zh-CN"/>
        </w:rPr>
      </w:pPr>
      <w:r>
        <w:rPr>
          <w:rFonts w:hint="eastAsia"/>
          <w:b w:val="0"/>
          <w:bCs w:val="0"/>
          <w:color w:val="auto"/>
          <w:sz w:val="28"/>
          <w:szCs w:val="36"/>
          <w:lang w:val="en-US" w:eastAsia="zh-CN"/>
        </w:rPr>
        <w:t>（1）检测总体要求</w:t>
      </w:r>
    </w:p>
    <w:p w14:paraId="589492EF">
      <w:pPr>
        <w:numPr>
          <w:ilvl w:val="0"/>
          <w:numId w:val="0"/>
        </w:numPr>
        <w:ind w:leftChars="0"/>
        <w:jc w:val="left"/>
        <w:rPr>
          <w:rFonts w:hint="default"/>
          <w:b w:val="0"/>
          <w:bCs w:val="0"/>
          <w:color w:val="auto"/>
          <w:sz w:val="28"/>
          <w:szCs w:val="36"/>
          <w:lang w:val="en-US" w:eastAsia="zh-CN"/>
        </w:rPr>
      </w:pPr>
      <w:r>
        <w:rPr>
          <w:rFonts w:hint="eastAsia"/>
          <w:b w:val="0"/>
          <w:bCs w:val="0"/>
          <w:color w:val="auto"/>
          <w:sz w:val="28"/>
          <w:szCs w:val="36"/>
          <w:lang w:val="en-US" w:eastAsia="zh-CN"/>
        </w:rPr>
        <w:t>（2）标准物质和试剂耗材的要求</w:t>
      </w:r>
    </w:p>
    <w:p w14:paraId="41F7EF4F">
      <w:pPr>
        <w:numPr>
          <w:ilvl w:val="0"/>
          <w:numId w:val="0"/>
        </w:numPr>
        <w:ind w:leftChars="0"/>
        <w:jc w:val="left"/>
        <w:rPr>
          <w:rFonts w:hint="eastAsia"/>
          <w:b w:val="0"/>
          <w:bCs w:val="0"/>
          <w:color w:val="auto"/>
          <w:sz w:val="28"/>
          <w:szCs w:val="36"/>
          <w:lang w:val="en-US" w:eastAsia="zh-CN"/>
        </w:rPr>
      </w:pPr>
      <w:r>
        <w:rPr>
          <w:rFonts w:hint="eastAsia"/>
          <w:b w:val="0"/>
          <w:bCs w:val="0"/>
          <w:color w:val="auto"/>
          <w:sz w:val="28"/>
          <w:szCs w:val="36"/>
          <w:lang w:val="en-US" w:eastAsia="zh-CN"/>
        </w:rPr>
        <w:t>（3）检测项目与方法</w:t>
      </w:r>
    </w:p>
    <w:p w14:paraId="7DB9BEA6">
      <w:pPr>
        <w:numPr>
          <w:ilvl w:val="0"/>
          <w:numId w:val="0"/>
        </w:numPr>
        <w:ind w:leftChars="0"/>
        <w:jc w:val="left"/>
        <w:rPr>
          <w:rFonts w:hint="eastAsia"/>
          <w:b w:val="0"/>
          <w:bCs w:val="0"/>
          <w:color w:val="auto"/>
          <w:sz w:val="28"/>
          <w:szCs w:val="36"/>
          <w:lang w:val="en-US" w:eastAsia="zh-CN"/>
        </w:rPr>
      </w:pPr>
      <w:r>
        <w:rPr>
          <w:rFonts w:hint="eastAsia"/>
          <w:b w:val="0"/>
          <w:bCs w:val="0"/>
          <w:color w:val="auto"/>
          <w:sz w:val="28"/>
          <w:szCs w:val="36"/>
          <w:lang w:val="en-US" w:eastAsia="zh-CN"/>
        </w:rPr>
        <w:t>（4）检测结果判定</w:t>
      </w:r>
    </w:p>
    <w:p w14:paraId="118BA1A5">
      <w:pPr>
        <w:numPr>
          <w:ilvl w:val="0"/>
          <w:numId w:val="0"/>
        </w:numPr>
        <w:ind w:leftChars="0"/>
        <w:jc w:val="left"/>
        <w:rPr>
          <w:rFonts w:hint="eastAsia"/>
          <w:b w:val="0"/>
          <w:bCs w:val="0"/>
          <w:color w:val="auto"/>
          <w:sz w:val="28"/>
          <w:szCs w:val="36"/>
          <w:lang w:val="en-US" w:eastAsia="zh-CN"/>
        </w:rPr>
      </w:pPr>
      <w:r>
        <w:rPr>
          <w:rFonts w:hint="eastAsia"/>
          <w:b w:val="0"/>
          <w:bCs w:val="0"/>
          <w:color w:val="auto"/>
          <w:sz w:val="28"/>
          <w:szCs w:val="36"/>
          <w:lang w:val="en-US" w:eastAsia="zh-CN"/>
        </w:rPr>
        <w:t>（5）结果公示</w:t>
      </w:r>
    </w:p>
    <w:p w14:paraId="2ED3AF9B">
      <w:pPr>
        <w:numPr>
          <w:ilvl w:val="0"/>
          <w:numId w:val="0"/>
        </w:numPr>
        <w:ind w:leftChars="0"/>
        <w:jc w:val="left"/>
        <w:rPr>
          <w:rFonts w:hint="default"/>
          <w:b w:val="0"/>
          <w:bCs w:val="0"/>
          <w:color w:val="auto"/>
          <w:sz w:val="28"/>
          <w:szCs w:val="36"/>
          <w:lang w:val="en-US" w:eastAsia="zh-CN"/>
        </w:rPr>
      </w:pPr>
      <w:r>
        <w:rPr>
          <w:rFonts w:hint="eastAsia"/>
          <w:b w:val="0"/>
          <w:bCs w:val="0"/>
          <w:color w:val="auto"/>
          <w:sz w:val="28"/>
          <w:szCs w:val="36"/>
          <w:lang w:val="en-US" w:eastAsia="zh-CN"/>
        </w:rPr>
        <w:t>（6）记录管理</w:t>
      </w:r>
    </w:p>
    <w:p w14:paraId="5709776F">
      <w:pPr>
        <w:numPr>
          <w:ilvl w:val="0"/>
          <w:numId w:val="4"/>
        </w:numPr>
        <w:ind w:left="0" w:leftChars="0" w:firstLine="0" w:firstLineChars="0"/>
        <w:jc w:val="left"/>
        <w:rPr>
          <w:rFonts w:hint="default"/>
          <w:b w:val="0"/>
          <w:bCs w:val="0"/>
          <w:color w:val="auto"/>
          <w:sz w:val="28"/>
          <w:szCs w:val="36"/>
          <w:lang w:val="en-US" w:eastAsia="zh-CN"/>
        </w:rPr>
      </w:pPr>
      <w:r>
        <w:rPr>
          <w:rFonts w:hint="eastAsia"/>
          <w:b w:val="0"/>
          <w:bCs w:val="0"/>
          <w:color w:val="auto"/>
          <w:sz w:val="28"/>
          <w:szCs w:val="36"/>
          <w:lang w:val="en-US" w:eastAsia="zh-CN"/>
        </w:rPr>
        <w:t>标准的主要内容确定依据</w:t>
      </w:r>
    </w:p>
    <w:p w14:paraId="2AEC0D0F">
      <w:pPr>
        <w:keepNext w:val="0"/>
        <w:keepLines w:val="0"/>
        <w:widowControl/>
        <w:suppressLineNumbers w:val="0"/>
        <w:jc w:val="left"/>
        <w:rPr>
          <w:rFonts w:hint="default"/>
          <w:b w:val="0"/>
          <w:bCs w:val="0"/>
          <w:color w:val="auto"/>
          <w:sz w:val="28"/>
          <w:szCs w:val="36"/>
          <w:lang w:val="en-US" w:eastAsia="zh-CN"/>
        </w:rPr>
      </w:pPr>
      <w:r>
        <w:rPr>
          <w:rFonts w:hint="eastAsia" w:ascii="Times New Roman" w:hAnsi="Times New Roman" w:eastAsia="宋体" w:cs="Times New Roman"/>
          <w:color w:val="auto"/>
          <w:sz w:val="28"/>
          <w:szCs w:val="28"/>
          <w:highlight w:val="none"/>
          <w:lang w:val="en-US" w:eastAsia="zh-CN"/>
        </w:rPr>
        <w:t>依据</w:t>
      </w:r>
      <w:r>
        <w:rPr>
          <w:rFonts w:hint="eastAsia" w:asciiTheme="minorEastAsia" w:hAnsiTheme="minorEastAsia"/>
          <w:color w:val="auto"/>
          <w:sz w:val="28"/>
          <w:szCs w:val="28"/>
        </w:rPr>
        <w:t>国家市场监督管理总局令第81号《</w:t>
      </w:r>
      <w:r>
        <w:rPr>
          <w:rFonts w:asciiTheme="minorEastAsia" w:hAnsiTheme="minorEastAsia"/>
          <w:color w:val="auto"/>
          <w:sz w:val="28"/>
          <w:szCs w:val="28"/>
        </w:rPr>
        <w:t>食用农产品市场销售质量安全监督管理办法</w:t>
      </w:r>
      <w:r>
        <w:rPr>
          <w:rFonts w:hint="eastAsia" w:asciiTheme="minorEastAsia" w:hAnsiTheme="minorEastAsia"/>
          <w:color w:val="auto"/>
          <w:sz w:val="28"/>
          <w:szCs w:val="28"/>
        </w:rPr>
        <w:t>》</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食用农产品批发市场食品安全操作指南</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食品安全风险管控清单（食用农产品集中交易市场）</w:t>
      </w:r>
      <w:r>
        <w:rPr>
          <w:rFonts w:hint="eastAsia" w:asciiTheme="minorEastAsia" w:hAnsiTheme="minorEastAsia"/>
          <w:color w:val="auto"/>
          <w:sz w:val="28"/>
          <w:szCs w:val="28"/>
          <w:lang w:eastAsia="zh-CN"/>
        </w:rPr>
        <w:t>》、《农产品批发市场食品安全操作指南——入场环节》、《全国食品安全监督抽检实施细则》</w:t>
      </w:r>
      <w:r>
        <w:rPr>
          <w:rFonts w:hint="eastAsia" w:asciiTheme="minorEastAsia" w:hAnsiTheme="minorEastAsia"/>
          <w:color w:val="auto"/>
          <w:sz w:val="28"/>
          <w:szCs w:val="28"/>
          <w:lang w:val="en-US" w:eastAsia="zh-CN"/>
        </w:rPr>
        <w:t>和食用农产品批发市场的实际确定检测总体要求、标准物质与试剂耗材的要求、检测项目与方法、检测结果判定和记录管理。</w:t>
      </w:r>
    </w:p>
    <w:p w14:paraId="202C2A6D">
      <w:pPr>
        <w:numPr>
          <w:ilvl w:val="0"/>
          <w:numId w:val="0"/>
        </w:numPr>
        <w:jc w:val="left"/>
        <w:rPr>
          <w:rFonts w:hint="default"/>
          <w:b/>
          <w:bCs/>
          <w:color w:val="auto"/>
          <w:sz w:val="28"/>
          <w:szCs w:val="36"/>
          <w:lang w:val="en-US" w:eastAsia="zh-CN"/>
        </w:rPr>
      </w:pPr>
      <w:r>
        <w:rPr>
          <w:rFonts w:hint="eastAsia"/>
          <w:b/>
          <w:bCs/>
          <w:color w:val="auto"/>
          <w:sz w:val="28"/>
          <w:szCs w:val="36"/>
          <w:lang w:val="en-US" w:eastAsia="zh-CN"/>
        </w:rPr>
        <w:t>三、主要试验分析、论证，预期的经济效果</w:t>
      </w:r>
    </w:p>
    <w:p w14:paraId="745B4AE7">
      <w:pPr>
        <w:numPr>
          <w:ilvl w:val="0"/>
          <w:numId w:val="5"/>
        </w:numPr>
        <w:jc w:val="left"/>
        <w:rPr>
          <w:rFonts w:hint="eastAsia"/>
          <w:b w:val="0"/>
          <w:bCs w:val="0"/>
          <w:color w:val="auto"/>
          <w:sz w:val="28"/>
          <w:szCs w:val="36"/>
          <w:lang w:val="en-US" w:eastAsia="zh-CN"/>
        </w:rPr>
      </w:pPr>
      <w:r>
        <w:rPr>
          <w:rFonts w:hint="eastAsia"/>
          <w:b w:val="0"/>
          <w:bCs w:val="0"/>
          <w:color w:val="auto"/>
          <w:sz w:val="28"/>
          <w:szCs w:val="36"/>
          <w:lang w:val="en-US" w:eastAsia="zh-CN"/>
        </w:rPr>
        <w:t>主要试验（验证）的分析</w:t>
      </w:r>
    </w:p>
    <w:p w14:paraId="75868903">
      <w:pPr>
        <w:ind w:firstLine="560" w:firstLineChars="200"/>
        <w:rPr>
          <w:rFonts w:hint="eastAsia"/>
          <w:b w:val="0"/>
          <w:bCs w:val="0"/>
          <w:color w:val="auto"/>
          <w:sz w:val="28"/>
          <w:szCs w:val="36"/>
          <w:lang w:val="en-US" w:eastAsia="zh-CN"/>
        </w:rPr>
      </w:pPr>
      <w:r>
        <w:rPr>
          <w:rFonts w:ascii="Times New Roman" w:hAnsi="Times New Roman" w:eastAsia="宋体" w:cs="Times New Roman"/>
          <w:color w:val="auto"/>
          <w:sz w:val="28"/>
          <w:szCs w:val="28"/>
        </w:rPr>
        <w:t>起草组依据标准草案中的</w:t>
      </w:r>
      <w:r>
        <w:rPr>
          <w:rFonts w:hint="eastAsia" w:ascii="Times New Roman" w:hAnsi="Times New Roman" w:eastAsia="宋体" w:cs="Times New Roman"/>
          <w:color w:val="auto"/>
          <w:sz w:val="28"/>
          <w:szCs w:val="28"/>
          <w:lang w:val="en-US" w:eastAsia="zh-CN"/>
        </w:rPr>
        <w:t>农产品入场快速检测操作规范</w:t>
      </w:r>
      <w:r>
        <w:rPr>
          <w:rFonts w:ascii="Times New Roman" w:hAnsi="Times New Roman" w:eastAsia="宋体" w:cs="Times New Roman"/>
          <w:color w:val="auto"/>
          <w:sz w:val="28"/>
          <w:szCs w:val="28"/>
        </w:rPr>
        <w:t>，进行了充分的论证和实地调研，同时充分考虑到本行业的发展现状与特点，制定了一个适宜的范围与程度。</w:t>
      </w:r>
    </w:p>
    <w:p w14:paraId="30673B06">
      <w:pPr>
        <w:numPr>
          <w:ilvl w:val="0"/>
          <w:numId w:val="5"/>
        </w:numPr>
        <w:jc w:val="left"/>
        <w:rPr>
          <w:rFonts w:hint="default"/>
          <w:b w:val="0"/>
          <w:bCs w:val="0"/>
          <w:color w:val="auto"/>
          <w:sz w:val="28"/>
          <w:szCs w:val="36"/>
          <w:lang w:val="en-US" w:eastAsia="zh-CN"/>
        </w:rPr>
      </w:pPr>
      <w:r>
        <w:rPr>
          <w:rFonts w:hint="eastAsia"/>
          <w:b w:val="0"/>
          <w:bCs w:val="0"/>
          <w:color w:val="auto"/>
          <w:sz w:val="28"/>
          <w:szCs w:val="36"/>
          <w:lang w:val="en-US" w:eastAsia="zh-CN"/>
        </w:rPr>
        <w:t>技术经济评估</w:t>
      </w:r>
    </w:p>
    <w:p w14:paraId="460B3E1F">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制定《</w:t>
      </w:r>
      <w:r>
        <w:rPr>
          <w:rFonts w:hint="eastAsia" w:ascii="Times New Roman" w:hAnsi="Times New Roman" w:eastAsia="宋体" w:cs="Times New Roman"/>
          <w:color w:val="auto"/>
          <w:sz w:val="28"/>
          <w:szCs w:val="28"/>
          <w:lang w:val="en-US" w:eastAsia="zh-CN"/>
        </w:rPr>
        <w:t>食用农产品批发市场食品安全管理操作规范 第3部分：农产品入场快速检测</w:t>
      </w:r>
      <w:r>
        <w:rPr>
          <w:rFonts w:hint="default" w:ascii="Times New Roman" w:hAnsi="Times New Roman" w:eastAsia="宋体" w:cs="Times New Roman"/>
          <w:b w:val="0"/>
          <w:bCs w:val="0"/>
          <w:color w:val="auto"/>
          <w:sz w:val="28"/>
          <w:szCs w:val="28"/>
          <w:lang w:val="en-US" w:eastAsia="zh-CN"/>
        </w:rPr>
        <w:t>》团体标准，可引导国内食用农产品批发市场开办者规范</w:t>
      </w:r>
      <w:r>
        <w:rPr>
          <w:rFonts w:hint="eastAsia" w:ascii="Times New Roman" w:hAnsi="Times New Roman" w:eastAsia="宋体" w:cs="Times New Roman"/>
          <w:b w:val="0"/>
          <w:bCs w:val="0"/>
          <w:color w:val="auto"/>
          <w:sz w:val="28"/>
          <w:szCs w:val="28"/>
          <w:lang w:val="en-US" w:eastAsia="zh-CN"/>
        </w:rPr>
        <w:t>市场开办者对农产品入场时快速检测</w:t>
      </w:r>
      <w:r>
        <w:rPr>
          <w:rFonts w:hint="default" w:ascii="Times New Roman" w:hAnsi="Times New Roman" w:eastAsia="宋体" w:cs="Times New Roman"/>
          <w:b w:val="0"/>
          <w:bCs w:val="0"/>
          <w:color w:val="auto"/>
          <w:sz w:val="28"/>
          <w:szCs w:val="28"/>
          <w:lang w:val="en-US" w:eastAsia="zh-CN"/>
        </w:rPr>
        <w:t>，提升批发市场开办者管理水平，进而带动食用农产品批发市场整体行业的提升。</w:t>
      </w:r>
    </w:p>
    <w:p w14:paraId="03D68DBC">
      <w:pPr>
        <w:numPr>
          <w:ilvl w:val="0"/>
          <w:numId w:val="0"/>
        </w:num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四、</w:t>
      </w:r>
      <w:r>
        <w:rPr>
          <w:rFonts w:ascii="Times New Roman" w:hAnsi="Times New Roman" w:eastAsia="宋体" w:cs="Times New Roman"/>
          <w:b/>
          <w:bCs/>
          <w:color w:val="auto"/>
          <w:sz w:val="28"/>
          <w:szCs w:val="28"/>
        </w:rPr>
        <w:t>与有关法律、行政法规和其他强制性标准的关系</w:t>
      </w:r>
    </w:p>
    <w:p w14:paraId="1EC6BCF1">
      <w:pPr>
        <w:numPr>
          <w:ilvl w:val="0"/>
          <w:numId w:val="0"/>
        </w:numPr>
        <w:ind w:leftChars="0" w:firstLine="560" w:firstLineChars="200"/>
        <w:rPr>
          <w:rFonts w:ascii="Times New Roman" w:hAnsi="Times New Roman" w:eastAsia="宋体" w:cs="Times New Roman"/>
          <w:b/>
          <w:bCs/>
          <w:color w:val="auto"/>
          <w:sz w:val="28"/>
          <w:szCs w:val="28"/>
        </w:rPr>
      </w:pPr>
      <w:r>
        <w:rPr>
          <w:rFonts w:ascii="Times New Roman" w:hAnsi="Times New Roman" w:eastAsia="宋体" w:cs="Times New Roman"/>
          <w:color w:val="auto"/>
          <w:sz w:val="28"/>
          <w:szCs w:val="28"/>
        </w:rPr>
        <w:t>本标准是在我国法律、法规及相关国家标准的要求下，结合</w:t>
      </w:r>
      <w:r>
        <w:rPr>
          <w:rFonts w:hint="eastAsia" w:ascii="Times New Roman" w:hAnsi="Times New Roman" w:eastAsia="宋体" w:cs="Times New Roman"/>
          <w:color w:val="auto"/>
          <w:sz w:val="28"/>
          <w:szCs w:val="28"/>
          <w:lang w:val="en-US" w:eastAsia="zh-CN"/>
        </w:rPr>
        <w:t>农贸市场</w:t>
      </w:r>
      <w:r>
        <w:rPr>
          <w:rFonts w:ascii="Times New Roman" w:hAnsi="Times New Roman" w:eastAsia="宋体" w:cs="Times New Roman"/>
          <w:color w:val="auto"/>
          <w:sz w:val="28"/>
          <w:szCs w:val="28"/>
        </w:rPr>
        <w:t>的特点，规范了</w:t>
      </w:r>
      <w:r>
        <w:rPr>
          <w:rFonts w:hint="eastAsia" w:ascii="Times New Roman" w:hAnsi="Times New Roman" w:eastAsia="宋体" w:cs="Times New Roman"/>
          <w:color w:val="auto"/>
          <w:sz w:val="28"/>
          <w:szCs w:val="28"/>
          <w:lang w:val="en-US" w:eastAsia="zh-CN"/>
        </w:rPr>
        <w:t>食用农产品批发市场中入场快速检测操作</w:t>
      </w:r>
      <w:r>
        <w:rPr>
          <w:rFonts w:ascii="Times New Roman" w:hAnsi="Times New Roman" w:eastAsia="宋体" w:cs="Times New Roman"/>
          <w:color w:val="auto"/>
          <w:sz w:val="28"/>
          <w:szCs w:val="28"/>
        </w:rPr>
        <w:t>。本标准与现行法律、法规和相关国家标准、行业标准协调一致，不存在矛盾。</w:t>
      </w:r>
    </w:p>
    <w:p w14:paraId="015A6D91">
      <w:pPr>
        <w:numPr>
          <w:ilvl w:val="0"/>
          <w:numId w:val="0"/>
        </w:num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五、</w:t>
      </w:r>
      <w:r>
        <w:rPr>
          <w:rFonts w:ascii="Times New Roman" w:hAnsi="Times New Roman" w:eastAsia="宋体" w:cs="Times New Roman"/>
          <w:b/>
          <w:bCs/>
          <w:color w:val="auto"/>
          <w:sz w:val="28"/>
          <w:szCs w:val="28"/>
        </w:rPr>
        <w:t>与国际标准化组织、其他国家或者地区有关法律法规和标准的比对分析</w:t>
      </w:r>
    </w:p>
    <w:p w14:paraId="59746BCE">
      <w:pPr>
        <w:numPr>
          <w:ilvl w:val="255"/>
          <w:numId w:val="0"/>
        </w:numPr>
        <w:ind w:firstLine="560" w:firstLineChars="200"/>
        <w:rPr>
          <w:rFonts w:ascii="Times New Roman" w:hAnsi="Times New Roman" w:eastAsia="宋体" w:cs="Times New Roman"/>
          <w:b/>
          <w:bCs/>
          <w:color w:val="auto"/>
          <w:sz w:val="28"/>
          <w:szCs w:val="28"/>
        </w:rPr>
      </w:pPr>
      <w:r>
        <w:rPr>
          <w:rFonts w:ascii="Times New Roman" w:hAnsi="Times New Roman" w:eastAsia="宋体" w:cs="Times New Roman"/>
          <w:color w:val="auto"/>
          <w:sz w:val="28"/>
          <w:szCs w:val="28"/>
        </w:rPr>
        <w:t>本标准在制定过程中</w:t>
      </w:r>
      <w:r>
        <w:rPr>
          <w:rFonts w:hint="eastAsia" w:ascii="Times New Roman" w:hAnsi="Times New Roman" w:eastAsia="宋体" w:cs="Times New Roman"/>
          <w:color w:val="auto"/>
          <w:sz w:val="28"/>
          <w:szCs w:val="28"/>
        </w:rPr>
        <w:t>尚无相关</w:t>
      </w:r>
      <w:r>
        <w:rPr>
          <w:rFonts w:ascii="Times New Roman" w:hAnsi="Times New Roman" w:eastAsia="宋体" w:cs="Times New Roman"/>
          <w:color w:val="auto"/>
          <w:sz w:val="28"/>
          <w:szCs w:val="28"/>
        </w:rPr>
        <w:t>国际标准或</w:t>
      </w:r>
      <w:r>
        <w:rPr>
          <w:rFonts w:hint="eastAsia" w:ascii="Times New Roman" w:hAnsi="Times New Roman" w:eastAsia="宋体" w:cs="Times New Roman"/>
          <w:color w:val="auto"/>
          <w:sz w:val="28"/>
          <w:szCs w:val="28"/>
        </w:rPr>
        <w:t>相关</w:t>
      </w:r>
      <w:r>
        <w:rPr>
          <w:rFonts w:ascii="Times New Roman" w:hAnsi="Times New Roman" w:eastAsia="宋体" w:cs="Times New Roman"/>
          <w:color w:val="auto"/>
          <w:sz w:val="28"/>
          <w:szCs w:val="28"/>
        </w:rPr>
        <w:t>国外文件。</w:t>
      </w:r>
    </w:p>
    <w:p w14:paraId="0EA84161">
      <w:pPr>
        <w:numPr>
          <w:ilvl w:val="0"/>
          <w:numId w:val="0"/>
        </w:num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六、</w:t>
      </w:r>
      <w:r>
        <w:rPr>
          <w:rFonts w:ascii="Times New Roman" w:hAnsi="Times New Roman" w:eastAsia="宋体" w:cs="Times New Roman"/>
          <w:b/>
          <w:bCs/>
          <w:color w:val="auto"/>
          <w:sz w:val="28"/>
          <w:szCs w:val="28"/>
        </w:rPr>
        <w:t>重大分歧意见的处理经过和依据</w:t>
      </w:r>
    </w:p>
    <w:p w14:paraId="0C08C180">
      <w:pPr>
        <w:numPr>
          <w:ilvl w:val="255"/>
          <w:numId w:val="0"/>
        </w:numPr>
        <w:ind w:firstLine="560" w:firstLineChars="200"/>
        <w:rPr>
          <w:rFonts w:ascii="Times New Roman" w:hAnsi="Times New Roman" w:eastAsia="宋体" w:cs="Times New Roman"/>
          <w:b/>
          <w:bCs/>
          <w:color w:val="auto"/>
          <w:sz w:val="28"/>
          <w:szCs w:val="28"/>
        </w:rPr>
      </w:pPr>
      <w:r>
        <w:rPr>
          <w:rFonts w:ascii="Times New Roman" w:hAnsi="Times New Roman" w:eastAsia="宋体" w:cs="Times New Roman"/>
          <w:color w:val="auto"/>
          <w:sz w:val="28"/>
          <w:szCs w:val="28"/>
        </w:rPr>
        <w:t>本标准在制定过程中无重大分歧性意见。</w:t>
      </w:r>
    </w:p>
    <w:p w14:paraId="12BD702B">
      <w:pPr>
        <w:numPr>
          <w:ilvl w:val="0"/>
          <w:numId w:val="6"/>
        </w:numP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标准性质的建议说明</w:t>
      </w:r>
    </w:p>
    <w:p w14:paraId="08F1C744">
      <w:pPr>
        <w:numPr>
          <w:ilvl w:val="0"/>
          <w:numId w:val="0"/>
        </w:numPr>
        <w:ind w:firstLine="560" w:firstLineChars="200"/>
        <w:rPr>
          <w:rFonts w:ascii="Times New Roman" w:hAnsi="Times New Roman" w:eastAsia="宋体" w:cs="Times New Roman"/>
          <w:b/>
          <w:bCs/>
          <w:color w:val="auto"/>
          <w:sz w:val="28"/>
          <w:szCs w:val="28"/>
        </w:rPr>
      </w:pPr>
      <w:r>
        <w:rPr>
          <w:rFonts w:ascii="Times New Roman" w:hAnsi="Times New Roman" w:eastAsia="宋体" w:cs="Times New Roman"/>
          <w:color w:val="auto"/>
          <w:sz w:val="28"/>
          <w:szCs w:val="28"/>
        </w:rPr>
        <w:t>建议本标准</w:t>
      </w:r>
      <w:r>
        <w:rPr>
          <w:rFonts w:hint="eastAsia" w:ascii="Times New Roman" w:hAnsi="Times New Roman" w:eastAsia="宋体" w:cs="Times New Roman"/>
          <w:color w:val="auto"/>
          <w:sz w:val="28"/>
          <w:szCs w:val="28"/>
        </w:rPr>
        <w:t>发布为T/CAWA</w:t>
      </w:r>
      <w:r>
        <w:rPr>
          <w:rFonts w:ascii="Times New Roman" w:hAnsi="Times New Roman" w:eastAsia="宋体" w:cs="Times New Roman"/>
          <w:color w:val="auto"/>
          <w:sz w:val="28"/>
          <w:szCs w:val="28"/>
        </w:rPr>
        <w:t>团体标准。</w:t>
      </w:r>
    </w:p>
    <w:p w14:paraId="169467D0">
      <w:pPr>
        <w:numPr>
          <w:ilvl w:val="0"/>
          <w:numId w:val="6"/>
        </w:numPr>
        <w:ind w:left="0" w:leftChars="0" w:firstLine="0" w:firstLineChars="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贯彻团体标准的措施建议</w:t>
      </w:r>
    </w:p>
    <w:p w14:paraId="3822BDB4">
      <w:pPr>
        <w:numPr>
          <w:ilvl w:val="0"/>
          <w:numId w:val="0"/>
        </w:numPr>
        <w:ind w:leftChars="0" w:firstLine="560" w:firstLineChars="200"/>
        <w:rPr>
          <w:rFonts w:ascii="Times New Roman" w:hAnsi="Times New Roman" w:eastAsia="宋体" w:cs="Times New Roman"/>
          <w:b/>
          <w:bCs/>
          <w:color w:val="auto"/>
          <w:sz w:val="28"/>
          <w:szCs w:val="28"/>
        </w:rPr>
      </w:pPr>
      <w:r>
        <w:rPr>
          <w:rFonts w:ascii="Times New Roman" w:hAnsi="Times New Roman" w:eastAsia="宋体" w:cs="Times New Roman"/>
          <w:color w:val="auto"/>
          <w:sz w:val="28"/>
          <w:szCs w:val="28"/>
        </w:rPr>
        <w:t>建议本标准批准发布</w:t>
      </w:r>
      <w:r>
        <w:rPr>
          <w:rFonts w:hint="eastAsia" w:ascii="Times New Roman" w:hAnsi="Times New Roman" w:eastAsia="宋体" w:cs="Times New Roman"/>
          <w:color w:val="auto"/>
          <w:sz w:val="28"/>
          <w:szCs w:val="28"/>
          <w:lang w:val="en-US" w:eastAsia="zh-CN"/>
        </w:rPr>
        <w:t>6</w:t>
      </w:r>
      <w:r>
        <w:rPr>
          <w:rFonts w:ascii="Times New Roman" w:hAnsi="Times New Roman" w:eastAsia="宋体" w:cs="Times New Roman"/>
          <w:color w:val="auto"/>
          <w:sz w:val="28"/>
          <w:szCs w:val="28"/>
        </w:rPr>
        <w:t>个月后实施。</w:t>
      </w:r>
    </w:p>
    <w:p w14:paraId="67DB998F">
      <w:pPr>
        <w:numPr>
          <w:ilvl w:val="0"/>
          <w:numId w:val="6"/>
        </w:numPr>
        <w:ind w:left="0" w:leftChars="0" w:firstLine="0" w:firstLineChars="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其他应予说明的事项</w:t>
      </w:r>
    </w:p>
    <w:p w14:paraId="285F5D62">
      <w:pPr>
        <w:numPr>
          <w:ilvl w:val="0"/>
          <w:numId w:val="0"/>
        </w:numPr>
        <w:ind w:leftChars="0" w:firstLine="560" w:firstLineChars="200"/>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无</w:t>
      </w:r>
    </w:p>
    <w:p w14:paraId="28AB6E33">
      <w:pPr>
        <w:jc w:val="left"/>
        <w:rPr>
          <w:rFonts w:hint="default"/>
          <w:b w:val="0"/>
          <w:bCs w:val="0"/>
          <w:color w:val="auto"/>
          <w:sz w:val="24"/>
          <w:szCs w:val="32"/>
          <w:lang w:val="en-US" w:eastAsia="zh-CN"/>
        </w:rPr>
      </w:pPr>
    </w:p>
    <w:sectPr>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8B867"/>
    <w:multiLevelType w:val="multilevel"/>
    <w:tmpl w:val="D8B8B86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B0D315D"/>
    <w:multiLevelType w:val="singleLevel"/>
    <w:tmpl w:val="FB0D315D"/>
    <w:lvl w:ilvl="0" w:tentative="0">
      <w:start w:val="1"/>
      <w:numFmt w:val="decimal"/>
      <w:lvlText w:val="%1."/>
      <w:lvlJc w:val="left"/>
      <w:pPr>
        <w:tabs>
          <w:tab w:val="left" w:pos="312"/>
        </w:tabs>
      </w:pPr>
    </w:lvl>
  </w:abstractNum>
  <w:abstractNum w:abstractNumId="2">
    <w:nsid w:val="030C8BB6"/>
    <w:multiLevelType w:val="singleLevel"/>
    <w:tmpl w:val="030C8BB6"/>
    <w:lvl w:ilvl="0" w:tentative="0">
      <w:start w:val="1"/>
      <w:numFmt w:val="chineseCounting"/>
      <w:suff w:val="nothing"/>
      <w:lvlText w:val="%1、"/>
      <w:lvlJc w:val="left"/>
      <w:pPr>
        <w:ind w:left="210"/>
      </w:pPr>
      <w:rPr>
        <w:rFonts w:hint="eastAsia"/>
      </w:rPr>
    </w:lvl>
  </w:abstractNum>
  <w:abstractNum w:abstractNumId="3">
    <w:nsid w:val="2482DC69"/>
    <w:multiLevelType w:val="singleLevel"/>
    <w:tmpl w:val="2482DC69"/>
    <w:lvl w:ilvl="0" w:tentative="0">
      <w:start w:val="1"/>
      <w:numFmt w:val="decimal"/>
      <w:lvlText w:val="%1."/>
      <w:lvlJc w:val="left"/>
      <w:pPr>
        <w:tabs>
          <w:tab w:val="left" w:pos="312"/>
        </w:tabs>
      </w:pPr>
    </w:lvl>
  </w:abstractNum>
  <w:abstractNum w:abstractNumId="4">
    <w:nsid w:val="5251731E"/>
    <w:multiLevelType w:val="singleLevel"/>
    <w:tmpl w:val="5251731E"/>
    <w:lvl w:ilvl="0" w:tentative="0">
      <w:start w:val="7"/>
      <w:numFmt w:val="chineseCounting"/>
      <w:suff w:val="nothing"/>
      <w:lvlText w:val="%1、"/>
      <w:lvlJc w:val="left"/>
      <w:rPr>
        <w:rFonts w:hint="eastAsia"/>
      </w:rPr>
    </w:lvl>
  </w:abstractNum>
  <w:abstractNum w:abstractNumId="5">
    <w:nsid w:val="7606C53D"/>
    <w:multiLevelType w:val="singleLevel"/>
    <w:tmpl w:val="7606C53D"/>
    <w:lvl w:ilvl="0" w:tentative="0">
      <w:start w:val="1"/>
      <w:numFmt w:val="decimal"/>
      <w:lvlText w:val="%1."/>
      <w:lvlJc w:val="left"/>
      <w:pPr>
        <w:tabs>
          <w:tab w:val="left" w:pos="312"/>
        </w:tabs>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35F76CF6"/>
    <w:rsid w:val="04BD126D"/>
    <w:rsid w:val="06E45A7E"/>
    <w:rsid w:val="07126147"/>
    <w:rsid w:val="08702488"/>
    <w:rsid w:val="091A5787"/>
    <w:rsid w:val="09CA2D09"/>
    <w:rsid w:val="0BC639A4"/>
    <w:rsid w:val="0EEA79A9"/>
    <w:rsid w:val="0F331350"/>
    <w:rsid w:val="10DD3881"/>
    <w:rsid w:val="11955292"/>
    <w:rsid w:val="14972623"/>
    <w:rsid w:val="15EC0A53"/>
    <w:rsid w:val="18574301"/>
    <w:rsid w:val="1A2B183F"/>
    <w:rsid w:val="1FEA5A5B"/>
    <w:rsid w:val="23080E27"/>
    <w:rsid w:val="2331574F"/>
    <w:rsid w:val="24822706"/>
    <w:rsid w:val="26094761"/>
    <w:rsid w:val="298505A2"/>
    <w:rsid w:val="2A38489B"/>
    <w:rsid w:val="2DB0492A"/>
    <w:rsid w:val="2DC264D4"/>
    <w:rsid w:val="320C7AB3"/>
    <w:rsid w:val="32DA4B33"/>
    <w:rsid w:val="33510202"/>
    <w:rsid w:val="35F76CF6"/>
    <w:rsid w:val="39F04C89"/>
    <w:rsid w:val="3C2854E9"/>
    <w:rsid w:val="40786313"/>
    <w:rsid w:val="48500F4A"/>
    <w:rsid w:val="4ED60DD5"/>
    <w:rsid w:val="56C500AD"/>
    <w:rsid w:val="58B32187"/>
    <w:rsid w:val="5BC052E6"/>
    <w:rsid w:val="5BF2451C"/>
    <w:rsid w:val="5C171E7F"/>
    <w:rsid w:val="5D411058"/>
    <w:rsid w:val="5DD60DF1"/>
    <w:rsid w:val="5EE94D17"/>
    <w:rsid w:val="5FA10F8B"/>
    <w:rsid w:val="629008DE"/>
    <w:rsid w:val="650507C4"/>
    <w:rsid w:val="669A0009"/>
    <w:rsid w:val="66AA7268"/>
    <w:rsid w:val="67C73559"/>
    <w:rsid w:val="681A7B2C"/>
    <w:rsid w:val="684B5F38"/>
    <w:rsid w:val="689B6EBF"/>
    <w:rsid w:val="6B2D7B77"/>
    <w:rsid w:val="70A22DB5"/>
    <w:rsid w:val="713514E1"/>
    <w:rsid w:val="721B73E1"/>
    <w:rsid w:val="733221CE"/>
    <w:rsid w:val="73EA4857"/>
    <w:rsid w:val="77075720"/>
    <w:rsid w:val="78271AC8"/>
    <w:rsid w:val="7A122D59"/>
    <w:rsid w:val="7A225F80"/>
    <w:rsid w:val="7A6F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2354</Words>
  <Characters>2443</Characters>
  <Lines>0</Lines>
  <Paragraphs>0</Paragraphs>
  <TotalTime>4</TotalTime>
  <ScaleCrop>false</ScaleCrop>
  <LinksUpToDate>false</LinksUpToDate>
  <CharactersWithSpaces>2463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2024-11-04T06:28:00Z</dcterms:created>
  <dc:creator>jczx</dc:creator>
  <cp:lastModifiedBy>淺末夕夏✨</cp:lastModifiedBy>
  <dcterms:modified xsi:type="dcterms:W3CDTF">2025-09-02T05:30:48Z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4D7AD192A5C54AEE97EFC104AA8C78C1</vt:lpwstr>
  </property>
  <property fmtid="{D5CDD505-2E9C-101B-9397-08002B2CF9AE}" pid="4" name="KSOTemplateDocerSaveRecord">
    <vt:lpwstr>eyJoZGlkIjoiMGRjZjQzYTc2Yzg4N2RhZWM5ZWZhNGFkZTk2OTdjMjMiLCJ1c2VySWQiOiIxMTY4MzM4NjI2In0=</vt:lpwstr>
  </property>
</Properties>
</file>