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737BE">
      <w:pPr>
        <w:pStyle w:val="6"/>
        <w:bidi w:val="0"/>
        <w:spacing w:line="360" w:lineRule="auto"/>
        <w:ind w:firstLine="840" w:firstLineChars="200"/>
        <w:rPr>
          <w:rFonts w:hint="eastAsia" w:ascii="黑体" w:hAnsi="黑体" w:eastAsia="黑体" w:cs="黑体"/>
          <w:color w:val="auto"/>
          <w:sz w:val="44"/>
          <w:szCs w:val="44"/>
          <w:lang w:eastAsia="zh-CN"/>
          <w14:ligatures w14:val="standardContextual"/>
        </w:rPr>
      </w:pPr>
      <w:r>
        <w:rPr>
          <w:rFonts w:hint="eastAsia" w:ascii="黑体" w:hAnsi="黑体" w:eastAsia="黑体" w:cs="黑体"/>
          <w:color w:val="auto"/>
          <w:sz w:val="44"/>
          <w:szCs w:val="44"/>
          <w:lang w:eastAsia="zh-CN"/>
          <w14:ligatures w14:val="standardContextual"/>
        </w:rPr>
        <w:t>《</w:t>
      </w:r>
      <w:bookmarkStart w:id="0" w:name="OLE_LINK1"/>
      <w:r>
        <w:rPr>
          <w:rFonts w:hint="eastAsia" w:ascii="黑体" w:hAnsi="黑体" w:eastAsia="黑体" w:cs="黑体"/>
          <w:color w:val="auto"/>
          <w:sz w:val="44"/>
          <w:szCs w:val="44"/>
          <w:lang w:val="en-US" w:eastAsia="zh-CN"/>
          <w14:ligatures w14:val="standardContextual"/>
        </w:rPr>
        <w:t>食用农产品批发市场食品安全管理操作规范第2部分：入场销售者查验及管理</w:t>
      </w:r>
      <w:bookmarkEnd w:id="0"/>
      <w:r>
        <w:rPr>
          <w:rFonts w:hint="eastAsia" w:ascii="黑体" w:hAnsi="黑体" w:eastAsia="黑体" w:cs="黑体"/>
          <w:color w:val="auto"/>
          <w:sz w:val="44"/>
          <w:szCs w:val="44"/>
          <w:lang w:eastAsia="zh-CN"/>
          <w14:ligatures w14:val="standardContextual"/>
        </w:rPr>
        <w:t>》</w:t>
      </w:r>
    </w:p>
    <w:p w14:paraId="1CD06ED1">
      <w:pPr>
        <w:pStyle w:val="6"/>
        <w:bidi w:val="0"/>
        <w:spacing w:line="360" w:lineRule="auto"/>
        <w:ind w:firstLine="3360" w:firstLineChars="800"/>
        <w:jc w:val="both"/>
        <w:rPr>
          <w:rFonts w:hint="default" w:ascii="黑体" w:hAnsi="黑体" w:eastAsia="黑体" w:cs="黑体"/>
          <w:color w:val="auto"/>
          <w:sz w:val="44"/>
          <w:szCs w:val="44"/>
          <w:lang w:val="en-US" w:eastAsia="zh-CN"/>
          <w14:ligatures w14:val="standardContextual"/>
        </w:rPr>
      </w:pPr>
      <w:r>
        <w:rPr>
          <w:rFonts w:hint="default" w:ascii="黑体" w:hAnsi="黑体" w:eastAsia="黑体" w:cs="黑体"/>
          <w:color w:val="auto"/>
          <w:sz w:val="44"/>
          <w:szCs w:val="44"/>
          <w:lang w:val="en-US" w:eastAsia="zh-CN"/>
          <w14:ligatures w14:val="standardContextual"/>
        </w:rPr>
        <w:t>编制说明</w:t>
      </w:r>
    </w:p>
    <w:p w14:paraId="05067274">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一、</w:t>
      </w:r>
      <w:r>
        <w:rPr>
          <w:rFonts w:hint="default"/>
          <w:color w:val="auto"/>
          <w:sz w:val="32"/>
          <w:szCs w:val="44"/>
          <w:lang w:val="en-US" w:eastAsia="zh-CN"/>
          <w14:ligatures w14:val="standardContextual"/>
        </w:rPr>
        <w:t>工作简况</w:t>
      </w:r>
    </w:p>
    <w:p w14:paraId="336BDA2F">
      <w:pPr>
        <w:pStyle w:val="3"/>
        <w:bidi w:val="0"/>
        <w:spacing w:before="0" w:beforeLines="-2147483648" w:after="0" w:afterLines="-2147483648" w:line="360" w:lineRule="auto"/>
        <w:jc w:val="left"/>
        <w:rPr>
          <w:rFonts w:hint="default" w:ascii="黑体" w:hAnsi="黑体" w:eastAsia="黑体"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1.</w:t>
      </w:r>
      <w:r>
        <w:rPr>
          <w:rFonts w:hint="default" w:ascii="黑体" w:hAnsi="黑体" w:eastAsia="黑体" w:cs="黑体"/>
          <w:b w:val="0"/>
          <w:bCs w:val="0"/>
          <w:color w:val="auto"/>
          <w:sz w:val="30"/>
          <w:szCs w:val="30"/>
          <w:lang w:val="en-US" w:eastAsia="zh-CN"/>
          <w14:ligatures w14:val="standardContextual"/>
        </w:rPr>
        <w:t>任务来源</w:t>
      </w:r>
    </w:p>
    <w:p w14:paraId="095A5E75">
      <w:pPr>
        <w:numPr>
          <w:ilvl w:val="0"/>
          <w:numId w:val="0"/>
        </w:numPr>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 xml:space="preserve">     食用农产品批发市场是农产品进行流通时的重要中间环节，能够有效的促使零售商和生产方进行连接，这对产品的集散展开发挥着及其关键的作用。近些年来，农产品在进行流通时，往往呈现出多渠道的态势，然而以终端环节来说，一个城市的农产品消费的绝大部分依旧借助批发市场进行有效的流通。</w:t>
      </w:r>
    </w:p>
    <w:p w14:paraId="40EF3498">
      <w:pPr>
        <w:numPr>
          <w:ilvl w:val="0"/>
          <w:numId w:val="0"/>
        </w:numPr>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 xml:space="preserve">     食用农产品批发市场作为食用农产品流通的主要渠道，食用农产品批发市场的开办者肩负着重要的食品安全把关责任。由于目前全国各食用农产品批发市场在种类和体量上存在较大差异，所以各批发市场对入场销售者查验和管理大不相同。入场销售者是将食用农产品流向市场和消费者的重要关口，是参与食品安全监管的第一个关口，食用农产品批发市场开办者如何更加规范的查验和管理对入场销售者的查验成为了行业难题。</w:t>
      </w:r>
    </w:p>
    <w:p w14:paraId="27D9AB50">
      <w:pPr>
        <w:numPr>
          <w:ilvl w:val="0"/>
          <w:numId w:val="0"/>
        </w:numPr>
        <w:ind w:firstLine="560" w:firstLineChars="20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为进一步推动食用农产品集中交易市场食品安全管理工作的落实执行，应加快针对入场销售者查验及管理操作规范标准的制定。制定入场销售者查验制度和管理制度，将有效促进食用农产品批发市场食品安全管理的进步，助力批发市场高质量发展。</w:t>
      </w:r>
    </w:p>
    <w:p w14:paraId="0FE490EF">
      <w:pPr>
        <w:numPr>
          <w:ilvl w:val="0"/>
          <w:numId w:val="0"/>
        </w:numPr>
        <w:ind w:firstLine="560" w:firstLineChars="20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根据我国食用农产品批发市场需求，由全国城市农贸中心联合会牵头的由无锡天鹏集团有限公司作为起草单位，天津金元宝滨海农产品交易市场有限公司、温州菜篮子农副产品批发交易市场、浙江嘉昕农产品股份有限公司、中山市深中标准质量研究中心和太原市河西农产品有限公司、西安粮油批发交易市场有限公司、中国供销农产品集团有限公司</w:t>
      </w:r>
      <w:bookmarkStart w:id="8" w:name="_GoBack"/>
      <w:bookmarkEnd w:id="8"/>
      <w:r>
        <w:rPr>
          <w:rFonts w:hint="eastAsia" w:ascii="Times New Roman" w:hAnsi="Times New Roman" w:eastAsia="宋体" w:cs="Times New Roman"/>
          <w:b w:val="0"/>
          <w:bCs w:val="0"/>
          <w:color w:val="auto"/>
          <w:sz w:val="28"/>
          <w:szCs w:val="28"/>
          <w:lang w:val="en-US" w:eastAsia="zh-CN"/>
        </w:rPr>
        <w:t>作为参与单位，按照团体标准管理办法的规定，成立了《食用农产品批发市场食品安全管理操作规范 第2部分：入场销售者查验及管理》团体标准编制工作组（以下简称“工作组”）。</w:t>
      </w:r>
    </w:p>
    <w:p w14:paraId="48CDC5C5">
      <w:pPr>
        <w:pStyle w:val="3"/>
        <w:bidi w:val="0"/>
        <w:spacing w:before="0" w:beforeLines="-2147483648" w:after="0" w:afterLines="-2147483648" w:line="360" w:lineRule="auto"/>
        <w:jc w:val="left"/>
        <w:rPr>
          <w:rFonts w:hint="default" w:ascii="黑体" w:hAnsi="黑体" w:eastAsia="黑体"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2.编制</w:t>
      </w:r>
      <w:r>
        <w:rPr>
          <w:rFonts w:hint="default" w:ascii="黑体" w:hAnsi="黑体" w:eastAsia="黑体" w:cs="黑体"/>
          <w:b w:val="0"/>
          <w:bCs w:val="0"/>
          <w:color w:val="auto"/>
          <w:sz w:val="30"/>
          <w:szCs w:val="30"/>
          <w:lang w:val="en-US" w:eastAsia="zh-CN"/>
          <w14:ligatures w14:val="standardContextual"/>
        </w:rPr>
        <w:t>过程</w:t>
      </w:r>
    </w:p>
    <w:p w14:paraId="164CA3FA">
      <w:pPr>
        <w:pStyle w:val="4"/>
        <w:bidi w:val="0"/>
        <w:rPr>
          <w:rFonts w:hint="eastAsia"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2.1预研阶段</w:t>
      </w:r>
    </w:p>
    <w:p w14:paraId="4F921344">
      <w:pPr>
        <w:pStyle w:val="4"/>
        <w:bidi w:val="0"/>
        <w:ind w:firstLine="560" w:firstLineChars="200"/>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2024年7月至2024年9月，在收集整理国内不同批发市场的资料的基础上，对《食用农产品批发市场食品安全管理操作规范 第2部分：入场销售者查验及管理》标准进行了预研。通过技术研讨，工作组明确了标准项目的研制目标。工作组拟从基本要求，入场查验要求、入场查验结果处置、入场查验记录及要求、入场销售者管理等关键要素对入场销售者查验与管理操作规范进行规定。</w:t>
      </w:r>
    </w:p>
    <w:p w14:paraId="6E81F80A">
      <w:pPr>
        <w:numPr>
          <w:ilvl w:val="0"/>
          <w:numId w:val="0"/>
        </w:numPr>
        <w:ind w:leftChars="0" w:firstLine="56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2024年11月，工作组向全国城市农贸中心联合会提交了团体标准书申请书与标准草案，进行申报立项。</w:t>
      </w:r>
    </w:p>
    <w:p w14:paraId="2DBFCFCC">
      <w:pPr>
        <w:pStyle w:val="4"/>
        <w:bidi w:val="0"/>
        <w:rPr>
          <w:rFonts w:hint="default"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2</w:t>
      </w:r>
      <w:r>
        <w:rPr>
          <w:rFonts w:hint="default" w:ascii="黑体" w:hAnsi="黑体" w:eastAsia="黑体" w:cs="黑体"/>
          <w:b w:val="0"/>
          <w:bCs/>
          <w:color w:val="auto"/>
          <w:sz w:val="30"/>
          <w:szCs w:val="30"/>
          <w:lang w:val="en-US" w:eastAsia="zh-CN"/>
        </w:rPr>
        <w:t>.2立项阶段</w:t>
      </w:r>
    </w:p>
    <w:p w14:paraId="43EA4385">
      <w:pPr>
        <w:numPr>
          <w:ilvl w:val="0"/>
          <w:numId w:val="0"/>
        </w:numPr>
        <w:ind w:leftChars="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 xml:space="preserve">    2025年1月17日，全国城市农贸中心联合会发布</w:t>
      </w:r>
      <w:bookmarkStart w:id="1" w:name="OLE_LINK3"/>
      <w:r>
        <w:rPr>
          <w:rFonts w:hint="eastAsia" w:ascii="Times New Roman" w:hAnsi="Times New Roman" w:eastAsia="宋体" w:cs="Times New Roman"/>
          <w:b w:val="0"/>
          <w:bCs w:val="0"/>
          <w:color w:val="auto"/>
          <w:sz w:val="28"/>
          <w:szCs w:val="28"/>
          <w:lang w:val="en-US" w:eastAsia="zh-CN"/>
        </w:rPr>
        <w:t>《关于发布&lt;食用农产品批发市场食品安全管理操作规范 第1部分：机构建设及运行&gt;等十项团体标准立项的公告》</w:t>
      </w:r>
      <w:bookmarkEnd w:id="1"/>
      <w:r>
        <w:rPr>
          <w:rFonts w:hint="eastAsia" w:ascii="Times New Roman" w:hAnsi="Times New Roman" w:eastAsia="宋体" w:cs="Times New Roman"/>
          <w:b w:val="0"/>
          <w:bCs w:val="0"/>
          <w:color w:val="auto"/>
          <w:sz w:val="28"/>
          <w:szCs w:val="28"/>
          <w:lang w:val="en-US" w:eastAsia="zh-CN"/>
        </w:rPr>
        <w:t>，对该项团体标准予以正式立项公告，标准立项号</w:t>
      </w:r>
      <w:bookmarkStart w:id="2" w:name="OLE_LINK4"/>
      <w:r>
        <w:rPr>
          <w:rFonts w:hint="eastAsia" w:ascii="Times New Roman" w:hAnsi="Times New Roman" w:eastAsia="宋体" w:cs="Times New Roman"/>
          <w:b w:val="0"/>
          <w:bCs w:val="0"/>
          <w:color w:val="auto"/>
          <w:sz w:val="28"/>
          <w:szCs w:val="28"/>
          <w:lang w:val="en-US" w:eastAsia="zh-CN"/>
        </w:rPr>
        <w:t>P/CAWA -2-2025</w:t>
      </w:r>
      <w:bookmarkEnd w:id="2"/>
      <w:r>
        <w:rPr>
          <w:rFonts w:hint="eastAsia" w:ascii="Times New Roman" w:hAnsi="Times New Roman" w:eastAsia="宋体" w:cs="Times New Roman"/>
          <w:b w:val="0"/>
          <w:bCs w:val="0"/>
          <w:color w:val="auto"/>
          <w:sz w:val="28"/>
          <w:szCs w:val="28"/>
          <w:lang w:val="en-US" w:eastAsia="zh-CN"/>
        </w:rPr>
        <w:t>。</w:t>
      </w:r>
    </w:p>
    <w:p w14:paraId="50CDF3CC">
      <w:pPr>
        <w:pStyle w:val="4"/>
        <w:bidi w:val="0"/>
        <w:rPr>
          <w:rFonts w:hint="default"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2</w:t>
      </w:r>
      <w:r>
        <w:rPr>
          <w:rFonts w:hint="default" w:ascii="黑体" w:hAnsi="黑体" w:eastAsia="黑体" w:cs="黑体"/>
          <w:b w:val="0"/>
          <w:bCs/>
          <w:color w:val="auto"/>
          <w:sz w:val="30"/>
          <w:szCs w:val="30"/>
          <w:lang w:val="en-US" w:eastAsia="zh-CN"/>
        </w:rPr>
        <w:t>.3起草阶段</w:t>
      </w:r>
    </w:p>
    <w:p w14:paraId="01806AE3">
      <w:pPr>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针对该标准项目，正式成立了标准起草工作组，明确了任务要求，安排了工作进度，根据参与人员的专业、技能合理分配任务。依据GB/T 1.1—2020《标准化工作导则 第1部分：标准化文件的结构和起草规则》对标准草案进一步完善的同时，开展技术指标的验证工作。</w:t>
      </w:r>
    </w:p>
    <w:p w14:paraId="0C9AA4BD">
      <w:pPr>
        <w:ind w:firstLine="560" w:firstLineChars="200"/>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color w:val="auto"/>
          <w:sz w:val="28"/>
          <w:szCs w:val="28"/>
          <w:lang w:val="en-US" w:eastAsia="zh-CN"/>
        </w:rPr>
        <w:t>在此期间，起草组组织农产品批发市场相关人员召开了3次工作会议，会议就标准制定的相关问题和评价指标进行了协商与研究。由此形成了最终的《</w:t>
      </w:r>
      <w:bookmarkStart w:id="3" w:name="OLE_LINK2"/>
      <w:r>
        <w:rPr>
          <w:rFonts w:hint="eastAsia" w:ascii="Times New Roman" w:hAnsi="Times New Roman" w:eastAsia="宋体" w:cs="Times New Roman"/>
          <w:color w:val="auto"/>
          <w:sz w:val="28"/>
          <w:szCs w:val="28"/>
          <w:lang w:val="en-US" w:eastAsia="zh-CN"/>
        </w:rPr>
        <w:t>食用农产品批发市场食品安全管理操作规范 第2部分：入场销售者查验及管理</w:t>
      </w:r>
      <w:bookmarkEnd w:id="3"/>
      <w:r>
        <w:rPr>
          <w:rFonts w:hint="eastAsia" w:ascii="Times New Roman" w:hAnsi="Times New Roman" w:eastAsia="宋体" w:cs="Times New Roman"/>
          <w:color w:val="auto"/>
          <w:sz w:val="28"/>
          <w:szCs w:val="28"/>
          <w:lang w:val="en-US" w:eastAsia="zh-CN"/>
        </w:rPr>
        <w:t>》团体标准和编制说明的征求意见稿。</w:t>
      </w:r>
    </w:p>
    <w:p w14:paraId="3DB3BA4D">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二、</w:t>
      </w:r>
      <w:r>
        <w:rPr>
          <w:rFonts w:hint="default"/>
          <w:color w:val="auto"/>
          <w:sz w:val="32"/>
          <w:szCs w:val="44"/>
          <w:lang w:val="en-US" w:eastAsia="zh-CN"/>
          <w14:ligatures w14:val="standardContextual"/>
        </w:rPr>
        <w:t>编制原则、标准主要</w:t>
      </w:r>
      <w:r>
        <w:rPr>
          <w:rFonts w:hint="eastAsia"/>
          <w:color w:val="auto"/>
          <w:sz w:val="32"/>
          <w:szCs w:val="44"/>
          <w:lang w:val="en-US" w:eastAsia="zh-CN"/>
          <w14:ligatures w14:val="standardContextual"/>
        </w:rPr>
        <w:t>内容及确定</w:t>
      </w:r>
      <w:r>
        <w:rPr>
          <w:rFonts w:hint="default"/>
          <w:color w:val="auto"/>
          <w:sz w:val="32"/>
          <w:szCs w:val="44"/>
          <w:lang w:val="en-US" w:eastAsia="zh-CN"/>
          <w14:ligatures w14:val="standardContextual"/>
        </w:rPr>
        <w:t>依据</w:t>
      </w:r>
    </w:p>
    <w:p w14:paraId="4BBAF21A">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default" w:cs="黑体"/>
          <w:b w:val="0"/>
          <w:bCs w:val="0"/>
          <w:color w:val="auto"/>
          <w:sz w:val="30"/>
          <w:szCs w:val="30"/>
          <w:lang w:val="en-US" w:eastAsia="zh-CN"/>
          <w14:ligatures w14:val="standardContextual"/>
        </w:rPr>
        <w:t>1.标准编制主要原则</w:t>
      </w:r>
    </w:p>
    <w:p w14:paraId="396320AE">
      <w:pPr>
        <w:numPr>
          <w:ilvl w:val="255"/>
          <w:numId w:val="0"/>
        </w:numPr>
        <w:rPr>
          <w:rFonts w:ascii="Times New Roman" w:hAnsi="Times New Roman" w:eastAsia="宋体" w:cs="Times New Roman"/>
          <w:color w:val="auto"/>
          <w:sz w:val="28"/>
          <w:szCs w:val="28"/>
        </w:rPr>
      </w:pPr>
      <w:r>
        <w:rPr>
          <w:rFonts w:hint="eastAsia" w:ascii="黑体" w:hAnsi="黑体" w:eastAsia="黑体" w:cs="黑体"/>
          <w:b w:val="0"/>
          <w:bCs/>
          <w:color w:val="auto"/>
          <w:kern w:val="2"/>
          <w:sz w:val="30"/>
          <w:szCs w:val="30"/>
          <w:lang w:val="en-US" w:eastAsia="zh-CN" w:bidi="ar-SA"/>
        </w:rPr>
        <w:t xml:space="preserve">1.1 </w:t>
      </w:r>
      <w:r>
        <w:rPr>
          <w:rFonts w:ascii="Times New Roman" w:hAnsi="Times New Roman" w:eastAsia="宋体" w:cs="Times New Roman"/>
          <w:color w:val="auto"/>
          <w:sz w:val="28"/>
          <w:szCs w:val="28"/>
        </w:rPr>
        <w:t>标准格式按照GB/T 1.1-2020《标准化工作导则 第1部分：标准的结构和编写》及相关法规的要求编写。</w:t>
      </w:r>
    </w:p>
    <w:p w14:paraId="1CCBF150">
      <w:pPr>
        <w:numPr>
          <w:ilvl w:val="255"/>
          <w:numId w:val="0"/>
        </w:numPr>
        <w:rPr>
          <w:rFonts w:hint="default" w:ascii="Times New Roman" w:hAnsi="Times New Roman" w:eastAsia="宋体" w:cs="Times New Roman"/>
          <w:b w:val="0"/>
          <w:bCs w:val="0"/>
          <w:color w:val="auto"/>
          <w:sz w:val="28"/>
          <w:szCs w:val="28"/>
          <w:lang w:val="en-US" w:eastAsia="zh-CN"/>
        </w:rPr>
      </w:pPr>
      <w:r>
        <w:rPr>
          <w:rFonts w:hint="eastAsia" w:ascii="黑体" w:hAnsi="黑体" w:eastAsia="黑体" w:cs="黑体"/>
          <w:b w:val="0"/>
          <w:bCs/>
          <w:color w:val="auto"/>
          <w:kern w:val="2"/>
          <w:sz w:val="30"/>
          <w:szCs w:val="30"/>
          <w:lang w:val="en-US" w:eastAsia="zh-CN" w:bidi="ar-SA"/>
        </w:rPr>
        <w:t xml:space="preserve">1.2 </w:t>
      </w:r>
      <w:r>
        <w:rPr>
          <w:rFonts w:ascii="Times New Roman" w:hAnsi="Times New Roman" w:eastAsia="宋体" w:cs="Times New Roman"/>
          <w:color w:val="auto"/>
          <w:sz w:val="28"/>
          <w:szCs w:val="28"/>
        </w:rPr>
        <w:t>制定标准已充分考虑</w:t>
      </w:r>
      <w:r>
        <w:rPr>
          <w:rFonts w:hint="eastAsia" w:ascii="Times New Roman" w:hAnsi="Times New Roman" w:eastAsia="宋体" w:cs="Times New Roman"/>
          <w:color w:val="auto"/>
          <w:sz w:val="28"/>
          <w:szCs w:val="28"/>
        </w:rPr>
        <w:t>国内外相关</w:t>
      </w:r>
      <w:r>
        <w:rPr>
          <w:rFonts w:ascii="Times New Roman" w:hAnsi="Times New Roman" w:eastAsia="宋体" w:cs="Times New Roman"/>
          <w:color w:val="auto"/>
          <w:sz w:val="28"/>
          <w:szCs w:val="28"/>
        </w:rPr>
        <w:t>企业</w:t>
      </w:r>
      <w:r>
        <w:rPr>
          <w:rFonts w:hint="eastAsia" w:ascii="Times New Roman" w:hAnsi="Times New Roman" w:eastAsia="宋体" w:cs="Times New Roman"/>
          <w:color w:val="auto"/>
          <w:sz w:val="28"/>
          <w:szCs w:val="28"/>
        </w:rPr>
        <w:t>、协会</w:t>
      </w:r>
      <w:r>
        <w:rPr>
          <w:rFonts w:ascii="Times New Roman" w:hAnsi="Times New Roman" w:eastAsia="宋体" w:cs="Times New Roman"/>
          <w:color w:val="auto"/>
          <w:sz w:val="28"/>
          <w:szCs w:val="28"/>
        </w:rPr>
        <w:t>以及专家的意见和建议，既要求标准切实可行，具有可操作性，又要求标准具有先进性、科学性。</w:t>
      </w:r>
    </w:p>
    <w:p w14:paraId="0A3C9335">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default" w:cs="黑体"/>
          <w:b w:val="0"/>
          <w:bCs w:val="0"/>
          <w:color w:val="auto"/>
          <w:sz w:val="30"/>
          <w:szCs w:val="30"/>
          <w:lang w:val="en-US" w:eastAsia="zh-CN"/>
          <w14:ligatures w14:val="standardContextual"/>
        </w:rPr>
        <w:t>2.标准</w:t>
      </w:r>
      <w:r>
        <w:rPr>
          <w:rFonts w:hint="eastAsia" w:cs="黑体"/>
          <w:b w:val="0"/>
          <w:bCs w:val="0"/>
          <w:color w:val="auto"/>
          <w:sz w:val="30"/>
          <w:szCs w:val="30"/>
          <w:lang w:val="en-US" w:eastAsia="zh-CN"/>
          <w14:ligatures w14:val="standardContextual"/>
        </w:rPr>
        <w:t>主要内容</w:t>
      </w:r>
    </w:p>
    <w:p w14:paraId="4936E60E">
      <w:pPr>
        <w:pStyle w:val="4"/>
        <w:bidi w:val="0"/>
        <w:rPr>
          <w:rFonts w:hint="eastAsia" w:ascii="黑体" w:hAnsi="黑体" w:eastAsia="黑体" w:cs="黑体"/>
          <w:b w:val="0"/>
          <w:bCs/>
          <w:color w:val="auto"/>
          <w:sz w:val="30"/>
          <w:szCs w:val="30"/>
          <w:lang w:val="en-US" w:eastAsia="zh-CN"/>
        </w:rPr>
      </w:pPr>
      <w:r>
        <w:rPr>
          <w:rFonts w:hint="default" w:ascii="黑体" w:hAnsi="黑体" w:eastAsia="黑体" w:cs="黑体"/>
          <w:b w:val="0"/>
          <w:bCs/>
          <w:color w:val="auto"/>
          <w:sz w:val="30"/>
          <w:szCs w:val="30"/>
          <w:lang w:val="en-US" w:eastAsia="zh-CN"/>
        </w:rPr>
        <w:t>2.1</w:t>
      </w:r>
      <w:r>
        <w:rPr>
          <w:rFonts w:hint="eastAsia" w:ascii="黑体" w:hAnsi="黑体" w:eastAsia="黑体" w:cs="黑体"/>
          <w:b w:val="0"/>
          <w:bCs/>
          <w:color w:val="auto"/>
          <w:sz w:val="30"/>
          <w:szCs w:val="30"/>
          <w:lang w:val="en-US" w:eastAsia="zh-CN"/>
        </w:rPr>
        <w:t>范围</w:t>
      </w:r>
    </w:p>
    <w:p w14:paraId="2F755901">
      <w:pPr>
        <w:numPr>
          <w:ilvl w:val="0"/>
          <w:numId w:val="0"/>
        </w:numPr>
        <w:ind w:leftChars="0"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本文件规定了食用农产品市场对入场销售者查验及管理的基本要求、入场查验要求、入场查验结果处置、入场查验记录及要求、入场销售者管理。</w:t>
      </w:r>
    </w:p>
    <w:p w14:paraId="3E905B3A">
      <w:pPr>
        <w:numPr>
          <w:ilvl w:val="0"/>
          <w:numId w:val="0"/>
        </w:numPr>
        <w:ind w:leftChars="0"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本文件适用于食用农产品批发市场开办者对入场销售者查验及管理的食品安全管理操作规范。</w:t>
      </w:r>
    </w:p>
    <w:p w14:paraId="7A41F100">
      <w:pPr>
        <w:pStyle w:val="4"/>
        <w:bidi w:val="0"/>
        <w:rPr>
          <w:rFonts w:hint="eastAsia" w:ascii="黑体" w:hAnsi="黑体" w:eastAsia="黑体" w:cs="黑体"/>
          <w:b w:val="0"/>
          <w:bCs/>
          <w:color w:val="auto"/>
          <w:sz w:val="30"/>
          <w:szCs w:val="30"/>
          <w:lang w:val="en-US" w:eastAsia="zh-CN"/>
        </w:rPr>
      </w:pPr>
      <w:r>
        <w:rPr>
          <w:rFonts w:hint="default" w:ascii="黑体" w:hAnsi="黑体" w:eastAsia="黑体" w:cs="黑体"/>
          <w:b w:val="0"/>
          <w:bCs/>
          <w:color w:val="auto"/>
          <w:sz w:val="30"/>
          <w:szCs w:val="30"/>
          <w:lang w:val="en-US" w:eastAsia="zh-CN"/>
        </w:rPr>
        <w:t>2.2</w:t>
      </w:r>
      <w:r>
        <w:rPr>
          <w:rFonts w:hint="eastAsia" w:ascii="黑体" w:hAnsi="黑体" w:eastAsia="黑体" w:cs="黑体"/>
          <w:b w:val="0"/>
          <w:bCs/>
          <w:color w:val="auto"/>
          <w:sz w:val="30"/>
          <w:szCs w:val="30"/>
          <w:lang w:val="en-US" w:eastAsia="zh-CN"/>
        </w:rPr>
        <w:t>规范性引用文件</w:t>
      </w:r>
    </w:p>
    <w:p w14:paraId="29465055">
      <w:pPr>
        <w:numPr>
          <w:ilvl w:val="0"/>
          <w:numId w:val="0"/>
        </w:numPr>
        <w:ind w:leftChars="0" w:firstLine="560"/>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本文件无规范性引用文件。</w:t>
      </w:r>
    </w:p>
    <w:p w14:paraId="4922EF68">
      <w:pPr>
        <w:pStyle w:val="4"/>
        <w:bidi w:val="0"/>
        <w:rPr>
          <w:rFonts w:hint="eastAsia" w:ascii="黑体" w:hAnsi="黑体" w:eastAsia="黑体" w:cs="黑体"/>
          <w:b w:val="0"/>
          <w:bCs/>
          <w:color w:val="auto"/>
          <w:sz w:val="30"/>
          <w:szCs w:val="30"/>
          <w:lang w:val="en-US" w:eastAsia="zh-CN"/>
        </w:rPr>
      </w:pPr>
      <w:r>
        <w:rPr>
          <w:rFonts w:hint="default" w:ascii="黑体" w:hAnsi="黑体" w:eastAsia="黑体" w:cs="黑体"/>
          <w:b w:val="0"/>
          <w:bCs/>
          <w:color w:val="auto"/>
          <w:sz w:val="30"/>
          <w:szCs w:val="30"/>
          <w:lang w:val="en-US" w:eastAsia="zh-CN"/>
        </w:rPr>
        <w:t>2.3</w:t>
      </w:r>
      <w:r>
        <w:rPr>
          <w:rFonts w:hint="eastAsia" w:ascii="黑体" w:hAnsi="黑体" w:eastAsia="黑体" w:cs="黑体"/>
          <w:b w:val="0"/>
          <w:bCs/>
          <w:color w:val="auto"/>
          <w:sz w:val="30"/>
          <w:szCs w:val="30"/>
          <w:lang w:val="en-US" w:eastAsia="zh-CN"/>
        </w:rPr>
        <w:t>术语和定义</w:t>
      </w:r>
    </w:p>
    <w:p w14:paraId="4B39B156">
      <w:pPr>
        <w:pStyle w:val="5"/>
        <w:bidi w:val="0"/>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2.3.1 入场销售者 entry market seller</w:t>
      </w:r>
    </w:p>
    <w:p w14:paraId="686C653F">
      <w:pPr>
        <w:numPr>
          <w:ilvl w:val="0"/>
          <w:numId w:val="0"/>
        </w:numPr>
        <w:ind w:leftChars="0"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指在食用农产品批发市场内主要从事食用农产品交易活动的个人或者企业，包括固定销售者和非固定销售者。</w:t>
      </w:r>
    </w:p>
    <w:p w14:paraId="594F12DA">
      <w:pPr>
        <w:pStyle w:val="5"/>
        <w:bidi w:val="0"/>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2.3.2 固定销售者 fixed seller</w:t>
      </w:r>
    </w:p>
    <w:p w14:paraId="7525F66A">
      <w:pPr>
        <w:numPr>
          <w:ilvl w:val="0"/>
          <w:numId w:val="0"/>
        </w:numPr>
        <w:ind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指在食用农产品批发市场内长期进行食用农产品交易活动的销售者。</w:t>
      </w:r>
    </w:p>
    <w:p w14:paraId="5803EBF3">
      <w:pPr>
        <w:pStyle w:val="5"/>
        <w:bidi w:val="0"/>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2.3.3 非固定销售者 non-fixed seller</w:t>
      </w:r>
    </w:p>
    <w:p w14:paraId="284CD0CB">
      <w:pPr>
        <w:numPr>
          <w:ilvl w:val="0"/>
          <w:numId w:val="0"/>
        </w:numPr>
        <w:ind w:leftChars="0"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指在食用农产品批发市场内短期进行食用农产品交易活动的销售者，包括自产自销农产品销售者和季节性入场销售者。</w:t>
      </w:r>
    </w:p>
    <w:p w14:paraId="0BD0650E">
      <w:pPr>
        <w:pStyle w:val="5"/>
        <w:bidi w:val="0"/>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 xml:space="preserve">2.3.4 </w:t>
      </w:r>
      <w:bookmarkStart w:id="4" w:name="OLE_LINK19"/>
      <w:bookmarkStart w:id="5" w:name="OLE_LINK7"/>
      <w:r>
        <w:rPr>
          <w:rFonts w:hint="eastAsia" w:ascii="黑体" w:hAnsi="黑体" w:eastAsia="黑体" w:cs="黑体"/>
          <w:b w:val="0"/>
          <w:bCs/>
          <w:color w:val="auto"/>
          <w:sz w:val="28"/>
          <w:szCs w:val="28"/>
          <w:lang w:val="en-US" w:eastAsia="zh-CN"/>
        </w:rPr>
        <w:t>自产食用农产品销售者 S</w:t>
      </w:r>
      <w:bookmarkEnd w:id="4"/>
      <w:r>
        <w:rPr>
          <w:rFonts w:hint="eastAsia" w:ascii="黑体" w:hAnsi="黑体" w:eastAsia="黑体" w:cs="黑体"/>
          <w:b w:val="0"/>
          <w:bCs/>
          <w:color w:val="auto"/>
          <w:sz w:val="28"/>
          <w:szCs w:val="28"/>
          <w:lang w:val="en-US" w:eastAsia="zh-CN"/>
        </w:rPr>
        <w:t>elf-produced and self-sold agricultural product sellers</w:t>
      </w:r>
    </w:p>
    <w:bookmarkEnd w:id="5"/>
    <w:p w14:paraId="2C6E870D">
      <w:pPr>
        <w:numPr>
          <w:ilvl w:val="0"/>
          <w:numId w:val="0"/>
        </w:numPr>
        <w:ind w:firstLine="560"/>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指直接从事食用农产品种植、饲养、捕捞并自行销售农产品的农民个体经济组织或农业生产合作社等农村经济组织。</w:t>
      </w:r>
    </w:p>
    <w:p w14:paraId="2D7ECA79">
      <w:pPr>
        <w:pStyle w:val="5"/>
        <w:bidi w:val="0"/>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 xml:space="preserve">2.3.5 </w:t>
      </w:r>
      <w:bookmarkStart w:id="6" w:name="OLE_LINK8"/>
      <w:r>
        <w:rPr>
          <w:rFonts w:hint="eastAsia" w:ascii="黑体" w:hAnsi="黑体" w:eastAsia="黑体" w:cs="黑体"/>
          <w:b w:val="0"/>
          <w:bCs/>
          <w:color w:val="auto"/>
          <w:sz w:val="28"/>
          <w:szCs w:val="28"/>
          <w:lang w:val="en-US" w:eastAsia="zh-CN"/>
        </w:rPr>
        <w:t>季节性入场销售者</w:t>
      </w:r>
      <w:bookmarkEnd w:id="6"/>
      <w:r>
        <w:rPr>
          <w:rFonts w:hint="eastAsia" w:ascii="黑体" w:hAnsi="黑体" w:eastAsia="黑体" w:cs="黑体"/>
          <w:b w:val="0"/>
          <w:bCs/>
          <w:color w:val="auto"/>
          <w:sz w:val="28"/>
          <w:szCs w:val="28"/>
          <w:lang w:val="en-US" w:eastAsia="zh-CN"/>
        </w:rPr>
        <w:t xml:space="preserve"> seasonal entry seller </w:t>
      </w:r>
    </w:p>
    <w:p w14:paraId="60339474">
      <w:pPr>
        <w:numPr>
          <w:ilvl w:val="0"/>
          <w:numId w:val="0"/>
        </w:numPr>
        <w:ind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指在特定季节性短期在食用农产品批发市场内进行食用农产品交易活动的销售者。</w:t>
      </w:r>
    </w:p>
    <w:p w14:paraId="5785C277">
      <w:pPr>
        <w:pStyle w:val="4"/>
        <w:bidi w:val="0"/>
        <w:rPr>
          <w:rFonts w:hint="default" w:ascii="黑体" w:hAnsi="黑体" w:eastAsia="黑体" w:cs="黑体"/>
          <w:b w:val="0"/>
          <w:bCs/>
          <w:color w:val="auto"/>
          <w:sz w:val="30"/>
          <w:szCs w:val="30"/>
          <w:lang w:val="en-US" w:eastAsia="zh-CN"/>
        </w:rPr>
      </w:pPr>
      <w:r>
        <w:rPr>
          <w:rFonts w:hint="default" w:ascii="黑体" w:hAnsi="黑体" w:eastAsia="黑体" w:cs="黑体"/>
          <w:b w:val="0"/>
          <w:bCs/>
          <w:color w:val="auto"/>
          <w:sz w:val="30"/>
          <w:szCs w:val="30"/>
          <w:lang w:val="en-US" w:eastAsia="zh-CN"/>
        </w:rPr>
        <w:t>2.4</w:t>
      </w:r>
      <w:r>
        <w:rPr>
          <w:rFonts w:hint="eastAsia" w:ascii="黑体" w:hAnsi="黑体" w:eastAsia="黑体" w:cs="黑体"/>
          <w:b w:val="0"/>
          <w:bCs/>
          <w:color w:val="auto"/>
          <w:sz w:val="30"/>
          <w:szCs w:val="30"/>
          <w:lang w:val="en-US" w:eastAsia="zh-CN"/>
        </w:rPr>
        <w:t>标准主要内容</w:t>
      </w:r>
    </w:p>
    <w:p w14:paraId="511E64E1">
      <w:pPr>
        <w:numPr>
          <w:ilvl w:val="0"/>
          <w:numId w:val="1"/>
        </w:numPr>
        <w:ind w:left="420" w:leftChars="0" w:firstLine="0" w:firstLineChars="0"/>
        <w:jc w:val="both"/>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基本要求</w:t>
      </w:r>
    </w:p>
    <w:p w14:paraId="12FC8361">
      <w:pPr>
        <w:numPr>
          <w:ilvl w:val="0"/>
          <w:numId w:val="1"/>
        </w:numPr>
        <w:ind w:left="420" w:leftChars="0" w:firstLine="0" w:firstLineChars="0"/>
        <w:jc w:val="both"/>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入场查验要求</w:t>
      </w:r>
    </w:p>
    <w:p w14:paraId="58BF6E1D">
      <w:pPr>
        <w:numPr>
          <w:ilvl w:val="0"/>
          <w:numId w:val="1"/>
        </w:numPr>
        <w:ind w:left="420" w:leftChars="0" w:firstLine="0" w:firstLineChars="0"/>
        <w:jc w:val="both"/>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入场查验结果处置</w:t>
      </w:r>
    </w:p>
    <w:p w14:paraId="78E8C6C1">
      <w:pPr>
        <w:numPr>
          <w:ilvl w:val="0"/>
          <w:numId w:val="1"/>
        </w:numPr>
        <w:ind w:left="420" w:leftChars="0" w:firstLine="0" w:firstLineChars="0"/>
        <w:jc w:val="both"/>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入场查验记录及要求</w:t>
      </w:r>
    </w:p>
    <w:p w14:paraId="47FD39A5">
      <w:pPr>
        <w:numPr>
          <w:ilvl w:val="0"/>
          <w:numId w:val="1"/>
        </w:numPr>
        <w:ind w:left="420" w:leftChars="0" w:firstLine="0" w:firstLineChars="0"/>
        <w:jc w:val="both"/>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入场销售者管理</w:t>
      </w:r>
    </w:p>
    <w:p w14:paraId="38A9D35B">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default" w:cs="黑体"/>
          <w:b w:val="0"/>
          <w:bCs w:val="0"/>
          <w:color w:val="auto"/>
          <w:sz w:val="30"/>
          <w:szCs w:val="30"/>
          <w:lang w:val="en-US" w:eastAsia="zh-CN"/>
          <w14:ligatures w14:val="standardContextual"/>
        </w:rPr>
        <w:t>3.</w:t>
      </w:r>
      <w:r>
        <w:rPr>
          <w:rFonts w:hint="eastAsia" w:cs="黑体"/>
          <w:b w:val="0"/>
          <w:bCs w:val="0"/>
          <w:color w:val="auto"/>
          <w:sz w:val="30"/>
          <w:szCs w:val="30"/>
          <w:lang w:val="en-US" w:eastAsia="zh-CN"/>
          <w14:ligatures w14:val="standardContextual"/>
        </w:rPr>
        <w:t>确定依据</w:t>
      </w:r>
    </w:p>
    <w:p w14:paraId="512246A2">
      <w:pPr>
        <w:numPr>
          <w:ilvl w:val="0"/>
          <w:numId w:val="0"/>
        </w:numPr>
        <w:ind w:leftChars="0"/>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color w:val="auto"/>
          <w:sz w:val="28"/>
          <w:szCs w:val="28"/>
          <w:highlight w:val="none"/>
          <w:lang w:val="en-US" w:eastAsia="zh-CN"/>
        </w:rPr>
        <w:t xml:space="preserve"> </w:t>
      </w:r>
      <w:bookmarkStart w:id="7" w:name="OLE_LINK9"/>
      <w:r>
        <w:rPr>
          <w:rFonts w:hint="eastAsia" w:ascii="Times New Roman" w:hAnsi="Times New Roman" w:eastAsia="宋体" w:cs="Times New Roman"/>
          <w:color w:val="auto"/>
          <w:sz w:val="28"/>
          <w:szCs w:val="28"/>
          <w:highlight w:val="none"/>
          <w:lang w:val="en-US" w:eastAsia="zh-CN"/>
        </w:rPr>
        <w:t xml:space="preserve">  依据GB/T19575-2004《农产品批发市场管理技术规范》、</w:t>
      </w:r>
      <w:r>
        <w:rPr>
          <w:rFonts w:hint="eastAsia" w:asciiTheme="minorEastAsia" w:hAnsiTheme="minorEastAsia"/>
          <w:color w:val="auto"/>
          <w:sz w:val="28"/>
          <w:szCs w:val="28"/>
        </w:rPr>
        <w:t>国家市场监督管理总局令第81号《</w:t>
      </w:r>
      <w:r>
        <w:rPr>
          <w:rFonts w:asciiTheme="minorEastAsia" w:hAnsiTheme="minorEastAsia"/>
          <w:color w:val="auto"/>
          <w:sz w:val="28"/>
          <w:szCs w:val="28"/>
        </w:rPr>
        <w:t>食用农产品市场销售质量安全监督管理办法</w:t>
      </w:r>
      <w:r>
        <w:rPr>
          <w:rFonts w:hint="eastAsia" w:asciiTheme="minorEastAsia" w:hAnsiTheme="minorEastAsia"/>
          <w:color w:val="auto"/>
          <w:sz w:val="28"/>
          <w:szCs w:val="28"/>
        </w:rPr>
        <w:t>》</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食用农产品批发市场食品安全操作指南</w:t>
      </w:r>
      <w:r>
        <w:rPr>
          <w:rFonts w:hint="eastAsia" w:asciiTheme="minorEastAsia" w:hAnsiTheme="minorEastAsia"/>
          <w:color w:val="auto"/>
          <w:sz w:val="28"/>
          <w:szCs w:val="28"/>
          <w:lang w:eastAsia="zh-CN"/>
        </w:rPr>
        <w:t>》</w:t>
      </w:r>
      <w:bookmarkEnd w:id="7"/>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食品安全风险管控清单（食用农产品集中交易市场）</w:t>
      </w:r>
      <w:r>
        <w:rPr>
          <w:rFonts w:hint="eastAsia" w:asciiTheme="minorEastAsia" w:hAnsiTheme="minorEastAsia"/>
          <w:color w:val="auto"/>
          <w:sz w:val="28"/>
          <w:szCs w:val="28"/>
          <w:lang w:eastAsia="zh-CN"/>
        </w:rPr>
        <w:t>》、《农产品批发市场食品安全操作指南——入场环节》</w:t>
      </w:r>
      <w:r>
        <w:rPr>
          <w:rFonts w:hint="eastAsia" w:asciiTheme="minorEastAsia" w:hAnsiTheme="minorEastAsia"/>
          <w:color w:val="auto"/>
          <w:sz w:val="28"/>
          <w:szCs w:val="28"/>
          <w:lang w:val="en-US" w:eastAsia="zh-CN"/>
        </w:rPr>
        <w:t>和食用农产品批发市场的实际确定基本要求、入场查验要求、入场销售者管理。</w:t>
      </w:r>
    </w:p>
    <w:p w14:paraId="5BF1E617">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三、</w:t>
      </w:r>
      <w:r>
        <w:rPr>
          <w:rFonts w:hint="default"/>
          <w:color w:val="auto"/>
          <w:sz w:val="32"/>
          <w:szCs w:val="44"/>
          <w:lang w:val="en-US" w:eastAsia="zh-CN"/>
          <w14:ligatures w14:val="standardContextual"/>
        </w:rPr>
        <w:t>主要试验分析、论证，预期的经济效果</w:t>
      </w:r>
    </w:p>
    <w:p w14:paraId="203F8BE0">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1.</w:t>
      </w:r>
      <w:r>
        <w:rPr>
          <w:rFonts w:hint="default" w:cs="黑体"/>
          <w:b w:val="0"/>
          <w:bCs w:val="0"/>
          <w:color w:val="auto"/>
          <w:sz w:val="30"/>
          <w:szCs w:val="30"/>
          <w:lang w:val="en-US" w:eastAsia="zh-CN"/>
          <w14:ligatures w14:val="standardContextual"/>
        </w:rPr>
        <w:t>主要试验（验证）的分析</w:t>
      </w:r>
    </w:p>
    <w:p w14:paraId="037CA931">
      <w:pPr>
        <w:ind w:firstLine="560" w:firstLineChars="200"/>
        <w:rPr>
          <w:rFonts w:hint="default" w:ascii="Times New Roman" w:hAnsi="Times New Roman" w:eastAsia="宋体" w:cs="Times New Roman"/>
          <w:b w:val="0"/>
          <w:bCs w:val="0"/>
          <w:color w:val="auto"/>
          <w:sz w:val="28"/>
          <w:szCs w:val="28"/>
          <w:lang w:val="en-US" w:eastAsia="zh-CN"/>
        </w:rPr>
      </w:pPr>
      <w:r>
        <w:rPr>
          <w:rFonts w:ascii="Times New Roman" w:hAnsi="Times New Roman" w:eastAsia="宋体" w:cs="Times New Roman"/>
          <w:color w:val="auto"/>
          <w:sz w:val="28"/>
          <w:szCs w:val="28"/>
        </w:rPr>
        <w:t>起草组依据标准草案中的</w:t>
      </w:r>
      <w:r>
        <w:rPr>
          <w:rFonts w:hint="eastAsia" w:ascii="Times New Roman" w:hAnsi="Times New Roman" w:eastAsia="宋体" w:cs="Times New Roman"/>
          <w:color w:val="auto"/>
          <w:sz w:val="28"/>
          <w:szCs w:val="28"/>
          <w:lang w:val="en-US" w:eastAsia="zh-CN"/>
        </w:rPr>
        <w:t>入场销售者查验及管理操作规范</w:t>
      </w:r>
      <w:r>
        <w:rPr>
          <w:rFonts w:ascii="Times New Roman" w:hAnsi="Times New Roman" w:eastAsia="宋体" w:cs="Times New Roman"/>
          <w:color w:val="auto"/>
          <w:sz w:val="28"/>
          <w:szCs w:val="28"/>
        </w:rPr>
        <w:t>，进行了充分的论证和实地调研，同时充分考虑到本行业的发展现状与特点，制定了一个适宜的范围与程度。</w:t>
      </w:r>
    </w:p>
    <w:p w14:paraId="2394DDCC">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2.</w:t>
      </w:r>
      <w:r>
        <w:rPr>
          <w:rFonts w:hint="default" w:cs="黑体"/>
          <w:b w:val="0"/>
          <w:bCs w:val="0"/>
          <w:color w:val="auto"/>
          <w:sz w:val="30"/>
          <w:szCs w:val="30"/>
          <w:lang w:val="en-US" w:eastAsia="zh-CN"/>
          <w14:ligatures w14:val="standardContextual"/>
        </w:rPr>
        <w:t>技术经济评估</w:t>
      </w:r>
    </w:p>
    <w:p w14:paraId="460B3E1F">
      <w:pPr>
        <w:numPr>
          <w:ilvl w:val="0"/>
          <w:numId w:val="0"/>
        </w:numPr>
        <w:ind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制定《</w:t>
      </w:r>
      <w:r>
        <w:rPr>
          <w:rFonts w:hint="eastAsia" w:ascii="Times New Roman" w:hAnsi="Times New Roman" w:eastAsia="宋体" w:cs="Times New Roman"/>
          <w:color w:val="auto"/>
          <w:sz w:val="28"/>
          <w:szCs w:val="28"/>
          <w:lang w:val="en-US" w:eastAsia="zh-CN"/>
        </w:rPr>
        <w:t>食用农产品批发市场食品安全管理操作规范 第2部分：入场销售者查验及管理</w:t>
      </w:r>
      <w:r>
        <w:rPr>
          <w:rFonts w:hint="default" w:ascii="Times New Roman" w:hAnsi="Times New Roman" w:eastAsia="宋体" w:cs="Times New Roman"/>
          <w:b w:val="0"/>
          <w:bCs w:val="0"/>
          <w:color w:val="auto"/>
          <w:sz w:val="28"/>
          <w:szCs w:val="28"/>
          <w:lang w:val="en-US" w:eastAsia="zh-CN"/>
        </w:rPr>
        <w:t>》团体标准，可引导国内食用农产品批发市场开办者规范入场销售者查验和管理标准，提升批发市场开办者管理水平，进而带动食用农产品批发市场整体行业的提升。</w:t>
      </w:r>
    </w:p>
    <w:p w14:paraId="2B089956">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三、</w:t>
      </w:r>
      <w:r>
        <w:rPr>
          <w:rFonts w:hint="default"/>
          <w:color w:val="auto"/>
          <w:sz w:val="32"/>
          <w:szCs w:val="44"/>
          <w:lang w:val="en-US" w:eastAsia="zh-CN"/>
          <w14:ligatures w14:val="standardContextual"/>
        </w:rPr>
        <w:t>与有关法律、行政法规和其他强制性标准的关系</w:t>
      </w:r>
    </w:p>
    <w:p w14:paraId="61971172">
      <w:pPr>
        <w:numPr>
          <w:ilvl w:val="0"/>
          <w:numId w:val="0"/>
        </w:numPr>
        <w:ind w:leftChars="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 xml:space="preserve">    本标准与现行法律、法规和相关国家标准、行业标准协调一致。且目前没有关于入场销售者查验及管理操作规范的相关国家标准、行业标准，属于填补国内标准空白。</w:t>
      </w:r>
    </w:p>
    <w:p w14:paraId="157233CD">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四、</w:t>
      </w:r>
      <w:r>
        <w:rPr>
          <w:rFonts w:hint="default"/>
          <w:color w:val="auto"/>
          <w:sz w:val="32"/>
          <w:szCs w:val="44"/>
          <w:lang w:val="en-US" w:eastAsia="zh-CN"/>
          <w14:ligatures w14:val="standardContextual"/>
        </w:rPr>
        <w:t>与国际标准化组织、其他国家或者地区有关法律法规和标准的比对分析</w:t>
      </w:r>
    </w:p>
    <w:p w14:paraId="2A13EB37">
      <w:pPr>
        <w:numPr>
          <w:ilvl w:val="0"/>
          <w:numId w:val="0"/>
        </w:numPr>
        <w:ind w:leftChars="0"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本标准在制定过程中尚无相关国际标准或相关国外文件</w:t>
      </w:r>
    </w:p>
    <w:p w14:paraId="48A25956">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五、</w:t>
      </w:r>
      <w:r>
        <w:rPr>
          <w:rFonts w:hint="default"/>
          <w:color w:val="auto"/>
          <w:sz w:val="32"/>
          <w:szCs w:val="44"/>
          <w:lang w:val="en-US" w:eastAsia="zh-CN"/>
          <w14:ligatures w14:val="standardContextual"/>
        </w:rPr>
        <w:t>重大分歧意见的处理经过和依据</w:t>
      </w:r>
    </w:p>
    <w:p w14:paraId="615CF862">
      <w:pPr>
        <w:numPr>
          <w:ilvl w:val="255"/>
          <w:numId w:val="0"/>
        </w:numPr>
        <w:ind w:firstLine="560" w:firstLineChars="200"/>
        <w:rPr>
          <w:rFonts w:hint="eastAsia" w:ascii="Times New Roman" w:hAnsi="Times New Roman" w:eastAsia="宋体" w:cs="Times New Roman"/>
          <w:b w:val="0"/>
          <w:bCs w:val="0"/>
          <w:color w:val="auto"/>
          <w:sz w:val="28"/>
          <w:szCs w:val="28"/>
          <w:lang w:val="en-US" w:eastAsia="zh-CN"/>
        </w:rPr>
      </w:pPr>
      <w:r>
        <w:rPr>
          <w:rFonts w:ascii="Times New Roman" w:hAnsi="Times New Roman" w:eastAsia="宋体" w:cs="Times New Roman"/>
          <w:color w:val="auto"/>
          <w:sz w:val="28"/>
          <w:szCs w:val="28"/>
        </w:rPr>
        <w:t>本标准在制定过程中无重大分歧性意</w:t>
      </w:r>
      <w:r>
        <w:rPr>
          <w:rFonts w:hint="eastAsia" w:ascii="Times New Roman" w:hAnsi="Times New Roman" w:eastAsia="宋体" w:cs="Times New Roman"/>
          <w:color w:val="auto"/>
          <w:sz w:val="28"/>
          <w:szCs w:val="28"/>
          <w:lang w:val="en-US" w:eastAsia="zh-CN"/>
        </w:rPr>
        <w:t>见</w:t>
      </w:r>
    </w:p>
    <w:p w14:paraId="08CB7C56">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六、</w:t>
      </w:r>
      <w:r>
        <w:rPr>
          <w:rFonts w:hint="default"/>
          <w:color w:val="auto"/>
          <w:sz w:val="32"/>
          <w:szCs w:val="44"/>
          <w:lang w:val="en-US" w:eastAsia="zh-CN"/>
          <w14:ligatures w14:val="standardContextual"/>
        </w:rPr>
        <w:t>标准性质的建议说明</w:t>
      </w:r>
    </w:p>
    <w:p w14:paraId="17A42FAA">
      <w:pPr>
        <w:numPr>
          <w:ilvl w:val="255"/>
          <w:numId w:val="0"/>
        </w:numPr>
        <w:ind w:firstLine="560" w:firstLineChars="200"/>
        <w:rPr>
          <w:rFonts w:hint="default" w:ascii="Times New Roman" w:hAnsi="Times New Roman" w:eastAsia="宋体" w:cs="Times New Roman"/>
          <w:b w:val="0"/>
          <w:bCs w:val="0"/>
          <w:color w:val="auto"/>
          <w:sz w:val="28"/>
          <w:szCs w:val="28"/>
          <w:lang w:val="en-US" w:eastAsia="zh-CN"/>
        </w:rPr>
      </w:pPr>
      <w:r>
        <w:rPr>
          <w:rFonts w:ascii="Times New Roman" w:hAnsi="Times New Roman" w:eastAsia="宋体" w:cs="Times New Roman"/>
          <w:color w:val="auto"/>
          <w:sz w:val="28"/>
          <w:szCs w:val="28"/>
        </w:rPr>
        <w:t>建议本标准</w:t>
      </w:r>
      <w:r>
        <w:rPr>
          <w:rFonts w:hint="eastAsia" w:ascii="Times New Roman" w:hAnsi="Times New Roman" w:eastAsia="宋体" w:cs="Times New Roman"/>
          <w:color w:val="auto"/>
          <w:sz w:val="28"/>
          <w:szCs w:val="28"/>
        </w:rPr>
        <w:t>发布为T/CAWA</w:t>
      </w:r>
      <w:r>
        <w:rPr>
          <w:rFonts w:ascii="Times New Roman" w:hAnsi="Times New Roman" w:eastAsia="宋体" w:cs="Times New Roman"/>
          <w:color w:val="auto"/>
          <w:sz w:val="28"/>
          <w:szCs w:val="28"/>
        </w:rPr>
        <w:t>团体标准。</w:t>
      </w:r>
    </w:p>
    <w:p w14:paraId="5439EF31">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七、</w:t>
      </w:r>
      <w:r>
        <w:rPr>
          <w:rFonts w:hint="default"/>
          <w:color w:val="auto"/>
          <w:sz w:val="32"/>
          <w:szCs w:val="44"/>
          <w:lang w:val="en-US" w:eastAsia="zh-CN"/>
          <w14:ligatures w14:val="standardContextual"/>
        </w:rPr>
        <w:t>贯彻团体标准的措施建议</w:t>
      </w:r>
    </w:p>
    <w:p w14:paraId="64E1EB48">
      <w:pPr>
        <w:numPr>
          <w:ilvl w:val="255"/>
          <w:numId w:val="0"/>
        </w:numPr>
        <w:ind w:firstLine="560" w:firstLineChars="200"/>
        <w:rPr>
          <w:rFonts w:hint="default" w:ascii="Times New Roman" w:hAnsi="Times New Roman" w:eastAsia="宋体" w:cs="Times New Roman"/>
          <w:b w:val="0"/>
          <w:bCs w:val="0"/>
          <w:color w:val="auto"/>
          <w:sz w:val="28"/>
          <w:szCs w:val="28"/>
          <w:lang w:val="en-US" w:eastAsia="zh-CN"/>
        </w:rPr>
      </w:pPr>
      <w:r>
        <w:rPr>
          <w:rFonts w:ascii="Times New Roman" w:hAnsi="Times New Roman" w:eastAsia="宋体" w:cs="Times New Roman"/>
          <w:color w:val="auto"/>
          <w:sz w:val="28"/>
          <w:szCs w:val="28"/>
        </w:rPr>
        <w:t>建议本标准批准发布6个月后实施。</w:t>
      </w:r>
    </w:p>
    <w:p w14:paraId="4BF176C2">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八、</w:t>
      </w:r>
      <w:r>
        <w:rPr>
          <w:rFonts w:hint="default"/>
          <w:color w:val="auto"/>
          <w:sz w:val="32"/>
          <w:szCs w:val="44"/>
          <w:lang w:val="en-US" w:eastAsia="zh-CN"/>
          <w14:ligatures w14:val="standardContextual"/>
        </w:rPr>
        <w:t>其他应允说明的事项</w:t>
      </w:r>
    </w:p>
    <w:p w14:paraId="5F8FF487">
      <w:pPr>
        <w:numPr>
          <w:ilvl w:val="0"/>
          <w:numId w:val="0"/>
        </w:numPr>
        <w:ind w:leftChars="0"/>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无</w:t>
      </w:r>
    </w:p>
    <w:p w14:paraId="6B4B207A">
      <w:pPr>
        <w:numPr>
          <w:ilvl w:val="0"/>
          <w:numId w:val="0"/>
        </w:numPr>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C4ED5"/>
    <w:multiLevelType w:val="singleLevel"/>
    <w:tmpl w:val="BFDC4ED5"/>
    <w:lvl w:ilvl="0" w:tentative="0">
      <w:start w:val="1"/>
      <w:numFmt w:val="decimal"/>
      <w:suff w:val="nothing"/>
      <w:lvlText w:val="（%1）"/>
      <w:lvlJc w:val="left"/>
      <w:pPr>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YTU1NWE4YWMzODNlZDc0YzI4NWE4MGVjYTUyNWUifQ=="/>
  </w:docVars>
  <w:rsids>
    <w:rsidRoot w:val="00000000"/>
    <w:rsid w:val="01D469F2"/>
    <w:rsid w:val="02E14941"/>
    <w:rsid w:val="04FE01BC"/>
    <w:rsid w:val="0A215DD0"/>
    <w:rsid w:val="0C0D15D3"/>
    <w:rsid w:val="0DFC427D"/>
    <w:rsid w:val="10B776DF"/>
    <w:rsid w:val="118F036A"/>
    <w:rsid w:val="12560EF3"/>
    <w:rsid w:val="167F093C"/>
    <w:rsid w:val="171A62F3"/>
    <w:rsid w:val="178B2EC4"/>
    <w:rsid w:val="1D1B0BB1"/>
    <w:rsid w:val="1D92161F"/>
    <w:rsid w:val="1DCA2E80"/>
    <w:rsid w:val="20376A43"/>
    <w:rsid w:val="20F6019A"/>
    <w:rsid w:val="2291666A"/>
    <w:rsid w:val="23FF3DDC"/>
    <w:rsid w:val="268A58A2"/>
    <w:rsid w:val="272F01F7"/>
    <w:rsid w:val="28355220"/>
    <w:rsid w:val="2C4B5AD3"/>
    <w:rsid w:val="2E2843FB"/>
    <w:rsid w:val="312D57A8"/>
    <w:rsid w:val="328540C4"/>
    <w:rsid w:val="34C478CA"/>
    <w:rsid w:val="39682B14"/>
    <w:rsid w:val="3C5C3B85"/>
    <w:rsid w:val="3EB92D70"/>
    <w:rsid w:val="3EDE68A6"/>
    <w:rsid w:val="3EEA2F2A"/>
    <w:rsid w:val="3F451936"/>
    <w:rsid w:val="405A5969"/>
    <w:rsid w:val="40644F5E"/>
    <w:rsid w:val="46ED0C69"/>
    <w:rsid w:val="47DD4812"/>
    <w:rsid w:val="48677399"/>
    <w:rsid w:val="4961028C"/>
    <w:rsid w:val="4DF7145B"/>
    <w:rsid w:val="4E752368"/>
    <w:rsid w:val="50A3118B"/>
    <w:rsid w:val="548565BE"/>
    <w:rsid w:val="56D54D46"/>
    <w:rsid w:val="57A121E2"/>
    <w:rsid w:val="57CE630E"/>
    <w:rsid w:val="592E180D"/>
    <w:rsid w:val="59E52814"/>
    <w:rsid w:val="5BD33FF7"/>
    <w:rsid w:val="5E3E2EDE"/>
    <w:rsid w:val="5EFF0D91"/>
    <w:rsid w:val="62522A10"/>
    <w:rsid w:val="64A07A63"/>
    <w:rsid w:val="65183A9D"/>
    <w:rsid w:val="694F018B"/>
    <w:rsid w:val="6DF22304"/>
    <w:rsid w:val="6E980EC0"/>
    <w:rsid w:val="70B4752F"/>
    <w:rsid w:val="70D20B1B"/>
    <w:rsid w:val="71D376CA"/>
    <w:rsid w:val="78E534AE"/>
    <w:rsid w:val="79A21CB0"/>
    <w:rsid w:val="79B2113A"/>
    <w:rsid w:val="79C24C0E"/>
    <w:rsid w:val="7A326F58"/>
    <w:rsid w:val="7C570EF7"/>
    <w:rsid w:val="7DA63EE4"/>
    <w:rsid w:val="7DFB58B2"/>
    <w:rsid w:val="7E5971A9"/>
    <w:rsid w:val="7E7D5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jc w:val="left"/>
      <w:outlineLvl w:val="0"/>
    </w:pPr>
    <w:rPr>
      <w:rFonts w:eastAsia="黑体"/>
      <w:bCs/>
      <w:kern w:val="44"/>
      <w:szCs w:val="44"/>
    </w:rPr>
  </w:style>
  <w:style w:type="paragraph" w:styleId="3">
    <w:name w:val="heading 2"/>
    <w:basedOn w:val="1"/>
    <w:next w:val="1"/>
    <w:link w:val="10"/>
    <w:unhideWhenUsed/>
    <w:qFormat/>
    <w:uiPriority w:val="0"/>
    <w:pPr>
      <w:keepNext/>
      <w:keepLines/>
      <w:spacing w:before="50" w:beforeLines="50" w:after="50" w:afterLines="50"/>
      <w:ind w:firstLine="0" w:firstLineChars="0"/>
      <w:outlineLvl w:val="1"/>
    </w:pPr>
    <w:rPr>
      <w:rFonts w:ascii="黑体" w:hAnsi="黑体" w:eastAsia="黑体"/>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字符"/>
    <w:link w:val="3"/>
    <w:qFormat/>
    <w:uiPriority w:val="0"/>
    <w:rPr>
      <w:rFonts w:ascii="黑体" w:hAnsi="黑体" w:eastAsia="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2466</Words>
  <Characters>2672</Characters>
  <Lines>0</Lines>
  <Paragraphs>0</Paragraphs>
  <TotalTime>366</TotalTime>
  <ScaleCrop>false</ScaleCrop>
  <LinksUpToDate>false</LinksUpToDate>
  <CharactersWithSpaces>2736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2024-10-25T00:06:00Z</dcterms:created>
  <dc:creator>CJY</dc:creator>
  <cp:lastModifiedBy>淺末夕夏✨</cp:lastModifiedBy>
  <dcterms:modified xsi:type="dcterms:W3CDTF">2025-09-02T05:27:57Z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785A1EEB3C09490DB1A25ABA2FE7DA34_12</vt:lpwstr>
  </property>
  <property fmtid="{D5CDD505-2E9C-101B-9397-08002B2CF9AE}" pid="4" name="KSOTemplateDocerSaveRecord">
    <vt:lpwstr>eyJoZGlkIjoiMGRjZjQzYTc2Yzg4N2RhZWM5ZWZhNGFkZTk2OTdjMjMiLCJ1c2VySWQiOiIxMTY4MzM4NjI2In0=</vt:lpwstr>
  </property>
</Properties>
</file>