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1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93.160</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55</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03"/>
            </w:textInput>
          </w:ffData>
        </w:fldChar>
      </w:r>
      <w:bookmarkStart w:id="6" w:name="NSTD_CODE_F"/>
      <w:r>
        <w:instrText xml:space="preserve"> FORMTEXT </w:instrText>
      </w:r>
      <w:r>
        <w:fldChar w:fldCharType="separate"/>
      </w:r>
      <w:r>
        <w:t>0103</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6F65DE32">
      <w:pPr>
        <w:pStyle w:val="197"/>
        <w:framePr w:h="6974" w:hRule="exact" w:wrap="around" w:x="1419" w:anchorLock="1"/>
      </w:pPr>
      <w:r>
        <w:fldChar w:fldCharType="begin">
          <w:ffData>
            <w:name w:val="CSTD_NAME"/>
            <w:enabled/>
            <w:calcOnExit w:val="0"/>
            <w:textInput>
              <w:default w:val="水利工程土工合成材料检测技术规范"/>
            </w:textInput>
          </w:ffData>
        </w:fldChar>
      </w:r>
      <w:bookmarkStart w:id="9" w:name="CSTD_NAME"/>
      <w:r>
        <w:instrText xml:space="preserve"> FORMTEXT </w:instrText>
      </w:r>
      <w:r>
        <w:fldChar w:fldCharType="separate"/>
      </w:r>
      <w:r>
        <w:t>水利工程土工合成材料检测技术规范</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testing of geosynthetic materials in water conservancy project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testing of geosynthetic materials in water conservancy projects</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52B2F8C">
      <w:pPr>
        <w:pStyle w:val="91"/>
        <w:spacing w:after="360"/>
      </w:pPr>
      <w:bookmarkStart w:id="21" w:name="BookMark1"/>
      <w:r>
        <w:rPr>
          <w:rFonts w:hint="eastAsia"/>
          <w:spacing w:val="320"/>
        </w:rPr>
        <w:t>目</w:t>
      </w:r>
      <w:r>
        <w:rPr>
          <w:rFonts w:hint="eastAsia"/>
        </w:rPr>
        <w:t>次</w:t>
      </w:r>
    </w:p>
    <w:p w14:paraId="249B9C85">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"_Toc207867857" </w:instrText>
      </w:r>
      <w:r>
        <w:fldChar w:fldCharType="separate"/>
      </w:r>
      <w:r>
        <w:rPr>
          <w:rStyle w:val="32"/>
        </w:rPr>
        <w:t>前言</w:t>
      </w:r>
      <w:r>
        <w:tab/>
      </w:r>
      <w:r>
        <w:fldChar w:fldCharType="begin"/>
      </w:r>
      <w:r>
        <w:instrText xml:space="preserve"> PAGEREF _Toc207867857 \h </w:instrText>
      </w:r>
      <w:r>
        <w:fldChar w:fldCharType="separate"/>
      </w:r>
      <w:r>
        <w:t>III</w:t>
      </w:r>
      <w:r>
        <w:fldChar w:fldCharType="end"/>
      </w:r>
      <w:r>
        <w:fldChar w:fldCharType="end"/>
      </w:r>
    </w:p>
    <w:p w14:paraId="00D0566A">
      <w:pPr>
        <w:pStyle w:val="19"/>
        <w:tabs>
          <w:tab w:val="right" w:leader="dot" w:pos="9344"/>
        </w:tabs>
        <w:rPr>
          <w:rFonts w:asciiTheme="minorHAnsi" w:hAnsiTheme="minorHAnsi" w:eastAsiaTheme="minorEastAsia" w:cstheme="minorBidi"/>
          <w:szCs w:val="22"/>
        </w:rPr>
      </w:pPr>
      <w:r>
        <w:fldChar w:fldCharType="begin"/>
      </w:r>
      <w:r>
        <w:instrText xml:space="preserve"> HYPERLINK \l "_Toc207867858" </w:instrText>
      </w:r>
      <w:r>
        <w:fldChar w:fldCharType="separate"/>
      </w:r>
      <w:r>
        <w:rPr>
          <w:rStyle w:val="32"/>
        </w:rPr>
        <w:t>引言</w:t>
      </w:r>
      <w:r>
        <w:tab/>
      </w:r>
      <w:r>
        <w:fldChar w:fldCharType="begin"/>
      </w:r>
      <w:r>
        <w:instrText xml:space="preserve"> PAGEREF _Toc207867858 \h </w:instrText>
      </w:r>
      <w:r>
        <w:fldChar w:fldCharType="separate"/>
      </w:r>
      <w:r>
        <w:t>V</w:t>
      </w:r>
      <w:r>
        <w:fldChar w:fldCharType="end"/>
      </w:r>
      <w:r>
        <w:fldChar w:fldCharType="end"/>
      </w:r>
    </w:p>
    <w:p w14:paraId="538FC78B">
      <w:pPr>
        <w:pStyle w:val="19"/>
        <w:tabs>
          <w:tab w:val="right" w:leader="dot" w:pos="9344"/>
        </w:tabs>
        <w:rPr>
          <w:rFonts w:asciiTheme="minorHAnsi" w:hAnsiTheme="minorHAnsi" w:eastAsiaTheme="minorEastAsia" w:cstheme="minorBidi"/>
          <w:szCs w:val="22"/>
        </w:rPr>
      </w:pPr>
      <w:r>
        <w:fldChar w:fldCharType="begin"/>
      </w:r>
      <w:r>
        <w:instrText xml:space="preserve"> HYPERLINK \l "_Toc207867859" </w:instrText>
      </w:r>
      <w:r>
        <w:fldChar w:fldCharType="separate"/>
      </w:r>
      <w:r>
        <w:rPr>
          <w:rStyle w:val="32"/>
        </w:rPr>
        <w:t>1  范围</w:t>
      </w:r>
      <w:r>
        <w:tab/>
      </w:r>
      <w:r>
        <w:fldChar w:fldCharType="begin"/>
      </w:r>
      <w:r>
        <w:instrText xml:space="preserve"> PAGEREF _Toc207867859 \h </w:instrText>
      </w:r>
      <w:r>
        <w:fldChar w:fldCharType="separate"/>
      </w:r>
      <w:r>
        <w:t>1</w:t>
      </w:r>
      <w:r>
        <w:fldChar w:fldCharType="end"/>
      </w:r>
      <w:r>
        <w:fldChar w:fldCharType="end"/>
      </w:r>
    </w:p>
    <w:p w14:paraId="4DE711B0">
      <w:pPr>
        <w:pStyle w:val="19"/>
        <w:tabs>
          <w:tab w:val="right" w:leader="dot" w:pos="9344"/>
        </w:tabs>
        <w:rPr>
          <w:rFonts w:asciiTheme="minorHAnsi" w:hAnsiTheme="minorHAnsi" w:eastAsiaTheme="minorEastAsia" w:cstheme="minorBidi"/>
          <w:szCs w:val="22"/>
        </w:rPr>
      </w:pPr>
      <w:r>
        <w:fldChar w:fldCharType="begin"/>
      </w:r>
      <w:r>
        <w:instrText xml:space="preserve"> HYPERLINK \l "_Toc207867860" </w:instrText>
      </w:r>
      <w:r>
        <w:fldChar w:fldCharType="separate"/>
      </w:r>
      <w:r>
        <w:rPr>
          <w:rStyle w:val="32"/>
        </w:rPr>
        <w:t>2  规范性引用文件</w:t>
      </w:r>
      <w:r>
        <w:tab/>
      </w:r>
      <w:r>
        <w:fldChar w:fldCharType="begin"/>
      </w:r>
      <w:r>
        <w:instrText xml:space="preserve"> PAGEREF _Toc207867860 \h </w:instrText>
      </w:r>
      <w:r>
        <w:fldChar w:fldCharType="separate"/>
      </w:r>
      <w:r>
        <w:t>1</w:t>
      </w:r>
      <w:r>
        <w:fldChar w:fldCharType="end"/>
      </w:r>
      <w:r>
        <w:fldChar w:fldCharType="end"/>
      </w:r>
    </w:p>
    <w:p w14:paraId="349E6B59">
      <w:pPr>
        <w:pStyle w:val="19"/>
        <w:tabs>
          <w:tab w:val="right" w:leader="dot" w:pos="9344"/>
        </w:tabs>
        <w:rPr>
          <w:rFonts w:asciiTheme="minorHAnsi" w:hAnsiTheme="minorHAnsi" w:eastAsiaTheme="minorEastAsia" w:cstheme="minorBidi"/>
          <w:szCs w:val="22"/>
        </w:rPr>
      </w:pPr>
      <w:r>
        <w:fldChar w:fldCharType="begin"/>
      </w:r>
      <w:r>
        <w:instrText xml:space="preserve"> HYPERLINK \l "_Toc207867861" </w:instrText>
      </w:r>
      <w:r>
        <w:fldChar w:fldCharType="separate"/>
      </w:r>
      <w:r>
        <w:rPr>
          <w:rStyle w:val="32"/>
        </w:rPr>
        <w:t>3  术语和定义</w:t>
      </w:r>
      <w:r>
        <w:tab/>
      </w:r>
      <w:r>
        <w:fldChar w:fldCharType="begin"/>
      </w:r>
      <w:r>
        <w:instrText xml:space="preserve"> PAGEREF _Toc207867861 \h </w:instrText>
      </w:r>
      <w:r>
        <w:fldChar w:fldCharType="separate"/>
      </w:r>
      <w:r>
        <w:t>1</w:t>
      </w:r>
      <w:r>
        <w:fldChar w:fldCharType="end"/>
      </w:r>
      <w:r>
        <w:fldChar w:fldCharType="end"/>
      </w:r>
    </w:p>
    <w:p w14:paraId="3C890A14">
      <w:pPr>
        <w:pStyle w:val="19"/>
        <w:tabs>
          <w:tab w:val="right" w:leader="dot" w:pos="9344"/>
        </w:tabs>
        <w:rPr>
          <w:rFonts w:asciiTheme="minorHAnsi" w:hAnsiTheme="minorHAnsi" w:eastAsiaTheme="minorEastAsia" w:cstheme="minorBidi"/>
          <w:szCs w:val="22"/>
        </w:rPr>
      </w:pPr>
      <w:r>
        <w:fldChar w:fldCharType="begin"/>
      </w:r>
      <w:r>
        <w:instrText xml:space="preserve"> HYPERLINK \l "_Toc207867862" </w:instrText>
      </w:r>
      <w:r>
        <w:fldChar w:fldCharType="separate"/>
      </w:r>
      <w:r>
        <w:rPr>
          <w:rStyle w:val="32"/>
        </w:rPr>
        <w:t>4  检测方法</w:t>
      </w:r>
      <w:r>
        <w:tab/>
      </w:r>
      <w:r>
        <w:fldChar w:fldCharType="begin"/>
      </w:r>
      <w:r>
        <w:instrText xml:space="preserve"> PAGEREF _Toc207867862 \h </w:instrText>
      </w:r>
      <w:r>
        <w:fldChar w:fldCharType="separate"/>
      </w:r>
      <w:r>
        <w:t>2</w:t>
      </w:r>
      <w:r>
        <w:fldChar w:fldCharType="end"/>
      </w:r>
      <w:r>
        <w:fldChar w:fldCharType="end"/>
      </w:r>
    </w:p>
    <w:p w14:paraId="70546573">
      <w:pPr>
        <w:pStyle w:val="19"/>
        <w:tabs>
          <w:tab w:val="right" w:leader="dot" w:pos="9344"/>
        </w:tabs>
        <w:rPr>
          <w:rFonts w:asciiTheme="minorHAnsi" w:hAnsiTheme="minorHAnsi" w:eastAsiaTheme="minorEastAsia" w:cstheme="minorBidi"/>
          <w:szCs w:val="22"/>
        </w:rPr>
      </w:pPr>
      <w:r>
        <w:fldChar w:fldCharType="begin"/>
      </w:r>
      <w:r>
        <w:instrText xml:space="preserve"> HYPERLINK \l "_Toc207867863" </w:instrText>
      </w:r>
      <w:r>
        <w:fldChar w:fldCharType="separate"/>
      </w:r>
      <w:r>
        <w:rPr>
          <w:rStyle w:val="32"/>
        </w:rPr>
        <w:t>5  质量控制与报告要求</w:t>
      </w:r>
      <w:r>
        <w:tab/>
      </w:r>
      <w:r>
        <w:fldChar w:fldCharType="begin"/>
      </w:r>
      <w:r>
        <w:instrText xml:space="preserve"> PAGEREF _Toc207867863 \h </w:instrText>
      </w:r>
      <w:r>
        <w:fldChar w:fldCharType="separate"/>
      </w:r>
      <w:r>
        <w:t>4</w:t>
      </w:r>
      <w:r>
        <w:fldChar w:fldCharType="end"/>
      </w:r>
      <w:r>
        <w:fldChar w:fldCharType="end"/>
      </w:r>
    </w:p>
    <w:p w14:paraId="70C4D1DA">
      <w:pPr>
        <w:pStyle w:val="19"/>
        <w:tabs>
          <w:tab w:val="right" w:leader="dot" w:pos="9344"/>
        </w:tabs>
        <w:rPr>
          <w:rFonts w:asciiTheme="minorHAnsi" w:hAnsiTheme="minorHAnsi" w:eastAsiaTheme="minorEastAsia" w:cstheme="minorBidi"/>
          <w:szCs w:val="22"/>
        </w:rPr>
      </w:pPr>
      <w:r>
        <w:fldChar w:fldCharType="begin"/>
      </w:r>
      <w:r>
        <w:instrText xml:space="preserve"> HYPERLINK \l "_Toc207867864" </w:instrText>
      </w:r>
      <w:r>
        <w:fldChar w:fldCharType="separate"/>
      </w:r>
      <w:r>
        <w:rPr>
          <w:rStyle w:val="32"/>
        </w:rPr>
        <w:t>6  检测设备与操作要求</w:t>
      </w:r>
      <w:r>
        <w:tab/>
      </w:r>
      <w:r>
        <w:fldChar w:fldCharType="begin"/>
      </w:r>
      <w:r>
        <w:instrText xml:space="preserve"> PAGEREF _Toc207867864 \h </w:instrText>
      </w:r>
      <w:r>
        <w:fldChar w:fldCharType="separate"/>
      </w:r>
      <w:r>
        <w:t>5</w:t>
      </w:r>
      <w:r>
        <w:fldChar w:fldCharType="end"/>
      </w:r>
      <w:r>
        <w:fldChar w:fldCharType="end"/>
      </w:r>
    </w:p>
    <w:p w14:paraId="49B399BF">
      <w:pPr>
        <w:pStyle w:val="19"/>
        <w:tabs>
          <w:tab w:val="right" w:leader="dot" w:pos="9344"/>
        </w:tabs>
        <w:rPr>
          <w:rFonts w:asciiTheme="minorHAnsi" w:hAnsiTheme="minorHAnsi" w:eastAsiaTheme="minorEastAsia" w:cstheme="minorBidi"/>
          <w:szCs w:val="22"/>
        </w:rPr>
      </w:pPr>
      <w:r>
        <w:fldChar w:fldCharType="begin"/>
      </w:r>
      <w:r>
        <w:instrText xml:space="preserve"> HYPERLINK \l "_Toc207867865" </w:instrText>
      </w:r>
      <w:r>
        <w:fldChar w:fldCharType="separate"/>
      </w:r>
      <w:r>
        <w:rPr>
          <w:rStyle w:val="32"/>
        </w:rPr>
        <w:t>7  数据分析与结果评估</w:t>
      </w:r>
      <w:r>
        <w:tab/>
      </w:r>
      <w:r>
        <w:fldChar w:fldCharType="begin"/>
      </w:r>
      <w:r>
        <w:instrText xml:space="preserve"> PAGEREF _Toc207867865 \h </w:instrText>
      </w:r>
      <w:r>
        <w:fldChar w:fldCharType="separate"/>
      </w:r>
      <w:r>
        <w:t>6</w:t>
      </w:r>
      <w:r>
        <w:fldChar w:fldCharType="end"/>
      </w:r>
      <w:r>
        <w:fldChar w:fldCharType="end"/>
      </w:r>
    </w:p>
    <w:p w14:paraId="0A1E107A">
      <w:pPr>
        <w:pStyle w:val="19"/>
        <w:tabs>
          <w:tab w:val="right" w:leader="dot" w:pos="9344"/>
        </w:tabs>
        <w:rPr>
          <w:rFonts w:asciiTheme="minorHAnsi" w:hAnsiTheme="minorHAnsi" w:eastAsiaTheme="minorEastAsia" w:cstheme="minorBidi"/>
          <w:szCs w:val="22"/>
        </w:rPr>
      </w:pPr>
      <w:r>
        <w:fldChar w:fldCharType="begin"/>
      </w:r>
      <w:r>
        <w:instrText xml:space="preserve"> HYPERLINK \l "_Toc207867866" </w:instrText>
      </w:r>
      <w:r>
        <w:fldChar w:fldCharType="separate"/>
      </w:r>
      <w:r>
        <w:rPr>
          <w:rStyle w:val="32"/>
        </w:rPr>
        <w:t>8  质量控制体系与管理</w:t>
      </w:r>
      <w:r>
        <w:tab/>
      </w:r>
      <w:r>
        <w:fldChar w:fldCharType="begin"/>
      </w:r>
      <w:r>
        <w:instrText xml:space="preserve"> PAGEREF _Toc207867866 \h </w:instrText>
      </w:r>
      <w:r>
        <w:fldChar w:fldCharType="separate"/>
      </w:r>
      <w:r>
        <w:t>7</w:t>
      </w:r>
      <w:r>
        <w:fldChar w:fldCharType="end"/>
      </w:r>
      <w:r>
        <w:fldChar w:fldCharType="end"/>
      </w:r>
    </w:p>
    <w:p w14:paraId="40A0C049">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867857"/>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本文件起草单位：徐州市正源水利建筑工程检测有限公司。</w:t>
      </w:r>
    </w:p>
    <w:p w14:paraId="176D849B">
      <w:pPr>
        <w:pStyle w:val="56"/>
        <w:spacing w:line="360" w:lineRule="auto"/>
        <w:ind w:firstLine="420"/>
      </w:pPr>
      <w:r>
        <w:rPr>
          <w:rFonts w:hint="eastAsia"/>
        </w:rPr>
        <w:t>本文件主要起草人：刘杨杨。</w:t>
      </w:r>
    </w:p>
    <w:p w14:paraId="54516588">
      <w:pPr>
        <w:pStyle w:val="56"/>
        <w:ind w:firstLine="420"/>
      </w:pPr>
    </w:p>
    <w:p w14:paraId="21DA9461">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7" w:name="_GoBack"/>
      <w:bookmarkEnd w:id="57"/>
    </w:p>
    <w:bookmarkEnd w:id="23"/>
    <w:p w14:paraId="5E6C5F42">
      <w:pPr>
        <w:pStyle w:val="89"/>
        <w:spacing w:after="360"/>
      </w:pPr>
      <w:bookmarkStart w:id="24" w:name="_Toc207867858"/>
      <w:bookmarkStart w:id="25" w:name="BookMark3"/>
      <w:r>
        <w:rPr>
          <w:spacing w:val="320"/>
        </w:rPr>
        <w:t>引</w:t>
      </w:r>
      <w:r>
        <w:t>言</w:t>
      </w:r>
      <w:bookmarkEnd w:id="24"/>
    </w:p>
    <w:p w14:paraId="7D43183F">
      <w:pPr>
        <w:pStyle w:val="56"/>
        <w:spacing w:line="360" w:lineRule="auto"/>
        <w:ind w:firstLine="420"/>
      </w:pPr>
      <w:r>
        <w:rPr>
          <w:rFonts w:hint="eastAsia"/>
        </w:rPr>
        <w:t>土工合成材料是现代水利工程中广泛应用的工程材料，主要用于土壤加固、防渗隔离、排水等功能。随着水利工程的快速发展，土工合成材料的应用领域逐渐扩大，从水坝、堤防、河道治理到水库防渗等工程中，土工合成材料都发挥着重要作用。这些材料的使用效果直接影响到工程的安全性、稳定性以及耐久性。</w:t>
      </w:r>
    </w:p>
    <w:p w14:paraId="0DDC91B7">
      <w:pPr>
        <w:pStyle w:val="56"/>
        <w:spacing w:line="360" w:lineRule="auto"/>
        <w:ind w:firstLine="420"/>
      </w:pPr>
      <w:r>
        <w:rPr>
          <w:rFonts w:hint="eastAsia"/>
        </w:rPr>
        <w:t>然而，土工合成材料的种类繁多，包括土工布、土工膜、土工格栅、土工网等，每种材料的性能和应用领域有所不同。因此，为了确保其在水利工程中的使用效果，必须对土工合成材料进行科学、规范的检测与评估，确保其符合相关的质量标准和技术要求。</w:t>
      </w:r>
    </w:p>
    <w:p w14:paraId="55070B45">
      <w:pPr>
        <w:pStyle w:val="56"/>
        <w:spacing w:line="360" w:lineRule="auto"/>
        <w:ind w:firstLine="420"/>
      </w:pPr>
      <w:r>
        <w:rPr>
          <w:rFonts w:hint="eastAsia"/>
        </w:rPr>
        <w:t>本文件旨在规范水利工程中土工合成材料的检测技术，通过对材料性能的检测，确保材料质量符合设计要求，保障工程的安全性与稳定性。通过建立一套标准化、系统化的检测方法，本文件为相关工程技术人员提供技术指导，确保土工合成材料在实际应用中能够发挥其最大效能，并为水利工程的安全运行提供有力保障。</w:t>
      </w:r>
    </w:p>
    <w:p w14:paraId="660D3375">
      <w:pPr>
        <w:pStyle w:val="56"/>
        <w:spacing w:line="360" w:lineRule="auto"/>
        <w:ind w:firstLine="420"/>
      </w:pPr>
      <w:r>
        <w:rPr>
          <w:rFonts w:hint="eastAsia"/>
        </w:rPr>
        <w:t>在本文件的编写过程中，结合了国内外相关检测技术标准和水利工程实践经验，提出了科学、合理的检测方法，并对常见的土工合成材料进行性能评估，以便于不同水利工程项目中土工合成材料的选用和质量控制。</w:t>
      </w:r>
    </w:p>
    <w:p w14:paraId="34E3B7EF">
      <w:pPr>
        <w:pStyle w:val="56"/>
        <w:spacing w:line="360" w:lineRule="auto"/>
        <w:ind w:firstLine="420"/>
      </w:pPr>
    </w:p>
    <w:p w14:paraId="19B7BF2F">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6AD50D1C">
          <w:pPr>
            <w:pStyle w:val="177"/>
          </w:pPr>
          <w:bookmarkStart w:id="27" w:name="NEW_STAND_NAME"/>
          <w:r>
            <w:rPr>
              <w:rFonts w:hint="eastAsia"/>
            </w:rPr>
            <w:t>水利工程土工合成材料检测技术规范</w:t>
          </w:r>
        </w:p>
      </w:sdtContent>
    </w:sdt>
    <w:bookmarkEnd w:id="27"/>
    <w:p w14:paraId="0A64D0C7">
      <w:pPr>
        <w:pStyle w:val="104"/>
        <w:spacing w:before="240" w:after="240" w:line="360" w:lineRule="auto"/>
      </w:pPr>
      <w:bookmarkStart w:id="28" w:name="_Toc17233333"/>
      <w:bookmarkStart w:id="29" w:name="_Toc24884218"/>
      <w:bookmarkStart w:id="30" w:name="_Toc26986771"/>
      <w:bookmarkStart w:id="31" w:name="_Toc97192964"/>
      <w:bookmarkStart w:id="32" w:name="_Toc207867859"/>
      <w:bookmarkStart w:id="33" w:name="_Toc24884211"/>
      <w:bookmarkStart w:id="34" w:name="_Toc26718930"/>
      <w:bookmarkStart w:id="35" w:name="_Toc26648465"/>
      <w:bookmarkStart w:id="36" w:name="_Toc26986530"/>
      <w:bookmarkStart w:id="37" w:name="_Toc17233325"/>
      <w:r>
        <w:rPr>
          <w:rFonts w:hint="eastAsia"/>
        </w:rPr>
        <w:t>范围</w:t>
      </w:r>
      <w:bookmarkEnd w:id="28"/>
      <w:bookmarkEnd w:id="29"/>
      <w:bookmarkEnd w:id="30"/>
      <w:bookmarkEnd w:id="31"/>
      <w:bookmarkEnd w:id="32"/>
      <w:bookmarkEnd w:id="33"/>
      <w:bookmarkEnd w:id="34"/>
      <w:bookmarkEnd w:id="35"/>
      <w:bookmarkEnd w:id="36"/>
      <w:bookmarkEnd w:id="37"/>
    </w:p>
    <w:p w14:paraId="28257FD8">
      <w:pPr>
        <w:pStyle w:val="56"/>
        <w:spacing w:line="360" w:lineRule="auto"/>
        <w:ind w:firstLine="420"/>
      </w:pPr>
      <w:bookmarkStart w:id="38" w:name="_Toc24884212"/>
      <w:bookmarkStart w:id="39" w:name="_Toc17233334"/>
      <w:bookmarkStart w:id="40" w:name="_Toc26648466"/>
      <w:bookmarkStart w:id="41" w:name="_Toc24884219"/>
      <w:bookmarkStart w:id="42" w:name="_Toc17233326"/>
      <w:r>
        <w:rPr>
          <w:rFonts w:hint="eastAsia"/>
        </w:rPr>
        <w:t>本文件规定了土工合成材料的基本性能检测技术要求，涵盖检测方法、质量控制与报告要求、检测设备与操作要求、数据分析与结果评估及质量控制体系与管理等方面的内容。通过对材料性能的科学检测，能够为材料的选型、施工过程中的质量控制以及工程竣工后的性能评估提供依据。</w:t>
      </w:r>
    </w:p>
    <w:p w14:paraId="58AA2175">
      <w:pPr>
        <w:pStyle w:val="56"/>
        <w:spacing w:line="360" w:lineRule="auto"/>
        <w:ind w:firstLine="420"/>
      </w:pPr>
      <w:r>
        <w:rPr>
          <w:rFonts w:hint="eastAsia"/>
        </w:rPr>
        <w:t>本文件适用于各类水利工程项目中土工合成材料的选用、生产、运输、存储、施工以及使用过程中质量控制的检测工作。同时，也适用于相关检测机构、施工单位、设计单位以及产品生产厂家，以保证土工合成材料的质量达到工程要求。</w:t>
      </w:r>
    </w:p>
    <w:p w14:paraId="11D26411">
      <w:pPr>
        <w:pStyle w:val="104"/>
        <w:spacing w:before="240" w:after="240" w:line="360" w:lineRule="auto"/>
      </w:pPr>
      <w:bookmarkStart w:id="43" w:name="_Toc26718931"/>
      <w:bookmarkStart w:id="44" w:name="_Toc26986531"/>
      <w:bookmarkStart w:id="45" w:name="_Toc26986772"/>
      <w:bookmarkStart w:id="46" w:name="_Toc97192965"/>
      <w:bookmarkStart w:id="47" w:name="_Toc207867860"/>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D03FA06">
      <w:pPr>
        <w:pStyle w:val="56"/>
        <w:spacing w:line="360" w:lineRule="auto"/>
        <w:ind w:firstLine="420"/>
      </w:pPr>
      <w:r>
        <w:rPr>
          <w:rFonts w:hint="eastAsia"/>
        </w:rPr>
        <w:t>GB/T 1.1—2020 标准化工作导则  第1部分：标准化文件的结构和起草规则</w:t>
      </w:r>
    </w:p>
    <w:p w14:paraId="0E0DC5A9">
      <w:pPr>
        <w:pStyle w:val="56"/>
        <w:spacing w:line="360" w:lineRule="auto"/>
        <w:ind w:firstLine="420"/>
      </w:pPr>
      <w:r>
        <w:t>GB/T 13762</w:t>
      </w:r>
      <w:r>
        <w:rPr>
          <w:rFonts w:hint="eastAsia"/>
        </w:rPr>
        <w:t>—</w:t>
      </w:r>
      <w:r>
        <w:t xml:space="preserve">2009 </w:t>
      </w:r>
      <w:r>
        <w:rPr>
          <w:rFonts w:hint="eastAsia"/>
        </w:rPr>
        <w:t xml:space="preserve">土工合成材料 </w:t>
      </w:r>
      <w:r>
        <w:t xml:space="preserve"> </w:t>
      </w:r>
      <w:r>
        <w:rPr>
          <w:rFonts w:hint="eastAsia"/>
        </w:rPr>
        <w:t>土工布及土工布有关产品单位面积质量的测定方法</w:t>
      </w:r>
    </w:p>
    <w:p w14:paraId="1CE7A588">
      <w:pPr>
        <w:pStyle w:val="56"/>
        <w:spacing w:line="360" w:lineRule="auto"/>
        <w:ind w:firstLine="420"/>
      </w:pPr>
      <w:r>
        <w:t>GB/T 15788</w:t>
      </w:r>
      <w:r>
        <w:rPr>
          <w:rFonts w:hint="eastAsia"/>
        </w:rPr>
        <w:t>—</w:t>
      </w:r>
      <w:r>
        <w:t xml:space="preserve">2017 </w:t>
      </w:r>
      <w:r>
        <w:rPr>
          <w:rFonts w:hint="eastAsia"/>
        </w:rPr>
        <w:t xml:space="preserve">土工合成材料 </w:t>
      </w:r>
      <w:r>
        <w:t xml:space="preserve"> </w:t>
      </w:r>
      <w:r>
        <w:rPr>
          <w:rFonts w:hint="eastAsia"/>
        </w:rPr>
        <w:t>宽条拉伸试验方法</w:t>
      </w:r>
    </w:p>
    <w:p w14:paraId="00C2565F">
      <w:pPr>
        <w:pStyle w:val="56"/>
        <w:spacing w:line="360" w:lineRule="auto"/>
        <w:ind w:firstLine="420"/>
      </w:pPr>
      <w:r>
        <w:t>GB/T 16989</w:t>
      </w:r>
      <w:r>
        <w:rPr>
          <w:rFonts w:hint="eastAsia"/>
        </w:rPr>
        <w:t>—</w:t>
      </w:r>
      <w:r>
        <w:t xml:space="preserve">2013 </w:t>
      </w:r>
      <w:r>
        <w:rPr>
          <w:rFonts w:hint="eastAsia"/>
        </w:rPr>
        <w:t xml:space="preserve">土工合成材料 </w:t>
      </w:r>
      <w:r>
        <w:t xml:space="preserve"> </w:t>
      </w:r>
      <w:r>
        <w:rPr>
          <w:rFonts w:hint="eastAsia"/>
        </w:rPr>
        <w:t>接头/接缝宽条拉伸试验方法</w:t>
      </w:r>
    </w:p>
    <w:p w14:paraId="1799A768">
      <w:pPr>
        <w:pStyle w:val="56"/>
        <w:spacing w:line="360" w:lineRule="auto"/>
        <w:ind w:firstLine="420"/>
      </w:pPr>
      <w:r>
        <w:t>GB/T 17640</w:t>
      </w:r>
      <w:r>
        <w:rPr>
          <w:rFonts w:hint="eastAsia"/>
        </w:rPr>
        <w:t>—</w:t>
      </w:r>
      <w:r>
        <w:t xml:space="preserve">2023 </w:t>
      </w:r>
      <w:r>
        <w:rPr>
          <w:rFonts w:hint="eastAsia"/>
        </w:rPr>
        <w:t xml:space="preserve">土工合成材料 </w:t>
      </w:r>
      <w:r>
        <w:t xml:space="preserve"> </w:t>
      </w:r>
      <w:r>
        <w:rPr>
          <w:rFonts w:hint="eastAsia"/>
        </w:rPr>
        <w:t>长丝机织土工布</w:t>
      </w:r>
    </w:p>
    <w:p w14:paraId="2EF256A2">
      <w:pPr>
        <w:pStyle w:val="56"/>
        <w:spacing w:line="360" w:lineRule="auto"/>
        <w:ind w:firstLine="420"/>
      </w:pPr>
      <w:r>
        <w:t>GB/T 17690</w:t>
      </w:r>
      <w:r>
        <w:rPr>
          <w:rFonts w:hint="eastAsia"/>
        </w:rPr>
        <w:t>—</w:t>
      </w:r>
      <w:r>
        <w:t xml:space="preserve">1999 </w:t>
      </w:r>
      <w:r>
        <w:rPr>
          <w:rFonts w:hint="eastAsia"/>
        </w:rPr>
        <w:t>土工合成材料  塑料扁丝编织土工布</w:t>
      </w:r>
    </w:p>
    <w:p w14:paraId="428E622B">
      <w:pPr>
        <w:pStyle w:val="56"/>
        <w:spacing w:line="360" w:lineRule="auto"/>
        <w:ind w:firstLine="420"/>
      </w:pPr>
      <w:r>
        <w:t>GB/T 18887</w:t>
      </w:r>
      <w:r>
        <w:rPr>
          <w:rFonts w:hint="eastAsia"/>
        </w:rPr>
        <w:t>—</w:t>
      </w:r>
      <w:r>
        <w:t xml:space="preserve">2023 </w:t>
      </w:r>
      <w:r>
        <w:rPr>
          <w:rFonts w:hint="eastAsia"/>
        </w:rPr>
        <w:t xml:space="preserve">土工合成材料 </w:t>
      </w:r>
      <w:r>
        <w:t xml:space="preserve"> </w:t>
      </w:r>
      <w:r>
        <w:rPr>
          <w:rFonts w:hint="eastAsia"/>
        </w:rPr>
        <w:t>机织/非织造复合土工布</w:t>
      </w:r>
    </w:p>
    <w:p w14:paraId="0F159519">
      <w:pPr>
        <w:pStyle w:val="104"/>
        <w:spacing w:before="240" w:after="240" w:line="360" w:lineRule="auto"/>
      </w:pPr>
      <w:bookmarkStart w:id="48" w:name="_Toc97192966"/>
      <w:bookmarkStart w:id="49" w:name="_Toc207867861"/>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3BBBFC5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土工合成材料 geosynthetic materials</w:t>
      </w:r>
    </w:p>
    <w:p w14:paraId="35CB812C">
      <w:pPr>
        <w:pStyle w:val="56"/>
        <w:spacing w:line="360" w:lineRule="auto"/>
        <w:ind w:firstLine="420"/>
      </w:pPr>
      <w:r>
        <w:rPr>
          <w:rFonts w:hint="eastAsia"/>
        </w:rPr>
        <w:t>由土工布、土工膜、土工格栅、土工网等组成，广泛应用于水利工程中的土体加固、防渗、排水等方面的材料。</w:t>
      </w:r>
    </w:p>
    <w:p w14:paraId="0F01DB1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土工布 geotextile</w:t>
      </w:r>
    </w:p>
    <w:p w14:paraId="553E3407">
      <w:pPr>
        <w:pStyle w:val="56"/>
        <w:spacing w:line="360" w:lineRule="auto"/>
        <w:ind w:firstLine="420"/>
      </w:pPr>
      <w:r>
        <w:rPr>
          <w:rFonts w:hint="eastAsia"/>
        </w:rPr>
        <w:t>由合成纤维或天然纤维经过编织或针刺工艺形成的透水性较强的材料，主要用于防渗、加固、分隔等用途。</w:t>
      </w:r>
    </w:p>
    <w:p w14:paraId="28ABBF1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土工膜 geomembrane</w:t>
      </w:r>
    </w:p>
    <w:p w14:paraId="5FCD9F34">
      <w:pPr>
        <w:pStyle w:val="56"/>
        <w:spacing w:line="360" w:lineRule="auto"/>
        <w:ind w:firstLine="420"/>
      </w:pPr>
      <w:r>
        <w:rPr>
          <w:rFonts w:hint="eastAsia"/>
        </w:rPr>
        <w:t>一种由塑料材料制成的薄膜，具有优异的防渗性能，常用于水利工程中的防渗层、池塘衬垫等。</w:t>
      </w:r>
    </w:p>
    <w:p w14:paraId="2C50860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土工格栅 geogrid</w:t>
      </w:r>
    </w:p>
    <w:p w14:paraId="2832779C">
      <w:pPr>
        <w:pStyle w:val="56"/>
        <w:spacing w:line="360" w:lineRule="auto"/>
        <w:ind w:firstLine="420"/>
      </w:pPr>
      <w:r>
        <w:rPr>
          <w:rFonts w:hint="eastAsia"/>
        </w:rPr>
        <w:t>由聚酯或聚丙烯等材料制成的格状结构，用于加固土体、改善土壤的稳定性，广泛应用于道路、堤坝等工程。</w:t>
      </w:r>
    </w:p>
    <w:p w14:paraId="729691C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土工网 geonet</w:t>
      </w:r>
    </w:p>
    <w:p w14:paraId="156463A8">
      <w:pPr>
        <w:pStyle w:val="56"/>
        <w:spacing w:line="360" w:lineRule="auto"/>
        <w:ind w:firstLine="420"/>
      </w:pPr>
      <w:r>
        <w:rPr>
          <w:rFonts w:hint="eastAsia"/>
        </w:rPr>
        <w:t>由交叉的高强度塑料纤维构成的网状结构，具有良好的排水性能，常用于水利工程中的排水层和过滤层。</w:t>
      </w:r>
    </w:p>
    <w:p w14:paraId="5C5EEFA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拉伸强度 tensile strength</w:t>
      </w:r>
    </w:p>
    <w:p w14:paraId="411CEA81">
      <w:pPr>
        <w:pStyle w:val="56"/>
        <w:spacing w:line="360" w:lineRule="auto"/>
        <w:ind w:firstLine="420"/>
      </w:pPr>
      <w:r>
        <w:rPr>
          <w:rFonts w:hint="eastAsia"/>
        </w:rPr>
        <w:t>材料在拉伸试验中，达到破裂时所能承受的最大拉伸力，是评价土工合成材料力学性能的重要指标。</w:t>
      </w:r>
    </w:p>
    <w:p w14:paraId="4BC613B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抗渗性 impermeability</w:t>
      </w:r>
    </w:p>
    <w:p w14:paraId="08EE41F9">
      <w:pPr>
        <w:pStyle w:val="56"/>
        <w:spacing w:line="360" w:lineRule="auto"/>
        <w:ind w:firstLine="420"/>
      </w:pPr>
      <w:r>
        <w:rPr>
          <w:rFonts w:hint="eastAsia"/>
        </w:rPr>
        <w:t>土工合成材料抵抗水流渗透的能力，通常通过浸水试验或其他渗透试验来评定。</w:t>
      </w:r>
    </w:p>
    <w:p w14:paraId="525171A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耐久性 durability</w:t>
      </w:r>
    </w:p>
    <w:p w14:paraId="19832151">
      <w:pPr>
        <w:pStyle w:val="56"/>
        <w:spacing w:line="360" w:lineRule="auto"/>
        <w:ind w:firstLine="420"/>
      </w:pPr>
      <w:r>
        <w:rPr>
          <w:rFonts w:hint="eastAsia"/>
        </w:rPr>
        <w:t>土工合成材料在长期使用过程中，能保持其物理力学性能和功能的能力，尤其是在水利工程的严苛环境中。</w:t>
      </w:r>
    </w:p>
    <w:p w14:paraId="191A38C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透水性 permeability</w:t>
      </w:r>
    </w:p>
    <w:p w14:paraId="1E01701B">
      <w:pPr>
        <w:pStyle w:val="56"/>
        <w:spacing w:line="360" w:lineRule="auto"/>
        <w:ind w:firstLine="420"/>
      </w:pPr>
      <w:r>
        <w:rPr>
          <w:rFonts w:hint="eastAsia"/>
        </w:rPr>
        <w:t>土工合成材料允许水通过的能力，通常通过透水试验来测定，尤其是土工布和土工网的应用中，透水性是一个重要性能。</w:t>
      </w:r>
    </w:p>
    <w:p w14:paraId="1E65F20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拉伸模量 tensile modulus</w:t>
      </w:r>
    </w:p>
    <w:p w14:paraId="2A6B203F">
      <w:pPr>
        <w:pStyle w:val="56"/>
        <w:spacing w:line="360" w:lineRule="auto"/>
        <w:ind w:firstLine="420"/>
      </w:pPr>
      <w:r>
        <w:rPr>
          <w:rFonts w:hint="eastAsia"/>
        </w:rPr>
        <w:t>材料在拉伸状态下，单位应变对应的应力，通常用来描述材料的刚度。</w:t>
      </w:r>
    </w:p>
    <w:p w14:paraId="61C1DCFE">
      <w:pPr>
        <w:pStyle w:val="104"/>
        <w:spacing w:before="240" w:after="240" w:line="360" w:lineRule="auto"/>
      </w:pPr>
      <w:bookmarkStart w:id="51" w:name="_Toc207867862"/>
      <w:r>
        <w:rPr>
          <w:rFonts w:hint="eastAsia"/>
        </w:rPr>
        <w:t>检测方法</w:t>
      </w:r>
      <w:bookmarkEnd w:id="51"/>
    </w:p>
    <w:p w14:paraId="119FF4AF">
      <w:pPr>
        <w:pStyle w:val="105"/>
        <w:spacing w:before="120" w:after="120" w:line="360" w:lineRule="auto"/>
      </w:pPr>
      <w:r>
        <w:rPr>
          <w:rFonts w:hint="eastAsia"/>
        </w:rPr>
        <w:t>样品准备与处理</w:t>
      </w:r>
    </w:p>
    <w:p w14:paraId="407A8822">
      <w:pPr>
        <w:pStyle w:val="56"/>
        <w:spacing w:line="360" w:lineRule="auto"/>
        <w:ind w:firstLine="420"/>
      </w:pPr>
      <w:r>
        <w:rPr>
          <w:rFonts w:hint="eastAsia"/>
        </w:rPr>
        <w:t>在进行土工合成材料的检测前，应根据相关标准和试验方法进行样品的准备与处理。样品应从生产批次中随机抽取，且抽取数量应满足检测要求。每种材料的样品应具有代表性，确保检测结果的准确性与可靠性。样品处理时，应避免样品受潮、污染或受外界环境因素影响。</w:t>
      </w:r>
    </w:p>
    <w:p w14:paraId="2A1ED018">
      <w:pPr>
        <w:pStyle w:val="105"/>
        <w:spacing w:before="120" w:after="120" w:line="360" w:lineRule="auto"/>
      </w:pPr>
      <w:r>
        <w:rPr>
          <w:rFonts w:hint="eastAsia"/>
        </w:rPr>
        <w:t>拉伸性能测试</w:t>
      </w:r>
    </w:p>
    <w:p w14:paraId="7B21F0B9">
      <w:pPr>
        <w:pStyle w:val="56"/>
        <w:spacing w:line="360" w:lineRule="auto"/>
        <w:ind w:firstLine="420"/>
      </w:pPr>
      <w:r>
        <w:rPr>
          <w:rFonts w:hint="eastAsia"/>
        </w:rPr>
        <w:t>拉伸性能是土工合成材料最重要的力学性能之一，通常通过拉伸试验来评定。测试内容包括拉伸强度、断裂伸长率、拉伸模量等。试验中，样品应沿其最长方向进行拉伸，记录最大拉伸力和样品的断裂点。结果应根据材料的规格和应用要求进行分析和评估。</w:t>
      </w:r>
    </w:p>
    <w:p w14:paraId="4DA6B02C">
      <w:pPr>
        <w:pStyle w:val="105"/>
        <w:spacing w:before="120" w:after="120" w:line="360" w:lineRule="auto"/>
      </w:pPr>
      <w:r>
        <w:rPr>
          <w:rFonts w:hint="eastAsia"/>
        </w:rPr>
        <w:t>抗渗性能测试</w:t>
      </w:r>
    </w:p>
    <w:p w14:paraId="0EC17023">
      <w:pPr>
        <w:pStyle w:val="56"/>
        <w:spacing w:line="360" w:lineRule="auto"/>
        <w:ind w:firstLine="420"/>
      </w:pPr>
      <w:r>
        <w:rPr>
          <w:rFonts w:hint="eastAsia"/>
        </w:rPr>
        <w:t>抗渗性测试主要用于评估土工合成材料在水利工程中的防渗效果。常见的抗渗性测试方法包括静水渗透试验和动态渗透试验。在静水渗透试验中，样品应在规定的压力下浸泡一定时间，测量渗透量。抗渗性能不合格的材料应进行重新评估或更换。</w:t>
      </w:r>
    </w:p>
    <w:p w14:paraId="12D923A9">
      <w:pPr>
        <w:pStyle w:val="105"/>
        <w:spacing w:before="120" w:after="120" w:line="360" w:lineRule="auto"/>
      </w:pPr>
      <w:r>
        <w:rPr>
          <w:rFonts w:hint="eastAsia"/>
        </w:rPr>
        <w:t>耐久性测试</w:t>
      </w:r>
    </w:p>
    <w:p w14:paraId="2F39D373">
      <w:pPr>
        <w:pStyle w:val="56"/>
        <w:spacing w:line="360" w:lineRule="auto"/>
        <w:ind w:firstLine="420"/>
      </w:pPr>
      <w:r>
        <w:rPr>
          <w:rFonts w:hint="eastAsia"/>
        </w:rPr>
        <w:t>耐久性测试用于评估土工合成材料在长期使用过程中抵抗环境变化、紫外线、温度变化、化学侵蚀等因素的能力。常见的耐久性测试方法包括紫外线老化试验、冻融试验、化学腐蚀试验等。紫外线老化试验可以模拟材料在长期暴露于阳光下的情况，冻融试验则评估材料在低温冻融交替环境下的耐久性。所有测试应遵循相关标准，并根据材料的实际使用环境进行适当调整。</w:t>
      </w:r>
    </w:p>
    <w:p w14:paraId="1EF0647A">
      <w:pPr>
        <w:pStyle w:val="105"/>
        <w:spacing w:before="120" w:after="120" w:line="360" w:lineRule="auto"/>
      </w:pPr>
      <w:r>
        <w:rPr>
          <w:rFonts w:hint="eastAsia"/>
        </w:rPr>
        <w:t>透水性测试</w:t>
      </w:r>
    </w:p>
    <w:p w14:paraId="074B635B">
      <w:pPr>
        <w:pStyle w:val="56"/>
        <w:spacing w:line="360" w:lineRule="auto"/>
        <w:ind w:firstLine="420"/>
      </w:pPr>
      <w:r>
        <w:rPr>
          <w:rFonts w:hint="eastAsia"/>
        </w:rPr>
        <w:t>透水性测试主要用于评估土工合成材料的水流通透性。常用的方法有常规的静态透水试验和动态透水试验。在静态透水试验中，样品放置在规定的容器中，测量水流过材料的速度。在动态透水试验中，样品暴露于流动水流的环境下，记录其水流量。透水性测试的结果有助于评估材料在土壤加固、防渗和排水中的效果。</w:t>
      </w:r>
    </w:p>
    <w:p w14:paraId="1CDDC583">
      <w:pPr>
        <w:pStyle w:val="105"/>
        <w:spacing w:before="120" w:after="120" w:line="360" w:lineRule="auto"/>
      </w:pPr>
      <w:r>
        <w:rPr>
          <w:rFonts w:hint="eastAsia"/>
        </w:rPr>
        <w:t>尺寸与外观检查</w:t>
      </w:r>
    </w:p>
    <w:p w14:paraId="02EEEFA9">
      <w:pPr>
        <w:pStyle w:val="56"/>
        <w:spacing w:line="360" w:lineRule="auto"/>
        <w:ind w:firstLine="420"/>
      </w:pPr>
      <w:r>
        <w:rPr>
          <w:rFonts w:hint="eastAsia"/>
        </w:rPr>
        <w:t>对于土工合成材料的尺寸与外观检查，应依据材料规格要求进行。常见的检查内容包括材料的厚度、宽度、长度、表面光洁度等。尺寸检查应使用精确的测量工具，并确保每个样品符合规定的尺寸要求。外观检查主要针对材料表面是否存在明显缺陷，如裂纹、孔洞、污点等，确保材料表面无损坏，适宜用于工程建设。</w:t>
      </w:r>
    </w:p>
    <w:p w14:paraId="2225AF3B">
      <w:pPr>
        <w:pStyle w:val="105"/>
        <w:spacing w:before="120" w:after="120" w:line="360" w:lineRule="auto"/>
      </w:pPr>
      <w:r>
        <w:rPr>
          <w:rFonts w:hint="eastAsia"/>
        </w:rPr>
        <w:t>化学稳定性测试</w:t>
      </w:r>
    </w:p>
    <w:p w14:paraId="1AC032E4">
      <w:pPr>
        <w:pStyle w:val="56"/>
        <w:spacing w:line="360" w:lineRule="auto"/>
        <w:ind w:firstLine="420"/>
      </w:pPr>
      <w:r>
        <w:rPr>
          <w:rFonts w:hint="eastAsia"/>
        </w:rPr>
        <w:t>化学稳定性是评估土工合成材料在水利工程中长期使用的另一项重要指标。该测试通常包括材料在不同化学环境下的稳定性评估。常见的化学环境测试包括对酸碱性物质的耐受性测试以及对有机溶剂、盐类溶液的抗腐蚀能力测试。化学稳定性测试帮助评估材料在不同水质环境下的适应性，尤其在一些特殊区域如盐碱地、污染水体等环境中。</w:t>
      </w:r>
    </w:p>
    <w:p w14:paraId="279BDF34">
      <w:pPr>
        <w:pStyle w:val="105"/>
        <w:spacing w:before="120" w:after="120" w:line="360" w:lineRule="auto"/>
      </w:pPr>
      <w:r>
        <w:rPr>
          <w:rFonts w:hint="eastAsia"/>
        </w:rPr>
        <w:t>拉伸与压缩性试验</w:t>
      </w:r>
    </w:p>
    <w:p w14:paraId="50E961B2">
      <w:pPr>
        <w:pStyle w:val="56"/>
        <w:spacing w:line="360" w:lineRule="auto"/>
        <w:ind w:firstLine="420"/>
      </w:pPr>
      <w:r>
        <w:rPr>
          <w:rFonts w:hint="eastAsia"/>
        </w:rPr>
        <w:t>某些土工合成材料在实际应用中需要承受较大的拉伸或压缩载荷，因此其拉伸与压缩性能的检测尤为重要。拉伸与压缩试验应依据相关标准进行，测试过程应确保样品在标准条件下进行，测试设备应进行定期校准。通过测试样品的拉伸强度和压缩强度，可以评估材料在实际应用中的承载能力和稳定性。</w:t>
      </w:r>
    </w:p>
    <w:p w14:paraId="22A3514D">
      <w:pPr>
        <w:pStyle w:val="104"/>
        <w:spacing w:before="240" w:after="240" w:line="360" w:lineRule="auto"/>
      </w:pPr>
      <w:bookmarkStart w:id="52" w:name="_Toc207867863"/>
      <w:r>
        <w:rPr>
          <w:rFonts w:hint="eastAsia"/>
        </w:rPr>
        <w:t>质量控制与报告要求</w:t>
      </w:r>
      <w:bookmarkEnd w:id="52"/>
    </w:p>
    <w:p w14:paraId="44E71710">
      <w:pPr>
        <w:pStyle w:val="105"/>
        <w:spacing w:before="120" w:after="120" w:line="360" w:lineRule="auto"/>
      </w:pPr>
      <w:r>
        <w:rPr>
          <w:rFonts w:hint="eastAsia"/>
        </w:rPr>
        <w:t>质量控制要求</w:t>
      </w:r>
    </w:p>
    <w:p w14:paraId="503F26F9">
      <w:pPr>
        <w:pStyle w:val="65"/>
        <w:spacing w:before="120" w:after="120" w:line="360" w:lineRule="auto"/>
      </w:pPr>
      <w:r>
        <w:rPr>
          <w:rFonts w:hint="eastAsia"/>
        </w:rPr>
        <w:t>检测设备管理</w:t>
      </w:r>
    </w:p>
    <w:p w14:paraId="64E15C65">
      <w:pPr>
        <w:pStyle w:val="56"/>
        <w:spacing w:line="360" w:lineRule="auto"/>
        <w:ind w:firstLine="420"/>
      </w:pPr>
      <w:r>
        <w:rPr>
          <w:rFonts w:hint="eastAsia"/>
        </w:rPr>
        <w:t>所有检测设备必须经过验证和校准，确保其符合标准要求，并定期检查与维护。设备的使用应严格遵守操作规程，避免因设备故障影响测试结果的准确性。</w:t>
      </w:r>
    </w:p>
    <w:p w14:paraId="4D9E17FF">
      <w:pPr>
        <w:pStyle w:val="65"/>
        <w:spacing w:before="120" w:after="120" w:line="360" w:lineRule="auto"/>
      </w:pPr>
      <w:r>
        <w:rPr>
          <w:rFonts w:hint="eastAsia"/>
        </w:rPr>
        <w:t>实验人员资格</w:t>
      </w:r>
    </w:p>
    <w:p w14:paraId="5A67E356">
      <w:pPr>
        <w:pStyle w:val="56"/>
        <w:spacing w:line="360" w:lineRule="auto"/>
        <w:ind w:firstLine="420"/>
      </w:pPr>
      <w:r>
        <w:rPr>
          <w:rFonts w:hint="eastAsia"/>
        </w:rPr>
        <w:t>所有从事土工合成材料检测的人员应经过专业培训，并持有有效的资格证书。检测人员应熟悉相关的测试方法和标准，确保检测过程符合规定的技术要求。</w:t>
      </w:r>
    </w:p>
    <w:p w14:paraId="5DD40309">
      <w:pPr>
        <w:pStyle w:val="65"/>
        <w:spacing w:before="120" w:after="120" w:line="360" w:lineRule="auto"/>
      </w:pPr>
      <w:r>
        <w:rPr>
          <w:rFonts w:hint="eastAsia"/>
        </w:rPr>
        <w:t>检测环境控制</w:t>
      </w:r>
    </w:p>
    <w:p w14:paraId="54968DA6">
      <w:pPr>
        <w:pStyle w:val="56"/>
        <w:spacing w:line="360" w:lineRule="auto"/>
        <w:ind w:firstLine="420"/>
      </w:pPr>
      <w:r>
        <w:rPr>
          <w:rFonts w:hint="eastAsia"/>
        </w:rPr>
        <w:t>检测应在符合标准环境条件下进行，特别是在温湿度、光照等方面，应严格控制，避免外界环境因素对测试结果的影响。</w:t>
      </w:r>
    </w:p>
    <w:p w14:paraId="5EEBFE24">
      <w:pPr>
        <w:pStyle w:val="65"/>
        <w:spacing w:before="120" w:after="120" w:line="360" w:lineRule="auto"/>
      </w:pPr>
      <w:r>
        <w:rPr>
          <w:rFonts w:hint="eastAsia"/>
        </w:rPr>
        <w:t>样品管理</w:t>
      </w:r>
    </w:p>
    <w:p w14:paraId="55153F96">
      <w:pPr>
        <w:pStyle w:val="56"/>
        <w:spacing w:line="360" w:lineRule="auto"/>
        <w:ind w:firstLine="420"/>
      </w:pPr>
      <w:r>
        <w:rPr>
          <w:rFonts w:hint="eastAsia"/>
        </w:rPr>
        <w:t>样品的选取、保存、运输和处理应严格按照相关标准执行，确保样品的代表性和可靠性。在整个检测过程中，样品应标识清晰，避免交叉污染或误用。</w:t>
      </w:r>
    </w:p>
    <w:p w14:paraId="34E8DA6C">
      <w:pPr>
        <w:pStyle w:val="105"/>
        <w:spacing w:before="120" w:after="120" w:line="360" w:lineRule="auto"/>
      </w:pPr>
      <w:r>
        <w:rPr>
          <w:rFonts w:hint="eastAsia"/>
        </w:rPr>
        <w:t>检测数据的记录与存档</w:t>
      </w:r>
    </w:p>
    <w:p w14:paraId="641024D1">
      <w:pPr>
        <w:pStyle w:val="56"/>
        <w:spacing w:line="360" w:lineRule="auto"/>
        <w:ind w:firstLine="420"/>
      </w:pPr>
      <w:r>
        <w:rPr>
          <w:rFonts w:hint="eastAsia"/>
        </w:rPr>
        <w:t>所有的检测数据应详细记录，并保证数据的完整性与可追溯性。检测报告应包含以下基本内容：</w:t>
      </w:r>
    </w:p>
    <w:p w14:paraId="64AC1C43">
      <w:pPr>
        <w:pStyle w:val="132"/>
        <w:spacing w:line="360" w:lineRule="auto"/>
      </w:pPr>
      <w:r>
        <w:rPr>
          <w:rFonts w:hint="eastAsia"/>
        </w:rPr>
        <w:t>样品信息：包括样品的来源、编号、规格、抽样方法、检测日期等信息；</w:t>
      </w:r>
    </w:p>
    <w:p w14:paraId="5C9F519E">
      <w:pPr>
        <w:pStyle w:val="132"/>
        <w:spacing w:line="360" w:lineRule="auto"/>
      </w:pPr>
      <w:r>
        <w:rPr>
          <w:rFonts w:hint="eastAsia"/>
        </w:rPr>
        <w:t>检测条件：记录检测时的环境条件，如温度、湿度、设备型号等；</w:t>
      </w:r>
    </w:p>
    <w:p w14:paraId="2B344F3B">
      <w:pPr>
        <w:pStyle w:val="132"/>
        <w:spacing w:line="360" w:lineRule="auto"/>
      </w:pPr>
      <w:r>
        <w:rPr>
          <w:rFonts w:hint="eastAsia"/>
        </w:rPr>
        <w:t>检测过程：详细记录检测过程中的每一个步骤，包括试验方法、操作人员、测试设备等；</w:t>
      </w:r>
    </w:p>
    <w:p w14:paraId="20EC596C">
      <w:pPr>
        <w:pStyle w:val="132"/>
        <w:spacing w:line="360" w:lineRule="auto"/>
      </w:pPr>
      <w:r>
        <w:rPr>
          <w:rFonts w:hint="eastAsia"/>
        </w:rPr>
        <w:t>检测结果：提供测试结果的详细数据，并与标准要求进行对比分析；</w:t>
      </w:r>
    </w:p>
    <w:p w14:paraId="7D144BCD">
      <w:pPr>
        <w:pStyle w:val="132"/>
        <w:spacing w:line="360" w:lineRule="auto"/>
      </w:pPr>
      <w:r>
        <w:rPr>
          <w:rFonts w:hint="eastAsia"/>
        </w:rPr>
        <w:t>结论与建议：根据检测结果，提出是否符合标准的结论，并根据需要给出相关建议或改进措施。</w:t>
      </w:r>
    </w:p>
    <w:p w14:paraId="1DBA6D2E">
      <w:pPr>
        <w:pStyle w:val="56"/>
        <w:spacing w:line="360" w:lineRule="auto"/>
        <w:ind w:firstLine="420"/>
      </w:pPr>
      <w:r>
        <w:rPr>
          <w:rFonts w:hint="eastAsia"/>
        </w:rPr>
        <w:t>所有检测记录应按标准化要求归档保存，便于未来查询和复审。</w:t>
      </w:r>
    </w:p>
    <w:p w14:paraId="2B88B756">
      <w:pPr>
        <w:pStyle w:val="105"/>
        <w:spacing w:before="120" w:after="120" w:line="360" w:lineRule="auto"/>
      </w:pPr>
      <w:r>
        <w:rPr>
          <w:rFonts w:hint="eastAsia"/>
        </w:rPr>
        <w:t>报告的撰写与格式</w:t>
      </w:r>
    </w:p>
    <w:p w14:paraId="36EE3190">
      <w:pPr>
        <w:pStyle w:val="56"/>
        <w:spacing w:line="360" w:lineRule="auto"/>
        <w:ind w:firstLine="420"/>
      </w:pPr>
      <w:r>
        <w:rPr>
          <w:rFonts w:hint="eastAsia"/>
        </w:rPr>
        <w:t>检测报告应简明扼要、清晰准确，内容完整，格式统一。报告应包括以下主要部分：</w:t>
      </w:r>
    </w:p>
    <w:p w14:paraId="1D0319E0">
      <w:pPr>
        <w:pStyle w:val="174"/>
        <w:spacing w:line="360" w:lineRule="auto"/>
      </w:pPr>
      <w:r>
        <w:rPr>
          <w:rFonts w:hint="eastAsia"/>
        </w:rPr>
        <w:t>封面：报告的基本信息，包括项目名称、检测单位、检测日期、样品编号等；</w:t>
      </w:r>
    </w:p>
    <w:p w14:paraId="15DD197C">
      <w:pPr>
        <w:pStyle w:val="174"/>
        <w:spacing w:line="360" w:lineRule="auto"/>
      </w:pPr>
      <w:r>
        <w:rPr>
          <w:rFonts w:hint="eastAsia"/>
        </w:rPr>
        <w:t>前言：简要介绍检测的目的、背景和重要性；</w:t>
      </w:r>
    </w:p>
    <w:p w14:paraId="281BE544">
      <w:pPr>
        <w:pStyle w:val="174"/>
        <w:spacing w:line="360" w:lineRule="auto"/>
      </w:pPr>
      <w:r>
        <w:rPr>
          <w:rFonts w:hint="eastAsia"/>
        </w:rPr>
        <w:t>检测方法与程序：详细描述所采用的检测方法、设备和程序；</w:t>
      </w:r>
    </w:p>
    <w:p w14:paraId="4CB52F08">
      <w:pPr>
        <w:pStyle w:val="174"/>
        <w:spacing w:line="360" w:lineRule="auto"/>
      </w:pPr>
      <w:r>
        <w:rPr>
          <w:rFonts w:hint="eastAsia"/>
        </w:rPr>
        <w:t>检测结果：以表格、图表等形式呈现检测数据，清晰展示各项检测结果；</w:t>
      </w:r>
    </w:p>
    <w:p w14:paraId="16B854C4">
      <w:pPr>
        <w:pStyle w:val="174"/>
        <w:spacing w:line="360" w:lineRule="auto"/>
      </w:pPr>
      <w:r>
        <w:rPr>
          <w:rFonts w:hint="eastAsia"/>
        </w:rPr>
        <w:t>数据分析与结论：对检测结果进行分析，说明是否符合相关标准要求；</w:t>
      </w:r>
    </w:p>
    <w:p w14:paraId="50CDE366">
      <w:pPr>
        <w:pStyle w:val="174"/>
        <w:spacing w:line="360" w:lineRule="auto"/>
      </w:pPr>
      <w:r>
        <w:rPr>
          <w:rFonts w:hint="eastAsia"/>
        </w:rPr>
        <w:t>附件：包括原始数据、照片、设备校准报告等附件材料。</w:t>
      </w:r>
    </w:p>
    <w:p w14:paraId="7318DC2F">
      <w:pPr>
        <w:pStyle w:val="105"/>
        <w:spacing w:before="120" w:after="120" w:line="360" w:lineRule="auto"/>
      </w:pPr>
      <w:r>
        <w:rPr>
          <w:rFonts w:hint="eastAsia"/>
        </w:rPr>
        <w:t>不合格报告与整改措施</w:t>
      </w:r>
    </w:p>
    <w:p w14:paraId="1BC3F747">
      <w:pPr>
        <w:pStyle w:val="56"/>
        <w:spacing w:line="360" w:lineRule="auto"/>
        <w:ind w:firstLine="420"/>
      </w:pPr>
      <w:r>
        <w:rPr>
          <w:rFonts w:hint="eastAsia"/>
        </w:rPr>
        <w:t>若土工合成材料检测结果不符合相关标准要求，检测单位应及时向相关单位报告，并提出改进措施。整改报告应包括以下内容：</w:t>
      </w:r>
    </w:p>
    <w:p w14:paraId="313CFE7E">
      <w:pPr>
        <w:pStyle w:val="174"/>
        <w:numPr>
          <w:ilvl w:val="0"/>
          <w:numId w:val="32"/>
        </w:numPr>
        <w:spacing w:line="360" w:lineRule="auto"/>
      </w:pPr>
      <w:r>
        <w:rPr>
          <w:rFonts w:hint="eastAsia"/>
        </w:rPr>
        <w:t>问题描述：详细描述不合格的具体问题及检测数据；</w:t>
      </w:r>
    </w:p>
    <w:p w14:paraId="5B7B10DD">
      <w:pPr>
        <w:pStyle w:val="174"/>
        <w:spacing w:line="360" w:lineRule="auto"/>
      </w:pPr>
      <w:r>
        <w:rPr>
          <w:rFonts w:hint="eastAsia"/>
        </w:rPr>
        <w:t>原因分析：分析导致不合格的原因，可能是材料本身、施工环境或检测过程中出现的问题；</w:t>
      </w:r>
    </w:p>
    <w:p w14:paraId="6F292115">
      <w:pPr>
        <w:pStyle w:val="174"/>
        <w:spacing w:line="360" w:lineRule="auto"/>
      </w:pPr>
      <w:r>
        <w:rPr>
          <w:rFonts w:hint="eastAsia"/>
        </w:rPr>
        <w:t>整改措施：提出整改方案，可能包括更换不合格材料、调整施工工艺或加强质量控制等；</w:t>
      </w:r>
    </w:p>
    <w:p w14:paraId="18ABDD14">
      <w:pPr>
        <w:pStyle w:val="174"/>
        <w:spacing w:line="360" w:lineRule="auto"/>
      </w:pPr>
      <w:r>
        <w:rPr>
          <w:rFonts w:hint="eastAsia"/>
        </w:rPr>
        <w:t>整改后的复检：实施整改后，应进行复检，确保问题得到有效解决，并提供复检结果报告。</w:t>
      </w:r>
    </w:p>
    <w:p w14:paraId="69065252">
      <w:pPr>
        <w:pStyle w:val="105"/>
        <w:spacing w:before="120" w:after="120" w:line="360" w:lineRule="auto"/>
      </w:pPr>
      <w:r>
        <w:rPr>
          <w:rFonts w:hint="eastAsia"/>
        </w:rPr>
        <w:t>报告的审核与批准</w:t>
      </w:r>
    </w:p>
    <w:p w14:paraId="15EB614B">
      <w:pPr>
        <w:pStyle w:val="56"/>
        <w:spacing w:line="360" w:lineRule="auto"/>
        <w:ind w:firstLine="420"/>
      </w:pPr>
      <w:r>
        <w:rPr>
          <w:rFonts w:hint="eastAsia"/>
        </w:rPr>
        <w:t>所有检测报告应经过主管人员的审核与批准，确保报告的准确性和合规性。报告审核应包括对数据的核查、分析结果的合理性检查以及报告格式的审定。只有审核通过的报告才能正式发出。</w:t>
      </w:r>
    </w:p>
    <w:p w14:paraId="7BA9B400">
      <w:pPr>
        <w:pStyle w:val="104"/>
        <w:spacing w:before="240" w:after="240" w:line="360" w:lineRule="auto"/>
      </w:pPr>
      <w:bookmarkStart w:id="53" w:name="_Toc207867864"/>
      <w:r>
        <w:rPr>
          <w:rFonts w:hint="eastAsia"/>
        </w:rPr>
        <w:t>检测设备与操作要求</w:t>
      </w:r>
      <w:bookmarkEnd w:id="53"/>
    </w:p>
    <w:p w14:paraId="0BFE247C">
      <w:pPr>
        <w:pStyle w:val="105"/>
        <w:spacing w:before="120" w:after="120" w:line="360" w:lineRule="auto"/>
      </w:pPr>
      <w:r>
        <w:rPr>
          <w:rFonts w:hint="eastAsia"/>
        </w:rPr>
        <w:t>检测设备选择与配置</w:t>
      </w:r>
    </w:p>
    <w:p w14:paraId="2FCA5F4C">
      <w:pPr>
        <w:pStyle w:val="56"/>
        <w:spacing w:line="360" w:lineRule="auto"/>
        <w:ind w:firstLine="420"/>
      </w:pPr>
      <w:r>
        <w:rPr>
          <w:rFonts w:hint="eastAsia"/>
        </w:rPr>
        <w:t>土工合成材料的检测设备应根据测试项目的不同选择合适的仪器和设备。常见的检测设备包括拉伸测试机、透水性测试设备、紫外线老化测试设备、化学腐蚀测试设备等。所有设备必须符合相关标准要求，并进行定期检修与校准，确保其精确度和稳定性。</w:t>
      </w:r>
    </w:p>
    <w:p w14:paraId="582D6E0A">
      <w:pPr>
        <w:pStyle w:val="56"/>
        <w:spacing w:line="360" w:lineRule="auto"/>
        <w:ind w:firstLine="420"/>
      </w:pPr>
      <w:r>
        <w:rPr>
          <w:rFonts w:hint="eastAsia"/>
        </w:rPr>
        <w:t>在选择设备时，应优先选择已获得国家认可并符合国际标准的设备，保证测试结果的准确性和可靠性。设备配置应根据检测规模和实验要求进行合理布局，确保检测环境符合相关标准。</w:t>
      </w:r>
    </w:p>
    <w:p w14:paraId="68C2F9C0">
      <w:pPr>
        <w:pStyle w:val="105"/>
        <w:spacing w:before="120" w:after="120" w:line="360" w:lineRule="auto"/>
      </w:pPr>
      <w:r>
        <w:rPr>
          <w:rFonts w:hint="eastAsia"/>
        </w:rPr>
        <w:t>设备校准与维护</w:t>
      </w:r>
    </w:p>
    <w:p w14:paraId="1AF428E6">
      <w:pPr>
        <w:pStyle w:val="56"/>
        <w:spacing w:line="360" w:lineRule="auto"/>
        <w:ind w:firstLine="420"/>
      </w:pPr>
      <w:r>
        <w:rPr>
          <w:rFonts w:hint="eastAsia"/>
        </w:rPr>
        <w:t>所有检测设备必须进行定期校准，校准的周期应根据设备使用频率、精度要求及相关标准来确定。校准记录应详细记录每次校准的时间、项目、结果和责任人，并存档管理，确保设备始终保持在最佳状态。</w:t>
      </w:r>
    </w:p>
    <w:p w14:paraId="3EDF4ACD">
      <w:pPr>
        <w:pStyle w:val="56"/>
        <w:spacing w:line="360" w:lineRule="auto"/>
        <w:ind w:firstLine="420"/>
      </w:pPr>
      <w:r>
        <w:rPr>
          <w:rFonts w:hint="eastAsia"/>
        </w:rPr>
        <w:t>设备的维护工作应由专门的技术人员定期检查，确保设备没有故障隐患，避免因设备故障影响检测过程。每次设备使用后，操作人员应按要求进行清理和保养，保持设备的长期稳定性。</w:t>
      </w:r>
    </w:p>
    <w:p w14:paraId="6085DBF9">
      <w:pPr>
        <w:pStyle w:val="105"/>
        <w:spacing w:before="120" w:after="120" w:line="360" w:lineRule="auto"/>
      </w:pPr>
      <w:r>
        <w:rPr>
          <w:rFonts w:hint="eastAsia"/>
        </w:rPr>
        <w:t>操作规范与注意事项</w:t>
      </w:r>
    </w:p>
    <w:p w14:paraId="0A54BC72">
      <w:pPr>
        <w:pStyle w:val="56"/>
        <w:spacing w:line="360" w:lineRule="auto"/>
        <w:ind w:firstLine="420"/>
      </w:pPr>
      <w:r>
        <w:rPr>
          <w:rFonts w:hint="eastAsia"/>
        </w:rPr>
        <w:t>操作人员必须经过专业培训，并具备一定的设备操作经验。在操作设备时，应严格遵守操作手册中的要求，特别是在进行拉伸、耐久性测试等需要高精度的测试时，要确保操作规范，避免人为因素导致的数据误差：</w:t>
      </w:r>
    </w:p>
    <w:p w14:paraId="526884F4">
      <w:pPr>
        <w:pStyle w:val="132"/>
        <w:spacing w:line="360" w:lineRule="auto"/>
      </w:pPr>
      <w:r>
        <w:rPr>
          <w:rFonts w:hint="eastAsia"/>
        </w:rPr>
        <w:t>在拉伸试验中，应确保试样的固定牢固，不应出现松动或偏离测试轨迹的情况；</w:t>
      </w:r>
    </w:p>
    <w:p w14:paraId="2BF35F1D">
      <w:pPr>
        <w:pStyle w:val="132"/>
        <w:spacing w:line="360" w:lineRule="auto"/>
      </w:pPr>
      <w:r>
        <w:rPr>
          <w:rFonts w:hint="eastAsia"/>
        </w:rPr>
        <w:t>在进行透水性测试时，应确保样品的布置位置正确，避免漏水或接触不当的影响；</w:t>
      </w:r>
    </w:p>
    <w:p w14:paraId="0DD6B75C">
      <w:pPr>
        <w:pStyle w:val="132"/>
        <w:spacing w:line="360" w:lineRule="auto"/>
      </w:pPr>
      <w:r>
        <w:rPr>
          <w:rFonts w:hint="eastAsia"/>
        </w:rPr>
        <w:t>对于化学腐蚀试验，使用的溶液和样品的接触时间应严格控制，确保结果的准确性；</w:t>
      </w:r>
    </w:p>
    <w:p w14:paraId="37A8D563">
      <w:pPr>
        <w:pStyle w:val="132"/>
        <w:spacing w:line="360" w:lineRule="auto"/>
      </w:pPr>
      <w:r>
        <w:rPr>
          <w:rFonts w:hint="eastAsia"/>
        </w:rPr>
        <w:t>操作人员应定期参加技能培训和操作演练，提升设备操作水平，确保测试结果的稳定性和可靠性。</w:t>
      </w:r>
    </w:p>
    <w:p w14:paraId="4AE56C6B">
      <w:pPr>
        <w:pStyle w:val="104"/>
        <w:spacing w:before="240" w:after="240" w:line="360" w:lineRule="auto"/>
      </w:pPr>
      <w:bookmarkStart w:id="54" w:name="_Toc207867865"/>
      <w:r>
        <w:rPr>
          <w:rFonts w:hint="eastAsia"/>
        </w:rPr>
        <w:t>数据分析与结果评估</w:t>
      </w:r>
      <w:bookmarkEnd w:id="54"/>
    </w:p>
    <w:p w14:paraId="007D6464">
      <w:pPr>
        <w:pStyle w:val="105"/>
        <w:spacing w:before="120" w:after="120" w:line="360" w:lineRule="auto"/>
      </w:pPr>
      <w:r>
        <w:rPr>
          <w:rFonts w:hint="eastAsia"/>
        </w:rPr>
        <w:t>数据分析方法</w:t>
      </w:r>
    </w:p>
    <w:p w14:paraId="6580EF59">
      <w:pPr>
        <w:pStyle w:val="56"/>
        <w:spacing w:line="360" w:lineRule="auto"/>
        <w:ind w:firstLine="420"/>
      </w:pPr>
      <w:r>
        <w:rPr>
          <w:rFonts w:hint="eastAsia"/>
        </w:rPr>
        <w:t>数据分析是评估土工合成材料性能的核心环节。在检测过程中产生的数据应通过合适的方法进行分析，并与标准要求进行对比。数据分析应包括以下几个方面：</w:t>
      </w:r>
    </w:p>
    <w:p w14:paraId="0B8ABEEF">
      <w:pPr>
        <w:pStyle w:val="132"/>
        <w:spacing w:line="360" w:lineRule="auto"/>
      </w:pPr>
      <w:r>
        <w:rPr>
          <w:rFonts w:hint="eastAsia"/>
        </w:rPr>
        <w:t>基本统计分析：对数据进行平均值、标准差、最大值和最小值的统计分析，评估测试结果的离散程度和一致性；</w:t>
      </w:r>
    </w:p>
    <w:p w14:paraId="6E7FE969">
      <w:pPr>
        <w:pStyle w:val="132"/>
        <w:spacing w:line="360" w:lineRule="auto"/>
      </w:pPr>
      <w:r>
        <w:rPr>
          <w:rFonts w:hint="eastAsia"/>
        </w:rPr>
        <w:t>拟合分析：在拉伸试验和耐久性测试中，应通过拟合曲线来评估材料的性能，如拉伸强度与伸长率的关系等；</w:t>
      </w:r>
    </w:p>
    <w:p w14:paraId="3F8994CD">
      <w:pPr>
        <w:pStyle w:val="132"/>
        <w:spacing w:line="360" w:lineRule="auto"/>
      </w:pPr>
      <w:r>
        <w:rPr>
          <w:rFonts w:hint="eastAsia"/>
        </w:rPr>
        <w:t>不合格率评估：对于不符合标准的检测结果，应及时进行原因分析，评估其影响范围，并采取相应的补救措施。</w:t>
      </w:r>
    </w:p>
    <w:p w14:paraId="54E49596">
      <w:pPr>
        <w:pStyle w:val="105"/>
        <w:spacing w:before="120" w:after="120" w:line="360" w:lineRule="auto"/>
      </w:pPr>
      <w:r>
        <w:rPr>
          <w:rFonts w:hint="eastAsia"/>
        </w:rPr>
        <w:t>测试结果评估</w:t>
      </w:r>
    </w:p>
    <w:p w14:paraId="604B6C1D">
      <w:pPr>
        <w:pStyle w:val="56"/>
        <w:spacing w:line="360" w:lineRule="auto"/>
        <w:ind w:firstLine="420"/>
      </w:pPr>
      <w:r>
        <w:rPr>
          <w:rFonts w:hint="eastAsia"/>
        </w:rPr>
        <w:t>测试结果的评估应根据国家标准或行业标准的要求进行。每项测试结果应与相关标准的最小要求进行对比，确认其是否合格。例如，在拉伸强度测试中，如果测试结果低于设计要求的强度，必须进行原因分析并采取相应措施。</w:t>
      </w:r>
    </w:p>
    <w:p w14:paraId="5E498D0F">
      <w:pPr>
        <w:pStyle w:val="56"/>
        <w:spacing w:line="360" w:lineRule="auto"/>
        <w:ind w:firstLine="420"/>
      </w:pPr>
      <w:r>
        <w:rPr>
          <w:rFonts w:hint="eastAsia"/>
        </w:rPr>
        <w:t>对于抗渗性和透水性测试，若样品的渗透量超出标准范围，应对材料的实际应用环境进行评估，决定是否需要更换材料或进行处理。对于耐久性和化学稳定性测试，若材料在老化或腐蚀测试中表现不佳，应判断是否能继续使用，或者是否需要进行材料优化。</w:t>
      </w:r>
    </w:p>
    <w:p w14:paraId="37FCD1B5">
      <w:pPr>
        <w:pStyle w:val="105"/>
        <w:spacing w:before="120" w:after="120" w:line="360" w:lineRule="auto"/>
      </w:pPr>
      <w:r>
        <w:rPr>
          <w:rFonts w:hint="eastAsia"/>
        </w:rPr>
        <w:t>报告结论与建议</w:t>
      </w:r>
    </w:p>
    <w:p w14:paraId="7905DB33">
      <w:pPr>
        <w:pStyle w:val="56"/>
        <w:spacing w:line="360" w:lineRule="auto"/>
        <w:ind w:firstLine="420"/>
      </w:pPr>
      <w:r>
        <w:rPr>
          <w:rFonts w:hint="eastAsia"/>
        </w:rPr>
        <w:t>检测报告应根据测试结果给出结论和建议。结论部分应明确指出材料是否符合设计要求和相关标准。如果材料存在不合格项，报告应详细说明问题所在并提出具体的整改建议。</w:t>
      </w:r>
    </w:p>
    <w:p w14:paraId="3060359B">
      <w:pPr>
        <w:pStyle w:val="56"/>
        <w:spacing w:line="360" w:lineRule="auto"/>
        <w:ind w:firstLine="420"/>
      </w:pPr>
      <w:r>
        <w:rPr>
          <w:rFonts w:hint="eastAsia"/>
        </w:rPr>
        <w:t>建议部分应根据材料的检测结果，给出合理的使用建议。例如，若某种土工合成材料的抗渗性不符合要求，建议在实际应用中进行加强防护或选择其他更符合要求的材料。</w:t>
      </w:r>
    </w:p>
    <w:p w14:paraId="562B4378">
      <w:pPr>
        <w:pStyle w:val="104"/>
        <w:spacing w:before="240" w:after="240" w:line="360" w:lineRule="auto"/>
      </w:pPr>
      <w:bookmarkStart w:id="55" w:name="_Toc207867866"/>
      <w:r>
        <w:rPr>
          <w:rFonts w:hint="eastAsia"/>
        </w:rPr>
        <w:t>质量控制体系与管理</w:t>
      </w:r>
      <w:bookmarkEnd w:id="55"/>
    </w:p>
    <w:p w14:paraId="1F1567B9">
      <w:pPr>
        <w:pStyle w:val="105"/>
        <w:spacing w:before="120" w:after="120" w:line="360" w:lineRule="auto"/>
      </w:pPr>
      <w:r>
        <w:rPr>
          <w:rFonts w:hint="eastAsia"/>
        </w:rPr>
        <w:t>质量控制体系</w:t>
      </w:r>
    </w:p>
    <w:p w14:paraId="1338DC08">
      <w:pPr>
        <w:pStyle w:val="56"/>
        <w:spacing w:line="360" w:lineRule="auto"/>
        <w:ind w:firstLine="420"/>
      </w:pPr>
      <w:r>
        <w:rPr>
          <w:rFonts w:hint="eastAsia"/>
        </w:rPr>
        <w:t>为确保土工合成材料检测工作的高效、准确，要求建立完整的质量控制体系。质量控制体系应覆盖以下几个方面：</w:t>
      </w:r>
    </w:p>
    <w:p w14:paraId="373715EF">
      <w:pPr>
        <w:pStyle w:val="132"/>
        <w:spacing w:line="360" w:lineRule="auto"/>
      </w:pPr>
      <w:r>
        <w:rPr>
          <w:rFonts w:hint="eastAsia"/>
        </w:rPr>
        <w:t>质量目标设定：根据检测项目和工程需求设定明确的质量目标。质量目标应具体、可量化，并符合相关技术标准；</w:t>
      </w:r>
    </w:p>
    <w:p w14:paraId="665498F8">
      <w:pPr>
        <w:pStyle w:val="132"/>
        <w:spacing w:line="360" w:lineRule="auto"/>
      </w:pPr>
      <w:r>
        <w:rPr>
          <w:rFonts w:hint="eastAsia"/>
        </w:rPr>
        <w:t>质量控制措施：制定有效的质量控制措施，包括对测试设备、操作流程、数据记录、报告编写等环节的控制，确保每个环节都能符合标准要求；</w:t>
      </w:r>
    </w:p>
    <w:p w14:paraId="203CD14C">
      <w:pPr>
        <w:pStyle w:val="132"/>
        <w:spacing w:line="360" w:lineRule="auto"/>
      </w:pPr>
      <w:r>
        <w:rPr>
          <w:rFonts w:hint="eastAsia"/>
        </w:rPr>
        <w:t>内部审核与自查：定期进行质量自查和内部审核，评估质量控制体系的执行效果，及时发现并纠正存在的问题。</w:t>
      </w:r>
    </w:p>
    <w:p w14:paraId="2CA921C2">
      <w:pPr>
        <w:pStyle w:val="105"/>
        <w:spacing w:before="120" w:after="120" w:line="360" w:lineRule="auto"/>
      </w:pPr>
      <w:r>
        <w:rPr>
          <w:rFonts w:hint="eastAsia"/>
        </w:rPr>
        <w:t>管理职责与人员培训</w:t>
      </w:r>
    </w:p>
    <w:p w14:paraId="6F80E0B2">
      <w:pPr>
        <w:pStyle w:val="56"/>
        <w:spacing w:line="360" w:lineRule="auto"/>
        <w:ind w:firstLine="420"/>
      </w:pPr>
      <w:r>
        <w:rPr>
          <w:rFonts w:hint="eastAsia"/>
        </w:rPr>
        <w:t>土工合成材料检测工作应由专业人员负责，所有从事检测工作的人员应经过严格的技术培训，具备相关专业知识和技能。管理部门应明确质量控制负责人，制定质量管理方案，确保质量目标的实现。</w:t>
      </w:r>
    </w:p>
    <w:p w14:paraId="2D19F91F">
      <w:pPr>
        <w:pStyle w:val="56"/>
        <w:spacing w:line="360" w:lineRule="auto"/>
        <w:ind w:firstLine="420"/>
      </w:pPr>
      <w:r>
        <w:rPr>
          <w:rFonts w:hint="eastAsia"/>
        </w:rPr>
        <w:t>所有检测人员应定期进行质量控制和技术培训，提升工作水平，确保检测结果的准确性与可靠性。</w:t>
      </w:r>
    </w:p>
    <w:p w14:paraId="65180B48">
      <w:pPr>
        <w:pStyle w:val="105"/>
        <w:spacing w:before="120" w:after="120" w:line="360" w:lineRule="auto"/>
      </w:pPr>
      <w:r>
        <w:rPr>
          <w:rFonts w:hint="eastAsia"/>
        </w:rPr>
        <w:t>检测报告审定与反馈</w:t>
      </w:r>
    </w:p>
    <w:p w14:paraId="7F0D3179">
      <w:pPr>
        <w:pStyle w:val="56"/>
        <w:spacing w:line="360" w:lineRule="auto"/>
        <w:ind w:firstLine="420"/>
      </w:pPr>
      <w:r>
        <w:rPr>
          <w:rFonts w:hint="eastAsia"/>
        </w:rPr>
        <w:t>检测报告应经过相关管理人员的审核与审批，确保报告的准确性和合规性。检测报告应及时反馈给相关项目负责人，并根据需要提供整改或改进措施。报告的审定应包括对测试数据的核查、结论的合理性分析以及报告格式的审查。</w:t>
      </w:r>
    </w:p>
    <w:bookmarkEnd w:id="26"/>
    <w:p w14:paraId="51809A89">
      <w:pPr>
        <w:pStyle w:val="56"/>
        <w:ind w:firstLine="0" w:firstLineChars="0"/>
        <w:jc w:val="center"/>
      </w:pPr>
      <w:bookmarkStart w:id="56" w:name="BookMark8"/>
      <w:r>
        <w:rPr>
          <w:rFonts w:hint="eastAsia"/>
        </w:rPr>
        <w:drawing>
          <wp:inline distT="0" distB="0" distL="0" distR="0">
            <wp:extent cx="1485900" cy="317500"/>
            <wp:effectExtent l="0" t="0" r="0" b="6350"/>
            <wp:docPr id="879081962" name="图片 5"/>
            <wp:cNvGraphicFramePr/>
            <a:graphic xmlns:a="http://schemas.openxmlformats.org/drawingml/2006/main">
              <a:graphicData uri="http://schemas.openxmlformats.org/drawingml/2006/picture">
                <pic:pic xmlns:pic="http://schemas.openxmlformats.org/drawingml/2006/picture">
                  <pic:nvPicPr>
                    <pic:cNvPr id="879081962" name="图片 5"/>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2177">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E8C3F">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1EF34">
    <w:pPr>
      <w:pStyle w:val="51"/>
    </w:pPr>
    <w:r>
      <w:fldChar w:fldCharType="begin"/>
    </w:r>
    <w:r>
      <w:instrText xml:space="preserve"> PAGE   \* MERGEFORMAT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4A498">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2B0CB">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29BB5">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18C9F">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6E3CC">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93C29">
    <w:pPr>
      <w:pStyle w:val="61"/>
    </w:pPr>
    <w:r>
      <w:fldChar w:fldCharType="begin"/>
    </w:r>
    <w:r>
      <w:instrText xml:space="preserve"> STYLEREF  标准文件_文件编号  \* MERGEFORMAT </w:instrText>
    </w:r>
    <w:r>
      <w:fldChar w:fldCharType="separate"/>
    </w:r>
    <w:r>
      <w:t>T/XZBX 0103—2025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E06AC">
    <w:pPr>
      <w:pStyle w:val="62"/>
    </w:pPr>
    <w:r>
      <w:fldChar w:fldCharType="begin"/>
    </w:r>
    <w:r>
      <w:instrText xml:space="preserve"> STYLEREF  标准文件_文件编号 \* MERGEFORMAT </w:instrText>
    </w:r>
    <w:r>
      <w:fldChar w:fldCharType="separate"/>
    </w:r>
    <w:r>
      <w:t>T/XZBX 0103—2025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A07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0103—2025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0103—2025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BE5A">
    <w:pPr>
      <w:pStyle w:val="61"/>
    </w:pPr>
    <w:r>
      <w:fldChar w:fldCharType="begin"/>
    </w:r>
    <w:r>
      <w:instrText xml:space="preserve"> STYLEREF  标准文件_文件编号  \* MERGEFORMAT </w:instrText>
    </w:r>
    <w:r>
      <w:fldChar w:fldCharType="separate"/>
    </w:r>
    <w:r>
      <w:t>T/XZBX 0103—2025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1B3F4">
    <w:pPr>
      <w:pStyle w:val="62"/>
    </w:pPr>
    <w:r>
      <w:fldChar w:fldCharType="begin"/>
    </w:r>
    <w:r>
      <w:instrText xml:space="preserve"> STYLEREF  标准文件_文件编号 \* MERGEFORMAT </w:instrText>
    </w:r>
    <w:r>
      <w:fldChar w:fldCharType="separate"/>
    </w:r>
    <w:r>
      <w:t>T/XZBX 0103—2025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D45A">
    <w:pPr>
      <w:pStyle w:val="61"/>
    </w:pPr>
    <w:r>
      <w:fldChar w:fldCharType="begin"/>
    </w:r>
    <w:r>
      <w:instrText xml:space="preserve"> STYLEREF  标准文件_文件编号  \* MERGEFORMAT </w:instrText>
    </w:r>
    <w:r>
      <w:fldChar w:fldCharType="separate"/>
    </w:r>
    <w:r>
      <w:t>T/XZBX 0103—2025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FD352">
    <w:pPr>
      <w:pStyle w:val="62"/>
    </w:pPr>
    <w:r>
      <w:fldChar w:fldCharType="begin"/>
    </w:r>
    <w:r>
      <w:instrText xml:space="preserve"> STYLEREF  标准文件_文件编号 \* MERGEFORMAT </w:instrText>
    </w:r>
    <w:r>
      <w:fldChar w:fldCharType="separate"/>
    </w:r>
    <w:r>
      <w:t>T/XZBX 0103—2025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qgUASldz+SwAAAA="/>
  </w:docVars>
  <w:rsids>
    <w:rsidRoot w:val="00876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2EE3"/>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31B1"/>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52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22F"/>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F83"/>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3466"/>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045F"/>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7C0B"/>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7B3"/>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E8"/>
    <w:rsid w:val="00FC2CB7"/>
    <w:rsid w:val="00FC4090"/>
    <w:rsid w:val="00FC55B4"/>
    <w:rsid w:val="00FD00E6"/>
    <w:rsid w:val="00FD09A1"/>
    <w:rsid w:val="00FD2A7C"/>
    <w:rsid w:val="00FD59EB"/>
    <w:rsid w:val="00FD7299"/>
    <w:rsid w:val="00FE0F12"/>
    <w:rsid w:val="00FE1FBE"/>
    <w:rsid w:val="00FE3901"/>
    <w:rsid w:val="00FE39D3"/>
    <w:rsid w:val="00FE4BCE"/>
    <w:rsid w:val="00FE54AE"/>
    <w:rsid w:val="00FE576A"/>
    <w:rsid w:val="00FE7E79"/>
    <w:rsid w:val="00FF3E7D"/>
    <w:rsid w:val="00FF5B99"/>
    <w:rsid w:val="00FF730C"/>
    <w:rsid w:val="00FF73F4"/>
    <w:rsid w:val="00FF7CE4"/>
    <w:rsid w:val="00FF7E39"/>
    <w:rsid w:val="47F0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35CB1812">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1CE983F5">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71985C8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7825EC"/>
    <w:rsid w:val="00AB34F5"/>
    <w:rsid w:val="00B17D86"/>
    <w:rsid w:val="00F644C2"/>
    <w:rsid w:val="00FD5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18386F723AD4E788245D6497C9CB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5824</Words>
  <Characters>6114</Characters>
  <Lines>52</Lines>
  <Paragraphs>14</Paragraphs>
  <TotalTime>45</TotalTime>
  <ScaleCrop>false</ScaleCrop>
  <LinksUpToDate>false</LinksUpToDate>
  <CharactersWithSpaces>6208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2025-09-05T07:38:30Z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5AF6B41445294CFFA67A71CE4462167A_12</vt:lpwstr>
  </property>
</Properties>
</file>