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35.240.99"/>
                  </w:textInput>
                </w:ffData>
              </w:fldChar>
            </w:r>
            <w:bookmarkStart w:id="0" w:name="ICS"/>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35.240.99</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L 67"/>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L 67</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2"/>
            </w:textInput>
          </w:ffData>
        </w:fldChar>
      </w:r>
      <w:bookmarkStart w:id="6" w:name="NSTD_CODE_F"/>
      <w:r>
        <w:instrText xml:space="preserve"> FORMTEXT </w:instrText>
      </w:r>
      <w:r>
        <w:fldChar w:fldCharType="separate"/>
      </w:r>
      <w:r>
        <w:t>0092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1D9009EA">
      <w:pPr>
        <w:pStyle w:val="197"/>
        <w:framePr w:h="6974" w:hRule="exact" w:wrap="around" w:x="1419" w:anchorLock="1"/>
      </w:pPr>
      <w:r>
        <w:rPr>
          <w:rFonts w:hint="eastAsia"/>
        </w:rPr>
        <w:fldChar w:fldCharType="begin">
          <w:ffData>
            <w:name w:val="CSTD_NAME"/>
            <w:enabled/>
            <w:calcOnExit w:val="0"/>
            <w:textInput>
              <w:default w:val="多模态人工智能教育动态测评体系构建指引"/>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多模态人工智能教育动态测评体系</w:t>
      </w:r>
    </w:p>
    <w:p w14:paraId="73594FE6">
      <w:pPr>
        <w:pStyle w:val="197"/>
        <w:framePr w:h="6974" w:hRule="exact" w:wrap="around" w:x="1419" w:anchorLock="1"/>
      </w:pPr>
      <w:r>
        <w:rPr>
          <w:rFonts w:hint="eastAsia"/>
        </w:rPr>
        <w:t>构建指引</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 for construction of dynamic evaluation system of multimodal artificial intelligence education"/>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Guideline for construction of dynamic evaluation system of multimodal artificial intelligence education</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B826BF9">
      <w:pPr>
        <w:pStyle w:val="91"/>
        <w:spacing w:after="360"/>
      </w:pPr>
      <w:bookmarkStart w:id="21" w:name="BookMark1"/>
      <w:r>
        <w:rPr>
          <w:rFonts w:hint="eastAsia"/>
          <w:spacing w:val="320"/>
        </w:rPr>
        <w:t>目</w:t>
      </w:r>
      <w:r>
        <w:rPr>
          <w:rFonts w:hint="eastAsia"/>
        </w:rPr>
        <w:t>次</w:t>
      </w:r>
    </w:p>
    <w:p w14:paraId="1EB6E95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"_Toc207697615"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_Toc207697615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A22553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"_Toc207697616"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_Toc207697616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422B278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"_Toc207697617"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_Toc207697617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C98EB2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"_Toc207697618"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_Toc207697618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182AB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"_Toc207697619"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_Toc207697619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CEC215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"_Toc207697620" </w:instrText>
      </w:r>
      <w:r>
        <w:fldChar w:fldCharType="separate"/>
      </w:r>
      <w:r>
        <w:rPr>
          <w:rStyle w:val="32"/>
          <w:rFonts w:hint="eastAsia"/>
        </w:rPr>
        <w:t>4</w:t>
      </w:r>
      <w:r>
        <w:rPr>
          <w:rStyle w:val="32"/>
        </w:rPr>
        <w:t xml:space="preserve"> </w:t>
      </w:r>
      <w:r>
        <w:rPr>
          <w:rStyle w:val="32"/>
          <w:rFonts w:hint="eastAsia"/>
        </w:rPr>
        <w:t xml:space="preserve"> 构建原则</w:t>
      </w:r>
      <w:r>
        <w:rPr>
          <w:rFonts w:hint="eastAsia"/>
        </w:rPr>
        <w:tab/>
      </w:r>
      <w:r>
        <w:rPr>
          <w:rFonts w:hint="eastAsia"/>
        </w:rPr>
        <w:fldChar w:fldCharType="begin"/>
      </w:r>
      <w:r>
        <w:rPr>
          <w:rFonts w:hint="eastAsia"/>
        </w:rPr>
        <w:instrText xml:space="preserve"> </w:instrText>
      </w:r>
      <w:r>
        <w:instrText xml:space="preserve">PAGEREF _Toc207697620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9C93A8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"_Toc207697621" </w:instrText>
      </w:r>
      <w:r>
        <w:fldChar w:fldCharType="separate"/>
      </w:r>
      <w:r>
        <w:rPr>
          <w:rStyle w:val="32"/>
          <w:rFonts w:hint="eastAsia"/>
        </w:rPr>
        <w:t>5</w:t>
      </w:r>
      <w:r>
        <w:rPr>
          <w:rStyle w:val="32"/>
        </w:rPr>
        <w:t xml:space="preserve"> </w:t>
      </w:r>
      <w:r>
        <w:rPr>
          <w:rStyle w:val="32"/>
          <w:rFonts w:hint="eastAsia"/>
        </w:rPr>
        <w:t xml:space="preserve"> 技术框架</w:t>
      </w:r>
      <w:r>
        <w:rPr>
          <w:rFonts w:hint="eastAsia"/>
        </w:rPr>
        <w:tab/>
      </w:r>
      <w:r>
        <w:rPr>
          <w:rFonts w:hint="eastAsia"/>
        </w:rPr>
        <w:fldChar w:fldCharType="begin"/>
      </w:r>
      <w:r>
        <w:rPr>
          <w:rFonts w:hint="eastAsia"/>
        </w:rPr>
        <w:instrText xml:space="preserve"> </w:instrText>
      </w:r>
      <w:r>
        <w:instrText xml:space="preserve">PAGEREF _Toc207697621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7D791E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"_Toc207697622" </w:instrText>
      </w:r>
      <w:r>
        <w:fldChar w:fldCharType="separate"/>
      </w:r>
      <w:r>
        <w:rPr>
          <w:rStyle w:val="32"/>
          <w:rFonts w:hint="eastAsia"/>
        </w:rPr>
        <w:t>6</w:t>
      </w:r>
      <w:r>
        <w:rPr>
          <w:rStyle w:val="32"/>
        </w:rPr>
        <w:t xml:space="preserve"> </w:t>
      </w:r>
      <w:r>
        <w:rPr>
          <w:rStyle w:val="32"/>
          <w:rFonts w:hint="eastAsia"/>
        </w:rPr>
        <w:t xml:space="preserve"> 功能模块</w:t>
      </w:r>
      <w:r>
        <w:rPr>
          <w:rFonts w:hint="eastAsia"/>
        </w:rPr>
        <w:tab/>
      </w:r>
      <w:r>
        <w:rPr>
          <w:rFonts w:hint="eastAsia"/>
        </w:rPr>
        <w:fldChar w:fldCharType="begin"/>
      </w:r>
      <w:r>
        <w:rPr>
          <w:rFonts w:hint="eastAsia"/>
        </w:rPr>
        <w:instrText xml:space="preserve"> </w:instrText>
      </w:r>
      <w:r>
        <w:instrText xml:space="preserve">PAGEREF _Toc207697622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404451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"_Toc207697623" </w:instrText>
      </w:r>
      <w:r>
        <w:fldChar w:fldCharType="separate"/>
      </w:r>
      <w:r>
        <w:rPr>
          <w:rStyle w:val="32"/>
          <w:rFonts w:hint="eastAsia"/>
        </w:rPr>
        <w:t>7</w:t>
      </w:r>
      <w:r>
        <w:rPr>
          <w:rStyle w:val="32"/>
        </w:rPr>
        <w:t xml:space="preserve"> </w:t>
      </w:r>
      <w:r>
        <w:rPr>
          <w:rStyle w:val="32"/>
          <w:rFonts w:hint="eastAsia"/>
        </w:rPr>
        <w:t xml:space="preserve"> 数据采集处理</w:t>
      </w:r>
      <w:r>
        <w:rPr>
          <w:rFonts w:hint="eastAsia"/>
        </w:rPr>
        <w:tab/>
      </w:r>
      <w:r>
        <w:rPr>
          <w:rFonts w:hint="eastAsia"/>
        </w:rPr>
        <w:fldChar w:fldCharType="begin"/>
      </w:r>
      <w:r>
        <w:rPr>
          <w:rFonts w:hint="eastAsia"/>
        </w:rPr>
        <w:instrText xml:space="preserve"> </w:instrText>
      </w:r>
      <w:r>
        <w:instrText xml:space="preserve">PAGEREF _Toc207697623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2DB9A5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"_Toc207697624" </w:instrText>
      </w:r>
      <w:r>
        <w:fldChar w:fldCharType="separate"/>
      </w:r>
      <w:r>
        <w:rPr>
          <w:rStyle w:val="32"/>
          <w:rFonts w:hint="eastAsia"/>
        </w:rPr>
        <w:t>8</w:t>
      </w:r>
      <w:r>
        <w:rPr>
          <w:rStyle w:val="32"/>
        </w:rPr>
        <w:t xml:space="preserve"> </w:t>
      </w:r>
      <w:r>
        <w:rPr>
          <w:rStyle w:val="32"/>
          <w:rFonts w:hint="eastAsia"/>
        </w:rPr>
        <w:t xml:space="preserve"> 动态测评方法</w:t>
      </w:r>
      <w:r>
        <w:rPr>
          <w:rFonts w:hint="eastAsia"/>
        </w:rPr>
        <w:tab/>
      </w:r>
      <w:r>
        <w:rPr>
          <w:rFonts w:hint="eastAsia"/>
        </w:rPr>
        <w:fldChar w:fldCharType="begin"/>
      </w:r>
      <w:r>
        <w:rPr>
          <w:rFonts w:hint="eastAsia"/>
        </w:rPr>
        <w:instrText xml:space="preserve"> </w:instrText>
      </w:r>
      <w:r>
        <w:instrText xml:space="preserve">PAGEREF _Toc207697624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DBCAF4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"_Toc207697625" </w:instrText>
      </w:r>
      <w:r>
        <w:fldChar w:fldCharType="separate"/>
      </w:r>
      <w:r>
        <w:rPr>
          <w:rStyle w:val="32"/>
          <w:rFonts w:hint="eastAsia"/>
        </w:rPr>
        <w:t>9</w:t>
      </w:r>
      <w:r>
        <w:rPr>
          <w:rStyle w:val="32"/>
        </w:rPr>
        <w:t xml:space="preserve"> </w:t>
      </w:r>
      <w:r>
        <w:rPr>
          <w:rStyle w:val="32"/>
          <w:rFonts w:hint="eastAsia"/>
        </w:rPr>
        <w:t xml:space="preserve"> 教育应用场景</w:t>
      </w:r>
      <w:r>
        <w:rPr>
          <w:rFonts w:hint="eastAsia"/>
        </w:rPr>
        <w:tab/>
      </w:r>
      <w:r>
        <w:rPr>
          <w:rFonts w:hint="eastAsia"/>
        </w:rPr>
        <w:fldChar w:fldCharType="begin"/>
      </w:r>
      <w:r>
        <w:rPr>
          <w:rFonts w:hint="eastAsia"/>
        </w:rPr>
        <w:instrText xml:space="preserve"> </w:instrText>
      </w:r>
      <w:r>
        <w:instrText xml:space="preserve">PAGEREF _Toc207697625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A9E29E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"_Toc207697626" </w:instrText>
      </w:r>
      <w:r>
        <w:fldChar w:fldCharType="separate"/>
      </w:r>
      <w:r>
        <w:rPr>
          <w:rStyle w:val="32"/>
          <w:rFonts w:hint="eastAsia"/>
        </w:rPr>
        <w:t>10</w:t>
      </w:r>
      <w:r>
        <w:rPr>
          <w:rStyle w:val="32"/>
        </w:rPr>
        <w:t xml:space="preserve"> </w:t>
      </w:r>
      <w:r>
        <w:rPr>
          <w:rStyle w:val="32"/>
          <w:rFonts w:hint="eastAsia"/>
        </w:rPr>
        <w:t xml:space="preserve"> 质量保障与持续改进</w:t>
      </w:r>
      <w:r>
        <w:rPr>
          <w:rFonts w:hint="eastAsia"/>
        </w:rPr>
        <w:tab/>
      </w:r>
      <w:r>
        <w:rPr>
          <w:rFonts w:hint="eastAsia"/>
        </w:rPr>
        <w:fldChar w:fldCharType="begin"/>
      </w:r>
      <w:r>
        <w:rPr>
          <w:rFonts w:hint="eastAsia"/>
        </w:rPr>
        <w:instrText xml:space="preserve"> </w:instrText>
      </w:r>
      <w:r>
        <w:instrText xml:space="preserve">PAGEREF _Toc207697626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1D50A7C">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697615"/>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本文件起草单位：上海中侨职业技术大学。</w:t>
      </w:r>
    </w:p>
    <w:p w14:paraId="1B3EB912">
      <w:pPr>
        <w:pStyle w:val="56"/>
        <w:spacing w:line="360" w:lineRule="auto"/>
        <w:ind w:firstLine="420"/>
      </w:pPr>
      <w:r>
        <w:rPr>
          <w:rFonts w:hint="eastAsia"/>
        </w:rPr>
        <w:t>本文件主要起草人：朱 江。</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7697616"/>
      <w:bookmarkStart w:id="25" w:name="BookMark3"/>
      <w:r>
        <w:rPr>
          <w:spacing w:val="320"/>
        </w:rPr>
        <w:t>引</w:t>
      </w:r>
      <w:r>
        <w:t>言</w:t>
      </w:r>
      <w:bookmarkEnd w:id="24"/>
    </w:p>
    <w:p w14:paraId="23D6DFC0">
      <w:pPr>
        <w:pStyle w:val="56"/>
        <w:spacing w:line="360" w:lineRule="auto"/>
        <w:ind w:firstLine="420"/>
      </w:pPr>
      <w:r>
        <w:rPr>
          <w:rFonts w:hint="eastAsia"/>
        </w:rPr>
        <w:t>随着人工智能技术在教育领域的广泛应用，传统以考试为核心的静态测评模式已难以全面反映学习者的真实水平和发展潜力。多模态人工智能教育动态测评体系通过整合文本、语音、图像、视频、行为数据等多种信息源，能够实现对学习过程的实时感知、动态追踪和智能分析。这种测评体系不仅可以更全面地揭示学习者的认知能力、情感状态与行为习惯，还能够为个性化教学提供即时反馈和科学决策依据。</w:t>
      </w:r>
    </w:p>
    <w:p w14:paraId="4C73E0B4">
      <w:pPr>
        <w:pStyle w:val="56"/>
        <w:spacing w:line="360" w:lineRule="auto"/>
        <w:ind w:firstLine="420"/>
      </w:pPr>
      <w:r>
        <w:rPr>
          <w:rFonts w:hint="eastAsia"/>
        </w:rPr>
        <w:t>当前，国内外在人工智能教育测评领域的探索不断深入，但在数据采集、模型构建、指标体系设计、隐私保护和教育场景适配等方面仍缺乏统一的规范与指导，导致不同平台和机构之间存在测评结果不一致、数据不可比和难以共享等问题。因此，亟需建立一套科学、规范、可操作的多模态人工智能教育动态测评体系构建指引。</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的制定，旨在规范多模态数据的采集与处理流程，明确动态测评的原则与方法，提出技术框架与应用场景的构建思路，为教育管理者、教师、科研机构和相关企业提供参考，推动教育测评由静态走向动态、由单一走向多元，促进教育公平与质量提升。</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2ED952E6">
          <w:pPr>
            <w:pStyle w:val="177"/>
            <w:spacing w:after="0"/>
          </w:pPr>
          <w:bookmarkStart w:id="27" w:name="NEW_STAND_NAME"/>
          <w:r>
            <w:rPr>
              <w:rFonts w:hint="eastAsia"/>
            </w:rPr>
            <w:t>多模态人工智能教育动态测评体系</w:t>
          </w:r>
        </w:p>
        <w:p w14:paraId="7D4E3E1F">
          <w:pPr>
            <w:pStyle w:val="177"/>
            <w:spacing w:before="0" w:after="0"/>
          </w:pPr>
          <w:r>
            <w:rPr>
              <w:rFonts w:hint="eastAsia"/>
            </w:rPr>
            <w:t>构建指引</w:t>
          </w:r>
        </w:p>
      </w:sdtContent>
    </w:sdt>
    <w:bookmarkEnd w:id="27"/>
    <w:p w14:paraId="3DB22445">
      <w:pPr>
        <w:pStyle w:val="104"/>
        <w:spacing w:before="240" w:after="240"/>
      </w:pPr>
      <w:bookmarkStart w:id="28" w:name="_Toc17233325"/>
      <w:bookmarkStart w:id="29" w:name="_Toc17233333"/>
      <w:bookmarkStart w:id="30" w:name="_Toc24884211"/>
      <w:bookmarkStart w:id="31" w:name="_Toc24884218"/>
      <w:bookmarkStart w:id="32" w:name="_Toc207697617"/>
      <w:bookmarkStart w:id="33" w:name="_Toc26648465"/>
      <w:bookmarkStart w:id="34" w:name="_Toc26718930"/>
      <w:bookmarkStart w:id="35" w:name="_Toc26986771"/>
      <w:bookmarkStart w:id="36" w:name="_Toc97192964"/>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26B94A73">
      <w:pPr>
        <w:pStyle w:val="56"/>
        <w:spacing w:line="360" w:lineRule="auto"/>
        <w:ind w:firstLine="420"/>
      </w:pPr>
      <w:bookmarkStart w:id="38" w:name="_Toc17233326"/>
      <w:bookmarkStart w:id="39" w:name="_Toc26648466"/>
      <w:bookmarkStart w:id="40" w:name="_Toc17233334"/>
      <w:bookmarkStart w:id="41" w:name="_Toc24884219"/>
      <w:bookmarkStart w:id="42" w:name="_Toc24884212"/>
      <w:r>
        <w:rPr>
          <w:rFonts w:hint="eastAsia"/>
        </w:rPr>
        <w:t>本文件规定了多模态人工智能教育动态测评体系的构建原则、技术框架、功能模块、数据采集处理、动态测评方法、教育应用场景及质量保障与持续改进等内容。</w:t>
      </w:r>
    </w:p>
    <w:p w14:paraId="51FD4038">
      <w:pPr>
        <w:pStyle w:val="56"/>
        <w:spacing w:line="360" w:lineRule="auto"/>
        <w:ind w:firstLine="420"/>
      </w:pPr>
      <w:r>
        <w:rPr>
          <w:rFonts w:hint="eastAsia"/>
        </w:rPr>
        <w:t>本文件适用于各类教育机构、教育技术企业和科研单位在多模态人工智能教育测评体系的设计、开发、应用与管理过程中参考使用。</w:t>
      </w:r>
    </w:p>
    <w:p w14:paraId="76265264">
      <w:pPr>
        <w:pStyle w:val="56"/>
        <w:spacing w:line="360" w:lineRule="auto"/>
        <w:ind w:firstLine="420"/>
      </w:pPr>
      <w:r>
        <w:rPr>
          <w:rFonts w:hint="eastAsia"/>
        </w:rPr>
        <w:t>本文件不适用于单一模态的传统考试测评或非教育领域的人工智能测评体系。</w:t>
      </w:r>
    </w:p>
    <w:p w14:paraId="3733B2AD">
      <w:pPr>
        <w:pStyle w:val="104"/>
        <w:spacing w:before="240" w:after="240" w:line="360" w:lineRule="auto"/>
      </w:pPr>
      <w:bookmarkStart w:id="43" w:name="_Toc26718931"/>
      <w:bookmarkStart w:id="44" w:name="_Toc26986531"/>
      <w:bookmarkStart w:id="45" w:name="_Toc26986772"/>
      <w:bookmarkStart w:id="46" w:name="_Toc97192965"/>
      <w:bookmarkStart w:id="47" w:name="_Toc20769761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GB/T 35273</w:t>
      </w:r>
      <w:r>
        <w:rPr>
          <w:rFonts w:hint="eastAsia"/>
        </w:rPr>
        <w:t>—</w:t>
      </w:r>
      <w:r>
        <w:t>2020</w:t>
      </w:r>
      <w:r>
        <w:rPr>
          <w:rFonts w:hint="eastAsia"/>
        </w:rPr>
        <w:t xml:space="preserve"> 信息安全技术  个人信息安全规范</w:t>
      </w:r>
    </w:p>
    <w:p w14:paraId="2218B727">
      <w:pPr>
        <w:pStyle w:val="56"/>
        <w:spacing w:line="360" w:lineRule="auto"/>
        <w:ind w:firstLine="420"/>
      </w:pPr>
      <w:r>
        <w:t>GB/T 36352</w:t>
      </w:r>
      <w:r>
        <w:rPr>
          <w:rFonts w:hint="eastAsia"/>
        </w:rPr>
        <w:t>—</w:t>
      </w:r>
      <w:r>
        <w:t>2018</w:t>
      </w:r>
      <w:r>
        <w:rPr>
          <w:rFonts w:hint="eastAsia"/>
        </w:rPr>
        <w:t xml:space="preserve"> 信息技术  学习、教育和培训  教育云服务：框架</w:t>
      </w:r>
    </w:p>
    <w:p w14:paraId="06543327">
      <w:pPr>
        <w:pStyle w:val="56"/>
        <w:spacing w:line="360" w:lineRule="auto"/>
        <w:ind w:firstLine="420"/>
      </w:pPr>
      <w:r>
        <w:t>GB/T 41867</w:t>
      </w:r>
      <w:r>
        <w:rPr>
          <w:rFonts w:hint="eastAsia"/>
        </w:rPr>
        <w:t>—</w:t>
      </w:r>
      <w:r>
        <w:t>2022</w:t>
      </w:r>
      <w:r>
        <w:rPr>
          <w:rFonts w:hint="eastAsia"/>
        </w:rPr>
        <w:t xml:space="preserve"> 信息技术  人工智能  术语</w:t>
      </w:r>
    </w:p>
    <w:p w14:paraId="3964ADD4">
      <w:pPr>
        <w:pStyle w:val="56"/>
        <w:spacing w:line="360" w:lineRule="auto"/>
        <w:ind w:firstLine="420"/>
      </w:pPr>
      <w:r>
        <w:t>GB/T 43466</w:t>
      </w:r>
      <w:r>
        <w:rPr>
          <w:rFonts w:hint="eastAsia"/>
        </w:rPr>
        <w:t>—</w:t>
      </w:r>
      <w:r>
        <w:t>2023</w:t>
      </w:r>
      <w:r>
        <w:rPr>
          <w:rFonts w:hint="eastAsia"/>
        </w:rPr>
        <w:t xml:space="preserve"> 信息技术  学习、教育和培训  中小学生信息素养评价指南</w:t>
      </w:r>
    </w:p>
    <w:p w14:paraId="51F02A4E">
      <w:pPr>
        <w:pStyle w:val="104"/>
        <w:spacing w:before="240" w:after="240" w:line="360" w:lineRule="auto"/>
      </w:pPr>
      <w:bookmarkStart w:id="48" w:name="_Toc97192966"/>
      <w:bookmarkStart w:id="49" w:name="_Toc207697619"/>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7049511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多模态数据 multimodal data</w:t>
      </w:r>
    </w:p>
    <w:p w14:paraId="341BDA8A">
      <w:pPr>
        <w:pStyle w:val="56"/>
        <w:spacing w:line="360" w:lineRule="auto"/>
        <w:ind w:firstLine="420"/>
      </w:pPr>
      <w:r>
        <w:rPr>
          <w:rFonts w:hint="eastAsia"/>
        </w:rPr>
        <w:t>来源于文本、语音、图像、视频、传感器及学习行为记录等多种信息源的综合数据。</w:t>
      </w:r>
    </w:p>
    <w:p w14:paraId="113A2B9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动态测评 dynamic assessment</w:t>
      </w:r>
    </w:p>
    <w:p w14:paraId="73454782">
      <w:pPr>
        <w:pStyle w:val="56"/>
        <w:spacing w:line="360" w:lineRule="auto"/>
        <w:ind w:firstLine="420"/>
      </w:pPr>
      <w:r>
        <w:rPr>
          <w:rFonts w:hint="eastAsia"/>
        </w:rPr>
        <w:t>以过程性、发展性为导向，通过实时数据采集与分析，持续跟踪学习者表现并提供即时反馈的测评方式。</w:t>
      </w:r>
    </w:p>
    <w:p w14:paraId="7D6913E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个性化反馈 personalized feedback</w:t>
      </w:r>
    </w:p>
    <w:p w14:paraId="5BAB1B53">
      <w:pPr>
        <w:pStyle w:val="56"/>
        <w:spacing w:line="360" w:lineRule="auto"/>
        <w:ind w:firstLine="420"/>
      </w:pPr>
      <w:r>
        <w:rPr>
          <w:rFonts w:hint="eastAsia"/>
        </w:rPr>
        <w:t>基于学习者个体特征与测评结果，实时生成有针对性的学习建议或干预措施。</w:t>
      </w:r>
    </w:p>
    <w:p w14:paraId="6D6EA33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可解释性 interpretability</w:t>
      </w:r>
    </w:p>
    <w:p w14:paraId="11ED0D72">
      <w:pPr>
        <w:pStyle w:val="56"/>
        <w:spacing w:line="360" w:lineRule="auto"/>
        <w:ind w:firstLine="420"/>
      </w:pPr>
      <w:r>
        <w:rPr>
          <w:rFonts w:hint="eastAsia"/>
        </w:rPr>
        <w:t>人工智能模型在教育测评中的运作逻辑、结果形成过程以及决策依据能够被教师、学习者和管理者理解的能力。</w:t>
      </w:r>
    </w:p>
    <w:p w14:paraId="55141F7A">
      <w:pPr>
        <w:pStyle w:val="104"/>
        <w:spacing w:before="240" w:after="240" w:line="360" w:lineRule="auto"/>
      </w:pPr>
      <w:bookmarkStart w:id="51" w:name="_Toc207697620"/>
      <w:r>
        <w:rPr>
          <w:rFonts w:hint="eastAsia"/>
        </w:rPr>
        <w:t>构建原则</w:t>
      </w:r>
      <w:bookmarkEnd w:id="51"/>
    </w:p>
    <w:p w14:paraId="2C06A9E1">
      <w:pPr>
        <w:pStyle w:val="105"/>
        <w:spacing w:before="120" w:after="120" w:line="360" w:lineRule="auto"/>
      </w:pPr>
      <w:r>
        <w:rPr>
          <w:rFonts w:hint="eastAsia"/>
        </w:rPr>
        <w:t>科学性</w:t>
      </w:r>
    </w:p>
    <w:p w14:paraId="749F5F73">
      <w:pPr>
        <w:pStyle w:val="56"/>
        <w:spacing w:line="360" w:lineRule="auto"/>
        <w:ind w:firstLine="420"/>
      </w:pPr>
      <w:r>
        <w:rPr>
          <w:rFonts w:hint="eastAsia"/>
        </w:rPr>
        <w:t>测评体系必须以教育学、心理学和人工智能的科学理论为基础，保证测评工具的信度与效度。</w:t>
      </w:r>
    </w:p>
    <w:p w14:paraId="211DA1D6">
      <w:pPr>
        <w:pStyle w:val="56"/>
        <w:spacing w:line="360" w:lineRule="auto"/>
        <w:ind w:firstLine="420"/>
      </w:pPr>
      <w:r>
        <w:rPr>
          <w:rFonts w:hint="eastAsia"/>
        </w:rPr>
        <w:t>这一原则要求测评方法来源于可靠的研究成果，并在实践中经过验证，确保数据与结果真实、准确、可重复。</w:t>
      </w:r>
    </w:p>
    <w:p w14:paraId="1F7AA739">
      <w:pPr>
        <w:pStyle w:val="105"/>
        <w:spacing w:before="120" w:after="120" w:line="360" w:lineRule="auto"/>
      </w:pPr>
      <w:r>
        <w:rPr>
          <w:rFonts w:hint="eastAsia"/>
        </w:rPr>
        <w:t>系统性</w:t>
      </w:r>
    </w:p>
    <w:p w14:paraId="7A85947B">
      <w:pPr>
        <w:pStyle w:val="56"/>
        <w:spacing w:line="360" w:lineRule="auto"/>
        <w:ind w:firstLine="420"/>
      </w:pPr>
      <w:r>
        <w:rPr>
          <w:rFonts w:hint="eastAsia"/>
        </w:rPr>
        <w:t>测评应覆盖学习者的知识掌握、能力发展、情感态度和学习行为等多个维度，形成全过程、全要素的系统化评价。</w:t>
      </w:r>
    </w:p>
    <w:p w14:paraId="719E1B81">
      <w:pPr>
        <w:pStyle w:val="56"/>
        <w:spacing w:line="360" w:lineRule="auto"/>
        <w:ind w:firstLine="420"/>
      </w:pPr>
      <w:r>
        <w:rPr>
          <w:rFonts w:hint="eastAsia"/>
        </w:rPr>
        <w:t>这意味着体系设计不应仅限于单点测量，而是要通过多模态数据的融合实现全面而连续的跟踪。</w:t>
      </w:r>
    </w:p>
    <w:p w14:paraId="572AEA29">
      <w:pPr>
        <w:pStyle w:val="105"/>
        <w:spacing w:before="120" w:after="120" w:line="360" w:lineRule="auto"/>
      </w:pPr>
      <w:r>
        <w:rPr>
          <w:rFonts w:hint="eastAsia"/>
        </w:rPr>
        <w:t>动态性</w:t>
      </w:r>
    </w:p>
    <w:p w14:paraId="7C616DFC">
      <w:pPr>
        <w:pStyle w:val="56"/>
        <w:spacing w:line="360" w:lineRule="auto"/>
        <w:ind w:firstLine="420"/>
      </w:pPr>
      <w:r>
        <w:rPr>
          <w:rFonts w:hint="eastAsia"/>
        </w:rPr>
        <w:t>体系应强调发展性与过程性，能够反映学习者在不同时间点的变化和进步情况。</w:t>
      </w:r>
    </w:p>
    <w:p w14:paraId="40C561EB">
      <w:pPr>
        <w:pStyle w:val="56"/>
        <w:spacing w:line="360" w:lineRule="auto"/>
        <w:ind w:firstLine="420"/>
      </w:pPr>
      <w:r>
        <w:rPr>
          <w:rFonts w:hint="eastAsia"/>
        </w:rPr>
        <w:t>这要求测评不仅提供结果性的总结，还要关注学习过程中的即时表现，便于教师进行适时干预。</w:t>
      </w:r>
    </w:p>
    <w:p w14:paraId="127EAA15">
      <w:pPr>
        <w:pStyle w:val="105"/>
        <w:spacing w:before="120" w:after="120" w:line="360" w:lineRule="auto"/>
      </w:pPr>
      <w:r>
        <w:rPr>
          <w:rFonts w:hint="eastAsia"/>
        </w:rPr>
        <w:t>个性化</w:t>
      </w:r>
    </w:p>
    <w:p w14:paraId="2B2613A7">
      <w:pPr>
        <w:pStyle w:val="56"/>
        <w:spacing w:line="360" w:lineRule="auto"/>
        <w:ind w:firstLine="420"/>
      </w:pPr>
      <w:r>
        <w:rPr>
          <w:rFonts w:hint="eastAsia"/>
        </w:rPr>
        <w:t>测评体系应重视个体差异，能够针对不同学习者的特点生成差异化的分析结果与反馈。</w:t>
      </w:r>
    </w:p>
    <w:p w14:paraId="6ECCAF14">
      <w:pPr>
        <w:pStyle w:val="56"/>
        <w:spacing w:line="360" w:lineRule="auto"/>
        <w:ind w:firstLine="420"/>
      </w:pPr>
      <w:r>
        <w:rPr>
          <w:rFonts w:hint="eastAsia"/>
        </w:rPr>
        <w:t>该原则强调人工智能技术在测评中的优势，应通过算法与模型的智能分析，帮助教师因材施教。</w:t>
      </w:r>
    </w:p>
    <w:p w14:paraId="7A3B5396">
      <w:pPr>
        <w:pStyle w:val="105"/>
        <w:spacing w:before="120" w:after="120" w:line="360" w:lineRule="auto"/>
      </w:pPr>
      <w:r>
        <w:rPr>
          <w:rFonts w:hint="eastAsia"/>
        </w:rPr>
        <w:t>公平性</w:t>
      </w:r>
    </w:p>
    <w:p w14:paraId="6A363BB0">
      <w:pPr>
        <w:pStyle w:val="56"/>
        <w:spacing w:line="360" w:lineRule="auto"/>
        <w:ind w:firstLine="420"/>
      </w:pPr>
      <w:r>
        <w:rPr>
          <w:rFonts w:hint="eastAsia"/>
        </w:rPr>
        <w:t>体系建设必须遵循教育公平原则，避免因算法偏差或数据不平衡导致结果失真。</w:t>
      </w:r>
    </w:p>
    <w:p w14:paraId="3D9CAC99">
      <w:pPr>
        <w:pStyle w:val="56"/>
        <w:spacing w:line="360" w:lineRule="auto"/>
        <w:ind w:firstLine="420"/>
      </w:pPr>
      <w:r>
        <w:rPr>
          <w:rFonts w:hint="eastAsia"/>
        </w:rPr>
        <w:t>这不仅要求在数据采集和模型训练时保证样本的多样性与代表性，也要求在应用过程中关注弱势群体的测评公正。</w:t>
      </w:r>
    </w:p>
    <w:p w14:paraId="25F0148C">
      <w:pPr>
        <w:pStyle w:val="105"/>
        <w:spacing w:before="120" w:after="120" w:line="360" w:lineRule="auto"/>
      </w:pPr>
      <w:r>
        <w:rPr>
          <w:rFonts w:hint="eastAsia"/>
        </w:rPr>
        <w:t>安全与隐私</w:t>
      </w:r>
    </w:p>
    <w:p w14:paraId="6B8D11FB">
      <w:pPr>
        <w:pStyle w:val="56"/>
        <w:spacing w:line="360" w:lineRule="auto"/>
        <w:ind w:firstLine="420"/>
      </w:pPr>
      <w:r>
        <w:rPr>
          <w:rFonts w:hint="eastAsia"/>
        </w:rPr>
        <w:t>测评体系应符合国家和国际信息安全与个人隐私保护要求。</w:t>
      </w:r>
    </w:p>
    <w:p w14:paraId="1DF7AD77">
      <w:pPr>
        <w:pStyle w:val="56"/>
        <w:spacing w:line="360" w:lineRule="auto"/>
        <w:ind w:firstLine="420"/>
      </w:pPr>
      <w:r>
        <w:rPr>
          <w:rFonts w:hint="eastAsia"/>
        </w:rPr>
        <w:t>这意味着在数据采集、存储和应用环节均需采取严格的安全措施，防止数据泄露与滥用。</w:t>
      </w:r>
    </w:p>
    <w:p w14:paraId="7681C1AD">
      <w:pPr>
        <w:pStyle w:val="105"/>
        <w:spacing w:before="120" w:after="120" w:line="360" w:lineRule="auto"/>
      </w:pPr>
      <w:r>
        <w:rPr>
          <w:rFonts w:hint="eastAsia"/>
        </w:rPr>
        <w:t>可解释性</w:t>
      </w:r>
    </w:p>
    <w:p w14:paraId="14B5F25F">
      <w:pPr>
        <w:pStyle w:val="56"/>
        <w:spacing w:line="360" w:lineRule="auto"/>
        <w:ind w:firstLine="420"/>
      </w:pPr>
      <w:r>
        <w:rPr>
          <w:rFonts w:hint="eastAsia"/>
        </w:rPr>
        <w:t>人工智能在教育测评中的应用必须具备透明度和可解释性，使教师、学习者和教育管理者能够理解模型的运行逻辑和结论依据。</w:t>
      </w:r>
    </w:p>
    <w:p w14:paraId="2A62EE40">
      <w:pPr>
        <w:pStyle w:val="56"/>
        <w:spacing w:line="360" w:lineRule="auto"/>
        <w:ind w:firstLine="420"/>
      </w:pPr>
      <w:r>
        <w:rPr>
          <w:rFonts w:hint="eastAsia"/>
        </w:rPr>
        <w:t>该原则有助于提升测评体系的信任度与教育应用价值。</w:t>
      </w:r>
    </w:p>
    <w:p w14:paraId="15EB41C2">
      <w:pPr>
        <w:pStyle w:val="104"/>
        <w:spacing w:before="240" w:after="240" w:line="360" w:lineRule="auto"/>
      </w:pPr>
      <w:bookmarkStart w:id="52" w:name="_Toc207697621"/>
      <w:r>
        <w:rPr>
          <w:rFonts w:hint="eastAsia"/>
        </w:rPr>
        <w:t>技术框架</w:t>
      </w:r>
      <w:bookmarkEnd w:id="52"/>
    </w:p>
    <w:p w14:paraId="6B97C36F">
      <w:pPr>
        <w:pStyle w:val="105"/>
        <w:spacing w:before="120" w:after="120" w:line="360" w:lineRule="auto"/>
      </w:pPr>
      <w:r>
        <w:rPr>
          <w:rFonts w:hint="eastAsia"/>
        </w:rPr>
        <w:t>数据层</w:t>
      </w:r>
    </w:p>
    <w:p w14:paraId="59896A66">
      <w:pPr>
        <w:pStyle w:val="56"/>
        <w:spacing w:line="360" w:lineRule="auto"/>
        <w:ind w:firstLine="420"/>
      </w:pPr>
      <w:r>
        <w:rPr>
          <w:rFonts w:hint="eastAsia"/>
        </w:rPr>
        <w:t>数据层是整个体系的基础，承担着学习过程多模态信息的采集任务。为了确保数据的全面性和真实性，应遵循以下要求：</w:t>
      </w:r>
    </w:p>
    <w:p w14:paraId="77071D75">
      <w:pPr>
        <w:pStyle w:val="132"/>
        <w:spacing w:line="360" w:lineRule="auto"/>
      </w:pPr>
      <w:r>
        <w:rPr>
          <w:rFonts w:hint="eastAsia"/>
        </w:rPr>
        <w:t>数据来源应包括文本、语音、图像、视频、传感器信号以及学习行为记录；</w:t>
      </w:r>
    </w:p>
    <w:p w14:paraId="525D61E1">
      <w:pPr>
        <w:pStyle w:val="132"/>
        <w:spacing w:line="360" w:lineRule="auto"/>
      </w:pPr>
      <w:r>
        <w:rPr>
          <w:rFonts w:hint="eastAsia"/>
        </w:rPr>
        <w:t>采集方式应符合标准化流程，保证数据的准确与完整；</w:t>
      </w:r>
    </w:p>
    <w:p w14:paraId="6367488F">
      <w:pPr>
        <w:pStyle w:val="132"/>
        <w:spacing w:line="360" w:lineRule="auto"/>
      </w:pPr>
      <w:r>
        <w:rPr>
          <w:rFonts w:hint="eastAsia"/>
        </w:rPr>
        <w:t>对于敏感数据，应采取匿名化或脱敏措施。</w:t>
      </w:r>
    </w:p>
    <w:p w14:paraId="15819ADB">
      <w:pPr>
        <w:pStyle w:val="105"/>
        <w:spacing w:before="120" w:after="120" w:line="360" w:lineRule="auto"/>
      </w:pPr>
      <w:r>
        <w:rPr>
          <w:rFonts w:hint="eastAsia"/>
        </w:rPr>
        <w:t>处理层</w:t>
      </w:r>
    </w:p>
    <w:p w14:paraId="3284948E">
      <w:pPr>
        <w:pStyle w:val="56"/>
        <w:spacing w:line="360" w:lineRule="auto"/>
        <w:ind w:firstLine="420"/>
      </w:pPr>
      <w:r>
        <w:rPr>
          <w:rFonts w:hint="eastAsia"/>
        </w:rPr>
        <w:t>原始数据往往存在噪声、缺失和异构问题，需要在处理层进行预处理和融合。该环节的目标是提升数据质量，使其能够为后续建模提供可靠支撑。具体包括：</w:t>
      </w:r>
    </w:p>
    <w:p w14:paraId="7F802FDC">
      <w:pPr>
        <w:pStyle w:val="132"/>
        <w:spacing w:line="360" w:lineRule="auto"/>
      </w:pPr>
      <w:r>
        <w:rPr>
          <w:rFonts w:hint="eastAsia"/>
        </w:rPr>
        <w:t>对采集数据进行清洗，剔除无效与错误信息；</w:t>
      </w:r>
    </w:p>
    <w:p w14:paraId="1CF53C10">
      <w:pPr>
        <w:pStyle w:val="132"/>
        <w:spacing w:line="360" w:lineRule="auto"/>
      </w:pPr>
      <w:r>
        <w:rPr>
          <w:rFonts w:hint="eastAsia"/>
        </w:rPr>
        <w:t>将不同来源的数据进行格式统一与标准化处理；</w:t>
      </w:r>
    </w:p>
    <w:p w14:paraId="3B50177C">
      <w:pPr>
        <w:pStyle w:val="132"/>
        <w:spacing w:line="360" w:lineRule="auto"/>
      </w:pPr>
      <w:r>
        <w:rPr>
          <w:rFonts w:hint="eastAsia"/>
        </w:rPr>
        <w:t>建立规范的数据标注体系，为模型分析提供高质量样本。</w:t>
      </w:r>
    </w:p>
    <w:p w14:paraId="7D578949">
      <w:pPr>
        <w:pStyle w:val="105"/>
        <w:spacing w:before="120" w:after="120" w:line="360" w:lineRule="auto"/>
      </w:pPr>
      <w:r>
        <w:rPr>
          <w:rFonts w:hint="eastAsia"/>
        </w:rPr>
        <w:t>模型层</w:t>
      </w:r>
    </w:p>
    <w:p w14:paraId="424BC117">
      <w:pPr>
        <w:pStyle w:val="56"/>
        <w:spacing w:line="360" w:lineRule="auto"/>
        <w:ind w:firstLine="420"/>
      </w:pPr>
      <w:r>
        <w:rPr>
          <w:rFonts w:hint="eastAsia"/>
        </w:rPr>
        <w:t>模型层是实现智能测评的核心，依靠人工智能算法对学习者进行多维度建模。为了保证模型分析的科学性和可解释性，应注重以下方面：</w:t>
      </w:r>
    </w:p>
    <w:p w14:paraId="56170B23">
      <w:pPr>
        <w:pStyle w:val="132"/>
        <w:spacing w:line="360" w:lineRule="auto"/>
      </w:pPr>
      <w:r>
        <w:rPr>
          <w:rFonts w:hint="eastAsia"/>
        </w:rPr>
        <w:t>构建认知、情感与行为多维模型，全面刻画学习者特征；</w:t>
      </w:r>
    </w:p>
    <w:p w14:paraId="7019B8A7">
      <w:pPr>
        <w:pStyle w:val="132"/>
        <w:spacing w:line="360" w:lineRule="auto"/>
      </w:pPr>
      <w:r>
        <w:rPr>
          <w:rFonts w:hint="eastAsia"/>
        </w:rPr>
        <w:t>模型应支持动态更新，能够实时反映学习者状态变化；</w:t>
      </w:r>
    </w:p>
    <w:p w14:paraId="63DAFA8D">
      <w:pPr>
        <w:pStyle w:val="132"/>
        <w:spacing w:line="360" w:lineRule="auto"/>
      </w:pPr>
      <w:r>
        <w:rPr>
          <w:rFonts w:hint="eastAsia"/>
        </w:rPr>
        <w:t>模型应具备可解释性，避免因“黑箱”效应降低测评的透明度。</w:t>
      </w:r>
    </w:p>
    <w:p w14:paraId="1E8A928A">
      <w:pPr>
        <w:pStyle w:val="105"/>
        <w:spacing w:before="120" w:after="120" w:line="360" w:lineRule="auto"/>
      </w:pPr>
      <w:r>
        <w:rPr>
          <w:rFonts w:hint="eastAsia"/>
        </w:rPr>
        <w:t>应用层</w:t>
      </w:r>
    </w:p>
    <w:p w14:paraId="2451CE0A">
      <w:pPr>
        <w:pStyle w:val="56"/>
        <w:spacing w:line="360" w:lineRule="auto"/>
        <w:ind w:firstLine="420"/>
      </w:pPr>
      <w:r>
        <w:rPr>
          <w:rFonts w:hint="eastAsia"/>
        </w:rPr>
        <w:t>应用层是测评体系与教育实践结合的关键环节，负责将分析结果转化为教育价值。为了确保结果能被有效利用，应做到：</w:t>
      </w:r>
    </w:p>
    <w:p w14:paraId="29EABD01">
      <w:pPr>
        <w:pStyle w:val="132"/>
        <w:spacing w:line="360" w:lineRule="auto"/>
      </w:pPr>
      <w:r>
        <w:rPr>
          <w:rFonts w:hint="eastAsia"/>
        </w:rPr>
        <w:t>输出个性化反馈，帮助教师精准施教，帮助学习者改进方法；</w:t>
      </w:r>
    </w:p>
    <w:p w14:paraId="14325DC2">
      <w:pPr>
        <w:pStyle w:val="132"/>
        <w:spacing w:line="360" w:lineRule="auto"/>
      </w:pPr>
      <w:r>
        <w:rPr>
          <w:rFonts w:hint="eastAsia"/>
        </w:rPr>
        <w:t>提供预警与干预功能，发现潜在学习问题并及时应对；</w:t>
      </w:r>
    </w:p>
    <w:p w14:paraId="1C25DD6A">
      <w:pPr>
        <w:pStyle w:val="132"/>
        <w:spacing w:line="360" w:lineRule="auto"/>
      </w:pPr>
      <w:r>
        <w:rPr>
          <w:rFonts w:hint="eastAsia"/>
        </w:rPr>
        <w:t>为教育管理者提供群体性数据支持，辅助决策制定。</w:t>
      </w:r>
    </w:p>
    <w:p w14:paraId="27509049">
      <w:pPr>
        <w:pStyle w:val="105"/>
        <w:spacing w:before="120" w:after="120" w:line="360" w:lineRule="auto"/>
      </w:pPr>
      <w:r>
        <w:rPr>
          <w:rFonts w:hint="eastAsia"/>
        </w:rPr>
        <w:t>安全层</w:t>
      </w:r>
    </w:p>
    <w:p w14:paraId="3F6F3995">
      <w:pPr>
        <w:pStyle w:val="56"/>
        <w:spacing w:line="360" w:lineRule="auto"/>
        <w:ind w:firstLine="420"/>
      </w:pPr>
      <w:r>
        <w:rPr>
          <w:rFonts w:hint="eastAsia"/>
        </w:rPr>
        <w:t>安全层贯穿整个体系，确保数据和模型运行的合规性与可靠性。为此，应从以下几个方面加强管理：</w:t>
      </w:r>
    </w:p>
    <w:p w14:paraId="21B9D9A6">
      <w:pPr>
        <w:pStyle w:val="132"/>
        <w:spacing w:line="360" w:lineRule="auto"/>
      </w:pPr>
      <w:r>
        <w:rPr>
          <w:rFonts w:hint="eastAsia"/>
        </w:rPr>
        <w:t>建立严格的数据访问权限和身份认证机制；</w:t>
      </w:r>
    </w:p>
    <w:p w14:paraId="23FA045D">
      <w:pPr>
        <w:pStyle w:val="132"/>
        <w:spacing w:line="360" w:lineRule="auto"/>
      </w:pPr>
      <w:r>
        <w:rPr>
          <w:rFonts w:hint="eastAsia"/>
        </w:rPr>
        <w:t>采用数据加密与安全传输方式，防止泄露与篡改；</w:t>
      </w:r>
    </w:p>
    <w:p w14:paraId="305AD961">
      <w:pPr>
        <w:pStyle w:val="132"/>
        <w:spacing w:line="360" w:lineRule="auto"/>
      </w:pPr>
      <w:r>
        <w:rPr>
          <w:rFonts w:hint="eastAsia"/>
        </w:rPr>
        <w:t>遵循国家和国际隐私保护标准，确保数据使用的合法性和合规性。</w:t>
      </w:r>
    </w:p>
    <w:p w14:paraId="2AFB7103">
      <w:pPr>
        <w:pStyle w:val="104"/>
        <w:spacing w:before="240" w:after="240" w:line="360" w:lineRule="auto"/>
      </w:pPr>
      <w:bookmarkStart w:id="53" w:name="_Toc207697622"/>
      <w:r>
        <w:rPr>
          <w:rFonts w:hint="eastAsia"/>
        </w:rPr>
        <w:t>功能模块</w:t>
      </w:r>
      <w:bookmarkEnd w:id="53"/>
    </w:p>
    <w:p w14:paraId="3D56DDDB">
      <w:pPr>
        <w:pStyle w:val="105"/>
        <w:spacing w:before="120" w:after="120" w:line="360" w:lineRule="auto"/>
      </w:pPr>
      <w:r>
        <w:rPr>
          <w:rFonts w:hint="eastAsia"/>
        </w:rPr>
        <w:t>数据采集模块</w:t>
      </w:r>
    </w:p>
    <w:p w14:paraId="717FC70F">
      <w:pPr>
        <w:pStyle w:val="56"/>
        <w:spacing w:line="360" w:lineRule="auto"/>
        <w:ind w:firstLine="420"/>
      </w:pPr>
      <w:r>
        <w:rPr>
          <w:rFonts w:hint="eastAsia"/>
        </w:rPr>
        <w:t>数据采集是测评体系的起点，其质量直接决定后续分析的科学性与可信度。为了保证采集过程规范，应满足以下要求：</w:t>
      </w:r>
    </w:p>
    <w:p w14:paraId="1B6E06B3">
      <w:pPr>
        <w:pStyle w:val="132"/>
        <w:spacing w:line="360" w:lineRule="auto"/>
      </w:pPr>
      <w:r>
        <w:rPr>
          <w:rFonts w:hint="eastAsia"/>
        </w:rPr>
        <w:t>采集范围应覆盖文本、语音、图像、视频和学习行为等多模态数据；</w:t>
      </w:r>
    </w:p>
    <w:p w14:paraId="18FBF351">
      <w:pPr>
        <w:pStyle w:val="132"/>
        <w:spacing w:line="360" w:lineRule="auto"/>
      </w:pPr>
      <w:r>
        <w:rPr>
          <w:rFonts w:hint="eastAsia"/>
        </w:rPr>
        <w:t>数据来源应包括学习管理系统、在线课堂、智能终端和传感器等；</w:t>
      </w:r>
    </w:p>
    <w:p w14:paraId="10E150B4">
      <w:pPr>
        <w:pStyle w:val="132"/>
        <w:spacing w:line="360" w:lineRule="auto"/>
      </w:pPr>
      <w:r>
        <w:rPr>
          <w:rFonts w:hint="eastAsia"/>
        </w:rPr>
        <w:t>数据获取方式应遵循合法合规原则，避免过度采集。</w:t>
      </w:r>
    </w:p>
    <w:p w14:paraId="2798657C">
      <w:pPr>
        <w:pStyle w:val="105"/>
        <w:spacing w:before="120" w:after="120" w:line="360" w:lineRule="auto"/>
      </w:pPr>
      <w:r>
        <w:rPr>
          <w:rFonts w:hint="eastAsia"/>
        </w:rPr>
        <w:t>数据处理模块</w:t>
      </w:r>
    </w:p>
    <w:p w14:paraId="0E973928">
      <w:pPr>
        <w:pStyle w:val="56"/>
        <w:spacing w:line="360" w:lineRule="auto"/>
        <w:ind w:firstLine="420"/>
      </w:pPr>
      <w:r>
        <w:rPr>
          <w:rFonts w:hint="eastAsia"/>
        </w:rPr>
        <w:t>原始数据往往存在噪声、冗余和异构问题，需要通过处理模块提升数据质量。主要任务包括：</w:t>
      </w:r>
    </w:p>
    <w:p w14:paraId="59031EAA">
      <w:pPr>
        <w:pStyle w:val="132"/>
        <w:spacing w:line="360" w:lineRule="auto"/>
      </w:pPr>
      <w:r>
        <w:rPr>
          <w:rFonts w:hint="eastAsia"/>
        </w:rPr>
        <w:t>对数据进行清洗，剔除错误和缺失信息；</w:t>
      </w:r>
    </w:p>
    <w:p w14:paraId="3B64CF78">
      <w:pPr>
        <w:pStyle w:val="132"/>
        <w:spacing w:line="360" w:lineRule="auto"/>
      </w:pPr>
      <w:r>
        <w:rPr>
          <w:rFonts w:hint="eastAsia"/>
        </w:rPr>
        <w:t>统一数据格式，确保不同来源的数据能够融合使用；</w:t>
      </w:r>
    </w:p>
    <w:p w14:paraId="08FC7B18">
      <w:pPr>
        <w:pStyle w:val="132"/>
        <w:spacing w:line="360" w:lineRule="auto"/>
      </w:pPr>
      <w:r>
        <w:rPr>
          <w:rFonts w:hint="eastAsia"/>
        </w:rPr>
        <w:t>按照既定标准进行标注，为模型训练提供支持。</w:t>
      </w:r>
    </w:p>
    <w:p w14:paraId="16AF4F31">
      <w:pPr>
        <w:pStyle w:val="105"/>
        <w:spacing w:before="120" w:after="120" w:line="360" w:lineRule="auto"/>
      </w:pPr>
      <w:r>
        <w:rPr>
          <w:rFonts w:hint="eastAsia"/>
        </w:rPr>
        <w:t>模型分析模块</w:t>
      </w:r>
    </w:p>
    <w:p w14:paraId="18EB1C1D">
      <w:pPr>
        <w:pStyle w:val="56"/>
        <w:spacing w:line="360" w:lineRule="auto"/>
        <w:ind w:firstLine="420"/>
      </w:pPr>
      <w:r>
        <w:rPr>
          <w:rFonts w:hint="eastAsia"/>
        </w:rPr>
        <w:t>模型分析是实现智能化测评的核心环节，通过人工智能算法对学习者的多维特征进行刻画。其功能应包括：</w:t>
      </w:r>
    </w:p>
    <w:p w14:paraId="0350D9FA">
      <w:pPr>
        <w:pStyle w:val="132"/>
        <w:spacing w:line="360" w:lineRule="auto"/>
      </w:pPr>
      <w:r>
        <w:rPr>
          <w:rFonts w:hint="eastAsia"/>
        </w:rPr>
        <w:t>构建认知分析模型，识别学习水平和知识掌握情况；</w:t>
      </w:r>
    </w:p>
    <w:p w14:paraId="20C3F235">
      <w:pPr>
        <w:pStyle w:val="132"/>
        <w:spacing w:line="360" w:lineRule="auto"/>
      </w:pPr>
      <w:r>
        <w:rPr>
          <w:rFonts w:hint="eastAsia"/>
        </w:rPr>
        <w:t>构建情感识别模型，监测学习过程中的情绪状态；</w:t>
      </w:r>
    </w:p>
    <w:p w14:paraId="769CC9E9">
      <w:pPr>
        <w:pStyle w:val="132"/>
        <w:spacing w:line="360" w:lineRule="auto"/>
      </w:pPr>
      <w:r>
        <w:rPr>
          <w:rFonts w:hint="eastAsia"/>
        </w:rPr>
        <w:t>构建行为分析模型，追踪学习习惯与互动特征。</w:t>
      </w:r>
    </w:p>
    <w:p w14:paraId="6D04954A">
      <w:pPr>
        <w:pStyle w:val="105"/>
        <w:spacing w:before="120" w:after="120" w:line="360" w:lineRule="auto"/>
      </w:pPr>
      <w:r>
        <w:rPr>
          <w:rFonts w:hint="eastAsia"/>
        </w:rPr>
        <w:t>测评反馈模块</w:t>
      </w:r>
    </w:p>
    <w:p w14:paraId="28D7D824">
      <w:pPr>
        <w:pStyle w:val="56"/>
        <w:spacing w:line="360" w:lineRule="auto"/>
        <w:ind w:firstLine="420"/>
      </w:pPr>
      <w:r>
        <w:rPr>
          <w:rFonts w:hint="eastAsia"/>
        </w:rPr>
        <w:t>反馈模块将分析结果转化为可操作的教育建议，是测评体系发挥价值的重要环节。其功能应包括：</w:t>
      </w:r>
    </w:p>
    <w:p w14:paraId="387C97FC">
      <w:pPr>
        <w:pStyle w:val="132"/>
        <w:spacing w:line="360" w:lineRule="auto"/>
      </w:pPr>
      <w:r>
        <w:rPr>
          <w:rFonts w:hint="eastAsia"/>
        </w:rPr>
        <w:t>根据结果生成个性化学习报告，突出学习优势与不足；</w:t>
      </w:r>
    </w:p>
    <w:p w14:paraId="7E763B7F">
      <w:pPr>
        <w:pStyle w:val="132"/>
        <w:spacing w:line="360" w:lineRule="auto"/>
      </w:pPr>
      <w:r>
        <w:rPr>
          <w:rFonts w:hint="eastAsia"/>
        </w:rPr>
        <w:t>为教师提供实时预警信息，帮助其调整教学策略；</w:t>
      </w:r>
    </w:p>
    <w:p w14:paraId="4DBAF419">
      <w:pPr>
        <w:pStyle w:val="132"/>
        <w:spacing w:line="360" w:lineRule="auto"/>
      </w:pPr>
      <w:r>
        <w:rPr>
          <w:rFonts w:hint="eastAsia"/>
        </w:rPr>
        <w:t>向学习者推送个性化改进建议，实现因材施教。</w:t>
      </w:r>
    </w:p>
    <w:p w14:paraId="7FFFE38D">
      <w:pPr>
        <w:pStyle w:val="105"/>
        <w:spacing w:before="120" w:after="120" w:line="360" w:lineRule="auto"/>
      </w:pPr>
      <w:r>
        <w:rPr>
          <w:rFonts w:hint="eastAsia"/>
        </w:rPr>
        <w:t>管理监控模块</w:t>
      </w:r>
    </w:p>
    <w:p w14:paraId="4D820F96">
      <w:pPr>
        <w:pStyle w:val="56"/>
        <w:spacing w:line="360" w:lineRule="auto"/>
        <w:ind w:firstLine="420"/>
      </w:pPr>
      <w:r>
        <w:rPr>
          <w:rFonts w:hint="eastAsia"/>
        </w:rPr>
        <w:t>为了保证测评体系的整体运行效率与教育管理价值，需要设置管理监控模块。其主要任务包括：</w:t>
      </w:r>
    </w:p>
    <w:p w14:paraId="4553082A">
      <w:pPr>
        <w:pStyle w:val="132"/>
        <w:spacing w:line="360" w:lineRule="auto"/>
      </w:pPr>
      <w:r>
        <w:rPr>
          <w:rFonts w:hint="eastAsia"/>
        </w:rPr>
        <w:t>监控测评系统的运行状态，确保稳定可靠；</w:t>
      </w:r>
    </w:p>
    <w:p w14:paraId="7C572158">
      <w:pPr>
        <w:pStyle w:val="132"/>
        <w:spacing w:line="360" w:lineRule="auto"/>
      </w:pPr>
      <w:r>
        <w:rPr>
          <w:rFonts w:hint="eastAsia"/>
        </w:rPr>
        <w:t>为教育管理者提供群体性学习数据，支持宏观决策；</w:t>
      </w:r>
    </w:p>
    <w:p w14:paraId="6985626A">
      <w:pPr>
        <w:pStyle w:val="132"/>
        <w:spacing w:line="360" w:lineRule="auto"/>
      </w:pPr>
      <w:r>
        <w:rPr>
          <w:rFonts w:hint="eastAsia"/>
        </w:rPr>
        <w:t>定期生成系统运行报告，用于质量评估与改进。</w:t>
      </w:r>
    </w:p>
    <w:p w14:paraId="2F7141DA">
      <w:pPr>
        <w:pStyle w:val="105"/>
        <w:spacing w:before="120" w:after="120" w:line="360" w:lineRule="auto"/>
      </w:pPr>
      <w:r>
        <w:rPr>
          <w:rFonts w:hint="eastAsia"/>
        </w:rPr>
        <w:t>安全合规模块</w:t>
      </w:r>
    </w:p>
    <w:p w14:paraId="14A98E33">
      <w:pPr>
        <w:pStyle w:val="56"/>
        <w:spacing w:line="360" w:lineRule="auto"/>
        <w:ind w:firstLine="420"/>
      </w:pPr>
      <w:r>
        <w:rPr>
          <w:rFonts w:hint="eastAsia"/>
        </w:rPr>
        <w:t>安全与合规是多模态测评体系建设的底线。为避免数据滥用和算法偏差，该模块需具备以下功能：</w:t>
      </w:r>
    </w:p>
    <w:p w14:paraId="50EFFD18">
      <w:pPr>
        <w:pStyle w:val="132"/>
        <w:spacing w:line="360" w:lineRule="auto"/>
      </w:pPr>
      <w:r>
        <w:rPr>
          <w:rFonts w:hint="eastAsia"/>
        </w:rPr>
        <w:t>建立权限控制机制，确保数据访问安全；</w:t>
      </w:r>
    </w:p>
    <w:p w14:paraId="5DC2B42E">
      <w:pPr>
        <w:pStyle w:val="132"/>
        <w:spacing w:line="360" w:lineRule="auto"/>
      </w:pPr>
      <w:r>
        <w:rPr>
          <w:rFonts w:hint="eastAsia"/>
        </w:rPr>
        <w:t>采用加密存储和传输技术，防止信息泄露；</w:t>
      </w:r>
    </w:p>
    <w:p w14:paraId="285226B2">
      <w:pPr>
        <w:pStyle w:val="132"/>
        <w:spacing w:line="360" w:lineRule="auto"/>
      </w:pPr>
      <w:r>
        <w:rPr>
          <w:rFonts w:hint="eastAsia"/>
        </w:rPr>
        <w:t>建立伦理审查机制，避免因算法偏差引发教育不公平。</w:t>
      </w:r>
    </w:p>
    <w:p w14:paraId="350E9DA5">
      <w:pPr>
        <w:pStyle w:val="104"/>
        <w:spacing w:before="240" w:after="240" w:line="360" w:lineRule="auto"/>
      </w:pPr>
      <w:bookmarkStart w:id="54" w:name="_Toc207697623"/>
      <w:r>
        <w:rPr>
          <w:rFonts w:hint="eastAsia"/>
        </w:rPr>
        <w:t>数据采集处理</w:t>
      </w:r>
      <w:bookmarkEnd w:id="54"/>
    </w:p>
    <w:p w14:paraId="65254760">
      <w:pPr>
        <w:pStyle w:val="105"/>
        <w:spacing w:before="120" w:after="120" w:line="360" w:lineRule="auto"/>
      </w:pPr>
      <w:r>
        <w:rPr>
          <w:rFonts w:hint="eastAsia"/>
        </w:rPr>
        <w:t>数据采集</w:t>
      </w:r>
    </w:p>
    <w:p w14:paraId="6A622998">
      <w:pPr>
        <w:pStyle w:val="56"/>
        <w:spacing w:line="360" w:lineRule="auto"/>
        <w:ind w:firstLine="420"/>
      </w:pPr>
      <w:r>
        <w:rPr>
          <w:rFonts w:hint="eastAsia"/>
        </w:rPr>
        <w:t>数据采集是测评体系的起点，决定了信息的完整性与代表性。为了保证数据的全面性与规范性，应关注以下方面：</w:t>
      </w:r>
    </w:p>
    <w:p w14:paraId="5BB5CBA6">
      <w:pPr>
        <w:pStyle w:val="132"/>
        <w:spacing w:line="360" w:lineRule="auto"/>
      </w:pPr>
      <w:r>
        <w:rPr>
          <w:rFonts w:hint="eastAsia"/>
        </w:rPr>
        <w:t>数据来源应覆盖学习者的文本、语音、图像、视频、传感器信号及学习行为记录；</w:t>
      </w:r>
    </w:p>
    <w:p w14:paraId="40574298">
      <w:pPr>
        <w:pStyle w:val="132"/>
        <w:spacing w:line="360" w:lineRule="auto"/>
      </w:pPr>
      <w:r>
        <w:rPr>
          <w:rFonts w:hint="eastAsia"/>
        </w:rPr>
        <w:t>采集方式应符合合法合规要求，并取得学习者或监护人的知情同意；</w:t>
      </w:r>
    </w:p>
    <w:p w14:paraId="6FB319A7">
      <w:pPr>
        <w:pStyle w:val="132"/>
        <w:spacing w:line="360" w:lineRule="auto"/>
      </w:pPr>
      <w:r>
        <w:rPr>
          <w:rFonts w:hint="eastAsia"/>
        </w:rPr>
        <w:t>采集过程中应保持采样频率与精度合理，避免过度采集或遗漏关键信息。</w:t>
      </w:r>
    </w:p>
    <w:p w14:paraId="2EC2A51C">
      <w:pPr>
        <w:pStyle w:val="105"/>
        <w:spacing w:before="120" w:after="120" w:line="360" w:lineRule="auto"/>
      </w:pPr>
      <w:r>
        <w:rPr>
          <w:rFonts w:hint="eastAsia"/>
        </w:rPr>
        <w:t>数据处理</w:t>
      </w:r>
    </w:p>
    <w:p w14:paraId="7936011A">
      <w:pPr>
        <w:pStyle w:val="56"/>
        <w:spacing w:line="360" w:lineRule="auto"/>
        <w:ind w:firstLine="420"/>
      </w:pPr>
      <w:r>
        <w:rPr>
          <w:rFonts w:hint="eastAsia"/>
        </w:rPr>
        <w:t>原始数据往往存在噪声、冗余和缺失等问题，需要通过科学处理确保数据质量。主要工作包括：</w:t>
      </w:r>
    </w:p>
    <w:p w14:paraId="3954041B">
      <w:pPr>
        <w:pStyle w:val="132"/>
        <w:spacing w:line="360" w:lineRule="auto"/>
      </w:pPr>
      <w:r>
        <w:rPr>
          <w:rFonts w:hint="eastAsia"/>
        </w:rPr>
        <w:t>数据清洗：剔除无效或错误数据，修复缺失值；</w:t>
      </w:r>
    </w:p>
    <w:p w14:paraId="790F5D04">
      <w:pPr>
        <w:pStyle w:val="132"/>
        <w:spacing w:line="360" w:lineRule="auto"/>
      </w:pPr>
      <w:r>
        <w:rPr>
          <w:rFonts w:hint="eastAsia"/>
        </w:rPr>
        <w:t>数据标准化：统一不同来源和格式的数据，使其具备可比性；</w:t>
      </w:r>
    </w:p>
    <w:p w14:paraId="39E4CB9B">
      <w:pPr>
        <w:pStyle w:val="132"/>
        <w:spacing w:line="360" w:lineRule="auto"/>
      </w:pPr>
      <w:r>
        <w:rPr>
          <w:rFonts w:hint="eastAsia"/>
        </w:rPr>
        <w:t>数据融合：对多模态数据进行特征提取与融合，形成统一的输入格式；</w:t>
      </w:r>
    </w:p>
    <w:p w14:paraId="253DCF43">
      <w:pPr>
        <w:pStyle w:val="132"/>
        <w:spacing w:line="360" w:lineRule="auto"/>
      </w:pPr>
      <w:r>
        <w:rPr>
          <w:rFonts w:hint="eastAsia"/>
        </w:rPr>
        <w:t>数据标注：按照统一的标签体系进行标注，确保训练数据的一致性与高质量。</w:t>
      </w:r>
    </w:p>
    <w:p w14:paraId="286073D7">
      <w:pPr>
        <w:pStyle w:val="105"/>
        <w:spacing w:before="120" w:after="120" w:line="360" w:lineRule="auto"/>
      </w:pPr>
      <w:r>
        <w:rPr>
          <w:rFonts w:hint="eastAsia"/>
        </w:rPr>
        <w:t>数据存储与管理</w:t>
      </w:r>
    </w:p>
    <w:p w14:paraId="60E2ABA5">
      <w:pPr>
        <w:pStyle w:val="56"/>
        <w:spacing w:line="360" w:lineRule="auto"/>
        <w:ind w:firstLine="420"/>
      </w:pPr>
      <w:r>
        <w:rPr>
          <w:rFonts w:hint="eastAsia"/>
        </w:rPr>
        <w:t>为保证数据的可追溯性和安全性，实验室或平台应建立完善的数据管理制度：</w:t>
      </w:r>
    </w:p>
    <w:p w14:paraId="0D053B5F">
      <w:pPr>
        <w:pStyle w:val="132"/>
        <w:spacing w:line="360" w:lineRule="auto"/>
      </w:pPr>
      <w:r>
        <w:rPr>
          <w:rFonts w:hint="eastAsia"/>
        </w:rPr>
        <w:t>建立数据仓库或数据库，支持结构化与非结构化数据存储；</w:t>
      </w:r>
    </w:p>
    <w:p w14:paraId="0F9B5084">
      <w:pPr>
        <w:pStyle w:val="132"/>
        <w:spacing w:line="360" w:lineRule="auto"/>
      </w:pPr>
      <w:r>
        <w:rPr>
          <w:rFonts w:hint="eastAsia"/>
        </w:rPr>
        <w:t>建立访问权限管理制度，确保只有授权人员能够使用核心数据；</w:t>
      </w:r>
    </w:p>
    <w:p w14:paraId="6214194E">
      <w:pPr>
        <w:pStyle w:val="132"/>
        <w:spacing w:line="360" w:lineRule="auto"/>
      </w:pPr>
      <w:r>
        <w:rPr>
          <w:rFonts w:hint="eastAsia"/>
        </w:rPr>
        <w:t>定期备份与日志记录，避免因系统故障导致数据丢失；</w:t>
      </w:r>
    </w:p>
    <w:p w14:paraId="19AD30E1">
      <w:pPr>
        <w:pStyle w:val="132"/>
        <w:spacing w:line="360" w:lineRule="auto"/>
      </w:pPr>
      <w:r>
        <w:rPr>
          <w:rFonts w:hint="eastAsia"/>
        </w:rPr>
        <w:t>对长期存储的数据进行加密与脱敏处理，确保隐私安全。</w:t>
      </w:r>
    </w:p>
    <w:p w14:paraId="37DC3503">
      <w:pPr>
        <w:pStyle w:val="105"/>
        <w:spacing w:before="120" w:after="120" w:line="360" w:lineRule="auto"/>
      </w:pPr>
      <w:r>
        <w:rPr>
          <w:rFonts w:hint="eastAsia"/>
        </w:rPr>
        <w:t>数据类型与处理要点</w:t>
      </w:r>
    </w:p>
    <w:p w14:paraId="5EDE5CF7">
      <w:pPr>
        <w:pStyle w:val="56"/>
        <w:spacing w:line="360" w:lineRule="auto"/>
        <w:ind w:firstLine="420"/>
      </w:pPr>
      <w:r>
        <w:rPr>
          <w:rFonts w:hint="eastAsia"/>
        </w:rPr>
        <w:t>在教育动态测评中，不同模态数据具有不同特点，其处理要点各不相同。常见数据类型及处理要点见表1。</w:t>
      </w:r>
    </w:p>
    <w:p w14:paraId="439E637F">
      <w:pPr>
        <w:pStyle w:val="112"/>
        <w:spacing w:before="120" w:after="120"/>
      </w:pPr>
      <w:r>
        <w:rPr>
          <w:rFonts w:hint="eastAsia"/>
        </w:rPr>
        <w:t>多模态数据类型与处理要点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260"/>
        <w:gridCol w:w="4241"/>
      </w:tblGrid>
      <w:tr w14:paraId="0F90D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2C55FCFE">
            <w:pPr>
              <w:pStyle w:val="178"/>
            </w:pPr>
            <w:r>
              <w:rPr>
                <w:rFonts w:hint="eastAsia"/>
              </w:rPr>
              <w:t>数据类型</w:t>
            </w:r>
          </w:p>
        </w:tc>
        <w:tc>
          <w:tcPr>
            <w:tcW w:w="3260" w:type="dxa"/>
            <w:tcBorders>
              <w:top w:val="single" w:color="auto" w:sz="8" w:space="0"/>
              <w:bottom w:val="single" w:color="auto" w:sz="8" w:space="0"/>
            </w:tcBorders>
          </w:tcPr>
          <w:p w14:paraId="79D77908">
            <w:pPr>
              <w:pStyle w:val="178"/>
            </w:pPr>
            <w:r>
              <w:rPr>
                <w:rFonts w:hint="eastAsia"/>
              </w:rPr>
              <w:t>数据来源</w:t>
            </w:r>
          </w:p>
        </w:tc>
        <w:tc>
          <w:tcPr>
            <w:tcW w:w="4241" w:type="dxa"/>
            <w:tcBorders>
              <w:top w:val="single" w:color="auto" w:sz="8" w:space="0"/>
              <w:bottom w:val="single" w:color="auto" w:sz="8" w:space="0"/>
            </w:tcBorders>
          </w:tcPr>
          <w:p w14:paraId="5A4B2329">
            <w:pPr>
              <w:pStyle w:val="178"/>
            </w:pPr>
            <w:r>
              <w:rPr>
                <w:rFonts w:hint="eastAsia"/>
              </w:rPr>
              <w:t>处理要点</w:t>
            </w:r>
          </w:p>
        </w:tc>
      </w:tr>
      <w:tr w14:paraId="61B03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423349F2">
            <w:pPr>
              <w:pStyle w:val="178"/>
            </w:pPr>
            <w:r>
              <w:rPr>
                <w:rFonts w:hint="eastAsia"/>
              </w:rPr>
              <w:t>文本数据</w:t>
            </w:r>
          </w:p>
        </w:tc>
        <w:tc>
          <w:tcPr>
            <w:tcW w:w="3260" w:type="dxa"/>
            <w:tcBorders>
              <w:top w:val="single" w:color="auto" w:sz="8" w:space="0"/>
            </w:tcBorders>
          </w:tcPr>
          <w:p w14:paraId="44A8A0A8">
            <w:pPr>
              <w:pStyle w:val="178"/>
            </w:pPr>
            <w:r>
              <w:rPr>
                <w:rFonts w:hint="eastAsia"/>
              </w:rPr>
              <w:t>作业答案、课堂对话、学习日志</w:t>
            </w:r>
          </w:p>
        </w:tc>
        <w:tc>
          <w:tcPr>
            <w:tcW w:w="4241" w:type="dxa"/>
            <w:tcBorders>
              <w:top w:val="single" w:color="auto" w:sz="8" w:space="0"/>
            </w:tcBorders>
          </w:tcPr>
          <w:p w14:paraId="14281B69">
            <w:pPr>
              <w:pStyle w:val="178"/>
            </w:pPr>
            <w:r>
              <w:rPr>
                <w:rFonts w:hint="eastAsia"/>
              </w:rPr>
              <w:t>分词、去噪、情感分析，提取知识点关联</w:t>
            </w:r>
          </w:p>
        </w:tc>
      </w:tr>
      <w:tr w14:paraId="4887B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41596BB1">
            <w:pPr>
              <w:pStyle w:val="178"/>
            </w:pPr>
            <w:r>
              <w:rPr>
                <w:rFonts w:hint="eastAsia"/>
              </w:rPr>
              <w:t>语音数据</w:t>
            </w:r>
          </w:p>
        </w:tc>
        <w:tc>
          <w:tcPr>
            <w:tcW w:w="3260" w:type="dxa"/>
          </w:tcPr>
          <w:p w14:paraId="1E8546EF">
            <w:pPr>
              <w:pStyle w:val="178"/>
            </w:pPr>
            <w:r>
              <w:rPr>
                <w:rFonts w:hint="eastAsia"/>
              </w:rPr>
              <w:t>课堂发言、口语练习、讨论录音</w:t>
            </w:r>
          </w:p>
        </w:tc>
        <w:tc>
          <w:tcPr>
            <w:tcW w:w="4241" w:type="dxa"/>
          </w:tcPr>
          <w:p w14:paraId="79FF0C4C">
            <w:pPr>
              <w:pStyle w:val="178"/>
            </w:pPr>
            <w:r>
              <w:rPr>
                <w:rFonts w:hint="eastAsia"/>
              </w:rPr>
              <w:t>降噪、语音识别、韵律特征提取</w:t>
            </w:r>
          </w:p>
        </w:tc>
      </w:tr>
      <w:tr w14:paraId="6B91D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9C82C78">
            <w:pPr>
              <w:pStyle w:val="178"/>
            </w:pPr>
            <w:r>
              <w:rPr>
                <w:rFonts w:hint="eastAsia"/>
              </w:rPr>
              <w:t>图像数据</w:t>
            </w:r>
          </w:p>
        </w:tc>
        <w:tc>
          <w:tcPr>
            <w:tcW w:w="3260" w:type="dxa"/>
          </w:tcPr>
          <w:p w14:paraId="2F5EB556">
            <w:pPr>
              <w:pStyle w:val="178"/>
            </w:pPr>
            <w:r>
              <w:rPr>
                <w:rFonts w:hint="eastAsia"/>
              </w:rPr>
              <w:t>手写作业、板书、实验操作</w:t>
            </w:r>
          </w:p>
        </w:tc>
        <w:tc>
          <w:tcPr>
            <w:tcW w:w="4241" w:type="dxa"/>
          </w:tcPr>
          <w:p w14:paraId="5F5F717E">
            <w:pPr>
              <w:pStyle w:val="178"/>
            </w:pPr>
            <w:r>
              <w:rPr>
                <w:rFonts w:hint="eastAsia"/>
              </w:rPr>
              <w:t>图像增强、特征提取、目标识别</w:t>
            </w:r>
          </w:p>
        </w:tc>
      </w:tr>
      <w:tr w14:paraId="3BCB9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54598EBB">
            <w:pPr>
              <w:pStyle w:val="178"/>
            </w:pPr>
            <w:r>
              <w:rPr>
                <w:rFonts w:hint="eastAsia"/>
              </w:rPr>
              <w:t>视频数据</w:t>
            </w:r>
          </w:p>
        </w:tc>
        <w:tc>
          <w:tcPr>
            <w:tcW w:w="3260" w:type="dxa"/>
          </w:tcPr>
          <w:p w14:paraId="0AC57806">
            <w:pPr>
              <w:pStyle w:val="178"/>
            </w:pPr>
            <w:r>
              <w:rPr>
                <w:rFonts w:hint="eastAsia"/>
              </w:rPr>
              <w:t>上课录像、实验演示、学习行为</w:t>
            </w:r>
          </w:p>
        </w:tc>
        <w:tc>
          <w:tcPr>
            <w:tcW w:w="4241" w:type="dxa"/>
          </w:tcPr>
          <w:p w14:paraId="549A3AB9">
            <w:pPr>
              <w:pStyle w:val="178"/>
            </w:pPr>
            <w:r>
              <w:rPr>
                <w:rFonts w:hint="eastAsia"/>
              </w:rPr>
              <w:t>动作识别、姿态分析、行为模式建模</w:t>
            </w:r>
          </w:p>
        </w:tc>
      </w:tr>
      <w:tr w14:paraId="0D18E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D2E9E8E">
            <w:pPr>
              <w:pStyle w:val="178"/>
            </w:pPr>
            <w:r>
              <w:rPr>
                <w:rFonts w:hint="eastAsia"/>
              </w:rPr>
              <w:t>行为数据</w:t>
            </w:r>
          </w:p>
        </w:tc>
        <w:tc>
          <w:tcPr>
            <w:tcW w:w="3260" w:type="dxa"/>
          </w:tcPr>
          <w:p w14:paraId="50855C6A">
            <w:pPr>
              <w:pStyle w:val="178"/>
            </w:pPr>
            <w:r>
              <w:rPr>
                <w:rFonts w:hint="eastAsia"/>
              </w:rPr>
              <w:t>登录记录、点击操作、学习路径</w:t>
            </w:r>
          </w:p>
        </w:tc>
        <w:tc>
          <w:tcPr>
            <w:tcW w:w="4241" w:type="dxa"/>
          </w:tcPr>
          <w:p w14:paraId="27373C81">
            <w:pPr>
              <w:pStyle w:val="178"/>
            </w:pPr>
            <w:r>
              <w:rPr>
                <w:rFonts w:hint="eastAsia"/>
              </w:rPr>
              <w:t>时间序列建模、行为模式分析、特征聚合</w:t>
            </w:r>
          </w:p>
        </w:tc>
      </w:tr>
      <w:tr w14:paraId="45FFF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0513458">
            <w:pPr>
              <w:pStyle w:val="178"/>
            </w:pPr>
            <w:r>
              <w:rPr>
                <w:rFonts w:hint="eastAsia"/>
              </w:rPr>
              <w:t>传感数据</w:t>
            </w:r>
          </w:p>
        </w:tc>
        <w:tc>
          <w:tcPr>
            <w:tcW w:w="3260" w:type="dxa"/>
          </w:tcPr>
          <w:p w14:paraId="1651D3E3">
            <w:pPr>
              <w:pStyle w:val="178"/>
            </w:pPr>
            <w:r>
              <w:rPr>
                <w:rFonts w:hint="eastAsia"/>
              </w:rPr>
              <w:t>心率、眼动、脑电等可穿戴设备</w:t>
            </w:r>
          </w:p>
        </w:tc>
        <w:tc>
          <w:tcPr>
            <w:tcW w:w="4241" w:type="dxa"/>
          </w:tcPr>
          <w:p w14:paraId="5C3A5C9E">
            <w:pPr>
              <w:pStyle w:val="178"/>
            </w:pPr>
            <w:r>
              <w:rPr>
                <w:rFonts w:hint="eastAsia"/>
              </w:rPr>
              <w:t>信号滤波、特征提取、与学习状态的相关建模</w:t>
            </w:r>
          </w:p>
        </w:tc>
      </w:tr>
    </w:tbl>
    <w:p w14:paraId="6CCC18C3">
      <w:pPr>
        <w:pStyle w:val="56"/>
        <w:spacing w:before="120" w:beforeLines="50" w:line="360" w:lineRule="auto"/>
        <w:ind w:firstLine="420"/>
      </w:pPr>
      <w:r>
        <w:rPr>
          <w:rFonts w:hint="eastAsia"/>
        </w:rPr>
        <w:t>该表对不同数据类型的处理要点进行了总结，为教育测评系统在数据层面的实现提供了参考。</w:t>
      </w:r>
    </w:p>
    <w:p w14:paraId="6E5380AC">
      <w:pPr>
        <w:pStyle w:val="104"/>
        <w:spacing w:before="240" w:after="240" w:line="360" w:lineRule="auto"/>
      </w:pPr>
      <w:bookmarkStart w:id="55" w:name="_Toc207697624"/>
      <w:r>
        <w:rPr>
          <w:rFonts w:hint="eastAsia"/>
        </w:rPr>
        <w:t>动态测评方法</w:t>
      </w:r>
      <w:bookmarkEnd w:id="55"/>
    </w:p>
    <w:p w14:paraId="580ED486">
      <w:pPr>
        <w:pStyle w:val="105"/>
        <w:spacing w:before="120" w:after="120" w:line="360" w:lineRule="auto"/>
      </w:pPr>
      <w:r>
        <w:rPr>
          <w:rFonts w:hint="eastAsia"/>
        </w:rPr>
        <w:t>过程性测评</w:t>
      </w:r>
    </w:p>
    <w:p w14:paraId="1F2B809B">
      <w:pPr>
        <w:pStyle w:val="56"/>
        <w:spacing w:line="360" w:lineRule="auto"/>
        <w:ind w:firstLine="420"/>
      </w:pPr>
      <w:r>
        <w:rPr>
          <w:rFonts w:hint="eastAsia"/>
        </w:rPr>
        <w:t>过程性测评关注学习全过程中的表现，能够全面记录学习者的进步轨迹。</w:t>
      </w:r>
    </w:p>
    <w:p w14:paraId="56EEC832">
      <w:pPr>
        <w:pStyle w:val="56"/>
        <w:spacing w:line="360" w:lineRule="auto"/>
        <w:ind w:firstLine="420"/>
      </w:pPr>
      <w:r>
        <w:rPr>
          <w:rFonts w:hint="eastAsia"/>
        </w:rPr>
        <w:t>通过采集作业、课堂互动和学习日志等数据，持续追踪学习者表现。强调学习过程中的努力程度和改进方向，而不仅是最终成绩。</w:t>
      </w:r>
    </w:p>
    <w:p w14:paraId="388A44B6">
      <w:pPr>
        <w:pStyle w:val="56"/>
        <w:spacing w:line="360" w:lineRule="auto"/>
        <w:ind w:firstLine="420"/>
      </w:pPr>
      <w:r>
        <w:rPr>
          <w:rFonts w:hint="eastAsia"/>
        </w:rPr>
        <w:t>可用于发现学习中的薄弱环节，为个性化教学提供支持。</w:t>
      </w:r>
    </w:p>
    <w:p w14:paraId="1F594FC0">
      <w:pPr>
        <w:pStyle w:val="105"/>
        <w:spacing w:before="120" w:after="120" w:line="360" w:lineRule="auto"/>
      </w:pPr>
      <w:r>
        <w:rPr>
          <w:rFonts w:hint="eastAsia"/>
        </w:rPr>
        <w:t>形成性测评</w:t>
      </w:r>
    </w:p>
    <w:p w14:paraId="222C151A">
      <w:pPr>
        <w:pStyle w:val="56"/>
        <w:spacing w:line="360" w:lineRule="auto"/>
        <w:ind w:firstLine="420"/>
      </w:pPr>
      <w:r>
        <w:rPr>
          <w:rFonts w:hint="eastAsia"/>
        </w:rPr>
        <w:t>形成性测评强调在学习过程中给予即时反馈，帮助学习者及时调整学习策略。</w:t>
      </w:r>
    </w:p>
    <w:p w14:paraId="52BCA6A6">
      <w:pPr>
        <w:pStyle w:val="56"/>
        <w:spacing w:line="360" w:lineRule="auto"/>
        <w:ind w:firstLine="420"/>
      </w:pPr>
      <w:r>
        <w:rPr>
          <w:rFonts w:hint="eastAsia"/>
        </w:rPr>
        <w:t>利用人工智能分析学习者答题和互动情况，提供实时诊断。生成个性化反馈报告，帮助学习者理解错误原因。</w:t>
      </w:r>
    </w:p>
    <w:p w14:paraId="28909F4C">
      <w:pPr>
        <w:pStyle w:val="56"/>
        <w:spacing w:line="360" w:lineRule="auto"/>
        <w:ind w:firstLine="420"/>
      </w:pPr>
      <w:r>
        <w:rPr>
          <w:rFonts w:hint="eastAsia"/>
        </w:rPr>
        <w:t>教师可根据反馈结果及时调整教学方法，实现教学与测评一体化。</w:t>
      </w:r>
    </w:p>
    <w:p w14:paraId="470D6572">
      <w:pPr>
        <w:pStyle w:val="105"/>
        <w:spacing w:before="120" w:after="120" w:line="360" w:lineRule="auto"/>
      </w:pPr>
      <w:r>
        <w:rPr>
          <w:rFonts w:hint="eastAsia"/>
        </w:rPr>
        <w:t>预测性测评</w:t>
      </w:r>
    </w:p>
    <w:p w14:paraId="71686E0C">
      <w:pPr>
        <w:pStyle w:val="56"/>
        <w:spacing w:line="360" w:lineRule="auto"/>
        <w:ind w:firstLine="420"/>
      </w:pPr>
      <w:r>
        <w:rPr>
          <w:rFonts w:hint="eastAsia"/>
        </w:rPr>
        <w:t>预测性测评注重通过已有数据预测学习者未来表现，具有前瞻性。</w:t>
      </w:r>
    </w:p>
    <w:p w14:paraId="499B06B2">
      <w:pPr>
        <w:pStyle w:val="56"/>
        <w:spacing w:line="360" w:lineRule="auto"/>
        <w:ind w:firstLine="420"/>
      </w:pPr>
      <w:r>
        <w:rPr>
          <w:rFonts w:hint="eastAsia"/>
        </w:rPr>
        <w:t>通过建模学习行为模式，预测学习者可能出现的困难或风险。结合历史数据，推测学习者在未来任务中的表现趋势。</w:t>
      </w:r>
    </w:p>
    <w:p w14:paraId="5B5CA9B6">
      <w:pPr>
        <w:pStyle w:val="56"/>
        <w:spacing w:line="360" w:lineRule="auto"/>
        <w:ind w:firstLine="420"/>
      </w:pPr>
      <w:r>
        <w:rPr>
          <w:rFonts w:hint="eastAsia"/>
        </w:rPr>
        <w:t>为教师提供预警，帮助其提前制定干预措施。</w:t>
      </w:r>
    </w:p>
    <w:p w14:paraId="2C84F2E8">
      <w:pPr>
        <w:pStyle w:val="105"/>
        <w:spacing w:before="120" w:after="120" w:line="360" w:lineRule="auto"/>
      </w:pPr>
      <w:r>
        <w:rPr>
          <w:rFonts w:hint="eastAsia"/>
        </w:rPr>
        <w:t>综合性测评</w:t>
      </w:r>
    </w:p>
    <w:p w14:paraId="31CA6DE1">
      <w:pPr>
        <w:pStyle w:val="56"/>
        <w:spacing w:line="360" w:lineRule="auto"/>
        <w:ind w:firstLine="420"/>
      </w:pPr>
      <w:r>
        <w:rPr>
          <w:rFonts w:hint="eastAsia"/>
        </w:rPr>
        <w:t>综合性测评是多模态测评方法的整合应用，强调全面性和多维度评价。</w:t>
      </w:r>
    </w:p>
    <w:p w14:paraId="05370B35">
      <w:pPr>
        <w:pStyle w:val="56"/>
        <w:spacing w:line="360" w:lineRule="auto"/>
        <w:ind w:firstLine="420"/>
      </w:pPr>
      <w:r>
        <w:rPr>
          <w:rFonts w:hint="eastAsia"/>
        </w:rPr>
        <w:t>将文本、语音、视频、行为等多模态数据结合分析，形成学习者的完整画。兼顾认知、情感和行为三个维度，避免单一数据带来的片面性。</w:t>
      </w:r>
    </w:p>
    <w:p w14:paraId="2BB5B5DD">
      <w:pPr>
        <w:pStyle w:val="56"/>
        <w:spacing w:line="360" w:lineRule="auto"/>
        <w:ind w:firstLine="420"/>
      </w:pPr>
      <w:r>
        <w:rPr>
          <w:rFonts w:hint="eastAsia"/>
        </w:rPr>
        <w:t>可为教育管理者提供群体性、系统性的教育质量分析结果。</w:t>
      </w:r>
    </w:p>
    <w:p w14:paraId="4F68433D">
      <w:pPr>
        <w:pStyle w:val="56"/>
        <w:spacing w:line="360" w:lineRule="auto"/>
        <w:ind w:firstLine="420"/>
      </w:pPr>
      <w:r>
        <w:rPr>
          <w:rFonts w:hint="eastAsia"/>
        </w:rPr>
        <w:t>为便于对比和选择，常见动态测评方法及其适用场景总结见表2。</w:t>
      </w:r>
    </w:p>
    <w:p w14:paraId="071CF9CF">
      <w:pPr>
        <w:pStyle w:val="112"/>
        <w:spacing w:before="120" w:after="120" w:line="360" w:lineRule="auto"/>
      </w:pPr>
      <w:r>
        <w:rPr>
          <w:rFonts w:hint="eastAsia"/>
        </w:rPr>
        <w:t>动态测评方法与适用场景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23F65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tcPr>
          <w:p w14:paraId="299A0402">
            <w:pPr>
              <w:pStyle w:val="178"/>
            </w:pPr>
            <w:r>
              <w:rPr>
                <w:rFonts w:hint="eastAsia"/>
              </w:rPr>
              <w:t>方法类型</w:t>
            </w:r>
          </w:p>
        </w:tc>
        <w:tc>
          <w:tcPr>
            <w:tcW w:w="3822" w:type="dxa"/>
            <w:tcBorders>
              <w:top w:val="single" w:color="auto" w:sz="8" w:space="0"/>
              <w:bottom w:val="single" w:color="auto" w:sz="8" w:space="0"/>
            </w:tcBorders>
          </w:tcPr>
          <w:p w14:paraId="14988F67">
            <w:pPr>
              <w:pStyle w:val="178"/>
            </w:pPr>
            <w:r>
              <w:rPr>
                <w:rFonts w:hint="eastAsia"/>
              </w:rPr>
              <w:t>主要特点</w:t>
            </w:r>
          </w:p>
        </w:tc>
        <w:tc>
          <w:tcPr>
            <w:tcW w:w="3112" w:type="dxa"/>
            <w:tcBorders>
              <w:top w:val="single" w:color="auto" w:sz="8" w:space="0"/>
              <w:bottom w:val="single" w:color="auto" w:sz="8" w:space="0"/>
            </w:tcBorders>
          </w:tcPr>
          <w:p w14:paraId="3BC2319E">
            <w:pPr>
              <w:pStyle w:val="178"/>
            </w:pPr>
            <w:r>
              <w:rPr>
                <w:rFonts w:hint="eastAsia"/>
              </w:rPr>
              <w:t>适用场景</w:t>
            </w:r>
          </w:p>
        </w:tc>
      </w:tr>
      <w:tr w14:paraId="62911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tcPr>
          <w:p w14:paraId="3C01DA38">
            <w:pPr>
              <w:pStyle w:val="178"/>
            </w:pPr>
            <w:r>
              <w:rPr>
                <w:rFonts w:hint="eastAsia"/>
              </w:rPr>
              <w:t>过程性测评</w:t>
            </w:r>
          </w:p>
        </w:tc>
        <w:tc>
          <w:tcPr>
            <w:tcW w:w="3822" w:type="dxa"/>
            <w:tcBorders>
              <w:top w:val="single" w:color="auto" w:sz="8" w:space="0"/>
            </w:tcBorders>
          </w:tcPr>
          <w:p w14:paraId="2E1D7C19">
            <w:pPr>
              <w:pStyle w:val="178"/>
            </w:pPr>
            <w:r>
              <w:rPr>
                <w:rFonts w:hint="eastAsia"/>
              </w:rPr>
              <w:t>强调学习全过程数据的收集与跟踪</w:t>
            </w:r>
          </w:p>
        </w:tc>
        <w:tc>
          <w:tcPr>
            <w:tcW w:w="3112" w:type="dxa"/>
            <w:tcBorders>
              <w:top w:val="single" w:color="auto" w:sz="8" w:space="0"/>
            </w:tcBorders>
          </w:tcPr>
          <w:p w14:paraId="3C2E982F">
            <w:pPr>
              <w:pStyle w:val="178"/>
            </w:pPr>
            <w:r>
              <w:rPr>
                <w:rFonts w:hint="eastAsia"/>
              </w:rPr>
              <w:t>学习轨迹分析、能力发展评估</w:t>
            </w:r>
          </w:p>
        </w:tc>
      </w:tr>
      <w:tr w14:paraId="462D4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7387F4C1">
            <w:pPr>
              <w:pStyle w:val="178"/>
            </w:pPr>
            <w:r>
              <w:rPr>
                <w:rFonts w:hint="eastAsia"/>
              </w:rPr>
              <w:t>形成性测评</w:t>
            </w:r>
          </w:p>
        </w:tc>
        <w:tc>
          <w:tcPr>
            <w:tcW w:w="3822" w:type="dxa"/>
          </w:tcPr>
          <w:p w14:paraId="41C591BD">
            <w:pPr>
              <w:pStyle w:val="178"/>
            </w:pPr>
            <w:r>
              <w:rPr>
                <w:rFonts w:hint="eastAsia"/>
              </w:rPr>
              <w:t>实时反馈，强调即时诊断与改进</w:t>
            </w:r>
          </w:p>
        </w:tc>
        <w:tc>
          <w:tcPr>
            <w:tcW w:w="3112" w:type="dxa"/>
          </w:tcPr>
          <w:p w14:paraId="5374E2CA">
            <w:pPr>
              <w:pStyle w:val="178"/>
            </w:pPr>
            <w:r>
              <w:rPr>
                <w:rFonts w:hint="eastAsia"/>
              </w:rPr>
              <w:t>课堂互动、作业批改、个性化教学</w:t>
            </w:r>
          </w:p>
        </w:tc>
      </w:tr>
      <w:tr w14:paraId="56CBB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51C21CD1">
            <w:pPr>
              <w:pStyle w:val="178"/>
            </w:pPr>
            <w:r>
              <w:rPr>
                <w:rFonts w:hint="eastAsia"/>
              </w:rPr>
              <w:t>预测性测评</w:t>
            </w:r>
          </w:p>
        </w:tc>
        <w:tc>
          <w:tcPr>
            <w:tcW w:w="3822" w:type="dxa"/>
          </w:tcPr>
          <w:p w14:paraId="1ED8543F">
            <w:pPr>
              <w:pStyle w:val="178"/>
            </w:pPr>
            <w:r>
              <w:rPr>
                <w:rFonts w:hint="eastAsia"/>
              </w:rPr>
              <w:t>基于数据建模，预测未来表现趋势</w:t>
            </w:r>
          </w:p>
        </w:tc>
        <w:tc>
          <w:tcPr>
            <w:tcW w:w="3112" w:type="dxa"/>
          </w:tcPr>
          <w:p w14:paraId="6C24B1F3">
            <w:pPr>
              <w:pStyle w:val="178"/>
            </w:pPr>
            <w:r>
              <w:rPr>
                <w:rFonts w:hint="eastAsia"/>
              </w:rPr>
              <w:t>学习预警、干预措施设计</w:t>
            </w:r>
          </w:p>
        </w:tc>
      </w:tr>
      <w:tr w14:paraId="2CE03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6081590C">
            <w:pPr>
              <w:pStyle w:val="178"/>
            </w:pPr>
            <w:r>
              <w:rPr>
                <w:rFonts w:hint="eastAsia"/>
              </w:rPr>
              <w:t>综合性测评</w:t>
            </w:r>
          </w:p>
        </w:tc>
        <w:tc>
          <w:tcPr>
            <w:tcW w:w="3822" w:type="dxa"/>
          </w:tcPr>
          <w:p w14:paraId="5D42071C">
            <w:pPr>
              <w:pStyle w:val="178"/>
            </w:pPr>
            <w:r>
              <w:rPr>
                <w:rFonts w:hint="eastAsia"/>
              </w:rPr>
              <w:t>融合多模态数据，多维度全面分析</w:t>
            </w:r>
          </w:p>
        </w:tc>
        <w:tc>
          <w:tcPr>
            <w:tcW w:w="3112" w:type="dxa"/>
          </w:tcPr>
          <w:p w14:paraId="4917B0A3">
            <w:pPr>
              <w:pStyle w:val="178"/>
            </w:pPr>
            <w:r>
              <w:rPr>
                <w:rFonts w:hint="eastAsia"/>
              </w:rPr>
              <w:t>学习者画像、教育质量整体评估</w:t>
            </w:r>
          </w:p>
        </w:tc>
      </w:tr>
    </w:tbl>
    <w:p w14:paraId="74666D94">
      <w:pPr>
        <w:pStyle w:val="56"/>
        <w:spacing w:before="120" w:beforeLines="50" w:line="360" w:lineRule="auto"/>
        <w:ind w:firstLine="420"/>
      </w:pPr>
      <w:r>
        <w:rPr>
          <w:rFonts w:hint="eastAsia"/>
        </w:rPr>
        <w:t>表2显示了不同方法的特点与应用方向，教育机构可根据具体需求选择合适的动态测评方式，或将多种方法结合使用，以提升测评的科学性与实用性。</w:t>
      </w:r>
    </w:p>
    <w:p w14:paraId="5A61B067">
      <w:pPr>
        <w:pStyle w:val="104"/>
        <w:spacing w:before="240" w:after="240" w:line="360" w:lineRule="auto"/>
      </w:pPr>
      <w:bookmarkStart w:id="56" w:name="_Toc207697625"/>
      <w:r>
        <w:rPr>
          <w:rFonts w:hint="eastAsia"/>
        </w:rPr>
        <w:t>教育应用场景</w:t>
      </w:r>
      <w:bookmarkEnd w:id="56"/>
    </w:p>
    <w:p w14:paraId="7C42A9F3">
      <w:pPr>
        <w:pStyle w:val="105"/>
        <w:spacing w:before="120" w:after="120" w:line="360" w:lineRule="auto"/>
      </w:pPr>
      <w:r>
        <w:rPr>
          <w:rFonts w:hint="eastAsia"/>
        </w:rPr>
        <w:t>课堂教学</w:t>
      </w:r>
    </w:p>
    <w:p w14:paraId="305D6E42">
      <w:pPr>
        <w:pStyle w:val="56"/>
        <w:spacing w:line="360" w:lineRule="auto"/>
        <w:ind w:firstLine="420"/>
      </w:pPr>
      <w:r>
        <w:rPr>
          <w:rFonts w:hint="eastAsia"/>
        </w:rPr>
        <w:t>课堂教学是动态测评体系应用的核心场景之一。通过对课堂多模态数据的实时分析，教师可以更直观地掌握学生的学习状态。主要应用表现为：</w:t>
      </w:r>
    </w:p>
    <w:p w14:paraId="57535301">
      <w:pPr>
        <w:pStyle w:val="132"/>
        <w:spacing w:line="360" w:lineRule="auto"/>
      </w:pPr>
      <w:r>
        <w:rPr>
          <w:rFonts w:hint="eastAsia"/>
        </w:rPr>
        <w:t>系统可实时记录课堂发言、互动频率和作业表现；</w:t>
      </w:r>
    </w:p>
    <w:p w14:paraId="5E55A980">
      <w:pPr>
        <w:pStyle w:val="132"/>
        <w:spacing w:line="360" w:lineRule="auto"/>
      </w:pPr>
      <w:r>
        <w:rPr>
          <w:rFonts w:hint="eastAsia"/>
        </w:rPr>
        <w:t>教师可根据即时反馈调整教学内容和节奏；</w:t>
      </w:r>
    </w:p>
    <w:p w14:paraId="2065EC94">
      <w:pPr>
        <w:pStyle w:val="132"/>
        <w:spacing w:line="360" w:lineRule="auto"/>
      </w:pPr>
      <w:r>
        <w:rPr>
          <w:rFonts w:hint="eastAsia"/>
        </w:rPr>
        <w:t>数据分析结果能够揭示知识掌握中的薄弱环节，便于针对性辅导。</w:t>
      </w:r>
    </w:p>
    <w:p w14:paraId="6778848C">
      <w:pPr>
        <w:pStyle w:val="105"/>
        <w:spacing w:before="120" w:after="120" w:line="360" w:lineRule="auto"/>
      </w:pPr>
      <w:r>
        <w:rPr>
          <w:rFonts w:hint="eastAsia"/>
        </w:rPr>
        <w:t>个性化学习</w:t>
      </w:r>
    </w:p>
    <w:p w14:paraId="31955A4A">
      <w:pPr>
        <w:pStyle w:val="56"/>
        <w:spacing w:line="360" w:lineRule="auto"/>
        <w:ind w:firstLine="420"/>
      </w:pPr>
      <w:r>
        <w:rPr>
          <w:rFonts w:hint="eastAsia"/>
        </w:rPr>
        <w:t>在个性化学习中，动态测评体系通过学习者画像和行为分析，实现差异化支持。其价值体现在以下几个方面：</w:t>
      </w:r>
    </w:p>
    <w:p w14:paraId="57FCA735">
      <w:pPr>
        <w:pStyle w:val="132"/>
        <w:spacing w:line="360" w:lineRule="auto"/>
      </w:pPr>
      <w:r>
        <w:rPr>
          <w:rFonts w:hint="eastAsia"/>
        </w:rPr>
        <w:t>系统可依据学习风格和学习轨迹，推荐个性化学习资源；</w:t>
      </w:r>
    </w:p>
    <w:p w14:paraId="3CF74D90">
      <w:pPr>
        <w:pStyle w:val="132"/>
        <w:spacing w:line="360" w:lineRule="auto"/>
      </w:pPr>
      <w:r>
        <w:rPr>
          <w:rFonts w:hint="eastAsia"/>
        </w:rPr>
        <w:t>学习者可获得差异化反馈，及时调整学习方法；</w:t>
      </w:r>
    </w:p>
    <w:p w14:paraId="7990C1F4">
      <w:pPr>
        <w:pStyle w:val="132"/>
        <w:spacing w:line="360" w:lineRule="auto"/>
      </w:pPr>
      <w:r>
        <w:rPr>
          <w:rFonts w:hint="eastAsia"/>
        </w:rPr>
        <w:t>教师和家长可通过数据监控学习进展，支持因材施教。</w:t>
      </w:r>
    </w:p>
    <w:p w14:paraId="2973750B">
      <w:pPr>
        <w:pStyle w:val="105"/>
        <w:spacing w:before="120" w:after="120" w:line="360" w:lineRule="auto"/>
      </w:pPr>
      <w:r>
        <w:rPr>
          <w:rFonts w:hint="eastAsia"/>
        </w:rPr>
        <w:t>教育管理</w:t>
      </w:r>
    </w:p>
    <w:p w14:paraId="26F1AA58">
      <w:pPr>
        <w:pStyle w:val="56"/>
        <w:spacing w:line="360" w:lineRule="auto"/>
        <w:ind w:firstLine="420"/>
      </w:pPr>
      <w:r>
        <w:rPr>
          <w:rFonts w:hint="eastAsia"/>
        </w:rPr>
        <w:t>教育管理层面需要宏观视角，动态测评体系可以通过大规模数据分析为政策制定和资源配置提供依据。具体功能包括：</w:t>
      </w:r>
    </w:p>
    <w:p w14:paraId="215222C0">
      <w:pPr>
        <w:pStyle w:val="132"/>
        <w:spacing w:line="360" w:lineRule="auto"/>
      </w:pPr>
      <w:r>
        <w:rPr>
          <w:rFonts w:hint="eastAsia"/>
        </w:rPr>
        <w:t>提供整体教育质量报告，支持教育政策的科学制定；</w:t>
      </w:r>
    </w:p>
    <w:p w14:paraId="4D373848">
      <w:pPr>
        <w:pStyle w:val="132"/>
        <w:spacing w:line="360" w:lineRule="auto"/>
      </w:pPr>
      <w:r>
        <w:rPr>
          <w:rFonts w:hint="eastAsia"/>
        </w:rPr>
        <w:t>揭示不同学校或班级之间的差距，为教育资源均衡配置提供参考；</w:t>
      </w:r>
    </w:p>
    <w:p w14:paraId="2479F71C">
      <w:pPr>
        <w:pStyle w:val="132"/>
        <w:spacing w:line="360" w:lineRule="auto"/>
      </w:pPr>
      <w:r>
        <w:rPr>
          <w:rFonts w:hint="eastAsia"/>
        </w:rPr>
        <w:t>跟踪教育改革举措的实施成效，形成数据驱动的管理机制。</w:t>
      </w:r>
    </w:p>
    <w:p w14:paraId="6BC66211">
      <w:pPr>
        <w:pStyle w:val="105"/>
        <w:spacing w:before="120" w:after="120" w:line="360" w:lineRule="auto"/>
      </w:pPr>
      <w:r>
        <w:rPr>
          <w:rFonts w:hint="eastAsia"/>
        </w:rPr>
        <w:t>教育科研</w:t>
      </w:r>
    </w:p>
    <w:p w14:paraId="705E77BA">
      <w:pPr>
        <w:pStyle w:val="56"/>
        <w:spacing w:before="120" w:beforeLines="50" w:line="360" w:lineRule="auto"/>
        <w:ind w:firstLine="420"/>
      </w:pPr>
      <w:r>
        <w:rPr>
          <w:rFonts w:hint="eastAsia"/>
        </w:rPr>
        <w:t>在科研探索中，体系为研究者提供了丰富的多模态数据资源，可推动教育学与人工智能的融合创新。其主要应用包括：</w:t>
      </w:r>
    </w:p>
    <w:p w14:paraId="47C87645">
      <w:pPr>
        <w:pStyle w:val="132"/>
        <w:spacing w:line="360" w:lineRule="auto"/>
      </w:pPr>
      <w:r>
        <w:rPr>
          <w:rFonts w:hint="eastAsia"/>
        </w:rPr>
        <w:t>基于大数据分析，发现学习过程中的潜在规律和模式；</w:t>
      </w:r>
    </w:p>
    <w:p w14:paraId="49DFA4B6">
      <w:pPr>
        <w:pStyle w:val="132"/>
        <w:spacing w:line="360" w:lineRule="auto"/>
      </w:pPr>
      <w:r>
        <w:rPr>
          <w:rFonts w:hint="eastAsia"/>
        </w:rPr>
        <w:t>支持新型测评工具、教学方法和教育干预策略的研发与验证；</w:t>
      </w:r>
    </w:p>
    <w:p w14:paraId="65E8113A">
      <w:pPr>
        <w:pStyle w:val="132"/>
        <w:spacing w:line="360" w:lineRule="auto"/>
      </w:pPr>
      <w:r>
        <w:rPr>
          <w:rFonts w:hint="eastAsia"/>
        </w:rPr>
        <w:t>促进跨学科融合研究，推动教育科学与智能技术的协同发展。</w:t>
      </w:r>
    </w:p>
    <w:p w14:paraId="2CD964F4">
      <w:pPr>
        <w:pStyle w:val="56"/>
        <w:spacing w:before="120" w:beforeLines="50" w:line="360" w:lineRule="auto"/>
        <w:ind w:firstLine="420"/>
      </w:pPr>
      <w:r>
        <w:rPr>
          <w:rFonts w:hint="eastAsia"/>
        </w:rPr>
        <w:t>为了便于理解不同场景下的应用价值，常见教育应用场景及支持功能总结见表3。</w:t>
      </w:r>
    </w:p>
    <w:p w14:paraId="0D64DA0E">
      <w:pPr>
        <w:pStyle w:val="112"/>
        <w:spacing w:before="120" w:after="120" w:line="360" w:lineRule="auto"/>
      </w:pPr>
      <w:r>
        <w:rPr>
          <w:rFonts w:hint="eastAsia"/>
        </w:rPr>
        <w:t>教育应用场景与支持功能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2977"/>
        <w:gridCol w:w="4524"/>
      </w:tblGrid>
      <w:tr w14:paraId="1D17A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5B67C104">
            <w:pPr>
              <w:pStyle w:val="178"/>
            </w:pPr>
            <w:r>
              <w:rPr>
                <w:rFonts w:hint="eastAsia"/>
              </w:rPr>
              <w:t>应用场景</w:t>
            </w:r>
          </w:p>
        </w:tc>
        <w:tc>
          <w:tcPr>
            <w:tcW w:w="2977" w:type="dxa"/>
            <w:tcBorders>
              <w:top w:val="single" w:color="auto" w:sz="8" w:space="0"/>
              <w:bottom w:val="single" w:color="auto" w:sz="8" w:space="0"/>
            </w:tcBorders>
          </w:tcPr>
          <w:p w14:paraId="36648AAD">
            <w:pPr>
              <w:pStyle w:val="178"/>
            </w:pPr>
            <w:r>
              <w:rPr>
                <w:rFonts w:hint="eastAsia"/>
              </w:rPr>
              <w:t>主要作用</w:t>
            </w:r>
          </w:p>
        </w:tc>
        <w:tc>
          <w:tcPr>
            <w:tcW w:w="4524" w:type="dxa"/>
            <w:tcBorders>
              <w:top w:val="single" w:color="auto" w:sz="8" w:space="0"/>
              <w:bottom w:val="single" w:color="auto" w:sz="8" w:space="0"/>
            </w:tcBorders>
          </w:tcPr>
          <w:p w14:paraId="4A28DF9F">
            <w:pPr>
              <w:pStyle w:val="178"/>
            </w:pPr>
            <w:r>
              <w:rPr>
                <w:rFonts w:hint="eastAsia"/>
              </w:rPr>
              <w:t>支持功能</w:t>
            </w:r>
          </w:p>
        </w:tc>
      </w:tr>
      <w:tr w14:paraId="2F670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2FC5224B">
            <w:pPr>
              <w:pStyle w:val="178"/>
            </w:pPr>
            <w:r>
              <w:rPr>
                <w:rFonts w:hint="eastAsia"/>
              </w:rPr>
              <w:t>课堂教学</w:t>
            </w:r>
          </w:p>
        </w:tc>
        <w:tc>
          <w:tcPr>
            <w:tcW w:w="2977" w:type="dxa"/>
            <w:tcBorders>
              <w:top w:val="single" w:color="auto" w:sz="8" w:space="0"/>
            </w:tcBorders>
          </w:tcPr>
          <w:p w14:paraId="38C15E81">
            <w:pPr>
              <w:pStyle w:val="178"/>
            </w:pPr>
            <w:r>
              <w:rPr>
                <w:rFonts w:hint="eastAsia"/>
              </w:rPr>
              <w:t>辅助教师实时调整教学</w:t>
            </w:r>
          </w:p>
        </w:tc>
        <w:tc>
          <w:tcPr>
            <w:tcW w:w="4524" w:type="dxa"/>
            <w:tcBorders>
              <w:top w:val="single" w:color="auto" w:sz="8" w:space="0"/>
            </w:tcBorders>
          </w:tcPr>
          <w:p w14:paraId="6D534ABC">
            <w:pPr>
              <w:pStyle w:val="178"/>
            </w:pPr>
            <w:r>
              <w:rPr>
                <w:rFonts w:hint="eastAsia"/>
              </w:rPr>
              <w:t>即时反馈、弱点识别、课程效果分析</w:t>
            </w:r>
          </w:p>
        </w:tc>
      </w:tr>
      <w:tr w14:paraId="72391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D81EED2">
            <w:pPr>
              <w:pStyle w:val="178"/>
            </w:pPr>
            <w:r>
              <w:rPr>
                <w:rFonts w:hint="eastAsia"/>
              </w:rPr>
              <w:t>个性化学习</w:t>
            </w:r>
          </w:p>
        </w:tc>
        <w:tc>
          <w:tcPr>
            <w:tcW w:w="2977" w:type="dxa"/>
          </w:tcPr>
          <w:p w14:paraId="1CB3B805">
            <w:pPr>
              <w:pStyle w:val="178"/>
            </w:pPr>
            <w:r>
              <w:rPr>
                <w:rFonts w:hint="eastAsia"/>
              </w:rPr>
              <w:t>提供差异化学习资源与指导</w:t>
            </w:r>
          </w:p>
        </w:tc>
        <w:tc>
          <w:tcPr>
            <w:tcW w:w="4524" w:type="dxa"/>
          </w:tcPr>
          <w:p w14:paraId="35A76777">
            <w:pPr>
              <w:pStyle w:val="178"/>
            </w:pPr>
            <w:r>
              <w:rPr>
                <w:rFonts w:hint="eastAsia"/>
              </w:rPr>
              <w:t>学习者画像、个性化推荐、差异化反馈</w:t>
            </w:r>
          </w:p>
        </w:tc>
      </w:tr>
      <w:tr w14:paraId="60FA6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42590A7">
            <w:pPr>
              <w:pStyle w:val="178"/>
            </w:pPr>
            <w:r>
              <w:rPr>
                <w:rFonts w:hint="eastAsia"/>
              </w:rPr>
              <w:t>教育管理</w:t>
            </w:r>
          </w:p>
        </w:tc>
        <w:tc>
          <w:tcPr>
            <w:tcW w:w="2977" w:type="dxa"/>
          </w:tcPr>
          <w:p w14:paraId="002B1862">
            <w:pPr>
              <w:pStyle w:val="178"/>
            </w:pPr>
            <w:r>
              <w:rPr>
                <w:rFonts w:hint="eastAsia"/>
              </w:rPr>
              <w:t>服务宏观教育政策与资源配置</w:t>
            </w:r>
          </w:p>
        </w:tc>
        <w:tc>
          <w:tcPr>
            <w:tcW w:w="4524" w:type="dxa"/>
          </w:tcPr>
          <w:p w14:paraId="1053268B">
            <w:pPr>
              <w:pStyle w:val="178"/>
            </w:pPr>
            <w:r>
              <w:rPr>
                <w:rFonts w:hint="eastAsia"/>
              </w:rPr>
              <w:t>教育质量报告、差距识别、政策效果追踪</w:t>
            </w:r>
          </w:p>
        </w:tc>
      </w:tr>
      <w:tr w14:paraId="36DF7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213EB38">
            <w:pPr>
              <w:pStyle w:val="178"/>
            </w:pPr>
            <w:r>
              <w:rPr>
                <w:rFonts w:hint="eastAsia"/>
              </w:rPr>
              <w:t>教育科研</w:t>
            </w:r>
          </w:p>
        </w:tc>
        <w:tc>
          <w:tcPr>
            <w:tcW w:w="2977" w:type="dxa"/>
          </w:tcPr>
          <w:p w14:paraId="5133813C">
            <w:pPr>
              <w:pStyle w:val="178"/>
            </w:pPr>
            <w:r>
              <w:rPr>
                <w:rFonts w:hint="eastAsia"/>
              </w:rPr>
              <w:t>推动理论研究与工具研发</w:t>
            </w:r>
          </w:p>
        </w:tc>
        <w:tc>
          <w:tcPr>
            <w:tcW w:w="4524" w:type="dxa"/>
          </w:tcPr>
          <w:p w14:paraId="3FF1B5FD">
            <w:pPr>
              <w:pStyle w:val="178"/>
            </w:pPr>
            <w:r>
              <w:rPr>
                <w:rFonts w:hint="eastAsia"/>
              </w:rPr>
              <w:t>大数据挖掘、教学方法验证、跨学科融合</w:t>
            </w:r>
          </w:p>
        </w:tc>
      </w:tr>
    </w:tbl>
    <w:p w14:paraId="5A1A345B">
      <w:pPr>
        <w:pStyle w:val="104"/>
        <w:spacing w:before="240" w:after="240" w:line="360" w:lineRule="auto"/>
      </w:pPr>
      <w:bookmarkStart w:id="57" w:name="_Toc207697626"/>
      <w:r>
        <w:rPr>
          <w:rFonts w:hint="eastAsia"/>
        </w:rPr>
        <w:t>质量保障与持续改进</w:t>
      </w:r>
      <w:bookmarkEnd w:id="57"/>
    </w:p>
    <w:p w14:paraId="23DDA455">
      <w:pPr>
        <w:pStyle w:val="105"/>
        <w:spacing w:before="120" w:after="120" w:line="360" w:lineRule="auto"/>
      </w:pPr>
      <w:r>
        <w:rPr>
          <w:rFonts w:hint="eastAsia"/>
        </w:rPr>
        <w:t>质量保障</w:t>
      </w:r>
    </w:p>
    <w:p w14:paraId="6698291A">
      <w:pPr>
        <w:pStyle w:val="56"/>
        <w:spacing w:line="360" w:lineRule="auto"/>
        <w:ind w:firstLine="420"/>
      </w:pPr>
      <w:r>
        <w:rPr>
          <w:rFonts w:hint="eastAsia"/>
        </w:rPr>
        <w:t>质量保障是确保体系长期有效运行的前提。它不仅依赖于技术性能，还包括组织管理和规范执行。为此，测评体系应在以下方面提出明确要求：</w:t>
      </w:r>
    </w:p>
    <w:p w14:paraId="680D8D23">
      <w:pPr>
        <w:pStyle w:val="132"/>
        <w:spacing w:line="360" w:lineRule="auto"/>
      </w:pPr>
      <w:r>
        <w:rPr>
          <w:rFonts w:hint="eastAsia"/>
        </w:rPr>
        <w:t>数据质量控制：确保采集数据真实、完整和准确，避免数据失真影响分析结果；</w:t>
      </w:r>
    </w:p>
    <w:p w14:paraId="09B36739">
      <w:pPr>
        <w:pStyle w:val="132"/>
        <w:spacing w:line="360" w:lineRule="auto"/>
      </w:pPr>
      <w:r>
        <w:rPr>
          <w:rFonts w:hint="eastAsia"/>
        </w:rPr>
        <w:t>模型性能评估：定期对模型的准确率、稳定性和可解释性进行检验，确保其教育应用价值；</w:t>
      </w:r>
    </w:p>
    <w:p w14:paraId="041CB3C8">
      <w:pPr>
        <w:pStyle w:val="132"/>
        <w:spacing w:line="360" w:lineRule="auto"/>
      </w:pPr>
      <w:r>
        <w:rPr>
          <w:rFonts w:hint="eastAsia"/>
        </w:rPr>
        <w:t>系统运行监控：建立运行日志和监控机制，及时发现并处理故障，保障系统稳定；</w:t>
      </w:r>
    </w:p>
    <w:p w14:paraId="4903176B">
      <w:pPr>
        <w:pStyle w:val="132"/>
        <w:spacing w:line="360" w:lineRule="auto"/>
      </w:pPr>
      <w:r>
        <w:rPr>
          <w:rFonts w:hint="eastAsia"/>
        </w:rPr>
        <w:t>用户反馈机制：通过收集教师和学习者的使用反馈，检验体系在实际教育中的效果与适用性。</w:t>
      </w:r>
    </w:p>
    <w:p w14:paraId="00FC536B">
      <w:pPr>
        <w:pStyle w:val="105"/>
        <w:spacing w:before="120" w:after="120" w:line="360" w:lineRule="auto"/>
      </w:pPr>
      <w:r>
        <w:rPr>
          <w:rFonts w:hint="eastAsia"/>
        </w:rPr>
        <w:t>持续改进</w:t>
      </w:r>
    </w:p>
    <w:p w14:paraId="31B782F5">
      <w:pPr>
        <w:pStyle w:val="56"/>
        <w:spacing w:line="360" w:lineRule="auto"/>
        <w:ind w:firstLine="420"/>
      </w:pPr>
      <w:r>
        <w:rPr>
          <w:rFonts w:hint="eastAsia"/>
        </w:rPr>
        <w:t>持续改进是体系不断适应教育发展和技术创新的必然要求。它强调通过循环迭代，不断优化测评流程和功能。具体应包括以下方面：</w:t>
      </w:r>
    </w:p>
    <w:p w14:paraId="5A7DC80D">
      <w:pPr>
        <w:pStyle w:val="132"/>
        <w:spacing w:line="360" w:lineRule="auto"/>
      </w:pPr>
      <w:r>
        <w:rPr>
          <w:rFonts w:hint="eastAsia"/>
        </w:rPr>
        <w:t>需求调研：定期开展教育一线调研，了解教师与学习者的新需求；</w:t>
      </w:r>
    </w:p>
    <w:p w14:paraId="46B561A2">
      <w:pPr>
        <w:pStyle w:val="132"/>
        <w:spacing w:line="360" w:lineRule="auto"/>
      </w:pPr>
      <w:r>
        <w:rPr>
          <w:rFonts w:hint="eastAsia"/>
        </w:rPr>
        <w:t>方法优化：根据教育学与人工智能领域的最新成果，改进数据处理和测评方法；</w:t>
      </w:r>
    </w:p>
    <w:p w14:paraId="4921C1AD">
      <w:pPr>
        <w:pStyle w:val="132"/>
        <w:spacing w:line="360" w:lineRule="auto"/>
      </w:pPr>
      <w:r>
        <w:rPr>
          <w:rFonts w:hint="eastAsia"/>
        </w:rPr>
        <w:t>技术升级：随着硬件和算法的发展，逐步更新系统架构和工具模块；</w:t>
      </w:r>
    </w:p>
    <w:p w14:paraId="0F932921">
      <w:pPr>
        <w:pStyle w:val="132"/>
        <w:spacing w:line="360" w:lineRule="auto"/>
      </w:pPr>
      <w:r>
        <w:rPr>
          <w:rFonts w:hint="eastAsia"/>
        </w:rPr>
        <w:t>标准修订：结合实际运行经验，适时修订规范，提升适用性与先进性。</w:t>
      </w:r>
    </w:p>
    <w:p w14:paraId="083CED3B">
      <w:pPr>
        <w:pStyle w:val="105"/>
        <w:spacing w:before="120" w:after="120" w:line="360" w:lineRule="auto"/>
      </w:pPr>
      <w:r>
        <w:rPr>
          <w:rFonts w:hint="eastAsia"/>
        </w:rPr>
        <w:t>闭环管理</w:t>
      </w:r>
    </w:p>
    <w:p w14:paraId="6A4DF350">
      <w:pPr>
        <w:pStyle w:val="56"/>
        <w:spacing w:line="360" w:lineRule="auto"/>
        <w:ind w:firstLine="420"/>
      </w:pPr>
      <w:r>
        <w:rPr>
          <w:rFonts w:hint="eastAsia"/>
        </w:rPr>
        <w:t>质量保障与持续改进的最终目标，是形成完整的闭环管理模式。通过“计划—实施—检查—改进（PDCA）”循环，可以确保体系始终处于动态优化状态：</w:t>
      </w:r>
    </w:p>
    <w:p w14:paraId="79427726">
      <w:pPr>
        <w:pStyle w:val="132"/>
        <w:spacing w:line="360" w:lineRule="auto"/>
      </w:pPr>
      <w:r>
        <w:rPr>
          <w:rFonts w:hint="eastAsia"/>
        </w:rPr>
        <w:t>在“计划”环节，设定体系目标与改进方向；</w:t>
      </w:r>
    </w:p>
    <w:p w14:paraId="4531CFC9">
      <w:pPr>
        <w:pStyle w:val="132"/>
        <w:spacing w:line="360" w:lineRule="auto"/>
      </w:pPr>
      <w:r>
        <w:rPr>
          <w:rFonts w:hint="eastAsia"/>
        </w:rPr>
        <w:t>在“实施”环节，落实检测、建模与应用工作；</w:t>
      </w:r>
    </w:p>
    <w:p w14:paraId="67A1F068">
      <w:pPr>
        <w:pStyle w:val="132"/>
        <w:spacing w:line="360" w:lineRule="auto"/>
      </w:pPr>
      <w:r>
        <w:rPr>
          <w:rFonts w:hint="eastAsia"/>
        </w:rPr>
        <w:t>在“检查”环节，对运行效果进行评估；</w:t>
      </w:r>
    </w:p>
    <w:p w14:paraId="19B2C1D9">
      <w:pPr>
        <w:pStyle w:val="132"/>
        <w:spacing w:line="360" w:lineRule="auto"/>
      </w:pPr>
      <w:r>
        <w:rPr>
          <w:rFonts w:hint="eastAsia"/>
        </w:rPr>
        <w:t>在“改进”环节，将评估结果转化为优化措施，并固化为新的制度。</w:t>
      </w:r>
    </w:p>
    <w:bookmarkEnd w:id="26"/>
    <w:p w14:paraId="6A24DB70">
      <w:pPr>
        <w:pStyle w:val="56"/>
        <w:ind w:firstLine="0" w:firstLineChars="0"/>
        <w:jc w:val="center"/>
      </w:pPr>
      <w:bookmarkStart w:id="58" w:name="BookMark8"/>
      <w:r>
        <w:rPr>
          <w:rFonts w:hint="eastAsia"/>
        </w:rPr>
        <w:drawing>
          <wp:inline distT="0" distB="0" distL="0" distR="0">
            <wp:extent cx="1485900" cy="317500"/>
            <wp:effectExtent l="0" t="0" r="0" b="6350"/>
            <wp:docPr id="555466936" name="图片 3"/>
            <wp:cNvGraphicFramePr/>
            <a:graphic xmlns:a="http://schemas.openxmlformats.org/drawingml/2006/main">
              <a:graphicData uri="http://schemas.openxmlformats.org/drawingml/2006/picture">
                <pic:pic xmlns:pic="http://schemas.openxmlformats.org/drawingml/2006/picture">
                  <pic:nvPicPr>
                    <pic:cNvPr id="555466936"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1EB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9C3A">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9D09">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2D79">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B667">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87EB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2E8C">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E343">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E4B9">
    <w:pPr>
      <w:pStyle w:val="61"/>
    </w:pPr>
    <w:r>
      <w:fldChar w:fldCharType="begin"/>
    </w:r>
    <w:r>
      <w:instrText xml:space="preserve"> STYLEREF  标准文件_文件编号  \* MERGEFORMAT </w:instrText>
    </w:r>
    <w:r>
      <w:fldChar w:fldCharType="separate"/>
    </w:r>
    <w:r>
      <w:t>T/XZBX 0092—2025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13B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0092—2025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FE5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0092—2025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0092—2025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8CD0">
    <w:pPr>
      <w:pStyle w:val="61"/>
    </w:pPr>
    <w:r>
      <w:fldChar w:fldCharType="begin"/>
    </w:r>
    <w:r>
      <w:instrText xml:space="preserve"> STYLEREF  标准文件_文件编号  \* MERGEFORMAT </w:instrText>
    </w:r>
    <w:r>
      <w:fldChar w:fldCharType="separate"/>
    </w:r>
    <w:r>
      <w:t>T/XZBX 0092—2025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05B4">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0092—2025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266A">
    <w:pPr>
      <w:pStyle w:val="61"/>
    </w:pPr>
    <w:r>
      <w:fldChar w:fldCharType="begin"/>
    </w:r>
    <w:r>
      <w:instrText xml:space="preserve"> STYLEREF  标准文件_文件编号  \* MERGEFORMAT </w:instrText>
    </w:r>
    <w:r>
      <w:fldChar w:fldCharType="separate"/>
    </w:r>
    <w:r>
      <w:t>T/XZBX 0092—2025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5B6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0092—2025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512B"/>
    <w:rsid w:val="00317723"/>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63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90A"/>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C07"/>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48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058"/>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785"/>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12"/>
    <w:rsid w:val="00755402"/>
    <w:rsid w:val="00756B26"/>
    <w:rsid w:val="00756EDF"/>
    <w:rsid w:val="007600E3"/>
    <w:rsid w:val="00765C43"/>
    <w:rsid w:val="00765EFB"/>
    <w:rsid w:val="007671CA"/>
    <w:rsid w:val="00767C61"/>
    <w:rsid w:val="0077008A"/>
    <w:rsid w:val="00770A99"/>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57B"/>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24C"/>
    <w:rsid w:val="009378DD"/>
    <w:rsid w:val="009429D5"/>
    <w:rsid w:val="00942BF1"/>
    <w:rsid w:val="00945180"/>
    <w:rsid w:val="00945428"/>
    <w:rsid w:val="0094607B"/>
    <w:rsid w:val="00953604"/>
    <w:rsid w:val="0095496B"/>
    <w:rsid w:val="00960F1E"/>
    <w:rsid w:val="009610DC"/>
    <w:rsid w:val="00961490"/>
    <w:rsid w:val="009635B6"/>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259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692"/>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E1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370"/>
    <w:rsid w:val="00DF1961"/>
    <w:rsid w:val="00DF2000"/>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A0"/>
    <w:rsid w:val="00FB45F1"/>
    <w:rsid w:val="00FB4A72"/>
    <w:rsid w:val="00FB54E8"/>
    <w:rsid w:val="00FB7054"/>
    <w:rsid w:val="00FC17B7"/>
    <w:rsid w:val="00FC2CB7"/>
    <w:rsid w:val="00FC4090"/>
    <w:rsid w:val="00FC55B4"/>
    <w:rsid w:val="00FD00E6"/>
    <w:rsid w:val="00FD09A1"/>
    <w:rsid w:val="00FD2A7C"/>
    <w:rsid w:val="00FD59EB"/>
    <w:rsid w:val="00FD6E8D"/>
    <w:rsid w:val="00FD7299"/>
    <w:rsid w:val="00FE1FBE"/>
    <w:rsid w:val="00FE3901"/>
    <w:rsid w:val="00FE39D3"/>
    <w:rsid w:val="00FE4BCE"/>
    <w:rsid w:val="00FE54AE"/>
    <w:rsid w:val="00FE576A"/>
    <w:rsid w:val="00FE7E79"/>
    <w:rsid w:val="00FF3E7D"/>
    <w:rsid w:val="00FF5B99"/>
    <w:rsid w:val="00FF730C"/>
    <w:rsid w:val="00FF73F4"/>
    <w:rsid w:val="00FF7CE4"/>
    <w:rsid w:val="00FF7E39"/>
    <w:rsid w:val="2C73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D6AB780">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0FA1E58">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4BF5364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E6AD9"/>
    <w:rsid w:val="0031512B"/>
    <w:rsid w:val="003F62CE"/>
    <w:rsid w:val="004A6324"/>
    <w:rsid w:val="004C1371"/>
    <w:rsid w:val="004D4595"/>
    <w:rsid w:val="006141C6"/>
    <w:rsid w:val="0064198B"/>
    <w:rsid w:val="006A1785"/>
    <w:rsid w:val="00A72598"/>
    <w:rsid w:val="00AD6296"/>
    <w:rsid w:val="00AE100B"/>
    <w:rsid w:val="00AE1DC6"/>
    <w:rsid w:val="00B80E31"/>
    <w:rsid w:val="00D3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4733</Words>
  <Characters>4970</Characters>
  <Lines>55</Lines>
  <Paragraphs>15</Paragraphs>
  <TotalTime>82</TotalTime>
  <ScaleCrop>false</ScaleCrop>
  <LinksUpToDate>false</LinksUpToDate>
  <CharactersWithSpaces>5062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2025-08-23T09:02:00Z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2025-09-05T07:07:27Z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E7C32AA375A54E13910470194B1A3395_12</vt:lpwstr>
  </property>
</Properties>
</file>