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91.10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91.100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P 74"/>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P 74</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090"/>
            </w:textInput>
          </w:ffData>
        </w:fldChar>
      </w:r>
      <w:bookmarkStart w:id="6" w:name="NSTD_CODE_F"/>
      <w:r>
        <w:instrText xml:space="preserve"> FORMTEXT </w:instrText>
      </w:r>
      <w:r>
        <w:fldChar w:fldCharType="separate"/>
      </w:r>
      <w:r>
        <w:t>0090</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建筑新材料检验检测作业指引"/>
            </w:textInput>
          </w:ffData>
        </w:fldChar>
      </w:r>
      <w:bookmarkStart w:id="9" w:name="CSTD_NAME"/>
      <w:r>
        <w:rPr>
          <w:rFonts w:hint="eastAsia"/>
        </w:rPr>
        <w:instrText xml:space="preserve"> </w:instrText>
      </w:r>
      <w:r>
        <w:instrText xml:space="preserve">FORMTEXT</w:instrText>
      </w:r>
      <w:r>
        <w:rPr>
          <w:rFonts w:hint="eastAsia"/>
        </w:rPr>
        <w:instrText xml:space="preserve"> </w:instrText>
      </w:r>
      <w:r>
        <w:rPr>
          <w:rFonts w:hint="eastAsia"/>
        </w:rPr>
        <w:fldChar w:fldCharType="separate"/>
      </w:r>
      <w:r>
        <w:rPr>
          <w:rFonts w:hint="eastAsia"/>
        </w:rPr>
        <w:t>建筑新材料检验检测作业指引</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Guideline for inspection and testing of new building materials"/>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Guideline for inspection and testing of new building materials</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09"/>
              <w:maxLength w:val="2"/>
            </w:textInput>
          </w:ffData>
        </w:fldChar>
      </w:r>
      <w:bookmarkStart w:id="15" w:name="PLSH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09"/>
              <w:maxLength w:val="2"/>
            </w:textInput>
          </w:ffData>
        </w:fldChar>
      </w:r>
      <w:bookmarkStart w:id="18" w:name="CROT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2B725D6D">
      <w:pPr>
        <w:pStyle w:val="91"/>
        <w:spacing w:after="360"/>
        <w:rPr>
          <w:rFonts w:hint="eastAsia"/>
        </w:rPr>
      </w:pPr>
      <w:bookmarkStart w:id="21" w:name="BookMark1"/>
      <w:r>
        <w:rPr>
          <w:rFonts w:hint="eastAsia"/>
          <w:spacing w:val="320"/>
        </w:rPr>
        <w:t>目</w:t>
      </w:r>
      <w:r>
        <w:rPr>
          <w:rFonts w:hint="eastAsia"/>
        </w:rPr>
        <w:t>次</w:t>
      </w:r>
    </w:p>
    <w:p w14:paraId="542FCC5A">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"_Toc207957419" </w:instrText>
      </w:r>
      <w:r>
        <w:fldChar w:fldCharType="separate"/>
      </w:r>
      <w:r>
        <w:rPr>
          <w:rStyle w:val="32"/>
        </w:rPr>
        <w:t>前言</w:t>
      </w:r>
      <w:r>
        <w:tab/>
      </w:r>
      <w:r>
        <w:fldChar w:fldCharType="begin"/>
      </w:r>
      <w:r>
        <w:instrText xml:space="preserve"> PAGEREF _Toc207957419 \h </w:instrText>
      </w:r>
      <w:r>
        <w:fldChar w:fldCharType="separate"/>
      </w:r>
      <w:r>
        <w:t>III</w:t>
      </w:r>
      <w:r>
        <w:fldChar w:fldCharType="end"/>
      </w:r>
      <w:r>
        <w:fldChar w:fldCharType="end"/>
      </w:r>
    </w:p>
    <w:p w14:paraId="48BF899D">
      <w:pPr>
        <w:pStyle w:val="19"/>
        <w:tabs>
          <w:tab w:val="right" w:leader="dot" w:pos="9344"/>
        </w:tabs>
        <w:rPr>
          <w:rFonts w:asciiTheme="minorHAnsi" w:hAnsiTheme="minorHAnsi" w:eastAsiaTheme="minorEastAsia" w:cstheme="minorBidi"/>
          <w:szCs w:val="22"/>
        </w:rPr>
      </w:pPr>
      <w:r>
        <w:fldChar w:fldCharType="begin"/>
      </w:r>
      <w:r>
        <w:instrText xml:space="preserve"> HYPERLINK \l "_Toc207957420" </w:instrText>
      </w:r>
      <w:r>
        <w:fldChar w:fldCharType="separate"/>
      </w:r>
      <w:r>
        <w:rPr>
          <w:rStyle w:val="32"/>
        </w:rPr>
        <w:t>引言</w:t>
      </w:r>
      <w:r>
        <w:tab/>
      </w:r>
      <w:r>
        <w:fldChar w:fldCharType="begin"/>
      </w:r>
      <w:r>
        <w:instrText xml:space="preserve"> PAGEREF _Toc207957420 \h </w:instrText>
      </w:r>
      <w:r>
        <w:fldChar w:fldCharType="separate"/>
      </w:r>
      <w:r>
        <w:t>V</w:t>
      </w:r>
      <w:r>
        <w:fldChar w:fldCharType="end"/>
      </w:r>
      <w:r>
        <w:fldChar w:fldCharType="end"/>
      </w:r>
    </w:p>
    <w:p w14:paraId="770F1B9B">
      <w:pPr>
        <w:pStyle w:val="19"/>
        <w:tabs>
          <w:tab w:val="right" w:leader="dot" w:pos="9344"/>
        </w:tabs>
        <w:rPr>
          <w:rFonts w:asciiTheme="minorHAnsi" w:hAnsiTheme="minorHAnsi" w:eastAsiaTheme="minorEastAsia" w:cstheme="minorBidi"/>
          <w:szCs w:val="22"/>
        </w:rPr>
      </w:pPr>
      <w:r>
        <w:fldChar w:fldCharType="begin"/>
      </w:r>
      <w:r>
        <w:instrText xml:space="preserve"> HYPERLINK \l "_Toc207957421" </w:instrText>
      </w:r>
      <w:r>
        <w:fldChar w:fldCharType="separate"/>
      </w:r>
      <w:r>
        <w:rPr>
          <w:rStyle w:val="32"/>
        </w:rPr>
        <w:t>1  范围</w:t>
      </w:r>
      <w:r>
        <w:tab/>
      </w:r>
      <w:r>
        <w:fldChar w:fldCharType="begin"/>
      </w:r>
      <w:r>
        <w:instrText xml:space="preserve"> PAGEREF _Toc207957421 \h </w:instrText>
      </w:r>
      <w:r>
        <w:fldChar w:fldCharType="separate"/>
      </w:r>
      <w:r>
        <w:t>1</w:t>
      </w:r>
      <w:r>
        <w:fldChar w:fldCharType="end"/>
      </w:r>
      <w:r>
        <w:fldChar w:fldCharType="end"/>
      </w:r>
    </w:p>
    <w:p w14:paraId="19A305C4">
      <w:pPr>
        <w:pStyle w:val="19"/>
        <w:tabs>
          <w:tab w:val="right" w:leader="dot" w:pos="9344"/>
        </w:tabs>
        <w:rPr>
          <w:rFonts w:asciiTheme="minorHAnsi" w:hAnsiTheme="minorHAnsi" w:eastAsiaTheme="minorEastAsia" w:cstheme="minorBidi"/>
          <w:szCs w:val="22"/>
        </w:rPr>
      </w:pPr>
      <w:r>
        <w:fldChar w:fldCharType="begin"/>
      </w:r>
      <w:r>
        <w:instrText xml:space="preserve"> HYPERLINK \l "_Toc207957422" </w:instrText>
      </w:r>
      <w:r>
        <w:fldChar w:fldCharType="separate"/>
      </w:r>
      <w:r>
        <w:rPr>
          <w:rStyle w:val="32"/>
        </w:rPr>
        <w:t>2  规范性引用文件</w:t>
      </w:r>
      <w:r>
        <w:tab/>
      </w:r>
      <w:r>
        <w:fldChar w:fldCharType="begin"/>
      </w:r>
      <w:r>
        <w:instrText xml:space="preserve"> PAGEREF _Toc207957422 \h </w:instrText>
      </w:r>
      <w:r>
        <w:fldChar w:fldCharType="separate"/>
      </w:r>
      <w:r>
        <w:t>1</w:t>
      </w:r>
      <w:r>
        <w:fldChar w:fldCharType="end"/>
      </w:r>
      <w:r>
        <w:fldChar w:fldCharType="end"/>
      </w:r>
    </w:p>
    <w:p w14:paraId="1E20FECE">
      <w:pPr>
        <w:pStyle w:val="19"/>
        <w:tabs>
          <w:tab w:val="right" w:leader="dot" w:pos="9344"/>
        </w:tabs>
        <w:rPr>
          <w:rFonts w:asciiTheme="minorHAnsi" w:hAnsiTheme="minorHAnsi" w:eastAsiaTheme="minorEastAsia" w:cstheme="minorBidi"/>
          <w:szCs w:val="22"/>
        </w:rPr>
      </w:pPr>
      <w:r>
        <w:fldChar w:fldCharType="begin"/>
      </w:r>
      <w:r>
        <w:instrText xml:space="preserve"> HYPERLINK \l "_Toc207957423" </w:instrText>
      </w:r>
      <w:r>
        <w:fldChar w:fldCharType="separate"/>
      </w:r>
      <w:r>
        <w:rPr>
          <w:rStyle w:val="32"/>
        </w:rPr>
        <w:t>3  术语和定义</w:t>
      </w:r>
      <w:r>
        <w:tab/>
      </w:r>
      <w:r>
        <w:fldChar w:fldCharType="begin"/>
      </w:r>
      <w:r>
        <w:instrText xml:space="preserve"> PAGEREF _Toc207957423 \h </w:instrText>
      </w:r>
      <w:r>
        <w:fldChar w:fldCharType="separate"/>
      </w:r>
      <w:r>
        <w:t>1</w:t>
      </w:r>
      <w:r>
        <w:fldChar w:fldCharType="end"/>
      </w:r>
      <w:r>
        <w:fldChar w:fldCharType="end"/>
      </w:r>
    </w:p>
    <w:p w14:paraId="72DBED10">
      <w:pPr>
        <w:pStyle w:val="19"/>
        <w:tabs>
          <w:tab w:val="right" w:leader="dot" w:pos="9344"/>
        </w:tabs>
        <w:rPr>
          <w:rFonts w:asciiTheme="minorHAnsi" w:hAnsiTheme="minorHAnsi" w:eastAsiaTheme="minorEastAsia" w:cstheme="minorBidi"/>
          <w:szCs w:val="22"/>
        </w:rPr>
      </w:pPr>
      <w:r>
        <w:fldChar w:fldCharType="begin"/>
      </w:r>
      <w:r>
        <w:instrText xml:space="preserve"> HYPERLINK \l "_Toc207957424" </w:instrText>
      </w:r>
      <w:r>
        <w:fldChar w:fldCharType="separate"/>
      </w:r>
      <w:r>
        <w:rPr>
          <w:rStyle w:val="32"/>
        </w:rPr>
        <w:t>4  总体原则</w:t>
      </w:r>
      <w:r>
        <w:tab/>
      </w:r>
      <w:r>
        <w:fldChar w:fldCharType="begin"/>
      </w:r>
      <w:r>
        <w:instrText xml:space="preserve"> PAGEREF _Toc207957424 \h </w:instrText>
      </w:r>
      <w:r>
        <w:fldChar w:fldCharType="separate"/>
      </w:r>
      <w:r>
        <w:t>2</w:t>
      </w:r>
      <w:r>
        <w:fldChar w:fldCharType="end"/>
      </w:r>
      <w:r>
        <w:fldChar w:fldCharType="end"/>
      </w:r>
    </w:p>
    <w:p w14:paraId="7A2282E8">
      <w:pPr>
        <w:pStyle w:val="19"/>
        <w:tabs>
          <w:tab w:val="right" w:leader="dot" w:pos="9344"/>
        </w:tabs>
        <w:rPr>
          <w:rFonts w:asciiTheme="minorHAnsi" w:hAnsiTheme="minorHAnsi" w:eastAsiaTheme="minorEastAsia" w:cstheme="minorBidi"/>
          <w:szCs w:val="22"/>
        </w:rPr>
      </w:pPr>
      <w:r>
        <w:fldChar w:fldCharType="begin"/>
      </w:r>
      <w:r>
        <w:instrText xml:space="preserve"> HYPERLINK \l "_Toc207957425" </w:instrText>
      </w:r>
      <w:r>
        <w:fldChar w:fldCharType="separate"/>
      </w:r>
      <w:r>
        <w:rPr>
          <w:rStyle w:val="32"/>
        </w:rPr>
        <w:t>5  检验检测准备</w:t>
      </w:r>
      <w:r>
        <w:tab/>
      </w:r>
      <w:r>
        <w:fldChar w:fldCharType="begin"/>
      </w:r>
      <w:r>
        <w:instrText xml:space="preserve"> PAGEREF _Toc207957425 \h </w:instrText>
      </w:r>
      <w:r>
        <w:fldChar w:fldCharType="separate"/>
      </w:r>
      <w:r>
        <w:t>2</w:t>
      </w:r>
      <w:r>
        <w:fldChar w:fldCharType="end"/>
      </w:r>
      <w:r>
        <w:fldChar w:fldCharType="end"/>
      </w:r>
    </w:p>
    <w:p w14:paraId="1905077A">
      <w:pPr>
        <w:pStyle w:val="19"/>
        <w:tabs>
          <w:tab w:val="right" w:leader="dot" w:pos="9344"/>
        </w:tabs>
        <w:rPr>
          <w:rFonts w:asciiTheme="minorHAnsi" w:hAnsiTheme="minorHAnsi" w:eastAsiaTheme="minorEastAsia" w:cstheme="minorBidi"/>
          <w:szCs w:val="22"/>
        </w:rPr>
      </w:pPr>
      <w:r>
        <w:fldChar w:fldCharType="begin"/>
      </w:r>
      <w:r>
        <w:instrText xml:space="preserve"> HYPERLINK \l "_Toc207957426" </w:instrText>
      </w:r>
      <w:r>
        <w:fldChar w:fldCharType="separate"/>
      </w:r>
      <w:r>
        <w:rPr>
          <w:rStyle w:val="32"/>
        </w:rPr>
        <w:t>6  检验检测</w:t>
      </w:r>
      <w:r>
        <w:tab/>
      </w:r>
      <w:r>
        <w:fldChar w:fldCharType="begin"/>
      </w:r>
      <w:r>
        <w:instrText xml:space="preserve"> PAGEREF _Toc207957426 \h </w:instrText>
      </w:r>
      <w:r>
        <w:fldChar w:fldCharType="separate"/>
      </w:r>
      <w:r>
        <w:t>4</w:t>
      </w:r>
      <w:r>
        <w:fldChar w:fldCharType="end"/>
      </w:r>
      <w:r>
        <w:fldChar w:fldCharType="end"/>
      </w:r>
    </w:p>
    <w:p w14:paraId="70FC9D46">
      <w:pPr>
        <w:pStyle w:val="19"/>
        <w:tabs>
          <w:tab w:val="right" w:leader="dot" w:pos="9344"/>
        </w:tabs>
        <w:rPr>
          <w:rFonts w:asciiTheme="minorHAnsi" w:hAnsiTheme="minorHAnsi" w:eastAsiaTheme="minorEastAsia" w:cstheme="minorBidi"/>
          <w:szCs w:val="22"/>
        </w:rPr>
      </w:pPr>
      <w:r>
        <w:fldChar w:fldCharType="begin"/>
      </w:r>
      <w:r>
        <w:instrText xml:space="preserve"> HYPERLINK \l "_Toc207957427" </w:instrText>
      </w:r>
      <w:r>
        <w:fldChar w:fldCharType="separate"/>
      </w:r>
      <w:r>
        <w:rPr>
          <w:rStyle w:val="32"/>
        </w:rPr>
        <w:t>7  质量控制</w:t>
      </w:r>
      <w:r>
        <w:tab/>
      </w:r>
      <w:r>
        <w:fldChar w:fldCharType="begin"/>
      </w:r>
      <w:r>
        <w:instrText xml:space="preserve"> PAGEREF _Toc207957427 \h </w:instrText>
      </w:r>
      <w:r>
        <w:fldChar w:fldCharType="separate"/>
      </w:r>
      <w:r>
        <w:t>5</w:t>
      </w:r>
      <w:r>
        <w:fldChar w:fldCharType="end"/>
      </w:r>
      <w:r>
        <w:fldChar w:fldCharType="end"/>
      </w:r>
    </w:p>
    <w:p w14:paraId="262A6AFC">
      <w:pPr>
        <w:pStyle w:val="19"/>
        <w:tabs>
          <w:tab w:val="right" w:leader="dot" w:pos="9344"/>
        </w:tabs>
        <w:rPr>
          <w:rFonts w:asciiTheme="minorHAnsi" w:hAnsiTheme="minorHAnsi" w:eastAsiaTheme="minorEastAsia" w:cstheme="minorBidi"/>
          <w:szCs w:val="22"/>
        </w:rPr>
      </w:pPr>
      <w:r>
        <w:fldChar w:fldCharType="begin"/>
      </w:r>
      <w:r>
        <w:instrText xml:space="preserve"> HYPERLINK \l "_Toc207957428" </w:instrText>
      </w:r>
      <w:r>
        <w:fldChar w:fldCharType="separate"/>
      </w:r>
      <w:r>
        <w:rPr>
          <w:rStyle w:val="32"/>
        </w:rPr>
        <w:t>8  数据管理</w:t>
      </w:r>
      <w:r>
        <w:tab/>
      </w:r>
      <w:r>
        <w:fldChar w:fldCharType="begin"/>
      </w:r>
      <w:r>
        <w:instrText xml:space="preserve"> PAGEREF _Toc207957428 \h </w:instrText>
      </w:r>
      <w:r>
        <w:fldChar w:fldCharType="separate"/>
      </w:r>
      <w:r>
        <w:t>6</w:t>
      </w:r>
      <w:r>
        <w:fldChar w:fldCharType="end"/>
      </w:r>
      <w:r>
        <w:fldChar w:fldCharType="end"/>
      </w:r>
    </w:p>
    <w:p w14:paraId="44571665">
      <w:pPr>
        <w:pStyle w:val="19"/>
        <w:tabs>
          <w:tab w:val="right" w:leader="dot" w:pos="9344"/>
        </w:tabs>
        <w:rPr>
          <w:rFonts w:asciiTheme="minorHAnsi" w:hAnsiTheme="minorHAnsi" w:eastAsiaTheme="minorEastAsia" w:cstheme="minorBidi"/>
          <w:szCs w:val="22"/>
        </w:rPr>
      </w:pPr>
      <w:r>
        <w:fldChar w:fldCharType="begin"/>
      </w:r>
      <w:r>
        <w:instrText xml:space="preserve"> HYPERLINK \l "_Toc207957429" </w:instrText>
      </w:r>
      <w:r>
        <w:fldChar w:fldCharType="separate"/>
      </w:r>
      <w:r>
        <w:rPr>
          <w:rStyle w:val="32"/>
        </w:rPr>
        <w:t>9  安全与环保</w:t>
      </w:r>
      <w:r>
        <w:tab/>
      </w:r>
      <w:r>
        <w:fldChar w:fldCharType="begin"/>
      </w:r>
      <w:r>
        <w:instrText xml:space="preserve"> PAGEREF _Toc207957429 \h </w:instrText>
      </w:r>
      <w:r>
        <w:fldChar w:fldCharType="separate"/>
      </w:r>
      <w:r>
        <w:t>7</w:t>
      </w:r>
      <w:r>
        <w:fldChar w:fldCharType="end"/>
      </w:r>
      <w:r>
        <w:fldChar w:fldCharType="end"/>
      </w:r>
    </w:p>
    <w:p w14:paraId="5C02FA28">
      <w:pPr>
        <w:pStyle w:val="19"/>
        <w:tabs>
          <w:tab w:val="right" w:leader="dot" w:pos="9344"/>
        </w:tabs>
        <w:rPr>
          <w:rFonts w:asciiTheme="minorHAnsi" w:hAnsiTheme="minorHAnsi" w:eastAsiaTheme="minorEastAsia" w:cstheme="minorBidi"/>
          <w:szCs w:val="22"/>
        </w:rPr>
      </w:pPr>
      <w:r>
        <w:fldChar w:fldCharType="begin"/>
      </w:r>
      <w:r>
        <w:instrText xml:space="preserve"> HYPERLINK \l "_Toc207957430" </w:instrText>
      </w:r>
      <w:r>
        <w:fldChar w:fldCharType="separate"/>
      </w:r>
      <w:r>
        <w:rPr>
          <w:rStyle w:val="32"/>
        </w:rPr>
        <w:t>10  结果分析应用</w:t>
      </w:r>
      <w:r>
        <w:tab/>
      </w:r>
      <w:r>
        <w:fldChar w:fldCharType="begin"/>
      </w:r>
      <w:r>
        <w:instrText xml:space="preserve"> PAGEREF _Toc207957430 \h </w:instrText>
      </w:r>
      <w:r>
        <w:fldChar w:fldCharType="separate"/>
      </w:r>
      <w:r>
        <w:t>8</w:t>
      </w:r>
      <w:r>
        <w:fldChar w:fldCharType="end"/>
      </w:r>
      <w:r>
        <w:fldChar w:fldCharType="end"/>
      </w:r>
    </w:p>
    <w:p w14:paraId="5C6B312E">
      <w:pPr>
        <w:pStyle w:val="91"/>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07957419"/>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本文件起草单位：江西省工业陶瓷质量监督检验站。</w:t>
      </w:r>
    </w:p>
    <w:p w14:paraId="784B3C9B">
      <w:pPr>
        <w:pStyle w:val="56"/>
        <w:spacing w:line="360" w:lineRule="auto"/>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start="3"/>
          <w:cols w:space="425" w:num="1"/>
          <w:formProt w:val="0"/>
          <w:docGrid w:linePitch="312" w:charSpace="0"/>
        </w:sectPr>
      </w:pPr>
      <w:r>
        <w:rPr>
          <w:rFonts w:hint="eastAsia"/>
        </w:rPr>
        <w:t>本文件主要起草人：傅章翊。</w:t>
      </w:r>
      <w:bookmarkStart w:id="59" w:name="_GoBack"/>
      <w:bookmarkEnd w:id="59"/>
    </w:p>
    <w:bookmarkEnd w:id="23"/>
    <w:p w14:paraId="66D0A2F3">
      <w:pPr>
        <w:pStyle w:val="89"/>
        <w:spacing w:after="360"/>
      </w:pPr>
      <w:bookmarkStart w:id="24" w:name="_Toc207957420"/>
      <w:bookmarkStart w:id="25" w:name="BookMark3"/>
      <w:r>
        <w:rPr>
          <w:spacing w:val="320"/>
        </w:rPr>
        <w:t>引</w:t>
      </w:r>
      <w:r>
        <w:t>言</w:t>
      </w:r>
      <w:bookmarkEnd w:id="24"/>
    </w:p>
    <w:p w14:paraId="7F7CCB2B">
      <w:pPr>
        <w:pStyle w:val="56"/>
        <w:spacing w:line="360" w:lineRule="auto"/>
        <w:ind w:firstLine="420"/>
      </w:pPr>
      <w:r>
        <w:rPr>
          <w:rFonts w:hint="eastAsia"/>
        </w:rPr>
        <w:t>随着建筑行业的不断发展和升级，传统建材已难以满足现代建筑对安全性、耐久性、功能性和绿色环保的综合要求。近年来，大量新型建筑材料不断涌现，如高性能混凝土、纳米改性复合材料、生物基建材、新型保温隔热材料、光伏一体化建材以及功能型涂层等。这些新材料在提升建筑节能水平、改善居住环境质量、推动绿色低碳发展和促进建筑产业现代化方面发挥了重要作用。</w:t>
      </w:r>
    </w:p>
    <w:p w14:paraId="05A30BF8">
      <w:pPr>
        <w:pStyle w:val="56"/>
        <w:spacing w:line="360" w:lineRule="auto"/>
        <w:ind w:firstLine="420"/>
      </w:pPr>
      <w:r>
        <w:rPr>
          <w:rFonts w:hint="eastAsia"/>
        </w:rPr>
        <w:t>然而，新材料在推广应用过程中也带来了新的挑战。与传统建材相比，新型建筑材料具有结构复杂、性能多样、应用场景差异化等特点，其检验检测涉及力学性能、耐久性、节能环保性能以及功能性指标等多个方面。目前，行业内对新材料的检测技术、评价方法和操作流程尚未完全统一，部分检测活动存在标准不完善、方法不规范、结果不一致等问题，影响了检测数据的科学性和工程应用的可靠性。</w:t>
      </w:r>
    </w:p>
    <w:p w14:paraId="41C59179">
      <w:pPr>
        <w:pStyle w:val="56"/>
        <w:spacing w:line="360" w:lineRule="auto"/>
        <w:ind w:firstLine="420"/>
      </w:pPr>
      <w:r>
        <w:rPr>
          <w:rFonts w:hint="eastAsia"/>
        </w:rPr>
        <w:t>在国家大力推动绿色建筑、装配式建筑和智慧建筑发展的背景下，迫切需要建立一套科学、规范、可操作的检验检测作业指引。本文件的制定，旨在为检测机构、施工企业、科研院所及监管部门提供统一的技术依据和操作指南。通过明确检测准备、方法流程、质量控制和结果应用等要求，可以有效提升新材料检验检测的规范性和一致性，促进检测结果的互认与共享，推动新材料在建筑行业的健康应用与推广。</w:t>
      </w:r>
    </w:p>
    <w:p w14:paraId="3AC90217">
      <w:pPr>
        <w:pStyle w:val="56"/>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建筑新材料检验检测作业指引</w:t>
          </w:r>
        </w:p>
      </w:sdtContent>
    </w:sdt>
    <w:bookmarkEnd w:id="27"/>
    <w:p w14:paraId="3DB22445">
      <w:pPr>
        <w:pStyle w:val="104"/>
        <w:spacing w:before="240" w:after="240" w:line="360" w:lineRule="auto"/>
      </w:pPr>
      <w:bookmarkStart w:id="28" w:name="_Toc97192964"/>
      <w:bookmarkStart w:id="29" w:name="_Toc207957421"/>
      <w:bookmarkStart w:id="30" w:name="_Toc17233333"/>
      <w:bookmarkStart w:id="31" w:name="_Toc26718930"/>
      <w:bookmarkStart w:id="32" w:name="_Toc26986530"/>
      <w:bookmarkStart w:id="33" w:name="_Toc24884218"/>
      <w:bookmarkStart w:id="34" w:name="_Toc26648465"/>
      <w:bookmarkStart w:id="35" w:name="_Toc24884211"/>
      <w:bookmarkStart w:id="36" w:name="_Toc17233325"/>
      <w:bookmarkStart w:id="37" w:name="_Toc26986771"/>
      <w:r>
        <w:rPr>
          <w:rFonts w:hint="eastAsia"/>
        </w:rPr>
        <w:t>范围</w:t>
      </w:r>
      <w:bookmarkEnd w:id="28"/>
      <w:bookmarkEnd w:id="29"/>
      <w:bookmarkEnd w:id="30"/>
      <w:bookmarkEnd w:id="31"/>
      <w:bookmarkEnd w:id="32"/>
      <w:bookmarkEnd w:id="33"/>
      <w:bookmarkEnd w:id="34"/>
      <w:bookmarkEnd w:id="35"/>
      <w:bookmarkEnd w:id="36"/>
      <w:bookmarkEnd w:id="37"/>
    </w:p>
    <w:p w14:paraId="33428282">
      <w:pPr>
        <w:pStyle w:val="56"/>
        <w:spacing w:line="360" w:lineRule="auto"/>
        <w:ind w:firstLine="420"/>
      </w:pPr>
      <w:bookmarkStart w:id="38" w:name="_Toc24884219"/>
      <w:bookmarkStart w:id="39" w:name="_Toc17233326"/>
      <w:bookmarkStart w:id="40" w:name="_Toc17233334"/>
      <w:bookmarkStart w:id="41" w:name="_Toc24884212"/>
      <w:bookmarkStart w:id="42" w:name="_Toc26648466"/>
      <w:r>
        <w:rPr>
          <w:rFonts w:hint="eastAsia"/>
        </w:rPr>
        <w:t>本文件规定了建筑新材料检验检测的总体原则、检验检测准备、检验检测、质量控制、数据管理、安全与环保及结果分析应用等方面的内容。</w:t>
      </w:r>
    </w:p>
    <w:p w14:paraId="17F2041F">
      <w:pPr>
        <w:pStyle w:val="56"/>
        <w:spacing w:line="360" w:lineRule="auto"/>
        <w:ind w:firstLine="420"/>
      </w:pPr>
      <w:r>
        <w:rPr>
          <w:rFonts w:hint="eastAsia"/>
        </w:rPr>
        <w:t>本文件适用于新型建筑材料在生产、施工及应用过程中的检验检测活动，包括物理性能、力学性能、耐久性、节能与环保性能等项目。</w:t>
      </w:r>
    </w:p>
    <w:p w14:paraId="76265264">
      <w:pPr>
        <w:pStyle w:val="56"/>
        <w:spacing w:line="360" w:lineRule="auto"/>
        <w:ind w:firstLine="420"/>
      </w:pPr>
      <w:r>
        <w:rPr>
          <w:rFonts w:hint="eastAsia"/>
        </w:rPr>
        <w:t>本文件不适用于已列入现行国家标准、行业标准并具有成熟检测规范的传统建材检测。</w:t>
      </w:r>
    </w:p>
    <w:p w14:paraId="3733B2AD">
      <w:pPr>
        <w:pStyle w:val="104"/>
        <w:spacing w:before="240" w:after="240" w:line="360" w:lineRule="auto"/>
      </w:pPr>
      <w:bookmarkStart w:id="43" w:name="_Toc26718931"/>
      <w:bookmarkStart w:id="44" w:name="_Toc207957422"/>
      <w:bookmarkStart w:id="45" w:name="_Toc26986531"/>
      <w:bookmarkStart w:id="46" w:name="_Toc26986772"/>
      <w:bookmarkStart w:id="47" w:name="_Toc97192965"/>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412C485">
      <w:pPr>
        <w:pStyle w:val="56"/>
        <w:spacing w:line="360" w:lineRule="auto"/>
        <w:ind w:firstLine="420"/>
      </w:pPr>
      <w:r>
        <w:t>GB 6566</w:t>
      </w:r>
      <w:r>
        <w:rPr>
          <w:rFonts w:hint="eastAsia"/>
        </w:rPr>
        <w:t>—</w:t>
      </w:r>
      <w:r>
        <w:t>2010</w:t>
      </w:r>
      <w:r>
        <w:rPr>
          <w:rFonts w:hint="eastAsia"/>
        </w:rPr>
        <w:t xml:space="preserve"> 建筑材料放射性核素限量</w:t>
      </w:r>
    </w:p>
    <w:p w14:paraId="07A7F860">
      <w:pPr>
        <w:pStyle w:val="56"/>
        <w:spacing w:line="360" w:lineRule="auto"/>
        <w:ind w:firstLine="420"/>
      </w:pPr>
      <w:r>
        <w:t>GB/T 17671</w:t>
      </w:r>
      <w:r>
        <w:rPr>
          <w:rFonts w:hint="eastAsia"/>
        </w:rPr>
        <w:t>—</w:t>
      </w:r>
      <w:r>
        <w:t>2021</w:t>
      </w:r>
      <w:r>
        <w:rPr>
          <w:rFonts w:hint="eastAsia"/>
        </w:rPr>
        <w:t xml:space="preserve"> 水泥胶砂强度检验方法</w:t>
      </w:r>
    </w:p>
    <w:p w14:paraId="445F4276">
      <w:pPr>
        <w:pStyle w:val="56"/>
        <w:spacing w:line="360" w:lineRule="auto"/>
        <w:ind w:firstLine="420"/>
      </w:pPr>
      <w:r>
        <w:rPr>
          <w:rFonts w:hint="eastAsia"/>
        </w:rPr>
        <w:t>GB/T 18204.2—2014 公共场所卫生检验方法  第2部分：化学污染物</w:t>
      </w:r>
    </w:p>
    <w:p w14:paraId="47EBD4EE">
      <w:pPr>
        <w:pStyle w:val="56"/>
        <w:spacing w:line="360" w:lineRule="auto"/>
        <w:ind w:firstLine="420"/>
      </w:pPr>
      <w:r>
        <w:rPr>
          <w:rFonts w:hint="eastAsia"/>
        </w:rPr>
        <w:t>GB/T 20623—2006 建筑涂料用乳液</w:t>
      </w:r>
    </w:p>
    <w:p w14:paraId="02AE373F">
      <w:pPr>
        <w:pStyle w:val="56"/>
        <w:spacing w:line="360" w:lineRule="auto"/>
        <w:ind w:firstLine="420"/>
      </w:pPr>
      <w:r>
        <w:t>GB/T 34011</w:t>
      </w:r>
      <w:r>
        <w:rPr>
          <w:rFonts w:hint="eastAsia"/>
        </w:rPr>
        <w:t>—</w:t>
      </w:r>
      <w:r>
        <w:t>2017</w:t>
      </w:r>
      <w:r>
        <w:rPr>
          <w:rFonts w:hint="eastAsia"/>
        </w:rPr>
        <w:t xml:space="preserve"> 建筑用绝热制品 </w:t>
      </w:r>
      <w:r>
        <w:t xml:space="preserve"> </w:t>
      </w:r>
      <w:r>
        <w:rPr>
          <w:rFonts w:hint="eastAsia"/>
        </w:rPr>
        <w:t>外墙外保温系统抗拉脱性能的测定</w:t>
      </w:r>
    </w:p>
    <w:p w14:paraId="7BBBBA78">
      <w:pPr>
        <w:pStyle w:val="56"/>
        <w:spacing w:line="360" w:lineRule="auto"/>
        <w:ind w:firstLine="420"/>
      </w:pPr>
      <w:r>
        <w:t>GB/T 35604</w:t>
      </w:r>
      <w:r>
        <w:rPr>
          <w:rFonts w:hint="eastAsia"/>
        </w:rPr>
        <w:t>—</w:t>
      </w:r>
      <w:r>
        <w:t>2017</w:t>
      </w:r>
      <w:r>
        <w:rPr>
          <w:rFonts w:hint="eastAsia"/>
        </w:rPr>
        <w:t xml:space="preserve"> 绿色产品评价  建筑玻璃</w:t>
      </w:r>
    </w:p>
    <w:p w14:paraId="5B6378C1">
      <w:pPr>
        <w:pStyle w:val="56"/>
        <w:spacing w:line="360" w:lineRule="auto"/>
        <w:ind w:firstLine="420"/>
      </w:pPr>
      <w:r>
        <w:rPr>
          <w:rFonts w:hint="eastAsia"/>
        </w:rPr>
        <w:t>GB/T 50082—2024 混凝土长期性能和耐久性能试验方法标准</w:t>
      </w:r>
    </w:p>
    <w:p w14:paraId="51F02A4E">
      <w:pPr>
        <w:pStyle w:val="104"/>
        <w:spacing w:before="240" w:after="240" w:line="360" w:lineRule="auto"/>
      </w:pPr>
      <w:bookmarkStart w:id="48" w:name="_Toc97192966"/>
      <w:bookmarkStart w:id="49" w:name="_Toc207957423"/>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4D18E9A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建筑新材料 new materials</w:t>
      </w:r>
    </w:p>
    <w:p w14:paraId="03F1C305">
      <w:pPr>
        <w:pStyle w:val="56"/>
        <w:spacing w:line="360" w:lineRule="auto"/>
        <w:ind w:firstLine="420"/>
      </w:pPr>
      <w:r>
        <w:rPr>
          <w:rFonts w:hint="eastAsia"/>
        </w:rPr>
        <w:t>相对于传统建材，采用新技术、新工艺或新配方研发生产，具有功能复合、节能环保或高性能特征的建筑材料。</w:t>
      </w:r>
    </w:p>
    <w:p w14:paraId="7E29CFB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检验检测 inspection testing</w:t>
      </w:r>
    </w:p>
    <w:p w14:paraId="3736B6E2">
      <w:pPr>
        <w:pStyle w:val="56"/>
        <w:spacing w:line="360" w:lineRule="auto"/>
        <w:ind w:firstLine="420"/>
      </w:pPr>
      <w:r>
        <w:rPr>
          <w:rFonts w:hint="eastAsia"/>
        </w:rPr>
        <w:t>通过实验方法对材料的物理、化学、力学、耐久及功能性指标进行测定和评价的过程，用于验证其是否符合标准和设计要求。</w:t>
      </w:r>
    </w:p>
    <w:p w14:paraId="70B5069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耐久性 material durability</w:t>
      </w:r>
    </w:p>
    <w:p w14:paraId="61C07E3A">
      <w:pPr>
        <w:pStyle w:val="56"/>
        <w:spacing w:line="360" w:lineRule="auto"/>
        <w:ind w:firstLine="420"/>
      </w:pPr>
      <w:r>
        <w:rPr>
          <w:rFonts w:hint="eastAsia"/>
        </w:rPr>
        <w:t>建筑材料在长期使用过程中抵御环境因素影响而保持性能稳定的能力。</w:t>
      </w:r>
    </w:p>
    <w:p w14:paraId="764A137E">
      <w:pPr>
        <w:pStyle w:val="104"/>
        <w:spacing w:before="240" w:after="240" w:line="360" w:lineRule="auto"/>
      </w:pPr>
      <w:bookmarkStart w:id="51" w:name="_Toc207957424"/>
      <w:r>
        <w:rPr>
          <w:rFonts w:hint="eastAsia"/>
        </w:rPr>
        <w:t>总体原则</w:t>
      </w:r>
      <w:bookmarkEnd w:id="51"/>
    </w:p>
    <w:p w14:paraId="301C02A1">
      <w:pPr>
        <w:pStyle w:val="105"/>
        <w:spacing w:before="120" w:after="120" w:line="360" w:lineRule="auto"/>
      </w:pPr>
      <w:r>
        <w:rPr>
          <w:rFonts w:hint="eastAsia"/>
        </w:rPr>
        <w:t>科学性</w:t>
      </w:r>
    </w:p>
    <w:p w14:paraId="6161A2A2">
      <w:pPr>
        <w:pStyle w:val="56"/>
        <w:spacing w:line="360" w:lineRule="auto"/>
        <w:ind w:firstLine="420"/>
      </w:pPr>
      <w:r>
        <w:rPr>
          <w:rFonts w:hint="eastAsia"/>
        </w:rPr>
        <w:t>检验检测应以科学的方法和准确的数据为基础，确保检测结果真实、有效和可重复。实验室应采用符合国家和行业标准的试验方法，并根据新材料的特点适当引入先进的检测技术。</w:t>
      </w:r>
    </w:p>
    <w:p w14:paraId="63DF7BE0">
      <w:pPr>
        <w:pStyle w:val="105"/>
        <w:spacing w:before="120" w:after="120" w:line="360" w:lineRule="auto"/>
      </w:pPr>
      <w:r>
        <w:rPr>
          <w:rFonts w:hint="eastAsia"/>
        </w:rPr>
        <w:t>系统性</w:t>
      </w:r>
    </w:p>
    <w:p w14:paraId="0DB86F08">
      <w:pPr>
        <w:pStyle w:val="56"/>
        <w:spacing w:line="360" w:lineRule="auto"/>
        <w:ind w:firstLine="420"/>
      </w:pPr>
      <w:r>
        <w:rPr>
          <w:rFonts w:hint="eastAsia"/>
        </w:rPr>
        <w:t>检验检测工作应覆盖材料进样、检测准备、检测实施、数据记录和结果分析等全过程，形成环环相扣的管理链条，避免因环节缺失而导致数据不完整或结果偏差。</w:t>
      </w:r>
    </w:p>
    <w:p w14:paraId="430AD3DF">
      <w:pPr>
        <w:pStyle w:val="105"/>
        <w:spacing w:before="120" w:after="120" w:line="360" w:lineRule="auto"/>
      </w:pPr>
      <w:r>
        <w:rPr>
          <w:rFonts w:hint="eastAsia"/>
        </w:rPr>
        <w:t>标准化</w:t>
      </w:r>
    </w:p>
    <w:p w14:paraId="69BC4073">
      <w:pPr>
        <w:pStyle w:val="56"/>
        <w:spacing w:line="360" w:lineRule="auto"/>
        <w:ind w:firstLine="420"/>
      </w:pPr>
      <w:r>
        <w:rPr>
          <w:rFonts w:hint="eastAsia"/>
        </w:rPr>
        <w:t>所有检测流程和操作规范应严格遵循相关国家标准、行业标准及本文件要求，保证不同机构、不同批次检测结果的可比性和互认性。</w:t>
      </w:r>
    </w:p>
    <w:p w14:paraId="2D7A91D9">
      <w:pPr>
        <w:pStyle w:val="105"/>
        <w:spacing w:before="120" w:after="120" w:line="360" w:lineRule="auto"/>
      </w:pPr>
      <w:r>
        <w:rPr>
          <w:rFonts w:hint="eastAsia"/>
        </w:rPr>
        <w:t>预防为主</w:t>
      </w:r>
    </w:p>
    <w:p w14:paraId="131BCDFE">
      <w:pPr>
        <w:pStyle w:val="56"/>
        <w:spacing w:line="360" w:lineRule="auto"/>
        <w:ind w:firstLine="420"/>
      </w:pPr>
      <w:r>
        <w:rPr>
          <w:rFonts w:hint="eastAsia"/>
        </w:rPr>
        <w:t>在检验检测过程中应加强风险防控，注重设备状态监控和环境条件控制，防止因操作失误或条件异常造成检测偏差。</w:t>
      </w:r>
    </w:p>
    <w:p w14:paraId="02CCFFFE">
      <w:pPr>
        <w:pStyle w:val="105"/>
        <w:spacing w:before="120" w:after="120" w:line="360" w:lineRule="auto"/>
      </w:pPr>
      <w:r>
        <w:rPr>
          <w:rFonts w:hint="eastAsia"/>
        </w:rPr>
        <w:t>绿色环保</w:t>
      </w:r>
    </w:p>
    <w:p w14:paraId="4F3442E9">
      <w:pPr>
        <w:pStyle w:val="56"/>
        <w:spacing w:line="360" w:lineRule="auto"/>
        <w:ind w:firstLine="420"/>
      </w:pPr>
      <w:r>
        <w:rPr>
          <w:rFonts w:hint="eastAsia"/>
        </w:rPr>
        <w:t>检测活动应注重节约资源与环境保护，合理使用耗材和能源，推广可降解或可循环使用的试剂和耗材，减少环境污染。</w:t>
      </w:r>
    </w:p>
    <w:p w14:paraId="15C9476B">
      <w:pPr>
        <w:pStyle w:val="105"/>
        <w:spacing w:before="120" w:after="120" w:line="360" w:lineRule="auto"/>
      </w:pPr>
      <w:r>
        <w:rPr>
          <w:rFonts w:hint="eastAsia"/>
        </w:rPr>
        <w:t>持续改进</w:t>
      </w:r>
    </w:p>
    <w:p w14:paraId="4E298868">
      <w:pPr>
        <w:pStyle w:val="56"/>
        <w:spacing w:line="360" w:lineRule="auto"/>
        <w:ind w:firstLine="420"/>
      </w:pPr>
      <w:r>
        <w:rPr>
          <w:rFonts w:hint="eastAsia"/>
        </w:rPr>
        <w:t>检测机构应建立评价与反馈机制，根据检测结果、质量审核及新材料应用实践不断优化检测方法和管理模式，使检验检测水平随行业发展不断提升。</w:t>
      </w:r>
    </w:p>
    <w:p w14:paraId="4709079D">
      <w:pPr>
        <w:pStyle w:val="104"/>
        <w:spacing w:before="240" w:after="240" w:line="360" w:lineRule="auto"/>
      </w:pPr>
      <w:bookmarkStart w:id="52" w:name="_Toc207957425"/>
      <w:r>
        <w:rPr>
          <w:rFonts w:hint="eastAsia"/>
        </w:rPr>
        <w:t>检验检测准备</w:t>
      </w:r>
      <w:bookmarkEnd w:id="52"/>
    </w:p>
    <w:p w14:paraId="4B360939">
      <w:pPr>
        <w:pStyle w:val="105"/>
        <w:spacing w:before="120" w:after="120" w:line="360" w:lineRule="auto"/>
      </w:pPr>
      <w:r>
        <w:rPr>
          <w:rFonts w:hint="eastAsia"/>
        </w:rPr>
        <w:t>人员准备</w:t>
      </w:r>
    </w:p>
    <w:p w14:paraId="1FBEDFBF">
      <w:pPr>
        <w:pStyle w:val="56"/>
        <w:spacing w:line="360" w:lineRule="auto"/>
        <w:ind w:firstLine="420"/>
      </w:pPr>
      <w:r>
        <w:rPr>
          <w:rFonts w:hint="eastAsia"/>
        </w:rPr>
        <w:t>人员是开展检验检测工作的核心。建筑新材料的检测方法涉及力学性能、耐久性、功能性等多个方面，操作环节专业性强，技术要求高。如果检测人员资质不足或缺乏必要培训，将直接影响检测数据的准确性与可靠性。</w:t>
      </w:r>
    </w:p>
    <w:p w14:paraId="49F358F6">
      <w:pPr>
        <w:pStyle w:val="56"/>
        <w:spacing w:line="360" w:lineRule="auto"/>
        <w:ind w:firstLine="420"/>
      </w:pPr>
      <w:r>
        <w:rPr>
          <w:rFonts w:hint="eastAsia"/>
        </w:rPr>
        <w:t>实验室在检测前应对人员配置作出明确要求：</w:t>
      </w:r>
    </w:p>
    <w:p w14:paraId="3AE971DC">
      <w:pPr>
        <w:pStyle w:val="132"/>
        <w:spacing w:line="360" w:lineRule="auto"/>
      </w:pPr>
      <w:r>
        <w:rPr>
          <w:rFonts w:hint="eastAsia"/>
        </w:rPr>
        <w:t>检测人员应经过培训并持有相应的上岗资格；</w:t>
      </w:r>
    </w:p>
    <w:p w14:paraId="31A563D7">
      <w:pPr>
        <w:pStyle w:val="132"/>
        <w:spacing w:line="360" w:lineRule="auto"/>
      </w:pPr>
      <w:r>
        <w:rPr>
          <w:rFonts w:hint="eastAsia"/>
        </w:rPr>
        <w:t>对新材料检测方法不熟悉的人员，应安排专项培训和考核；</w:t>
      </w:r>
    </w:p>
    <w:p w14:paraId="19EEA148">
      <w:pPr>
        <w:pStyle w:val="132"/>
        <w:spacing w:line="360" w:lineRule="auto"/>
      </w:pPr>
      <w:r>
        <w:rPr>
          <w:rFonts w:hint="eastAsia"/>
        </w:rPr>
        <w:t>实验室应建立人员职责分工，明确检测、复核和数据分析岗位。</w:t>
      </w:r>
    </w:p>
    <w:p w14:paraId="1B1E005E">
      <w:pPr>
        <w:pStyle w:val="105"/>
        <w:spacing w:before="120" w:after="120" w:line="360" w:lineRule="auto"/>
      </w:pPr>
      <w:r>
        <w:rPr>
          <w:rFonts w:hint="eastAsia"/>
        </w:rPr>
        <w:t>设备准备</w:t>
      </w:r>
    </w:p>
    <w:p w14:paraId="129C010D">
      <w:pPr>
        <w:pStyle w:val="56"/>
        <w:spacing w:line="360" w:lineRule="auto"/>
        <w:ind w:firstLine="420"/>
      </w:pPr>
      <w:r>
        <w:rPr>
          <w:rFonts w:hint="eastAsia"/>
        </w:rPr>
        <w:t>检测设备的运行状态是保证检测结果准确的重要基础。由于建筑新材料的性能指标繁多，不同检测项目往往涉及力学试验机、热学仪器、光学设备及环境模拟装置等多类设备。如果设备未按要求校准，或处于非最佳工作状态，检测数据将缺乏科学性和权威性。</w:t>
      </w:r>
    </w:p>
    <w:p w14:paraId="5E15D2DD">
      <w:pPr>
        <w:pStyle w:val="56"/>
        <w:spacing w:line="360" w:lineRule="auto"/>
        <w:ind w:firstLine="420"/>
      </w:pPr>
      <w:r>
        <w:rPr>
          <w:rFonts w:hint="eastAsia"/>
        </w:rPr>
        <w:t>在检测前必须对设备进行充分检查和确认：</w:t>
      </w:r>
    </w:p>
    <w:p w14:paraId="7AD1287A">
      <w:pPr>
        <w:pStyle w:val="132"/>
        <w:spacing w:line="360" w:lineRule="auto"/>
      </w:pPr>
      <w:r>
        <w:rPr>
          <w:rFonts w:hint="eastAsia"/>
        </w:rPr>
        <w:t>确认检测设备经计量检定或校准合格，并在有效期内；</w:t>
      </w:r>
    </w:p>
    <w:p w14:paraId="4B83EFB3">
      <w:pPr>
        <w:pStyle w:val="132"/>
        <w:spacing w:line="360" w:lineRule="auto"/>
      </w:pPr>
      <w:r>
        <w:rPr>
          <w:rFonts w:hint="eastAsia"/>
        </w:rPr>
        <w:t>检查设备运行状态，确保关键部件正常；</w:t>
      </w:r>
    </w:p>
    <w:p w14:paraId="6284B2A6">
      <w:pPr>
        <w:pStyle w:val="132"/>
        <w:spacing w:line="360" w:lineRule="auto"/>
      </w:pPr>
      <w:r>
        <w:rPr>
          <w:rFonts w:hint="eastAsia"/>
        </w:rPr>
        <w:t>必要时进行设备预热或性能验证。</w:t>
      </w:r>
    </w:p>
    <w:p w14:paraId="35FBD790">
      <w:pPr>
        <w:pStyle w:val="105"/>
        <w:spacing w:before="120" w:after="120" w:line="360" w:lineRule="auto"/>
      </w:pPr>
      <w:r>
        <w:rPr>
          <w:rFonts w:hint="eastAsia"/>
        </w:rPr>
        <w:t>样品准备</w:t>
      </w:r>
    </w:p>
    <w:p w14:paraId="7B3BDCD3">
      <w:pPr>
        <w:pStyle w:val="56"/>
        <w:spacing w:line="360" w:lineRule="auto"/>
        <w:ind w:firstLine="420"/>
      </w:pPr>
      <w:r>
        <w:rPr>
          <w:rFonts w:hint="eastAsia"/>
        </w:rPr>
        <w:t>样品是检测活动的对象，其代表性和完整性决定了检测数据是否真实反映材料性能。建筑新材料种类繁多，形态差异大（如板材、颗粒、涂层、复合构件），样品的保存和预处理对检测精度影响显著。如果管理不当，容易出现交叉污染、损耗或失真。</w:t>
      </w:r>
    </w:p>
    <w:p w14:paraId="4D70828E">
      <w:pPr>
        <w:pStyle w:val="56"/>
        <w:spacing w:line="360" w:lineRule="auto"/>
        <w:ind w:firstLine="420"/>
      </w:pPr>
      <w:r>
        <w:rPr>
          <w:rFonts w:hint="eastAsia"/>
        </w:rPr>
        <w:t>检测前必须对样品的接收、分类和预处理进行规范化操作：</w:t>
      </w:r>
    </w:p>
    <w:p w14:paraId="617A249F">
      <w:pPr>
        <w:pStyle w:val="132"/>
        <w:spacing w:line="360" w:lineRule="auto"/>
      </w:pPr>
      <w:r>
        <w:rPr>
          <w:rFonts w:hint="eastAsia"/>
        </w:rPr>
        <w:t>样品接收时应核对信息并建立台账；</w:t>
      </w:r>
    </w:p>
    <w:p w14:paraId="7FE04617">
      <w:pPr>
        <w:pStyle w:val="132"/>
        <w:spacing w:line="360" w:lineRule="auto"/>
      </w:pPr>
      <w:r>
        <w:rPr>
          <w:rFonts w:hint="eastAsia"/>
        </w:rPr>
        <w:t>对样品进行分类存放，避免交叉污染；</w:t>
      </w:r>
    </w:p>
    <w:p w14:paraId="1428F295">
      <w:pPr>
        <w:pStyle w:val="132"/>
        <w:spacing w:line="360" w:lineRule="auto"/>
      </w:pPr>
      <w:r>
        <w:rPr>
          <w:rFonts w:hint="eastAsia"/>
        </w:rPr>
        <w:t>对需要处理的样品（如切割、烘干、调湿）应按照标准方法进行预处理。</w:t>
      </w:r>
    </w:p>
    <w:p w14:paraId="45E002AE">
      <w:pPr>
        <w:pStyle w:val="105"/>
        <w:spacing w:before="120" w:after="120" w:line="360" w:lineRule="auto"/>
      </w:pPr>
      <w:r>
        <w:rPr>
          <w:rFonts w:hint="eastAsia"/>
        </w:rPr>
        <w:t>环境准备</w:t>
      </w:r>
    </w:p>
    <w:p w14:paraId="2CB1FA48">
      <w:pPr>
        <w:pStyle w:val="56"/>
        <w:spacing w:line="360" w:lineRule="auto"/>
        <w:ind w:firstLine="420"/>
      </w:pPr>
      <w:r>
        <w:rPr>
          <w:rFonts w:hint="eastAsia"/>
        </w:rPr>
        <w:t>检测环境的稳定性和适宜性直接关系到实验的可重复性和结果的可靠性。新材料的检测常涉及温湿度控制、振动隔离和空气洁净度管理，如果实验环境波动较大，将导致结果不一致甚至失效。</w:t>
      </w:r>
    </w:p>
    <w:p w14:paraId="7BFEA36B">
      <w:pPr>
        <w:pStyle w:val="56"/>
        <w:spacing w:line="360" w:lineRule="auto"/>
        <w:ind w:firstLine="420"/>
      </w:pPr>
      <w:r>
        <w:rPr>
          <w:rFonts w:hint="eastAsia"/>
        </w:rPr>
        <w:t>在开展检测前，实验室必须对环境条件进行检查与控制：</w:t>
      </w:r>
    </w:p>
    <w:p w14:paraId="3BD4D807">
      <w:pPr>
        <w:pStyle w:val="132"/>
        <w:spacing w:line="360" w:lineRule="auto"/>
      </w:pPr>
      <w:r>
        <w:rPr>
          <w:rFonts w:hint="eastAsia"/>
        </w:rPr>
        <w:t>温度、湿度和洁净度应符合标准规定；</w:t>
      </w:r>
    </w:p>
    <w:p w14:paraId="432CBAEE">
      <w:pPr>
        <w:pStyle w:val="132"/>
        <w:spacing w:line="360" w:lineRule="auto"/>
      </w:pPr>
      <w:r>
        <w:rPr>
          <w:rFonts w:hint="eastAsia"/>
        </w:rPr>
        <w:t>对有特殊要求的检测项目，应设立专用实验区域；</w:t>
      </w:r>
    </w:p>
    <w:p w14:paraId="3A97C470">
      <w:pPr>
        <w:pStyle w:val="132"/>
        <w:spacing w:line="360" w:lineRule="auto"/>
      </w:pPr>
      <w:r>
        <w:rPr>
          <w:rFonts w:hint="eastAsia"/>
        </w:rPr>
        <w:t>检测场所应避免强光、强磁场和震动干扰。</w:t>
      </w:r>
    </w:p>
    <w:p w14:paraId="2030345C">
      <w:pPr>
        <w:pStyle w:val="56"/>
        <w:spacing w:line="360" w:lineRule="auto"/>
        <w:ind w:firstLine="420"/>
      </w:pPr>
      <w:r>
        <w:rPr>
          <w:rFonts w:hint="eastAsia"/>
        </w:rPr>
        <w:t>为了更直观地落实准备工作，常见的检测准备要点见表1。</w:t>
      </w:r>
    </w:p>
    <w:p w14:paraId="2A62EE40">
      <w:pPr>
        <w:pStyle w:val="112"/>
        <w:spacing w:before="120" w:after="120" w:line="360" w:lineRule="auto"/>
      </w:pPr>
      <w:r>
        <w:rPr>
          <w:rFonts w:hint="eastAsia"/>
        </w:rPr>
        <w:t>建筑新材料检验检测准备要点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4531"/>
        <w:gridCol w:w="3112"/>
      </w:tblGrid>
      <w:tr w14:paraId="6AA6F8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91" w:type="dxa"/>
            <w:tcBorders>
              <w:top w:val="single" w:color="auto" w:sz="8" w:space="0"/>
              <w:bottom w:val="single" w:color="auto" w:sz="8" w:space="0"/>
            </w:tcBorders>
          </w:tcPr>
          <w:p w14:paraId="78748347">
            <w:pPr>
              <w:pStyle w:val="178"/>
            </w:pPr>
            <w:r>
              <w:rPr>
                <w:rFonts w:hint="eastAsia"/>
              </w:rPr>
              <w:t>准备环节</w:t>
            </w:r>
          </w:p>
        </w:tc>
        <w:tc>
          <w:tcPr>
            <w:tcW w:w="4531" w:type="dxa"/>
            <w:tcBorders>
              <w:top w:val="single" w:color="auto" w:sz="8" w:space="0"/>
              <w:bottom w:val="single" w:color="auto" w:sz="8" w:space="0"/>
            </w:tcBorders>
          </w:tcPr>
          <w:p w14:paraId="28DD3BE5">
            <w:pPr>
              <w:pStyle w:val="178"/>
            </w:pPr>
            <w:r>
              <w:rPr>
                <w:rFonts w:hint="eastAsia"/>
              </w:rPr>
              <w:t>主要内容</w:t>
            </w:r>
          </w:p>
        </w:tc>
        <w:tc>
          <w:tcPr>
            <w:tcW w:w="3112" w:type="dxa"/>
            <w:tcBorders>
              <w:top w:val="single" w:color="auto" w:sz="8" w:space="0"/>
              <w:bottom w:val="single" w:color="auto" w:sz="8" w:space="0"/>
            </w:tcBorders>
          </w:tcPr>
          <w:p w14:paraId="4A4F98D5">
            <w:pPr>
              <w:pStyle w:val="178"/>
            </w:pPr>
            <w:r>
              <w:rPr>
                <w:rFonts w:hint="eastAsia"/>
              </w:rPr>
              <w:t>管理要求</w:t>
            </w:r>
          </w:p>
        </w:tc>
      </w:tr>
      <w:tr w14:paraId="51373F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Borders>
              <w:top w:val="single" w:color="auto" w:sz="8" w:space="0"/>
            </w:tcBorders>
          </w:tcPr>
          <w:p w14:paraId="229DC6E8">
            <w:pPr>
              <w:pStyle w:val="178"/>
            </w:pPr>
            <w:r>
              <w:rPr>
                <w:rFonts w:hint="eastAsia"/>
              </w:rPr>
              <w:t>人员准备</w:t>
            </w:r>
          </w:p>
        </w:tc>
        <w:tc>
          <w:tcPr>
            <w:tcW w:w="4531" w:type="dxa"/>
            <w:tcBorders>
              <w:top w:val="single" w:color="auto" w:sz="8" w:space="0"/>
            </w:tcBorders>
          </w:tcPr>
          <w:p w14:paraId="19E47A84">
            <w:pPr>
              <w:pStyle w:val="178"/>
            </w:pPr>
            <w:r>
              <w:rPr>
                <w:rFonts w:hint="eastAsia"/>
              </w:rPr>
              <w:t>培训考核、持证上岗、职责分工</w:t>
            </w:r>
          </w:p>
        </w:tc>
        <w:tc>
          <w:tcPr>
            <w:tcW w:w="3112" w:type="dxa"/>
            <w:tcBorders>
              <w:top w:val="single" w:color="auto" w:sz="8" w:space="0"/>
            </w:tcBorders>
          </w:tcPr>
          <w:p w14:paraId="6D3CD153">
            <w:pPr>
              <w:pStyle w:val="178"/>
            </w:pPr>
            <w:r>
              <w:rPr>
                <w:rFonts w:hint="eastAsia"/>
              </w:rPr>
              <w:t>确保检测人员具备能力与责任心</w:t>
            </w:r>
          </w:p>
        </w:tc>
      </w:tr>
      <w:tr w14:paraId="6FA523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4F9B90B4">
            <w:pPr>
              <w:pStyle w:val="178"/>
            </w:pPr>
            <w:r>
              <w:rPr>
                <w:rFonts w:hint="eastAsia"/>
              </w:rPr>
              <w:t>设备准备</w:t>
            </w:r>
          </w:p>
        </w:tc>
        <w:tc>
          <w:tcPr>
            <w:tcW w:w="4531" w:type="dxa"/>
          </w:tcPr>
          <w:p w14:paraId="1E0B3909">
            <w:pPr>
              <w:pStyle w:val="178"/>
            </w:pPr>
            <w:r>
              <w:rPr>
                <w:rFonts w:hint="eastAsia"/>
              </w:rPr>
              <w:t>校准检定、运行检查、性能验证</w:t>
            </w:r>
          </w:p>
        </w:tc>
        <w:tc>
          <w:tcPr>
            <w:tcW w:w="3112" w:type="dxa"/>
          </w:tcPr>
          <w:p w14:paraId="2F97DA79">
            <w:pPr>
              <w:pStyle w:val="178"/>
            </w:pPr>
            <w:r>
              <w:rPr>
                <w:rFonts w:hint="eastAsia"/>
              </w:rPr>
              <w:t>保证设备处于良好工作状态</w:t>
            </w:r>
          </w:p>
        </w:tc>
      </w:tr>
      <w:tr w14:paraId="500D3F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2D4B2EC2">
            <w:pPr>
              <w:pStyle w:val="178"/>
            </w:pPr>
            <w:r>
              <w:rPr>
                <w:rFonts w:hint="eastAsia"/>
              </w:rPr>
              <w:t>样品准备</w:t>
            </w:r>
          </w:p>
        </w:tc>
        <w:tc>
          <w:tcPr>
            <w:tcW w:w="4531" w:type="dxa"/>
          </w:tcPr>
          <w:p w14:paraId="384D9F52">
            <w:pPr>
              <w:pStyle w:val="178"/>
            </w:pPr>
            <w:r>
              <w:rPr>
                <w:rFonts w:hint="eastAsia"/>
              </w:rPr>
              <w:t>接收台账、分类存放、预处理</w:t>
            </w:r>
          </w:p>
        </w:tc>
        <w:tc>
          <w:tcPr>
            <w:tcW w:w="3112" w:type="dxa"/>
          </w:tcPr>
          <w:p w14:paraId="14E5D446">
            <w:pPr>
              <w:pStyle w:val="178"/>
            </w:pPr>
            <w:r>
              <w:rPr>
                <w:rFonts w:hint="eastAsia"/>
              </w:rPr>
              <w:t>确保样品代表性与完整性</w:t>
            </w:r>
          </w:p>
        </w:tc>
      </w:tr>
      <w:tr w14:paraId="6420AB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27572713">
            <w:pPr>
              <w:pStyle w:val="178"/>
            </w:pPr>
            <w:r>
              <w:rPr>
                <w:rFonts w:hint="eastAsia"/>
              </w:rPr>
              <w:t>环境准备</w:t>
            </w:r>
          </w:p>
        </w:tc>
        <w:tc>
          <w:tcPr>
            <w:tcW w:w="4531" w:type="dxa"/>
          </w:tcPr>
          <w:p w14:paraId="5582C311">
            <w:pPr>
              <w:pStyle w:val="178"/>
            </w:pPr>
            <w:r>
              <w:rPr>
                <w:rFonts w:hint="eastAsia"/>
              </w:rPr>
              <w:t>温湿度控制、区域分区、环境防护</w:t>
            </w:r>
          </w:p>
        </w:tc>
        <w:tc>
          <w:tcPr>
            <w:tcW w:w="3112" w:type="dxa"/>
          </w:tcPr>
          <w:p w14:paraId="148241BD">
            <w:pPr>
              <w:pStyle w:val="178"/>
            </w:pPr>
            <w:r>
              <w:rPr>
                <w:rFonts w:hint="eastAsia"/>
              </w:rPr>
              <w:t>提供稳定可靠的检测条件</w:t>
            </w:r>
          </w:p>
        </w:tc>
      </w:tr>
    </w:tbl>
    <w:p w14:paraId="409964F4">
      <w:pPr>
        <w:pStyle w:val="104"/>
        <w:spacing w:before="240" w:after="240" w:line="360" w:lineRule="auto"/>
      </w:pPr>
      <w:bookmarkStart w:id="53" w:name="_Toc207957426"/>
      <w:r>
        <w:rPr>
          <w:rFonts w:hint="eastAsia"/>
        </w:rPr>
        <w:t>检验检测</w:t>
      </w:r>
      <w:bookmarkEnd w:id="53"/>
    </w:p>
    <w:p w14:paraId="4BB7A1D8">
      <w:pPr>
        <w:pStyle w:val="105"/>
        <w:spacing w:before="120" w:after="120" w:line="360" w:lineRule="auto"/>
      </w:pPr>
      <w:r>
        <w:rPr>
          <w:rFonts w:hint="eastAsia"/>
        </w:rPr>
        <w:t>总则</w:t>
      </w:r>
    </w:p>
    <w:p w14:paraId="5EC8C797">
      <w:pPr>
        <w:pStyle w:val="56"/>
        <w:spacing w:line="360" w:lineRule="auto"/>
        <w:ind w:firstLine="420"/>
      </w:pPr>
      <w:r>
        <w:rPr>
          <w:rFonts w:hint="eastAsia"/>
        </w:rPr>
        <w:t>建筑新材料种类繁多，性能指标复杂，检验检测方法应具有针对性和科学性。本章对常见的检测方法与流程进行归纳，强调不同环节的衔接与规范化，以保证检测结果的可靠性和可比性。</w:t>
      </w:r>
    </w:p>
    <w:p w14:paraId="579DC9D0">
      <w:pPr>
        <w:pStyle w:val="56"/>
        <w:spacing w:line="360" w:lineRule="auto"/>
        <w:ind w:firstLine="420"/>
      </w:pPr>
      <w:r>
        <w:rPr>
          <w:rFonts w:hint="eastAsia"/>
        </w:rPr>
        <w:t>新材料检验检测应在满足国家和行业标准的前提下，根据材料特性和检测目的，合理选择检测方法。检测流程应覆盖样品接收、前处理、性能测试、数据分析和结果报告等全过程，确保操作连贯、数据完整和记录可追溯。</w:t>
      </w:r>
    </w:p>
    <w:p w14:paraId="4697EF9E">
      <w:pPr>
        <w:pStyle w:val="105"/>
        <w:spacing w:before="120" w:after="120" w:line="360" w:lineRule="auto"/>
      </w:pPr>
      <w:r>
        <w:rPr>
          <w:rFonts w:hint="eastAsia"/>
        </w:rPr>
        <w:t>样品处理方法</w:t>
      </w:r>
    </w:p>
    <w:p w14:paraId="4E7B9850">
      <w:pPr>
        <w:pStyle w:val="56"/>
        <w:spacing w:line="360" w:lineRule="auto"/>
        <w:ind w:firstLine="420"/>
      </w:pPr>
      <w:r>
        <w:rPr>
          <w:rFonts w:hint="eastAsia"/>
        </w:rPr>
        <w:t>样品处理是检测的基础，若前处理不规范，将直接影响检测的准确性。不同材料处理方法如下：</w:t>
      </w:r>
    </w:p>
    <w:p w14:paraId="69CB3F1F">
      <w:pPr>
        <w:pStyle w:val="132"/>
        <w:spacing w:line="360" w:lineRule="auto"/>
      </w:pPr>
      <w:r>
        <w:rPr>
          <w:rFonts w:hint="eastAsia"/>
        </w:rPr>
        <w:t>固体材料（如板材、砖块、复合构件）应进行切割、调湿或表面处理；</w:t>
      </w:r>
    </w:p>
    <w:p w14:paraId="2BE9A840">
      <w:pPr>
        <w:pStyle w:val="132"/>
        <w:spacing w:line="360" w:lineRule="auto"/>
      </w:pPr>
      <w:r>
        <w:rPr>
          <w:rFonts w:hint="eastAsia"/>
        </w:rPr>
        <w:t>粉体材料（如胶凝材料、保温颗粒）应均匀混合并避免受潮；</w:t>
      </w:r>
    </w:p>
    <w:p w14:paraId="1AB9762F">
      <w:pPr>
        <w:pStyle w:val="132"/>
        <w:spacing w:line="360" w:lineRule="auto"/>
      </w:pPr>
      <w:r>
        <w:rPr>
          <w:rFonts w:hint="eastAsia"/>
        </w:rPr>
        <w:t>涂层或薄膜材料应根据标准制备试件，保证厚度和均匀性。</w:t>
      </w:r>
    </w:p>
    <w:p w14:paraId="54D57582">
      <w:pPr>
        <w:pStyle w:val="105"/>
        <w:spacing w:before="120" w:after="120" w:line="360" w:lineRule="auto"/>
      </w:pPr>
      <w:r>
        <w:rPr>
          <w:rFonts w:hint="eastAsia"/>
        </w:rPr>
        <w:t>性能检测方法</w:t>
      </w:r>
    </w:p>
    <w:p w14:paraId="43ECB33D">
      <w:pPr>
        <w:pStyle w:val="56"/>
        <w:spacing w:line="360" w:lineRule="auto"/>
        <w:ind w:firstLine="420"/>
      </w:pPr>
      <w:r>
        <w:rPr>
          <w:rFonts w:hint="eastAsia"/>
        </w:rPr>
        <w:t>性能检测是检验的核心，应根据检测指标选择合适的方法和仪器。常见的性能检测包括：</w:t>
      </w:r>
    </w:p>
    <w:p w14:paraId="5939119A">
      <w:pPr>
        <w:pStyle w:val="132"/>
        <w:spacing w:line="360" w:lineRule="auto"/>
      </w:pPr>
      <w:r>
        <w:rPr>
          <w:rFonts w:hint="eastAsia"/>
        </w:rPr>
        <w:t>力学性能：如抗压强度、抗折强度、粘结性能；</w:t>
      </w:r>
    </w:p>
    <w:p w14:paraId="29A7AF5E">
      <w:pPr>
        <w:pStyle w:val="132"/>
        <w:spacing w:line="360" w:lineRule="auto"/>
      </w:pPr>
      <w:r>
        <w:rPr>
          <w:rFonts w:hint="eastAsia"/>
        </w:rPr>
        <w:t>物理性能：如导热系数、透气性、吸水率；</w:t>
      </w:r>
    </w:p>
    <w:p w14:paraId="028815A9">
      <w:pPr>
        <w:pStyle w:val="132"/>
        <w:spacing w:line="360" w:lineRule="auto"/>
      </w:pPr>
      <w:r>
        <w:rPr>
          <w:rFonts w:hint="eastAsia"/>
        </w:rPr>
        <w:t>耐久性能：如耐冻融、耐腐蚀、耐候性；</w:t>
      </w:r>
    </w:p>
    <w:p w14:paraId="3A19C042">
      <w:pPr>
        <w:pStyle w:val="132"/>
        <w:spacing w:line="360" w:lineRule="auto"/>
      </w:pPr>
      <w:r>
        <w:rPr>
          <w:rFonts w:hint="eastAsia"/>
        </w:rPr>
        <w:t>功能性能：如隔音、阻燃、自清洁、光伏转化效率。</w:t>
      </w:r>
    </w:p>
    <w:p w14:paraId="3371ACBA">
      <w:pPr>
        <w:pStyle w:val="56"/>
        <w:spacing w:line="360" w:lineRule="auto"/>
        <w:ind w:firstLine="420"/>
      </w:pPr>
      <w:r>
        <w:rPr>
          <w:rFonts w:hint="eastAsia"/>
        </w:rPr>
        <w:t>不同性能的检测应严格按照相应的国家或行业标准方法执行，并结合自动化或智能化检测设备，提升效率与精度。</w:t>
      </w:r>
    </w:p>
    <w:p w14:paraId="2926A87B">
      <w:pPr>
        <w:pStyle w:val="105"/>
        <w:spacing w:before="120" w:after="120" w:line="360" w:lineRule="auto"/>
      </w:pPr>
      <w:r>
        <w:rPr>
          <w:rFonts w:hint="eastAsia"/>
        </w:rPr>
        <w:t>数据分析与结果判定</w:t>
      </w:r>
    </w:p>
    <w:p w14:paraId="49FAA896">
      <w:pPr>
        <w:pStyle w:val="56"/>
        <w:spacing w:line="360" w:lineRule="auto"/>
        <w:ind w:firstLine="420"/>
      </w:pPr>
      <w:r>
        <w:rPr>
          <w:rFonts w:hint="eastAsia"/>
        </w:rPr>
        <w:t>数据分析是将实验结果转化为可用结论的关键步骤。检测机构应建立统一的判定标准，结合规范的统计方法，避免主观判断偏差。必要时，应采用对比样或参考材料进行校准。</w:t>
      </w:r>
    </w:p>
    <w:p w14:paraId="320351A1">
      <w:pPr>
        <w:pStyle w:val="56"/>
        <w:spacing w:line="360" w:lineRule="auto"/>
        <w:ind w:firstLine="420"/>
      </w:pPr>
      <w:r>
        <w:rPr>
          <w:rFonts w:hint="eastAsia"/>
        </w:rPr>
        <w:t>为便于检测机构参考，建筑新材料检验检测的典型流程见表2。</w:t>
      </w:r>
    </w:p>
    <w:p w14:paraId="5DE669B9">
      <w:pPr>
        <w:pStyle w:val="56"/>
        <w:spacing w:line="360" w:lineRule="auto"/>
        <w:ind w:firstLine="420"/>
        <w:rPr>
          <w:rFonts w:hint="eastAsia"/>
        </w:rPr>
      </w:pPr>
    </w:p>
    <w:p w14:paraId="184AF7C3">
      <w:pPr>
        <w:pStyle w:val="112"/>
        <w:spacing w:before="120" w:after="120" w:line="360" w:lineRule="auto"/>
      </w:pPr>
      <w:r>
        <w:rPr>
          <w:rFonts w:hint="eastAsia"/>
        </w:rPr>
        <w:t>建筑新材料检验检测流程示意表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7"/>
        <w:gridCol w:w="3827"/>
        <w:gridCol w:w="3390"/>
      </w:tblGrid>
      <w:tr w14:paraId="0A9FC0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117" w:type="dxa"/>
            <w:tcBorders>
              <w:top w:val="single" w:color="auto" w:sz="8" w:space="0"/>
              <w:bottom w:val="single" w:color="auto" w:sz="8" w:space="0"/>
            </w:tcBorders>
          </w:tcPr>
          <w:p w14:paraId="7CEFA654">
            <w:pPr>
              <w:pStyle w:val="178"/>
            </w:pPr>
            <w:r>
              <w:rPr>
                <w:rFonts w:hint="eastAsia"/>
              </w:rPr>
              <w:t>流程环节</w:t>
            </w:r>
          </w:p>
        </w:tc>
        <w:tc>
          <w:tcPr>
            <w:tcW w:w="3827" w:type="dxa"/>
            <w:tcBorders>
              <w:top w:val="single" w:color="auto" w:sz="8" w:space="0"/>
              <w:bottom w:val="single" w:color="auto" w:sz="8" w:space="0"/>
            </w:tcBorders>
          </w:tcPr>
          <w:p w14:paraId="10CCEC4A">
            <w:pPr>
              <w:pStyle w:val="178"/>
            </w:pPr>
            <w:r>
              <w:rPr>
                <w:rFonts w:hint="eastAsia"/>
              </w:rPr>
              <w:t>主要任务</w:t>
            </w:r>
          </w:p>
        </w:tc>
        <w:tc>
          <w:tcPr>
            <w:tcW w:w="3390" w:type="dxa"/>
            <w:tcBorders>
              <w:top w:val="single" w:color="auto" w:sz="8" w:space="0"/>
              <w:bottom w:val="single" w:color="auto" w:sz="8" w:space="0"/>
            </w:tcBorders>
          </w:tcPr>
          <w:p w14:paraId="20918B75">
            <w:pPr>
              <w:pStyle w:val="178"/>
            </w:pPr>
            <w:r>
              <w:rPr>
                <w:rFonts w:hint="eastAsia"/>
              </w:rPr>
              <w:t>技术要点</w:t>
            </w:r>
          </w:p>
        </w:tc>
      </w:tr>
      <w:tr w14:paraId="4C72AD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top w:val="single" w:color="auto" w:sz="8" w:space="0"/>
            </w:tcBorders>
          </w:tcPr>
          <w:p w14:paraId="2DA117AD">
            <w:pPr>
              <w:pStyle w:val="178"/>
            </w:pPr>
            <w:r>
              <w:rPr>
                <w:rFonts w:hint="eastAsia"/>
              </w:rPr>
              <w:t>样品接收与登记</w:t>
            </w:r>
          </w:p>
        </w:tc>
        <w:tc>
          <w:tcPr>
            <w:tcW w:w="3827" w:type="dxa"/>
            <w:tcBorders>
              <w:top w:val="single" w:color="auto" w:sz="8" w:space="0"/>
            </w:tcBorders>
          </w:tcPr>
          <w:p w14:paraId="18160930">
            <w:pPr>
              <w:pStyle w:val="178"/>
            </w:pPr>
            <w:r>
              <w:rPr>
                <w:rFonts w:hint="eastAsia"/>
              </w:rPr>
              <w:t>核对信息、编号建档</w:t>
            </w:r>
          </w:p>
        </w:tc>
        <w:tc>
          <w:tcPr>
            <w:tcW w:w="3390" w:type="dxa"/>
            <w:tcBorders>
              <w:top w:val="single" w:color="auto" w:sz="8" w:space="0"/>
            </w:tcBorders>
          </w:tcPr>
          <w:p w14:paraId="206B38E7">
            <w:pPr>
              <w:pStyle w:val="178"/>
            </w:pPr>
            <w:r>
              <w:rPr>
                <w:rFonts w:hint="eastAsia"/>
              </w:rPr>
              <w:t>建立台账，确保全程追溯</w:t>
            </w:r>
          </w:p>
        </w:tc>
      </w:tr>
      <w:tr w14:paraId="0A49DF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6682F1BB">
            <w:pPr>
              <w:pStyle w:val="178"/>
            </w:pPr>
            <w:r>
              <w:rPr>
                <w:rFonts w:hint="eastAsia"/>
              </w:rPr>
              <w:t>样品前处理</w:t>
            </w:r>
          </w:p>
        </w:tc>
        <w:tc>
          <w:tcPr>
            <w:tcW w:w="3827" w:type="dxa"/>
          </w:tcPr>
          <w:p w14:paraId="488085B9">
            <w:pPr>
              <w:pStyle w:val="178"/>
            </w:pPr>
            <w:r>
              <w:rPr>
                <w:rFonts w:hint="eastAsia"/>
              </w:rPr>
              <w:t>切割、调湿、混合、制备试件</w:t>
            </w:r>
          </w:p>
        </w:tc>
        <w:tc>
          <w:tcPr>
            <w:tcW w:w="3390" w:type="dxa"/>
          </w:tcPr>
          <w:p w14:paraId="0596EE8A">
            <w:pPr>
              <w:pStyle w:val="178"/>
            </w:pPr>
            <w:r>
              <w:rPr>
                <w:rFonts w:hint="eastAsia"/>
              </w:rPr>
              <w:t>根据材料特性采用标准化处理方式</w:t>
            </w:r>
          </w:p>
        </w:tc>
      </w:tr>
      <w:tr w14:paraId="7D9A7B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4F205EFD">
            <w:pPr>
              <w:pStyle w:val="178"/>
            </w:pPr>
            <w:r>
              <w:rPr>
                <w:rFonts w:hint="eastAsia"/>
              </w:rPr>
              <w:t>性能测试</w:t>
            </w:r>
          </w:p>
        </w:tc>
        <w:tc>
          <w:tcPr>
            <w:tcW w:w="3827" w:type="dxa"/>
          </w:tcPr>
          <w:p w14:paraId="27E8EC39">
            <w:pPr>
              <w:pStyle w:val="178"/>
            </w:pPr>
            <w:r>
              <w:rPr>
                <w:rFonts w:hint="eastAsia"/>
              </w:rPr>
              <w:t>力学、物理、耐久、功能性能检测</w:t>
            </w:r>
          </w:p>
        </w:tc>
        <w:tc>
          <w:tcPr>
            <w:tcW w:w="3390" w:type="dxa"/>
          </w:tcPr>
          <w:p w14:paraId="2DBB1828">
            <w:pPr>
              <w:pStyle w:val="178"/>
            </w:pPr>
            <w:r>
              <w:rPr>
                <w:rFonts w:hint="eastAsia"/>
              </w:rPr>
              <w:t>选择对应的标准方法和合适仪器设备</w:t>
            </w:r>
          </w:p>
        </w:tc>
      </w:tr>
      <w:tr w14:paraId="0C310A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2A6E230B">
            <w:pPr>
              <w:pStyle w:val="178"/>
            </w:pPr>
            <w:r>
              <w:rPr>
                <w:rFonts w:hint="eastAsia"/>
              </w:rPr>
              <w:t>数据记录与分析</w:t>
            </w:r>
          </w:p>
        </w:tc>
        <w:tc>
          <w:tcPr>
            <w:tcW w:w="3827" w:type="dxa"/>
          </w:tcPr>
          <w:p w14:paraId="5E4327B3">
            <w:pPr>
              <w:pStyle w:val="178"/>
            </w:pPr>
            <w:r>
              <w:rPr>
                <w:rFonts w:hint="eastAsia"/>
              </w:rPr>
              <w:t>采集原始数据、进行统计分析</w:t>
            </w:r>
          </w:p>
        </w:tc>
        <w:tc>
          <w:tcPr>
            <w:tcW w:w="3390" w:type="dxa"/>
          </w:tcPr>
          <w:p w14:paraId="5156DB8A">
            <w:pPr>
              <w:pStyle w:val="178"/>
            </w:pPr>
            <w:r>
              <w:rPr>
                <w:rFonts w:hint="eastAsia"/>
              </w:rPr>
              <w:t>数据完整、方法科学、避免偏差</w:t>
            </w:r>
          </w:p>
        </w:tc>
      </w:tr>
      <w:tr w14:paraId="63BFA3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507F34D2">
            <w:pPr>
              <w:pStyle w:val="178"/>
            </w:pPr>
            <w:r>
              <w:rPr>
                <w:rFonts w:hint="eastAsia"/>
              </w:rPr>
              <w:t>结果判定与报告</w:t>
            </w:r>
          </w:p>
        </w:tc>
        <w:tc>
          <w:tcPr>
            <w:tcW w:w="3827" w:type="dxa"/>
          </w:tcPr>
          <w:p w14:paraId="3B1A3CDF">
            <w:pPr>
              <w:pStyle w:val="178"/>
            </w:pPr>
            <w:r>
              <w:rPr>
                <w:rFonts w:hint="eastAsia"/>
              </w:rPr>
              <w:t>出具检测报告、复核与存档</w:t>
            </w:r>
          </w:p>
        </w:tc>
        <w:tc>
          <w:tcPr>
            <w:tcW w:w="3390" w:type="dxa"/>
          </w:tcPr>
          <w:p w14:paraId="789E1605">
            <w:pPr>
              <w:pStyle w:val="178"/>
            </w:pPr>
            <w:r>
              <w:rPr>
                <w:rFonts w:hint="eastAsia"/>
              </w:rPr>
              <w:t>报告规范、结论清晰、支持追溯管理</w:t>
            </w:r>
          </w:p>
        </w:tc>
      </w:tr>
    </w:tbl>
    <w:p w14:paraId="6DCC0AC6">
      <w:pPr>
        <w:pStyle w:val="56"/>
        <w:spacing w:before="120" w:beforeLines="50" w:line="360" w:lineRule="auto"/>
        <w:ind w:firstLine="420"/>
      </w:pPr>
      <w:r>
        <w:rPr>
          <w:rFonts w:hint="eastAsia"/>
        </w:rPr>
        <w:t>表中的流程为不同类型的新材料检测提供了通用框架，检测机构可根据具体材料和检测需求进行细化和调整。</w:t>
      </w:r>
    </w:p>
    <w:p w14:paraId="1C2F116E">
      <w:pPr>
        <w:pStyle w:val="105"/>
        <w:spacing w:before="120" w:after="120" w:line="360" w:lineRule="auto"/>
      </w:pPr>
      <w:r>
        <w:rPr>
          <w:rFonts w:hint="eastAsia"/>
        </w:rPr>
        <w:t>方法验证与改进</w:t>
      </w:r>
    </w:p>
    <w:p w14:paraId="285226B2">
      <w:pPr>
        <w:pStyle w:val="56"/>
        <w:spacing w:line="360" w:lineRule="auto"/>
        <w:ind w:firstLine="420"/>
      </w:pPr>
      <w:r>
        <w:rPr>
          <w:rFonts w:hint="eastAsia"/>
        </w:rPr>
        <w:t>对于新出现或缺乏标准的材料，应开展方法验证工作，确保检测结果科学可靠。验证内容包括准确性、灵敏度、重复性和稳定性。随着检测技术的不断发展，实验室应及时对方法进行评估和优化，使其与行业最新要求保持一致。</w:t>
      </w:r>
    </w:p>
    <w:p w14:paraId="04980F32">
      <w:pPr>
        <w:pStyle w:val="104"/>
        <w:spacing w:before="240" w:after="240" w:line="360" w:lineRule="auto"/>
      </w:pPr>
      <w:bookmarkStart w:id="54" w:name="_Toc207957427"/>
      <w:r>
        <w:rPr>
          <w:rFonts w:hint="eastAsia"/>
        </w:rPr>
        <w:t>质量控制</w:t>
      </w:r>
      <w:bookmarkEnd w:id="54"/>
    </w:p>
    <w:p w14:paraId="74D1F0D0">
      <w:pPr>
        <w:pStyle w:val="105"/>
        <w:spacing w:before="120" w:after="120" w:line="360" w:lineRule="auto"/>
      </w:pPr>
      <w:r>
        <w:rPr>
          <w:rFonts w:hint="eastAsia"/>
        </w:rPr>
        <w:t>总则</w:t>
      </w:r>
    </w:p>
    <w:p w14:paraId="35104E34">
      <w:pPr>
        <w:pStyle w:val="56"/>
        <w:spacing w:line="360" w:lineRule="auto"/>
        <w:ind w:firstLine="420"/>
      </w:pPr>
      <w:r>
        <w:rPr>
          <w:rFonts w:hint="eastAsia"/>
        </w:rPr>
        <w:t>质量控制是保障建筑新材料检验检测结果准确性与可比性的核心环节。通过建立全流程的质量控制体系，可以有效减少误差，确保检测结果科学可靠。</w:t>
      </w:r>
    </w:p>
    <w:p w14:paraId="4D94F76F">
      <w:pPr>
        <w:pStyle w:val="56"/>
        <w:spacing w:line="360" w:lineRule="auto"/>
        <w:ind w:firstLine="420"/>
      </w:pPr>
      <w:r>
        <w:rPr>
          <w:rFonts w:hint="eastAsia"/>
        </w:rPr>
        <w:t>实验室应建立质量控制制度，覆盖样品接收、检测过程、数据分析和结果出具的全过程，形成闭环管理。</w:t>
      </w:r>
    </w:p>
    <w:p w14:paraId="01544583">
      <w:pPr>
        <w:pStyle w:val="105"/>
        <w:spacing w:before="120" w:after="120" w:line="360" w:lineRule="auto"/>
      </w:pPr>
      <w:r>
        <w:rPr>
          <w:rFonts w:hint="eastAsia"/>
        </w:rPr>
        <w:t>内部质量控制</w:t>
      </w:r>
    </w:p>
    <w:p w14:paraId="01113A23">
      <w:pPr>
        <w:pStyle w:val="56"/>
        <w:spacing w:line="360" w:lineRule="auto"/>
        <w:ind w:firstLine="420"/>
      </w:pPr>
      <w:r>
        <w:rPr>
          <w:rFonts w:hint="eastAsia"/>
        </w:rPr>
        <w:t>内部质量控制主要依靠实验室自身的管理措施来实现：</w:t>
      </w:r>
    </w:p>
    <w:p w14:paraId="6C66A9DC">
      <w:pPr>
        <w:pStyle w:val="132"/>
        <w:spacing w:line="360" w:lineRule="auto"/>
      </w:pPr>
      <w:r>
        <w:rPr>
          <w:rFonts w:hint="eastAsia"/>
        </w:rPr>
        <w:t>每批检测应设置平行样、对照样和标准样品；</w:t>
      </w:r>
    </w:p>
    <w:p w14:paraId="48511046">
      <w:pPr>
        <w:pStyle w:val="132"/>
        <w:spacing w:line="360" w:lineRule="auto"/>
      </w:pPr>
      <w:r>
        <w:rPr>
          <w:rFonts w:hint="eastAsia"/>
        </w:rPr>
        <w:t>关键仪器应定期进行校准和验证；</w:t>
      </w:r>
    </w:p>
    <w:p w14:paraId="79CBF56B">
      <w:pPr>
        <w:pStyle w:val="132"/>
        <w:spacing w:line="360" w:lineRule="auto"/>
      </w:pPr>
      <w:r>
        <w:rPr>
          <w:rFonts w:hint="eastAsia"/>
        </w:rPr>
        <w:t>检测人员应严格遵循作业指导书，避免随意操作；</w:t>
      </w:r>
    </w:p>
    <w:p w14:paraId="406CD550">
      <w:pPr>
        <w:pStyle w:val="132"/>
        <w:spacing w:line="360" w:lineRule="auto"/>
      </w:pPr>
      <w:r>
        <w:rPr>
          <w:rFonts w:hint="eastAsia"/>
        </w:rPr>
        <w:t>结果数据需由复核人员进行二次审核。</w:t>
      </w:r>
    </w:p>
    <w:p w14:paraId="7BAD9619">
      <w:pPr>
        <w:pStyle w:val="105"/>
        <w:spacing w:before="120" w:after="120" w:line="360" w:lineRule="auto"/>
      </w:pPr>
      <w:r>
        <w:rPr>
          <w:rFonts w:hint="eastAsia"/>
        </w:rPr>
        <w:t>外部质量评估</w:t>
      </w:r>
    </w:p>
    <w:p w14:paraId="16F7E912">
      <w:pPr>
        <w:pStyle w:val="56"/>
        <w:spacing w:line="360" w:lineRule="auto"/>
        <w:ind w:firstLine="420"/>
      </w:pPr>
      <w:r>
        <w:rPr>
          <w:rFonts w:hint="eastAsia"/>
        </w:rPr>
        <w:t>实验室不仅需要内部质控，还应参与外部质量评估，以保证结果具有权威性：</w:t>
      </w:r>
    </w:p>
    <w:p w14:paraId="1E521730">
      <w:pPr>
        <w:pStyle w:val="132"/>
        <w:spacing w:line="360" w:lineRule="auto"/>
      </w:pPr>
      <w:r>
        <w:rPr>
          <w:rFonts w:hint="eastAsia"/>
        </w:rPr>
        <w:t>定期参加行业组织的能力验证或比对试验；</w:t>
      </w:r>
    </w:p>
    <w:p w14:paraId="7C81EE32">
      <w:pPr>
        <w:pStyle w:val="132"/>
        <w:spacing w:line="360" w:lineRule="auto"/>
      </w:pPr>
      <w:r>
        <w:rPr>
          <w:rFonts w:hint="eastAsia"/>
        </w:rPr>
        <w:t>邀请第三方机构对实验室检测体系进行评估；</w:t>
      </w:r>
    </w:p>
    <w:p w14:paraId="3C6DB24F">
      <w:pPr>
        <w:pStyle w:val="132"/>
        <w:spacing w:line="360" w:lineRule="auto"/>
      </w:pPr>
      <w:r>
        <w:rPr>
          <w:rFonts w:hint="eastAsia"/>
        </w:rPr>
        <w:t>将外部评估结果纳入实验室改进计划。</w:t>
      </w:r>
    </w:p>
    <w:p w14:paraId="578DEB48">
      <w:pPr>
        <w:pStyle w:val="56"/>
        <w:spacing w:line="360" w:lineRule="auto"/>
        <w:ind w:firstLine="420"/>
      </w:pPr>
      <w:r>
        <w:rPr>
          <w:rFonts w:hint="eastAsia"/>
        </w:rPr>
        <w:t>为了便于实验室操作，质量控制的关键环节可归纳为表3。</w:t>
      </w:r>
    </w:p>
    <w:p w14:paraId="4FD27B41">
      <w:pPr>
        <w:pStyle w:val="112"/>
        <w:spacing w:before="120" w:after="120" w:line="360" w:lineRule="auto"/>
      </w:pPr>
      <w:r>
        <w:rPr>
          <w:rFonts w:hint="eastAsia"/>
        </w:rPr>
        <w:t>建筑新材料检验检测质量控制要点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3827"/>
        <w:gridCol w:w="3532"/>
      </w:tblGrid>
      <w:tr w14:paraId="3781DA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tcPr>
          <w:p w14:paraId="504FDD1F">
            <w:pPr>
              <w:pStyle w:val="178"/>
            </w:pPr>
            <w:r>
              <w:rPr>
                <w:rFonts w:hint="eastAsia"/>
              </w:rPr>
              <w:t>质控环节</w:t>
            </w:r>
          </w:p>
        </w:tc>
        <w:tc>
          <w:tcPr>
            <w:tcW w:w="3827" w:type="dxa"/>
            <w:tcBorders>
              <w:top w:val="single" w:color="auto" w:sz="8" w:space="0"/>
              <w:bottom w:val="single" w:color="auto" w:sz="8" w:space="0"/>
            </w:tcBorders>
          </w:tcPr>
          <w:p w14:paraId="22E2DAC3">
            <w:pPr>
              <w:pStyle w:val="178"/>
            </w:pPr>
            <w:r>
              <w:rPr>
                <w:rFonts w:hint="eastAsia"/>
              </w:rPr>
              <w:t>主要内容</w:t>
            </w:r>
          </w:p>
        </w:tc>
        <w:tc>
          <w:tcPr>
            <w:tcW w:w="3532" w:type="dxa"/>
            <w:tcBorders>
              <w:top w:val="single" w:color="auto" w:sz="8" w:space="0"/>
              <w:bottom w:val="single" w:color="auto" w:sz="8" w:space="0"/>
            </w:tcBorders>
          </w:tcPr>
          <w:p w14:paraId="73EF1EEA">
            <w:pPr>
              <w:pStyle w:val="178"/>
            </w:pPr>
            <w:r>
              <w:rPr>
                <w:rFonts w:hint="eastAsia"/>
              </w:rPr>
              <w:t>管理要求</w:t>
            </w:r>
          </w:p>
        </w:tc>
      </w:tr>
      <w:tr w14:paraId="41D739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tcPr>
          <w:p w14:paraId="0B9776C0">
            <w:pPr>
              <w:pStyle w:val="178"/>
            </w:pPr>
            <w:r>
              <w:rPr>
                <w:rFonts w:hint="eastAsia"/>
              </w:rPr>
              <w:t>样品管理</w:t>
            </w:r>
          </w:p>
        </w:tc>
        <w:tc>
          <w:tcPr>
            <w:tcW w:w="3827" w:type="dxa"/>
            <w:tcBorders>
              <w:top w:val="single" w:color="auto" w:sz="8" w:space="0"/>
            </w:tcBorders>
          </w:tcPr>
          <w:p w14:paraId="4CB35C8C">
            <w:pPr>
              <w:pStyle w:val="178"/>
            </w:pPr>
            <w:r>
              <w:rPr>
                <w:rFonts w:hint="eastAsia"/>
              </w:rPr>
              <w:t>样品接收、编号、存放</w:t>
            </w:r>
          </w:p>
        </w:tc>
        <w:tc>
          <w:tcPr>
            <w:tcW w:w="3532" w:type="dxa"/>
            <w:tcBorders>
              <w:top w:val="single" w:color="auto" w:sz="8" w:space="0"/>
            </w:tcBorders>
          </w:tcPr>
          <w:p w14:paraId="17F23490">
            <w:pPr>
              <w:pStyle w:val="178"/>
            </w:pPr>
            <w:r>
              <w:rPr>
                <w:rFonts w:hint="eastAsia"/>
              </w:rPr>
              <w:t>建立台账，避免混淆与污染</w:t>
            </w:r>
          </w:p>
        </w:tc>
      </w:tr>
      <w:tr w14:paraId="0C1EB7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78CB7E20">
            <w:pPr>
              <w:pStyle w:val="178"/>
            </w:pPr>
            <w:r>
              <w:rPr>
                <w:rFonts w:hint="eastAsia"/>
              </w:rPr>
              <w:t>设备管理</w:t>
            </w:r>
          </w:p>
        </w:tc>
        <w:tc>
          <w:tcPr>
            <w:tcW w:w="3827" w:type="dxa"/>
          </w:tcPr>
          <w:p w14:paraId="31B29640">
            <w:pPr>
              <w:pStyle w:val="178"/>
            </w:pPr>
            <w:r>
              <w:rPr>
                <w:rFonts w:hint="eastAsia"/>
              </w:rPr>
              <w:t>仪器校准、功能检查、维护记录</w:t>
            </w:r>
          </w:p>
        </w:tc>
        <w:tc>
          <w:tcPr>
            <w:tcW w:w="3532" w:type="dxa"/>
          </w:tcPr>
          <w:p w14:paraId="2B3ADC35">
            <w:pPr>
              <w:pStyle w:val="178"/>
            </w:pPr>
            <w:r>
              <w:rPr>
                <w:rFonts w:hint="eastAsia"/>
              </w:rPr>
              <w:t>定期检定，确保设备正常运行</w:t>
            </w:r>
          </w:p>
        </w:tc>
      </w:tr>
      <w:tr w14:paraId="3E7854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1177047D">
            <w:pPr>
              <w:pStyle w:val="178"/>
            </w:pPr>
            <w:r>
              <w:rPr>
                <w:rFonts w:hint="eastAsia"/>
              </w:rPr>
              <w:t>操作执行</w:t>
            </w:r>
          </w:p>
        </w:tc>
        <w:tc>
          <w:tcPr>
            <w:tcW w:w="3827" w:type="dxa"/>
          </w:tcPr>
          <w:p w14:paraId="1DF3EBF4">
            <w:pPr>
              <w:pStyle w:val="178"/>
            </w:pPr>
            <w:r>
              <w:rPr>
                <w:rFonts w:hint="eastAsia"/>
              </w:rPr>
              <w:t>按规程操作，设置对照与质控样</w:t>
            </w:r>
          </w:p>
        </w:tc>
        <w:tc>
          <w:tcPr>
            <w:tcW w:w="3532" w:type="dxa"/>
          </w:tcPr>
          <w:p w14:paraId="31AFC07D">
            <w:pPr>
              <w:pStyle w:val="178"/>
            </w:pPr>
            <w:r>
              <w:rPr>
                <w:rFonts w:hint="eastAsia"/>
              </w:rPr>
              <w:t>严格执行方法，减少操作差异</w:t>
            </w:r>
          </w:p>
        </w:tc>
      </w:tr>
      <w:tr w14:paraId="31BA73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295CEA92">
            <w:pPr>
              <w:pStyle w:val="178"/>
            </w:pPr>
            <w:r>
              <w:rPr>
                <w:rFonts w:hint="eastAsia"/>
              </w:rPr>
              <w:t>数据复核</w:t>
            </w:r>
          </w:p>
        </w:tc>
        <w:tc>
          <w:tcPr>
            <w:tcW w:w="3827" w:type="dxa"/>
          </w:tcPr>
          <w:p w14:paraId="6C9FAAAB">
            <w:pPr>
              <w:pStyle w:val="178"/>
            </w:pPr>
            <w:r>
              <w:rPr>
                <w:rFonts w:hint="eastAsia"/>
              </w:rPr>
              <w:t>数据记录与复核</w:t>
            </w:r>
          </w:p>
        </w:tc>
        <w:tc>
          <w:tcPr>
            <w:tcW w:w="3532" w:type="dxa"/>
          </w:tcPr>
          <w:p w14:paraId="446354D6">
            <w:pPr>
              <w:pStyle w:val="178"/>
            </w:pPr>
            <w:r>
              <w:rPr>
                <w:rFonts w:hint="eastAsia"/>
              </w:rPr>
              <w:t>双人审核，保证数据真实准确</w:t>
            </w:r>
          </w:p>
        </w:tc>
      </w:tr>
      <w:tr w14:paraId="2FB6BC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58E17298">
            <w:pPr>
              <w:pStyle w:val="178"/>
            </w:pPr>
            <w:r>
              <w:rPr>
                <w:rFonts w:hint="eastAsia"/>
              </w:rPr>
              <w:t>外部评估</w:t>
            </w:r>
          </w:p>
        </w:tc>
        <w:tc>
          <w:tcPr>
            <w:tcW w:w="3827" w:type="dxa"/>
          </w:tcPr>
          <w:p w14:paraId="5BF6049D">
            <w:pPr>
              <w:pStyle w:val="178"/>
            </w:pPr>
            <w:r>
              <w:rPr>
                <w:rFonts w:hint="eastAsia"/>
              </w:rPr>
              <w:t>能力验证、第三方比对</w:t>
            </w:r>
          </w:p>
        </w:tc>
        <w:tc>
          <w:tcPr>
            <w:tcW w:w="3532" w:type="dxa"/>
          </w:tcPr>
          <w:p w14:paraId="081BDB3F">
            <w:pPr>
              <w:pStyle w:val="178"/>
            </w:pPr>
            <w:r>
              <w:rPr>
                <w:rFonts w:hint="eastAsia"/>
              </w:rPr>
              <w:t>发现差距，制定改进措施</w:t>
            </w:r>
          </w:p>
        </w:tc>
      </w:tr>
    </w:tbl>
    <w:p w14:paraId="72BD9EFB">
      <w:pPr>
        <w:pStyle w:val="56"/>
        <w:spacing w:before="120" w:beforeLines="50" w:line="360" w:lineRule="auto"/>
        <w:ind w:firstLine="420"/>
      </w:pPr>
      <w:r>
        <w:rPr>
          <w:rFonts w:hint="eastAsia"/>
        </w:rPr>
        <w:t>表中的内容可作为实验室开展日常质控和自查的参考，有助于发现薄弱环节并及时纠正。</w:t>
      </w:r>
    </w:p>
    <w:p w14:paraId="7556CA17">
      <w:pPr>
        <w:pStyle w:val="105"/>
        <w:spacing w:before="120" w:after="120" w:line="360" w:lineRule="auto"/>
      </w:pPr>
      <w:r>
        <w:rPr>
          <w:rFonts w:hint="eastAsia"/>
        </w:rPr>
        <w:t>持续改进</w:t>
      </w:r>
    </w:p>
    <w:p w14:paraId="49265C87">
      <w:pPr>
        <w:pStyle w:val="56"/>
        <w:spacing w:line="360" w:lineRule="auto"/>
        <w:ind w:firstLine="420"/>
      </w:pPr>
      <w:r>
        <w:rPr>
          <w:rFonts w:hint="eastAsia"/>
        </w:rPr>
        <w:t>质量控制应是动态过程，实验室应定期总结质控结果，根据问题进行工艺优化和流程调整，从而实现质量水平的持续提升。</w:t>
      </w:r>
    </w:p>
    <w:p w14:paraId="43075D5A">
      <w:pPr>
        <w:pStyle w:val="104"/>
        <w:spacing w:before="240" w:after="240" w:line="360" w:lineRule="auto"/>
      </w:pPr>
      <w:bookmarkStart w:id="55" w:name="_Toc207957428"/>
      <w:r>
        <w:rPr>
          <w:rFonts w:hint="eastAsia"/>
        </w:rPr>
        <w:t>数据管理</w:t>
      </w:r>
      <w:bookmarkEnd w:id="55"/>
    </w:p>
    <w:p w14:paraId="437BCD0E">
      <w:pPr>
        <w:pStyle w:val="105"/>
        <w:spacing w:before="120" w:after="120" w:line="360" w:lineRule="auto"/>
      </w:pPr>
      <w:r>
        <w:rPr>
          <w:rFonts w:hint="eastAsia"/>
        </w:rPr>
        <w:t>总则</w:t>
      </w:r>
    </w:p>
    <w:p w14:paraId="7F766E18">
      <w:pPr>
        <w:pStyle w:val="56"/>
        <w:spacing w:line="360" w:lineRule="auto"/>
        <w:ind w:firstLine="420"/>
      </w:pPr>
      <w:r>
        <w:rPr>
          <w:rFonts w:hint="eastAsia"/>
        </w:rPr>
        <w:t>数据管理是检验检测体系的重要组成部分，确保检测数据真实、完整、可追溯。通过科学的数据管理制度，可以提升检测机构的透明度和公信力。</w:t>
      </w:r>
    </w:p>
    <w:p w14:paraId="7D6A9104">
      <w:pPr>
        <w:pStyle w:val="56"/>
        <w:spacing w:line="360" w:lineRule="auto"/>
        <w:ind w:firstLine="420"/>
      </w:pPr>
      <w:r>
        <w:rPr>
          <w:rFonts w:hint="eastAsia"/>
        </w:rPr>
        <w:t>数据管理应遵循统一、规范、安全的原则，所有检测数据必须实现电子化存储和可追溯管理。</w:t>
      </w:r>
    </w:p>
    <w:p w14:paraId="73519131">
      <w:pPr>
        <w:pStyle w:val="105"/>
        <w:spacing w:before="120" w:after="120" w:line="360" w:lineRule="auto"/>
      </w:pPr>
      <w:r>
        <w:rPr>
          <w:rFonts w:hint="eastAsia"/>
        </w:rPr>
        <w:t>数据采集与存储</w:t>
      </w:r>
    </w:p>
    <w:p w14:paraId="64461AF9">
      <w:pPr>
        <w:pStyle w:val="56"/>
        <w:spacing w:line="360" w:lineRule="auto"/>
        <w:ind w:firstLine="420"/>
      </w:pPr>
      <w:r>
        <w:rPr>
          <w:rFonts w:hint="eastAsia"/>
        </w:rPr>
        <w:t>数据采集与存储是保障检测结果真实可靠的关键环节。实验室应建立统一的数据采集流程和存储体系，保证原始数据的完整性和后续数据调用的便利性。具体要求包括：</w:t>
      </w:r>
    </w:p>
    <w:p w14:paraId="54DD5256">
      <w:pPr>
        <w:pStyle w:val="132"/>
        <w:spacing w:line="360" w:lineRule="auto"/>
      </w:pPr>
      <w:r>
        <w:rPr>
          <w:rFonts w:hint="eastAsia"/>
        </w:rPr>
        <w:t>原始检测数据应实时采集并保存，禁止随意修改；</w:t>
      </w:r>
    </w:p>
    <w:p w14:paraId="7AC1428E">
      <w:pPr>
        <w:pStyle w:val="132"/>
        <w:spacing w:line="360" w:lineRule="auto"/>
      </w:pPr>
      <w:r>
        <w:rPr>
          <w:rFonts w:hint="eastAsia"/>
        </w:rPr>
        <w:t>数据应建立备份机制，定期更新，避免丢失；</w:t>
      </w:r>
    </w:p>
    <w:p w14:paraId="5BCAA6AE">
      <w:pPr>
        <w:pStyle w:val="132"/>
        <w:spacing w:line="360" w:lineRule="auto"/>
      </w:pPr>
      <w:r>
        <w:rPr>
          <w:rFonts w:hint="eastAsia"/>
        </w:rPr>
        <w:t>不同类型的数据应分级存储，便于管理和调用。</w:t>
      </w:r>
    </w:p>
    <w:p w14:paraId="48085386">
      <w:pPr>
        <w:pStyle w:val="105"/>
        <w:spacing w:before="120" w:after="120" w:line="360" w:lineRule="auto"/>
      </w:pPr>
      <w:r>
        <w:rPr>
          <w:rFonts w:hint="eastAsia"/>
        </w:rPr>
        <w:t>数据共享与应用</w:t>
      </w:r>
    </w:p>
    <w:p w14:paraId="7AC83AA6">
      <w:pPr>
        <w:pStyle w:val="56"/>
        <w:spacing w:line="360" w:lineRule="auto"/>
        <w:ind w:firstLine="420"/>
      </w:pPr>
      <w:r>
        <w:rPr>
          <w:rFonts w:hint="eastAsia"/>
        </w:rPr>
        <w:t>检测数据不仅服务于实验室内部管理，还应为监管机构、科研单位和企业的决策提供支持。为此，实验室应在确保数据安全的前提下，积极推动数据的共享和应用。主要要求包括：</w:t>
      </w:r>
    </w:p>
    <w:p w14:paraId="15950037">
      <w:pPr>
        <w:pStyle w:val="132"/>
        <w:spacing w:line="360" w:lineRule="auto"/>
      </w:pPr>
      <w:r>
        <w:rPr>
          <w:rFonts w:hint="eastAsia"/>
        </w:rPr>
        <w:t>检测数据应在实验室内部共享，并与监管系统对接；</w:t>
      </w:r>
    </w:p>
    <w:p w14:paraId="00F5A1C0">
      <w:pPr>
        <w:pStyle w:val="132"/>
        <w:spacing w:line="360" w:lineRule="auto"/>
      </w:pPr>
      <w:r>
        <w:rPr>
          <w:rFonts w:hint="eastAsia"/>
        </w:rPr>
        <w:t>授权数据可供企业和科研机构使用，用于技术改进与风险评估；</w:t>
      </w:r>
    </w:p>
    <w:p w14:paraId="55D28367">
      <w:pPr>
        <w:pStyle w:val="132"/>
        <w:spacing w:line="360" w:lineRule="auto"/>
      </w:pPr>
      <w:r>
        <w:rPr>
          <w:rFonts w:hint="eastAsia"/>
        </w:rPr>
        <w:t>鼓励利用大数据和人工智能对检测结果进行综合分析，形成行业趋势研判。</w:t>
      </w:r>
    </w:p>
    <w:p w14:paraId="31A3309B">
      <w:pPr>
        <w:pStyle w:val="105"/>
        <w:spacing w:before="120" w:after="120" w:line="360" w:lineRule="auto"/>
      </w:pPr>
      <w:r>
        <w:rPr>
          <w:rFonts w:hint="eastAsia"/>
        </w:rPr>
        <w:t>数据安全与隐私</w:t>
      </w:r>
    </w:p>
    <w:p w14:paraId="148E64CD">
      <w:pPr>
        <w:pStyle w:val="56"/>
        <w:spacing w:line="360" w:lineRule="auto"/>
        <w:ind w:firstLine="420"/>
      </w:pPr>
      <w:r>
        <w:rPr>
          <w:rFonts w:hint="eastAsia"/>
        </w:rPr>
        <w:t>在数据共享和应用不断扩展的背景下，数据安全与隐私保护显得尤为重要。实验室必须建立严格的管理制度，防止敏感信息泄露，确保数据使用的合法性与合规性。应遵循以下要求：</w:t>
      </w:r>
    </w:p>
    <w:p w14:paraId="4BC73B75">
      <w:pPr>
        <w:pStyle w:val="132"/>
        <w:spacing w:line="360" w:lineRule="auto"/>
      </w:pPr>
      <w:r>
        <w:rPr>
          <w:rFonts w:hint="eastAsia"/>
        </w:rPr>
        <w:t>应建立权限管理制度，确保只有授权人员能访问核心数据；</w:t>
      </w:r>
    </w:p>
    <w:p w14:paraId="132D48D3">
      <w:pPr>
        <w:pStyle w:val="132"/>
        <w:spacing w:line="360" w:lineRule="auto"/>
      </w:pPr>
      <w:r>
        <w:rPr>
          <w:rFonts w:hint="eastAsia"/>
        </w:rPr>
        <w:t>数据传输和存储应采取加密措施，防止泄露；</w:t>
      </w:r>
    </w:p>
    <w:p w14:paraId="064BA0EF">
      <w:pPr>
        <w:pStyle w:val="132"/>
        <w:spacing w:line="360" w:lineRule="auto"/>
      </w:pPr>
      <w:r>
        <w:rPr>
          <w:rFonts w:hint="eastAsia"/>
        </w:rPr>
        <w:t>涉及企业商业秘密和个人隐私的数据应进行脱敏处理。</w:t>
      </w:r>
    </w:p>
    <w:p w14:paraId="18087BCD">
      <w:pPr>
        <w:pStyle w:val="104"/>
        <w:spacing w:before="240" w:after="240" w:line="360" w:lineRule="auto"/>
      </w:pPr>
      <w:bookmarkStart w:id="56" w:name="_Toc207957429"/>
      <w:r>
        <w:rPr>
          <w:rFonts w:hint="eastAsia"/>
        </w:rPr>
        <w:t>安全与环保</w:t>
      </w:r>
      <w:bookmarkEnd w:id="56"/>
    </w:p>
    <w:p w14:paraId="283A02EB">
      <w:pPr>
        <w:pStyle w:val="105"/>
        <w:spacing w:before="120" w:after="120" w:line="360" w:lineRule="auto"/>
      </w:pPr>
      <w:r>
        <w:rPr>
          <w:rFonts w:hint="eastAsia"/>
        </w:rPr>
        <w:t>实验室安全</w:t>
      </w:r>
    </w:p>
    <w:p w14:paraId="053646DF">
      <w:pPr>
        <w:pStyle w:val="56"/>
        <w:spacing w:line="360" w:lineRule="auto"/>
        <w:ind w:firstLine="420"/>
      </w:pPr>
      <w:r>
        <w:rPr>
          <w:rFonts w:hint="eastAsia"/>
        </w:rPr>
        <w:t>实验室安全是所有检测工作的首要保障。为了确保检测人员在安全环境下操作，实验室应符合国家相关安全规范要求，并采取如下措施：</w:t>
      </w:r>
    </w:p>
    <w:p w14:paraId="3582D5E3">
      <w:pPr>
        <w:pStyle w:val="132"/>
        <w:spacing w:line="360" w:lineRule="auto"/>
      </w:pPr>
      <w:r>
        <w:rPr>
          <w:rFonts w:hint="eastAsia"/>
        </w:rPr>
        <w:t>检测场所应合理分区，包括操作区、缓冲区和储存区，避免交叉污染；</w:t>
      </w:r>
    </w:p>
    <w:p w14:paraId="73E29DF7">
      <w:pPr>
        <w:pStyle w:val="132"/>
        <w:spacing w:line="360" w:lineRule="auto"/>
      </w:pPr>
      <w:r>
        <w:rPr>
          <w:rFonts w:hint="eastAsia"/>
        </w:rPr>
        <w:t>样品前处理和核酸提取等高风险环节应在生物安全柜或专用设施中进行；</w:t>
      </w:r>
    </w:p>
    <w:p w14:paraId="550BD0EF">
      <w:pPr>
        <w:pStyle w:val="132"/>
        <w:spacing w:line="360" w:lineRule="auto"/>
      </w:pPr>
      <w:r>
        <w:rPr>
          <w:rFonts w:hint="eastAsia"/>
        </w:rPr>
        <w:t>检测人员必须配备个人防护用品，如防护服、手套和护目镜，并接受定期安全培训；</w:t>
      </w:r>
    </w:p>
    <w:p w14:paraId="6656215D">
      <w:pPr>
        <w:pStyle w:val="132"/>
        <w:spacing w:line="360" w:lineRule="auto"/>
      </w:pPr>
      <w:r>
        <w:rPr>
          <w:rFonts w:hint="eastAsia"/>
        </w:rPr>
        <w:t>实验室应配备灭火器、洗眼器和急救箱等应急设施，并进行定期维护。</w:t>
      </w:r>
    </w:p>
    <w:p w14:paraId="00982CED">
      <w:pPr>
        <w:pStyle w:val="105"/>
        <w:spacing w:before="120" w:after="120" w:line="360" w:lineRule="auto"/>
      </w:pPr>
      <w:r>
        <w:rPr>
          <w:rFonts w:hint="eastAsia"/>
        </w:rPr>
        <w:t>废弃物管理</w:t>
      </w:r>
    </w:p>
    <w:p w14:paraId="4620D316">
      <w:pPr>
        <w:pStyle w:val="56"/>
        <w:spacing w:line="360" w:lineRule="auto"/>
        <w:ind w:firstLine="420"/>
      </w:pPr>
      <w:r>
        <w:rPr>
          <w:rFonts w:hint="eastAsia"/>
        </w:rPr>
        <w:t>在检测过程中会产生试剂废液、污染耗材和残余样品，如果随意处置，极易造成二次污染和环境风险。因此，实验室必须对废弃物进行严格分类和规范化处理，具体要求如下：</w:t>
      </w:r>
    </w:p>
    <w:p w14:paraId="0E87D3E2">
      <w:pPr>
        <w:pStyle w:val="132"/>
        <w:spacing w:line="360" w:lineRule="auto"/>
      </w:pPr>
      <w:r>
        <w:rPr>
          <w:rFonts w:hint="eastAsia"/>
        </w:rPr>
        <w:t>危险化学品废液应分类收集，并交由有资质的单位处理；</w:t>
      </w:r>
    </w:p>
    <w:p w14:paraId="7F3EEB9C">
      <w:pPr>
        <w:pStyle w:val="132"/>
        <w:spacing w:line="360" w:lineRule="auto"/>
      </w:pPr>
      <w:r>
        <w:rPr>
          <w:rFonts w:hint="eastAsia"/>
        </w:rPr>
        <w:t>受污染的耗材和样品残余应经高压灭菌后集中处置；</w:t>
      </w:r>
    </w:p>
    <w:p w14:paraId="0D1516F0">
      <w:pPr>
        <w:pStyle w:val="132"/>
        <w:spacing w:line="360" w:lineRule="auto"/>
      </w:pPr>
      <w:r>
        <w:rPr>
          <w:rFonts w:hint="eastAsia"/>
        </w:rPr>
        <w:t>建立废弃物台账，明确产生量、去向和处理责任人，确保全过程可追溯。</w:t>
      </w:r>
    </w:p>
    <w:p w14:paraId="76A2AA81">
      <w:pPr>
        <w:pStyle w:val="105"/>
        <w:spacing w:before="120" w:after="120" w:line="360" w:lineRule="auto"/>
      </w:pPr>
      <w:r>
        <w:rPr>
          <w:rFonts w:hint="eastAsia"/>
        </w:rPr>
        <w:t>节能与环保</w:t>
      </w:r>
    </w:p>
    <w:p w14:paraId="5338D4DB">
      <w:pPr>
        <w:pStyle w:val="56"/>
        <w:spacing w:line="360" w:lineRule="auto"/>
        <w:ind w:firstLine="420"/>
      </w:pPr>
      <w:r>
        <w:rPr>
          <w:rFonts w:hint="eastAsia"/>
        </w:rPr>
        <w:t>在实验室运行中，节能与环保是实现绿色发展的重要组成部分。检测机构应从日常管理到设备选型全面落实节能环保措施：</w:t>
      </w:r>
    </w:p>
    <w:p w14:paraId="3C5CB507">
      <w:pPr>
        <w:pStyle w:val="132"/>
        <w:spacing w:line="360" w:lineRule="auto"/>
      </w:pPr>
      <w:r>
        <w:rPr>
          <w:rFonts w:hint="eastAsia"/>
        </w:rPr>
        <w:t>优先采购节能型设备，减少能源消耗；</w:t>
      </w:r>
    </w:p>
    <w:p w14:paraId="5DAC2F52">
      <w:pPr>
        <w:pStyle w:val="132"/>
        <w:spacing w:line="360" w:lineRule="auto"/>
      </w:pPr>
      <w:r>
        <w:rPr>
          <w:rFonts w:hint="eastAsia"/>
        </w:rPr>
        <w:t>实验过程中应合理安排操作，避免水电浪费；</w:t>
      </w:r>
    </w:p>
    <w:p w14:paraId="6AEF2990">
      <w:pPr>
        <w:pStyle w:val="132"/>
        <w:spacing w:line="360" w:lineRule="auto"/>
      </w:pPr>
      <w:r>
        <w:rPr>
          <w:rFonts w:hint="eastAsia"/>
        </w:rPr>
        <w:t>鼓励使用可降解或可循环利用的耗材，减少环境负担；</w:t>
      </w:r>
    </w:p>
    <w:p w14:paraId="33E30F16">
      <w:pPr>
        <w:pStyle w:val="132"/>
        <w:spacing w:line="360" w:lineRule="auto"/>
      </w:pPr>
      <w:r>
        <w:rPr>
          <w:rFonts w:hint="eastAsia"/>
        </w:rPr>
        <w:t>推动实验室通风、水电等设施的智能化管理，提高能源利用效率。</w:t>
      </w:r>
    </w:p>
    <w:p w14:paraId="659CF827">
      <w:pPr>
        <w:pStyle w:val="56"/>
        <w:spacing w:line="360" w:lineRule="auto"/>
        <w:ind w:firstLine="420"/>
      </w:pPr>
      <w:r>
        <w:rPr>
          <w:rFonts w:hint="eastAsia"/>
        </w:rPr>
        <w:t>建筑新材料检验检测实验室安全与环保措施见表4。</w:t>
      </w:r>
    </w:p>
    <w:p w14:paraId="3A46861C">
      <w:pPr>
        <w:pStyle w:val="112"/>
        <w:spacing w:before="120" w:after="120" w:line="360" w:lineRule="auto"/>
      </w:pPr>
      <w:r>
        <w:rPr>
          <w:rFonts w:hint="eastAsia"/>
        </w:rPr>
        <w:t>建筑新材料检验检测实验室安全与环保措施</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33"/>
        <w:gridCol w:w="4389"/>
        <w:gridCol w:w="3112"/>
      </w:tblGrid>
      <w:tr w14:paraId="15618C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833" w:type="dxa"/>
            <w:tcBorders>
              <w:top w:val="single" w:color="auto" w:sz="8" w:space="0"/>
              <w:bottom w:val="single" w:color="auto" w:sz="8" w:space="0"/>
            </w:tcBorders>
          </w:tcPr>
          <w:p w14:paraId="62A33CB2">
            <w:pPr>
              <w:pStyle w:val="178"/>
            </w:pPr>
            <w:r>
              <w:rPr>
                <w:rFonts w:hint="eastAsia"/>
              </w:rPr>
              <w:t>管理环节</w:t>
            </w:r>
          </w:p>
        </w:tc>
        <w:tc>
          <w:tcPr>
            <w:tcW w:w="4389" w:type="dxa"/>
            <w:tcBorders>
              <w:top w:val="single" w:color="auto" w:sz="8" w:space="0"/>
              <w:bottom w:val="single" w:color="auto" w:sz="8" w:space="0"/>
            </w:tcBorders>
          </w:tcPr>
          <w:p w14:paraId="2B5C5B32">
            <w:pPr>
              <w:pStyle w:val="178"/>
            </w:pPr>
            <w:r>
              <w:rPr>
                <w:rFonts w:hint="eastAsia"/>
              </w:rPr>
              <w:t>安全措施</w:t>
            </w:r>
          </w:p>
        </w:tc>
        <w:tc>
          <w:tcPr>
            <w:tcW w:w="3112" w:type="dxa"/>
            <w:tcBorders>
              <w:top w:val="single" w:color="auto" w:sz="8" w:space="0"/>
              <w:bottom w:val="single" w:color="auto" w:sz="8" w:space="0"/>
            </w:tcBorders>
          </w:tcPr>
          <w:p w14:paraId="11236189">
            <w:pPr>
              <w:pStyle w:val="178"/>
            </w:pPr>
            <w:r>
              <w:rPr>
                <w:rFonts w:hint="eastAsia"/>
              </w:rPr>
              <w:t>环保措施</w:t>
            </w:r>
          </w:p>
        </w:tc>
      </w:tr>
      <w:tr w14:paraId="594BF8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Borders>
              <w:top w:val="single" w:color="auto" w:sz="8" w:space="0"/>
            </w:tcBorders>
          </w:tcPr>
          <w:p w14:paraId="5A56F7A4">
            <w:pPr>
              <w:pStyle w:val="178"/>
            </w:pPr>
            <w:r>
              <w:rPr>
                <w:rFonts w:hint="eastAsia"/>
              </w:rPr>
              <w:t>场所管理</w:t>
            </w:r>
          </w:p>
        </w:tc>
        <w:tc>
          <w:tcPr>
            <w:tcW w:w="4389" w:type="dxa"/>
            <w:tcBorders>
              <w:top w:val="single" w:color="auto" w:sz="8" w:space="0"/>
            </w:tcBorders>
          </w:tcPr>
          <w:p w14:paraId="556727D1">
            <w:pPr>
              <w:pStyle w:val="178"/>
            </w:pPr>
            <w:r>
              <w:rPr>
                <w:rFonts w:hint="eastAsia"/>
              </w:rPr>
              <w:t>设置操作区、缓冲区和储存区，分区合理</w:t>
            </w:r>
          </w:p>
        </w:tc>
        <w:tc>
          <w:tcPr>
            <w:tcW w:w="3112" w:type="dxa"/>
            <w:tcBorders>
              <w:top w:val="single" w:color="auto" w:sz="8" w:space="0"/>
            </w:tcBorders>
          </w:tcPr>
          <w:p w14:paraId="716F6393">
            <w:pPr>
              <w:pStyle w:val="178"/>
            </w:pPr>
            <w:r>
              <w:rPr>
                <w:rFonts w:hint="eastAsia"/>
              </w:rPr>
              <w:t>优化布局，减少能源消耗</w:t>
            </w:r>
          </w:p>
        </w:tc>
      </w:tr>
      <w:tr w14:paraId="41FA39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Borders>
              <w:bottom w:val="single" w:color="auto" w:sz="2" w:space="0"/>
            </w:tcBorders>
          </w:tcPr>
          <w:p w14:paraId="52931C24">
            <w:pPr>
              <w:pStyle w:val="178"/>
            </w:pPr>
            <w:r>
              <w:rPr>
                <w:rFonts w:hint="eastAsia"/>
              </w:rPr>
              <w:t>人员防护</w:t>
            </w:r>
          </w:p>
        </w:tc>
        <w:tc>
          <w:tcPr>
            <w:tcW w:w="4389" w:type="dxa"/>
            <w:tcBorders>
              <w:bottom w:val="single" w:color="auto" w:sz="2" w:space="0"/>
            </w:tcBorders>
          </w:tcPr>
          <w:p w14:paraId="70AB7FF8">
            <w:pPr>
              <w:pStyle w:val="178"/>
            </w:pPr>
            <w:r>
              <w:rPr>
                <w:rFonts w:hint="eastAsia"/>
              </w:rPr>
              <w:t>配备防护服、手套、护目镜，定期培训</w:t>
            </w:r>
          </w:p>
        </w:tc>
        <w:tc>
          <w:tcPr>
            <w:tcW w:w="3112" w:type="dxa"/>
            <w:tcBorders>
              <w:bottom w:val="single" w:color="auto" w:sz="2" w:space="0"/>
            </w:tcBorders>
          </w:tcPr>
          <w:p w14:paraId="7E5946B3">
            <w:pPr>
              <w:pStyle w:val="178"/>
            </w:pPr>
            <w:r>
              <w:rPr>
                <w:rFonts w:hint="eastAsia"/>
              </w:rPr>
              <w:t>鼓励使用可重复利用的防护用品</w:t>
            </w:r>
          </w:p>
        </w:tc>
      </w:tr>
      <w:tr w14:paraId="192CB0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Borders>
              <w:top w:val="single" w:color="auto" w:sz="2" w:space="0"/>
              <w:bottom w:val="single" w:color="auto" w:sz="4" w:space="0"/>
            </w:tcBorders>
            <w:shd w:val="clear" w:color="auto" w:fill="auto"/>
          </w:tcPr>
          <w:p w14:paraId="74EF409C">
            <w:pPr>
              <w:pStyle w:val="178"/>
            </w:pPr>
            <w:r>
              <w:rPr>
                <w:rFonts w:hint="eastAsia"/>
              </w:rPr>
              <w:t>废弃物处置</w:t>
            </w:r>
          </w:p>
        </w:tc>
        <w:tc>
          <w:tcPr>
            <w:tcW w:w="4389" w:type="dxa"/>
            <w:tcBorders>
              <w:top w:val="single" w:color="auto" w:sz="2" w:space="0"/>
              <w:bottom w:val="single" w:color="auto" w:sz="4" w:space="0"/>
            </w:tcBorders>
            <w:shd w:val="clear" w:color="auto" w:fill="auto"/>
          </w:tcPr>
          <w:p w14:paraId="198E8F92">
            <w:pPr>
              <w:pStyle w:val="178"/>
            </w:pPr>
            <w:r>
              <w:rPr>
                <w:rFonts w:hint="eastAsia"/>
              </w:rPr>
              <w:t>危险废液分类收集，污染耗材高压灭菌</w:t>
            </w:r>
          </w:p>
        </w:tc>
        <w:tc>
          <w:tcPr>
            <w:tcW w:w="3112" w:type="dxa"/>
            <w:tcBorders>
              <w:top w:val="single" w:color="auto" w:sz="2" w:space="0"/>
              <w:bottom w:val="single" w:color="auto" w:sz="4" w:space="0"/>
            </w:tcBorders>
            <w:shd w:val="clear" w:color="auto" w:fill="auto"/>
          </w:tcPr>
          <w:p w14:paraId="0D2680ED">
            <w:pPr>
              <w:pStyle w:val="178"/>
            </w:pPr>
            <w:r>
              <w:rPr>
                <w:rFonts w:hint="eastAsia"/>
              </w:rPr>
              <w:t>建立废弃物台账，推动资源回收</w:t>
            </w:r>
          </w:p>
        </w:tc>
      </w:tr>
      <w:tr w14:paraId="121D5A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Borders>
              <w:top w:val="single" w:color="auto" w:sz="4" w:space="0"/>
            </w:tcBorders>
          </w:tcPr>
          <w:p w14:paraId="62690122">
            <w:pPr>
              <w:pStyle w:val="178"/>
            </w:pPr>
            <w:r>
              <w:rPr>
                <w:rFonts w:hint="eastAsia"/>
              </w:rPr>
              <w:t>节能减排</w:t>
            </w:r>
          </w:p>
        </w:tc>
        <w:tc>
          <w:tcPr>
            <w:tcW w:w="4389" w:type="dxa"/>
            <w:tcBorders>
              <w:top w:val="single" w:color="auto" w:sz="4" w:space="0"/>
            </w:tcBorders>
          </w:tcPr>
          <w:p w14:paraId="715D6F55">
            <w:pPr>
              <w:pStyle w:val="178"/>
            </w:pPr>
            <w:r>
              <w:rPr>
                <w:rFonts w:hint="eastAsia"/>
              </w:rPr>
              <w:t>使用低能耗检测设备，定期维护保养</w:t>
            </w:r>
          </w:p>
        </w:tc>
        <w:tc>
          <w:tcPr>
            <w:tcW w:w="3112" w:type="dxa"/>
            <w:tcBorders>
              <w:top w:val="single" w:color="auto" w:sz="4" w:space="0"/>
            </w:tcBorders>
          </w:tcPr>
          <w:p w14:paraId="288504FE">
            <w:pPr>
              <w:pStyle w:val="178"/>
            </w:pPr>
            <w:r>
              <w:rPr>
                <w:rFonts w:hint="eastAsia"/>
              </w:rPr>
              <w:t>推广节能照明与节水设备，减少排放</w:t>
            </w:r>
          </w:p>
        </w:tc>
      </w:tr>
    </w:tbl>
    <w:p w14:paraId="06DB5034">
      <w:pPr>
        <w:pStyle w:val="56"/>
        <w:spacing w:before="120" w:beforeLines="50" w:line="360" w:lineRule="auto"/>
        <w:ind w:firstLine="420"/>
      </w:pPr>
      <w:r>
        <w:rPr>
          <w:rFonts w:hint="eastAsia"/>
        </w:rPr>
        <w:t>表中的措施为实验室提供了可操作的参考，各检测机构可结合自身条件加以调整和细化，以确保检测工作在安全可靠和环境友好的条件下进行。</w:t>
      </w:r>
    </w:p>
    <w:p w14:paraId="77492BEA">
      <w:pPr>
        <w:pStyle w:val="105"/>
        <w:spacing w:before="120" w:after="120" w:line="360" w:lineRule="auto"/>
      </w:pPr>
      <w:r>
        <w:rPr>
          <w:rFonts w:hint="eastAsia"/>
        </w:rPr>
        <w:t>持续改进</w:t>
      </w:r>
    </w:p>
    <w:p w14:paraId="1F3587AB">
      <w:pPr>
        <w:pStyle w:val="56"/>
        <w:spacing w:line="360" w:lineRule="auto"/>
        <w:ind w:firstLine="420"/>
      </w:pPr>
      <w:r>
        <w:rPr>
          <w:rFonts w:hint="eastAsia"/>
        </w:rPr>
        <w:t>安全与环保工作不是一劳永逸的，而是需要动态优化和不断改进的过程。实验室应定期组织安全与环保检查，及时发现问题并整改，每年至少进行一次综合评估。同时，应将改进结果纳入实验室质量管理体系，并结合技术进步和行业要求不断更新管理措施，实现安全与环保水平的持续提升。</w:t>
      </w:r>
    </w:p>
    <w:p w14:paraId="72E947CA">
      <w:pPr>
        <w:pStyle w:val="104"/>
        <w:spacing w:before="240" w:after="240" w:line="360" w:lineRule="auto"/>
      </w:pPr>
      <w:bookmarkStart w:id="57" w:name="_Toc207957430"/>
      <w:r>
        <w:rPr>
          <w:rFonts w:hint="eastAsia"/>
        </w:rPr>
        <w:t>结果分析应用</w:t>
      </w:r>
      <w:bookmarkEnd w:id="57"/>
    </w:p>
    <w:p w14:paraId="2B892F6A">
      <w:pPr>
        <w:pStyle w:val="105"/>
        <w:spacing w:before="120" w:after="120" w:line="360" w:lineRule="auto"/>
      </w:pPr>
      <w:r>
        <w:rPr>
          <w:rFonts w:hint="eastAsia"/>
        </w:rPr>
        <w:t>数据分析</w:t>
      </w:r>
    </w:p>
    <w:p w14:paraId="403D169B">
      <w:pPr>
        <w:pStyle w:val="56"/>
        <w:spacing w:line="360" w:lineRule="auto"/>
        <w:ind w:firstLine="420"/>
      </w:pPr>
      <w:r>
        <w:rPr>
          <w:rFonts w:hint="eastAsia"/>
        </w:rPr>
        <w:t>检测数据需要经过科学的分析与处理，才能形成有价值的结论。实验室应采用统一的统计方法，确保不同批次、不同机构之间结果的可比性：</w:t>
      </w:r>
    </w:p>
    <w:p w14:paraId="4748773B">
      <w:pPr>
        <w:pStyle w:val="132"/>
        <w:spacing w:line="360" w:lineRule="auto"/>
      </w:pPr>
      <w:r>
        <w:rPr>
          <w:rFonts w:hint="eastAsia"/>
        </w:rPr>
        <w:t>对力学、物理和功能性能数据，应采用平均值、标准差和变异系数进行统计分析；</w:t>
      </w:r>
    </w:p>
    <w:p w14:paraId="6DF04038">
      <w:pPr>
        <w:pStyle w:val="132"/>
        <w:spacing w:line="360" w:lineRule="auto"/>
      </w:pPr>
      <w:r>
        <w:rPr>
          <w:rFonts w:hint="eastAsia"/>
        </w:rPr>
        <w:t>对耐久性和长期性能数据，应结合曲线拟合和趋势分析，预测材料在实际应用中的表现；</w:t>
      </w:r>
    </w:p>
    <w:p w14:paraId="0D5F9AAE">
      <w:pPr>
        <w:pStyle w:val="132"/>
        <w:spacing w:line="360" w:lineRule="auto"/>
      </w:pPr>
      <w:r>
        <w:rPr>
          <w:rFonts w:hint="eastAsia"/>
        </w:rPr>
        <w:t>对异常数据，应进行复核和溯源，必要时重复试验以确认其有效性。</w:t>
      </w:r>
    </w:p>
    <w:p w14:paraId="340FAD5C">
      <w:pPr>
        <w:pStyle w:val="105"/>
        <w:spacing w:before="120" w:after="120" w:line="360" w:lineRule="auto"/>
      </w:pPr>
      <w:r>
        <w:rPr>
          <w:rFonts w:hint="eastAsia"/>
        </w:rPr>
        <w:t>结果判定</w:t>
      </w:r>
    </w:p>
    <w:p w14:paraId="6E964128">
      <w:pPr>
        <w:pStyle w:val="56"/>
        <w:spacing w:line="360" w:lineRule="auto"/>
        <w:ind w:firstLine="420"/>
      </w:pPr>
      <w:r>
        <w:rPr>
          <w:rFonts w:hint="eastAsia"/>
        </w:rPr>
        <w:t>检测结果的判定应依据国家标准、行业标准或合同约定的技术指标，避免主观判断。对于尚无统一标准的新材料，可参考行业规范或采用专家评审的方式进行结果解释。结果判定不仅要关注单项指标是否合格，还要从整体性能出发，判断材料是否满足工程应用的综合要求。</w:t>
      </w:r>
    </w:p>
    <w:p w14:paraId="7FAB9BCD">
      <w:pPr>
        <w:pStyle w:val="105"/>
        <w:spacing w:before="120" w:after="120" w:line="360" w:lineRule="auto"/>
      </w:pPr>
      <w:r>
        <w:rPr>
          <w:rFonts w:hint="eastAsia"/>
        </w:rPr>
        <w:t>工程应用</w:t>
      </w:r>
    </w:p>
    <w:p w14:paraId="0C44E102">
      <w:pPr>
        <w:pStyle w:val="56"/>
        <w:spacing w:line="360" w:lineRule="auto"/>
        <w:ind w:firstLine="420"/>
      </w:pPr>
      <w:r>
        <w:rPr>
          <w:rFonts w:hint="eastAsia"/>
        </w:rPr>
        <w:t>检测结果应直接服务于工程实践，帮助建设单位和施工企业合理选材、优化施工工艺和提高工程质量。常见的应用方向包括：</w:t>
      </w:r>
    </w:p>
    <w:p w14:paraId="38E53B38">
      <w:pPr>
        <w:pStyle w:val="132"/>
        <w:spacing w:line="360" w:lineRule="auto"/>
      </w:pPr>
      <w:r>
        <w:rPr>
          <w:rFonts w:hint="eastAsia"/>
        </w:rPr>
        <w:t>为设计单位提供材料性能数据，作为工程选材依据；</w:t>
      </w:r>
    </w:p>
    <w:p w14:paraId="030E9DD7">
      <w:pPr>
        <w:pStyle w:val="132"/>
        <w:spacing w:line="360" w:lineRule="auto"/>
      </w:pPr>
      <w:r>
        <w:rPr>
          <w:rFonts w:hint="eastAsia"/>
        </w:rPr>
        <w:t>为施工单位提供质量控制参考，指导施工工艺和现场检测；</w:t>
      </w:r>
    </w:p>
    <w:p w14:paraId="7A6236A9">
      <w:pPr>
        <w:pStyle w:val="132"/>
        <w:spacing w:line="360" w:lineRule="auto"/>
      </w:pPr>
      <w:r>
        <w:rPr>
          <w:rFonts w:hint="eastAsia"/>
        </w:rPr>
        <w:t>为业主和监管部门提供合格性判定和风险评估的科学依据。</w:t>
      </w:r>
    </w:p>
    <w:p w14:paraId="099340D2">
      <w:pPr>
        <w:pStyle w:val="105"/>
        <w:spacing w:before="120" w:after="120" w:line="360" w:lineRule="auto"/>
      </w:pPr>
      <w:r>
        <w:rPr>
          <w:rFonts w:hint="eastAsia"/>
        </w:rPr>
        <w:t>行业监管与推广</w:t>
      </w:r>
    </w:p>
    <w:p w14:paraId="03D9AB5A">
      <w:pPr>
        <w:pStyle w:val="56"/>
        <w:spacing w:line="360" w:lineRule="auto"/>
        <w:ind w:firstLine="420"/>
      </w:pPr>
      <w:r>
        <w:rPr>
          <w:rFonts w:hint="eastAsia"/>
        </w:rPr>
        <w:t>检测结果不仅对单个项目有价值，也可为行业整体发展提供参考。通过对检测数据的汇总与分析，行业主管部门可掌握新材料的应用水平与质量趋势，及时调整监管政策。科研机构和企业也可利用检测结果发现材料的不足，推动技术改进和产品升级。</w:t>
      </w:r>
    </w:p>
    <w:p w14:paraId="26304D66">
      <w:pPr>
        <w:pStyle w:val="105"/>
        <w:spacing w:before="120" w:after="120" w:line="360" w:lineRule="auto"/>
      </w:pPr>
      <w:r>
        <w:rPr>
          <w:rFonts w:hint="eastAsia"/>
        </w:rPr>
        <w:t>持续改进与反馈</w:t>
      </w:r>
    </w:p>
    <w:p w14:paraId="35451F63">
      <w:pPr>
        <w:pStyle w:val="56"/>
        <w:spacing w:line="360" w:lineRule="auto"/>
        <w:ind w:firstLine="420"/>
      </w:pPr>
      <w:r>
        <w:rPr>
          <w:rFonts w:hint="eastAsia"/>
        </w:rPr>
        <w:t>检测结果应形成闭环管理，反馈到实验室的质量控制与检测流程改进中。实验室可通过以下方式实现持续提升：</w:t>
      </w:r>
    </w:p>
    <w:p w14:paraId="0B3767B4">
      <w:pPr>
        <w:pStyle w:val="132"/>
        <w:spacing w:line="360" w:lineRule="auto"/>
      </w:pPr>
      <w:r>
        <w:rPr>
          <w:rFonts w:hint="eastAsia"/>
        </w:rPr>
        <w:t>定期组织检测结果评审会议，分析质量问题和改进方向；</w:t>
      </w:r>
    </w:p>
    <w:p w14:paraId="6A59F4F0">
      <w:pPr>
        <w:pStyle w:val="132"/>
        <w:spacing w:line="360" w:lineRule="auto"/>
      </w:pPr>
      <w:r>
        <w:rPr>
          <w:rFonts w:hint="eastAsia"/>
        </w:rPr>
        <w:t>建立结果反馈机制，将检测结论传递至材料生产企业，促进材料优化；</w:t>
      </w:r>
    </w:p>
    <w:p w14:paraId="6FAF4B3C">
      <w:pPr>
        <w:pStyle w:val="132"/>
        <w:spacing w:line="360" w:lineRule="auto"/>
      </w:pPr>
      <w:r>
        <w:rPr>
          <w:rFonts w:hint="eastAsia"/>
        </w:rPr>
        <w:t>将检测数据积累形成数据库，用于行业标准制定和新技术研发。</w:t>
      </w:r>
    </w:p>
    <w:bookmarkEnd w:id="26"/>
    <w:p w14:paraId="22E67E8D">
      <w:pPr>
        <w:pStyle w:val="56"/>
        <w:ind w:firstLine="0" w:firstLineChars="0"/>
        <w:jc w:val="center"/>
      </w:pPr>
      <w:bookmarkStart w:id="58" w:name="BookMark8"/>
      <w:r>
        <w:rPr>
          <w:rFonts w:hint="eastAsia"/>
        </w:rPr>
        <w:drawing>
          <wp:inline distT="0" distB="0" distL="0" distR="0">
            <wp:extent cx="1485900" cy="317500"/>
            <wp:effectExtent l="0" t="0" r="0" b="6350"/>
            <wp:docPr id="323109837" name="图片 3"/>
            <wp:cNvGraphicFramePr/>
            <a:graphic xmlns:a="http://schemas.openxmlformats.org/drawingml/2006/main">
              <a:graphicData uri="http://schemas.openxmlformats.org/drawingml/2006/picture">
                <pic:pic xmlns:pic="http://schemas.openxmlformats.org/drawingml/2006/picture">
                  <pic:nvPicPr>
                    <pic:cNvPr id="323109837" name="图片 3"/>
                    <pic:cNvPicPr/>
                  </pic:nvPicPr>
                  <pic:blipFill>
                    <a:blip r:embed="rId2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headerReference r:id="rId21" w:type="default"/>
      <w:footerReference r:id="rId23" w:type="default"/>
      <w:headerReference r:id="rId22" w:type="even"/>
      <w:footerReference r:id="rId24"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03380">
    <w:pPr>
      <w:pStyle w:val="51"/>
    </w:pPr>
    <w:r>
      <w:fldChar w:fldCharType="begin"/>
    </w:r>
    <w:r>
      <w:instrText xml:space="preserve"> PAGE   \* MERGEFORMAT \* MERGEFORMAT </w:instrText>
    </w:r>
    <w:r>
      <w:fldChar w:fldCharType="separate"/>
    </w:r>
    <w: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B4F9E">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F4636">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BC922">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A6E93">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EE441">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DC8BF">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3012A">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T/XZBX 0090—2025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T/XZBX 0090—2025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fldChar w:fldCharType="begin"/>
    </w:r>
    <w:r>
      <w:instrText xml:space="preserve"> STYLEREF  标准文件_文件编号 \* MERGEFORMAT </w:instrText>
    </w:r>
    <w:r>
      <w:fldChar w:fldCharType="separate"/>
    </w:r>
    <w:r>
      <w:t>T/XZBX 0090—2025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AF1DF">
    <w:pPr>
      <w:pStyle w:val="61"/>
    </w:pPr>
    <w:r>
      <w:fldChar w:fldCharType="begin"/>
    </w:r>
    <w:r>
      <w:instrText xml:space="preserve"> STYLEREF  标准文件_文件编号  \* MERGEFORMAT </w:instrText>
    </w:r>
    <w:r>
      <w:fldChar w:fldCharType="separate"/>
    </w:r>
    <w:r>
      <w:t>T/XZBX 0090—2025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63FC0">
    <w:pPr>
      <w:pStyle w:val="62"/>
    </w:pPr>
    <w:r>
      <w:fldChar w:fldCharType="begin"/>
    </w:r>
    <w:r>
      <w:instrText xml:space="preserve"> STYLEREF  标准文件_文件编号 \* MERGEFORMAT </w:instrText>
    </w:r>
    <w:r>
      <w:fldChar w:fldCharType="separate"/>
    </w:r>
    <w:r>
      <w:t>T/XZBX 0090—2025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B113E">
    <w:pPr>
      <w:pStyle w:val="61"/>
    </w:pPr>
    <w:r>
      <w:fldChar w:fldCharType="begin"/>
    </w:r>
    <w:r>
      <w:instrText xml:space="preserve"> STYLEREF  标准文件_文件编号  \* MERGEFORMAT </w:instrText>
    </w:r>
    <w:r>
      <w:fldChar w:fldCharType="separate"/>
    </w:r>
    <w:r>
      <w:t>T/XZBX 0090—2025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2B22D">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T/XZBX 0090—2025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826FC">
    <w:pPr>
      <w:pStyle w:val="61"/>
    </w:pPr>
    <w:r>
      <w:fldChar w:fldCharType="begin"/>
    </w:r>
    <w:r>
      <w:instrText xml:space="preserve"> STYLEREF  标准文件_文件编号  \* MERGEFORMAT </w:instrText>
    </w:r>
    <w:r>
      <w:fldChar w:fldCharType="separate"/>
    </w:r>
    <w:r>
      <w:t>T/XZBX 0090—2025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gUAi3zLlC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3B96"/>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353F"/>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1858"/>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295A"/>
    <w:rsid w:val="00243540"/>
    <w:rsid w:val="0024497B"/>
    <w:rsid w:val="0024515B"/>
    <w:rsid w:val="00246021"/>
    <w:rsid w:val="0024666E"/>
    <w:rsid w:val="00247F52"/>
    <w:rsid w:val="00250B25"/>
    <w:rsid w:val="00250BBE"/>
    <w:rsid w:val="002515C2"/>
    <w:rsid w:val="00251668"/>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3DC4"/>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562"/>
    <w:rsid w:val="002D42B5"/>
    <w:rsid w:val="002D4F1A"/>
    <w:rsid w:val="002D4FCC"/>
    <w:rsid w:val="002D6EC6"/>
    <w:rsid w:val="002D79AC"/>
    <w:rsid w:val="002E039D"/>
    <w:rsid w:val="002E4D5A"/>
    <w:rsid w:val="002E6326"/>
    <w:rsid w:val="002E6AD9"/>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56E4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342"/>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19F0"/>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BE6"/>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5E48"/>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26F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BFB"/>
    <w:rsid w:val="00A61FD8"/>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819"/>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0B"/>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37E71"/>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6A7A"/>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0A55"/>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1A0"/>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0BDA"/>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0976"/>
    <w:rsid w:val="00FE1FBE"/>
    <w:rsid w:val="00FE3901"/>
    <w:rsid w:val="00FE39D3"/>
    <w:rsid w:val="00FE4BCE"/>
    <w:rsid w:val="00FE54AE"/>
    <w:rsid w:val="00FE576A"/>
    <w:rsid w:val="00FE7E79"/>
    <w:rsid w:val="00FF3E7D"/>
    <w:rsid w:val="00FF5B99"/>
    <w:rsid w:val="00FF730C"/>
    <w:rsid w:val="00FF73F4"/>
    <w:rsid w:val="00FF7CE4"/>
    <w:rsid w:val="00FF7E39"/>
    <w:rsid w:val="3E381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glossaryDocument" Target="glossary/document.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3.jpe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0C7936BC">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4A754409">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4125CB00">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F2984"/>
    <w:rsid w:val="0018359E"/>
    <w:rsid w:val="001D1858"/>
    <w:rsid w:val="002D4FCC"/>
    <w:rsid w:val="002E6AD9"/>
    <w:rsid w:val="00344EE9"/>
    <w:rsid w:val="003F62CE"/>
    <w:rsid w:val="004A6324"/>
    <w:rsid w:val="006141C6"/>
    <w:rsid w:val="00AE100B"/>
    <w:rsid w:val="00AE1DC6"/>
    <w:rsid w:val="00B86A7A"/>
    <w:rsid w:val="00F37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17</Pages>
  <Words>4119</Words>
  <Characters>4328</Characters>
  <Lines>58</Lines>
  <Paragraphs>16</Paragraphs>
  <TotalTime>51</TotalTime>
  <ScaleCrop>false</ScaleCrop>
  <LinksUpToDate>false</LinksUpToDate>
  <CharactersWithSpaces>4413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2025-08-23T08:58:00Z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2025-09-05T07:05:59Z</dcterms:modified>
  <dc:title>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4AF41AD0E6AD4A69A8147F5F66D9755F_12</vt:lpwstr>
  </property>
</Properties>
</file>