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73.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73.020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D 1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D 10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8"/>
            </w:textInput>
          </w:ffData>
        </w:fldChar>
      </w:r>
      <w:bookmarkStart w:id="6" w:name="NSTD_CODE_F"/>
      <w:r>
        <w:instrText xml:space="preserve"> FORMTEXT </w:instrText>
      </w:r>
      <w:r>
        <w:fldChar w:fldCharType="separate"/>
      </w:r>
      <w:r>
        <w:t>0088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矿产资源动态评估与可持续开采管理细则"/>
            </w:textInput>
          </w:ffData>
        </w:fldChar>
      </w:r>
      <w:bookmarkStart w:id="9" w:name="CSTD_NAME"/>
      <w:r>
        <w:rPr>
          <w:rFonts w:hint="eastAsia"/>
        </w:rPr>
        <w:instrText xml:space="preserve"> FORMTEXT </w:instrText>
      </w:r>
      <w:r>
        <w:rPr>
          <w:rFonts w:hint="eastAsia"/>
        </w:rPr>
        <w:fldChar w:fldCharType="separate"/>
      </w:r>
      <w:r>
        <w:rPr>
          <w:rFonts w:hint="eastAsia"/>
        </w:rPr>
        <w:t>矿产资源动态评估与可持续开采管理细则</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ynamic evaluation and sustainable mining management of mineral resourc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dynamic evaluation and sustainable mining management of mineral resources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C1E1E5D">
      <w:pPr>
        <w:pStyle w:val="91"/>
        <w:spacing w:after="360"/>
      </w:pPr>
      <w:bookmarkStart w:id="21" w:name="BookMark1"/>
      <w:r>
        <w:rPr>
          <w:rFonts w:hint="eastAsia"/>
          <w:spacing w:val="320"/>
        </w:rPr>
        <w:t>目</w:t>
      </w:r>
      <w:r>
        <w:rPr>
          <w:rFonts w:hint="eastAsia"/>
        </w:rPr>
        <w:t>次</w:t>
      </w:r>
    </w:p>
    <w:p w14:paraId="6D142CB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"_Toc207028974"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_Toc207028974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A03E1F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"_Toc207028975"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_Toc207028975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2007BD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"_Toc207028976"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_Toc207028976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79C19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"_Toc207028977"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_Toc207028977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A941C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"_Toc207028978"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_Toc207028978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F0FDD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"_Toc207028979"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_Toc207028979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EAA509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"_Toc207028980" </w:instrText>
      </w:r>
      <w:r>
        <w:fldChar w:fldCharType="separate"/>
      </w:r>
      <w:r>
        <w:rPr>
          <w:rStyle w:val="32"/>
          <w:rFonts w:hint="eastAsia"/>
        </w:rPr>
        <w:t>5</w:t>
      </w:r>
      <w:r>
        <w:rPr>
          <w:rStyle w:val="32"/>
        </w:rPr>
        <w:t xml:space="preserve"> </w:t>
      </w:r>
      <w:r>
        <w:rPr>
          <w:rStyle w:val="32"/>
          <w:rFonts w:hint="eastAsia"/>
        </w:rPr>
        <w:t xml:space="preserve"> 矿产资源动态评估</w:t>
      </w:r>
      <w:r>
        <w:rPr>
          <w:rFonts w:hint="eastAsia"/>
        </w:rPr>
        <w:tab/>
      </w:r>
      <w:r>
        <w:rPr>
          <w:rFonts w:hint="eastAsia"/>
        </w:rPr>
        <w:fldChar w:fldCharType="begin"/>
      </w:r>
      <w:r>
        <w:rPr>
          <w:rFonts w:hint="eastAsia"/>
        </w:rPr>
        <w:instrText xml:space="preserve"> </w:instrText>
      </w:r>
      <w:r>
        <w:instrText xml:space="preserve">PAGEREF _Toc207028980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6E31E8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"_Toc207028981" </w:instrText>
      </w:r>
      <w:r>
        <w:fldChar w:fldCharType="separate"/>
      </w:r>
      <w:r>
        <w:rPr>
          <w:rStyle w:val="32"/>
          <w:rFonts w:hint="eastAsia"/>
        </w:rPr>
        <w:t>6</w:t>
      </w:r>
      <w:r>
        <w:rPr>
          <w:rStyle w:val="32"/>
        </w:rPr>
        <w:t xml:space="preserve"> </w:t>
      </w:r>
      <w:r>
        <w:rPr>
          <w:rStyle w:val="32"/>
          <w:rFonts w:hint="eastAsia"/>
        </w:rPr>
        <w:t xml:space="preserve"> 可持续开采管理</w:t>
      </w:r>
      <w:r>
        <w:rPr>
          <w:rFonts w:hint="eastAsia"/>
        </w:rPr>
        <w:tab/>
      </w:r>
      <w:r>
        <w:rPr>
          <w:rFonts w:hint="eastAsia"/>
        </w:rPr>
        <w:fldChar w:fldCharType="begin"/>
      </w:r>
      <w:r>
        <w:rPr>
          <w:rFonts w:hint="eastAsia"/>
        </w:rPr>
        <w:instrText xml:space="preserve"> </w:instrText>
      </w:r>
      <w:r>
        <w:instrText xml:space="preserve">PAGEREF _Toc207028981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21701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"_Toc207028982" </w:instrText>
      </w:r>
      <w:r>
        <w:fldChar w:fldCharType="separate"/>
      </w:r>
      <w:r>
        <w:rPr>
          <w:rStyle w:val="32"/>
          <w:rFonts w:hint="eastAsia"/>
        </w:rPr>
        <w:t>7</w:t>
      </w:r>
      <w:r>
        <w:rPr>
          <w:rStyle w:val="32"/>
        </w:rPr>
        <w:t xml:space="preserve"> </w:t>
      </w:r>
      <w:r>
        <w:rPr>
          <w:rStyle w:val="32"/>
          <w:rFonts w:hint="eastAsia"/>
        </w:rPr>
        <w:t xml:space="preserve"> 数据信息管理</w:t>
      </w:r>
      <w:r>
        <w:rPr>
          <w:rFonts w:hint="eastAsia"/>
        </w:rPr>
        <w:tab/>
      </w:r>
      <w:r>
        <w:rPr>
          <w:rFonts w:hint="eastAsia"/>
        </w:rPr>
        <w:fldChar w:fldCharType="begin"/>
      </w:r>
      <w:r>
        <w:rPr>
          <w:rFonts w:hint="eastAsia"/>
        </w:rPr>
        <w:instrText xml:space="preserve"> </w:instrText>
      </w:r>
      <w:r>
        <w:instrText xml:space="preserve">PAGEREF _Toc207028982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794F6E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"_Toc207028983" </w:instrText>
      </w:r>
      <w:r>
        <w:fldChar w:fldCharType="separate"/>
      </w:r>
      <w:r>
        <w:rPr>
          <w:rStyle w:val="32"/>
          <w:rFonts w:hint="eastAsia"/>
        </w:rPr>
        <w:t>8</w:t>
      </w:r>
      <w:r>
        <w:rPr>
          <w:rStyle w:val="32"/>
        </w:rPr>
        <w:t xml:space="preserve"> </w:t>
      </w:r>
      <w:r>
        <w:rPr>
          <w:rStyle w:val="32"/>
          <w:rFonts w:hint="eastAsia"/>
        </w:rPr>
        <w:t xml:space="preserve"> 环境修复</w:t>
      </w:r>
      <w:r>
        <w:rPr>
          <w:rFonts w:hint="eastAsia"/>
        </w:rPr>
        <w:tab/>
      </w:r>
      <w:r>
        <w:rPr>
          <w:rFonts w:hint="eastAsia"/>
        </w:rPr>
        <w:fldChar w:fldCharType="begin"/>
      </w:r>
      <w:r>
        <w:rPr>
          <w:rFonts w:hint="eastAsia"/>
        </w:rPr>
        <w:instrText xml:space="preserve"> </w:instrText>
      </w:r>
      <w:r>
        <w:instrText xml:space="preserve">PAGEREF _Toc207028983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8D121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"_Toc207028984" </w:instrText>
      </w:r>
      <w:r>
        <w:fldChar w:fldCharType="separate"/>
      </w:r>
      <w:r>
        <w:rPr>
          <w:rStyle w:val="32"/>
          <w:rFonts w:hint="eastAsia"/>
        </w:rPr>
        <w:t>9</w:t>
      </w:r>
      <w:r>
        <w:rPr>
          <w:rStyle w:val="32"/>
        </w:rPr>
        <w:t xml:space="preserve"> </w:t>
      </w:r>
      <w:r>
        <w:rPr>
          <w:rStyle w:val="32"/>
          <w:rFonts w:hint="eastAsia"/>
        </w:rPr>
        <w:t xml:space="preserve"> 监督改进</w:t>
      </w:r>
      <w:r>
        <w:rPr>
          <w:rFonts w:hint="eastAsia"/>
        </w:rPr>
        <w:tab/>
      </w:r>
      <w:r>
        <w:rPr>
          <w:rFonts w:hint="eastAsia"/>
        </w:rPr>
        <w:fldChar w:fldCharType="begin"/>
      </w:r>
      <w:r>
        <w:rPr>
          <w:rFonts w:hint="eastAsia"/>
        </w:rPr>
        <w:instrText xml:space="preserve"> </w:instrText>
      </w:r>
      <w:r>
        <w:instrText xml:space="preserve">PAGEREF _Toc207028984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63844B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028974"/>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本文件起草单位：广西创新建筑工程质量检测咨询有限公司。</w:t>
      </w:r>
    </w:p>
    <w:p w14:paraId="1B3EB912">
      <w:pPr>
        <w:pStyle w:val="56"/>
        <w:spacing w:line="360" w:lineRule="auto"/>
        <w:ind w:firstLine="420"/>
      </w:pPr>
      <w:r>
        <w:rPr>
          <w:rFonts w:hint="eastAsia"/>
        </w:rPr>
        <w:t>本文件主要起草人：覃林风。</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7028975"/>
      <w:bookmarkStart w:id="25" w:name="BookMark3"/>
      <w:r>
        <w:rPr>
          <w:spacing w:val="320"/>
        </w:rPr>
        <w:t>引</w:t>
      </w:r>
      <w:r>
        <w:t>言</w:t>
      </w:r>
      <w:bookmarkEnd w:id="24"/>
    </w:p>
    <w:p w14:paraId="1C912CA9">
      <w:pPr>
        <w:pStyle w:val="56"/>
        <w:spacing w:line="360" w:lineRule="auto"/>
        <w:ind w:firstLine="420"/>
      </w:pPr>
      <w:r>
        <w:rPr>
          <w:rFonts w:hint="eastAsia"/>
        </w:rPr>
        <w:t>矿产资源是国家经济社会发展的重要物质基础，其开发利用水平直接关系到能源安全、产业结构和生态环境保护。随着资源开采强度加大和环境约束趋紧，传统静态的矿产资源评估模式已难以满足科学决策和可持续发展的需求。</w:t>
      </w:r>
    </w:p>
    <w:p w14:paraId="0E1D4262">
      <w:pPr>
        <w:pStyle w:val="56"/>
        <w:spacing w:line="360" w:lineRule="auto"/>
        <w:ind w:firstLine="420"/>
      </w:pPr>
      <w:r>
        <w:rPr>
          <w:rFonts w:hint="eastAsia"/>
        </w:rPr>
        <w:t>动态评估通过引入实时监测、数据建模和生命周期分析方法，能够更全面反映矿产资源的储量变化、开采强度和利用效率，为政府部门、企业和科研机构提供科学依据。同时，矿产资源的可持续开采不仅强调资源的经济价值，更要求统筹生态保护、社会效益与环境修复，形成绿色、低碳、高效的矿业发展新格局。</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本文件的制定，旨在建立矿产资源动态评估与可持续开采管理的统一规范，明确评估原则、方法和指标体系，提出开采过程的可持续管理要求，为矿业企业、行业主管部门和相关研究机构提供技术支撑和管理依据，推动矿产资源开发向科学化、绿色化和长效化方向发展。</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矿产资源动态评估与可持续开采管理细则</w:t>
          </w:r>
        </w:p>
      </w:sdtContent>
    </w:sdt>
    <w:bookmarkEnd w:id="27"/>
    <w:p w14:paraId="3DB22445">
      <w:pPr>
        <w:pStyle w:val="104"/>
        <w:spacing w:before="240" w:after="240" w:line="360" w:lineRule="auto"/>
      </w:pPr>
      <w:bookmarkStart w:id="28" w:name="_Toc17233333"/>
      <w:bookmarkStart w:id="29" w:name="_Toc26718930"/>
      <w:bookmarkStart w:id="30" w:name="_Toc207028976"/>
      <w:bookmarkStart w:id="31" w:name="_Toc24884218"/>
      <w:bookmarkStart w:id="32" w:name="_Toc26648465"/>
      <w:bookmarkStart w:id="33" w:name="_Toc17233325"/>
      <w:bookmarkStart w:id="34" w:name="_Toc24884211"/>
      <w:bookmarkStart w:id="35" w:name="_Toc26986530"/>
      <w:bookmarkStart w:id="36" w:name="_Toc2698677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3E4BD7E9">
      <w:pPr>
        <w:pStyle w:val="56"/>
        <w:spacing w:line="360" w:lineRule="auto"/>
        <w:ind w:firstLine="420"/>
      </w:pPr>
      <w:bookmarkStart w:id="38" w:name="_Toc24884219"/>
      <w:bookmarkStart w:id="39" w:name="_Toc26648466"/>
      <w:bookmarkStart w:id="40" w:name="_Toc17233334"/>
      <w:bookmarkStart w:id="41" w:name="_Toc17233326"/>
      <w:bookmarkStart w:id="42" w:name="_Toc24884212"/>
      <w:r>
        <w:rPr>
          <w:rFonts w:hint="eastAsia"/>
        </w:rPr>
        <w:t>本文件规定了矿产资源动态评估的总体原则、矿产资源动态评估、可持续开采管理、数据信息管理、环境修复及监督改进等内容。</w:t>
      </w:r>
    </w:p>
    <w:p w14:paraId="60FE1F0E">
      <w:pPr>
        <w:pStyle w:val="56"/>
        <w:spacing w:line="360" w:lineRule="auto"/>
        <w:ind w:firstLine="420"/>
      </w:pPr>
      <w:r>
        <w:rPr>
          <w:rFonts w:hint="eastAsia"/>
        </w:rPr>
        <w:t>本文件适用于金属矿、非金属矿及能源矿产资源的动态评估与可持续开采管理，也可为区域资源规划、行业管理和科研应用提供参考。</w:t>
      </w:r>
    </w:p>
    <w:p w14:paraId="76265264">
      <w:pPr>
        <w:pStyle w:val="56"/>
        <w:spacing w:line="360" w:lineRule="auto"/>
        <w:ind w:firstLine="420"/>
      </w:pPr>
      <w:r>
        <w:rPr>
          <w:rFonts w:hint="eastAsia"/>
        </w:rPr>
        <w:t>本文件不适用于单一地质勘查阶段的储量核算及非矿产类资源的评估管理。</w:t>
      </w:r>
    </w:p>
    <w:p w14:paraId="3733B2AD">
      <w:pPr>
        <w:pStyle w:val="104"/>
        <w:spacing w:before="240" w:after="240" w:line="360" w:lineRule="auto"/>
      </w:pPr>
      <w:bookmarkStart w:id="43" w:name="_Toc207028977"/>
      <w:bookmarkStart w:id="44" w:name="_Toc26986772"/>
      <w:bookmarkStart w:id="45" w:name="_Toc97192965"/>
      <w:bookmarkStart w:id="46" w:name="_Toc26986531"/>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3B5653">
      <w:pPr>
        <w:pStyle w:val="56"/>
        <w:spacing w:line="360" w:lineRule="auto"/>
        <w:ind w:firstLine="420"/>
      </w:pPr>
      <w:r>
        <w:t>GB/T 44823-2024</w:t>
      </w:r>
      <w:r>
        <w:rPr>
          <w:rFonts w:hint="eastAsia"/>
        </w:rPr>
        <w:t xml:space="preserve"> 绿色矿山评价通则</w:t>
      </w:r>
    </w:p>
    <w:p w14:paraId="07A7F860">
      <w:pPr>
        <w:pStyle w:val="56"/>
        <w:spacing w:line="360" w:lineRule="auto"/>
        <w:ind w:firstLine="420"/>
      </w:pPr>
      <w:r>
        <w:rPr>
          <w:rFonts w:hint="eastAsia"/>
        </w:rPr>
        <w:t>GB/T 17766-2020 固体矿产资源储量分类</w:t>
      </w:r>
    </w:p>
    <w:p w14:paraId="03B0B220">
      <w:pPr>
        <w:pStyle w:val="56"/>
        <w:spacing w:line="360" w:lineRule="auto"/>
        <w:ind w:firstLine="420"/>
      </w:pPr>
      <w:r>
        <w:t>GB/T 37767-2019</w:t>
      </w:r>
      <w:r>
        <w:rPr>
          <w:rFonts w:hint="eastAsia"/>
        </w:rPr>
        <w:t xml:space="preserve"> 煤矿绿色矿山评价指标</w:t>
      </w:r>
    </w:p>
    <w:p w14:paraId="7F236BAD">
      <w:pPr>
        <w:pStyle w:val="56"/>
        <w:spacing w:line="360" w:lineRule="auto"/>
        <w:ind w:firstLine="420"/>
      </w:pPr>
      <w:r>
        <w:t>GB/T 42249-2022</w:t>
      </w:r>
      <w:r>
        <w:rPr>
          <w:rFonts w:hint="eastAsia"/>
        </w:rPr>
        <w:t xml:space="preserve"> 矿产资源综合利用技术指标及其计算方法</w:t>
      </w:r>
    </w:p>
    <w:p w14:paraId="3BCA22A8">
      <w:pPr>
        <w:pStyle w:val="56"/>
        <w:spacing w:line="360" w:lineRule="auto"/>
        <w:ind w:firstLine="420"/>
      </w:pPr>
      <w:r>
        <w:rPr>
          <w:rFonts w:hint="eastAsia"/>
        </w:rPr>
        <w:t>GB/T 43678-2024 生态系统评估 生态系统服务评估方法</w:t>
      </w:r>
    </w:p>
    <w:p w14:paraId="42984F42">
      <w:pPr>
        <w:pStyle w:val="56"/>
        <w:spacing w:line="360" w:lineRule="auto"/>
        <w:ind w:firstLine="420"/>
      </w:pPr>
      <w:r>
        <w:t>GB/T 43935-2024</w:t>
      </w:r>
      <w:r>
        <w:rPr>
          <w:rFonts w:hint="eastAsia"/>
        </w:rPr>
        <w:t xml:space="preserve"> 矿山土地复垦与生态修复监测评价技术规范</w:t>
      </w:r>
    </w:p>
    <w:p w14:paraId="51F02A4E">
      <w:pPr>
        <w:pStyle w:val="104"/>
        <w:spacing w:before="240" w:after="240" w:line="360" w:lineRule="auto"/>
      </w:pPr>
      <w:bookmarkStart w:id="48" w:name="_Toc97192966"/>
      <w:bookmarkStart w:id="49" w:name="_Toc207028978"/>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89D1F6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矿产资源动态评估 dynamic assessment of mineral resources</w:t>
      </w:r>
    </w:p>
    <w:p w14:paraId="6F9869A3">
      <w:pPr>
        <w:pStyle w:val="56"/>
        <w:spacing w:line="360" w:lineRule="auto"/>
        <w:ind w:firstLine="420"/>
      </w:pPr>
      <w:r>
        <w:rPr>
          <w:rFonts w:hint="eastAsia"/>
        </w:rPr>
        <w:t>基于实时监测、数据更新与建模分析，对矿产资源储量、开采强度、利用效率及环境影响进行周期性或连续性评估的过程。</w:t>
      </w:r>
    </w:p>
    <w:p w14:paraId="7CE594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可持续开采 sustainable mining</w:t>
      </w:r>
    </w:p>
    <w:p w14:paraId="7FA38E4C">
      <w:pPr>
        <w:pStyle w:val="56"/>
        <w:spacing w:line="360" w:lineRule="auto"/>
        <w:ind w:firstLine="420"/>
      </w:pPr>
      <w:r>
        <w:rPr>
          <w:rFonts w:hint="eastAsia"/>
        </w:rPr>
        <w:t>在保障资源合理利用和经济效益的同时，兼顾环境保护、社会效益和生态修复，确保矿山开发活动能够长期、协调发展的开采模式。</w:t>
      </w:r>
    </w:p>
    <w:p w14:paraId="655602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综合利用率 comprehensive utilization rate</w:t>
      </w:r>
    </w:p>
    <w:p w14:paraId="25F7B7A5">
      <w:pPr>
        <w:pStyle w:val="56"/>
        <w:spacing w:line="360" w:lineRule="auto"/>
        <w:ind w:firstLine="420"/>
      </w:pPr>
      <w:r>
        <w:rPr>
          <w:rFonts w:hint="eastAsia"/>
        </w:rPr>
        <w:t>指在一定时期内，矿产资源开采与加工过程中主产品与副产品、伴生矿的有效利用量占资源总量的比率。</w:t>
      </w:r>
    </w:p>
    <w:p w14:paraId="443777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矿山生态修复 mine ecological restoration</w:t>
      </w:r>
    </w:p>
    <w:p w14:paraId="1F6A6103">
      <w:pPr>
        <w:pStyle w:val="56"/>
        <w:spacing w:line="360" w:lineRule="auto"/>
        <w:ind w:firstLine="420"/>
      </w:pPr>
      <w:r>
        <w:rPr>
          <w:rFonts w:hint="eastAsia"/>
        </w:rPr>
        <w:t>在矿山开采及利用过程中，对受损的生态系统采取工程、植物、土壤改良等措施，恢复其生态功能与环境价值的过程。</w:t>
      </w:r>
    </w:p>
    <w:p w14:paraId="7AC28567">
      <w:pPr>
        <w:pStyle w:val="104"/>
        <w:spacing w:before="240" w:after="240" w:line="360" w:lineRule="auto"/>
      </w:pPr>
      <w:bookmarkStart w:id="51" w:name="_Toc207028979"/>
      <w:r>
        <w:rPr>
          <w:rFonts w:hint="eastAsia"/>
        </w:rPr>
        <w:t>总体原则</w:t>
      </w:r>
      <w:bookmarkEnd w:id="51"/>
    </w:p>
    <w:p w14:paraId="0FD35127">
      <w:pPr>
        <w:pStyle w:val="105"/>
        <w:spacing w:before="120" w:after="120" w:line="360" w:lineRule="auto"/>
      </w:pPr>
      <w:r>
        <w:rPr>
          <w:rFonts w:hint="eastAsia"/>
        </w:rPr>
        <w:t>科学性</w:t>
      </w:r>
    </w:p>
    <w:p w14:paraId="10F0BB78">
      <w:pPr>
        <w:pStyle w:val="56"/>
        <w:spacing w:line="360" w:lineRule="auto"/>
        <w:ind w:firstLine="420"/>
      </w:pPr>
      <w:r>
        <w:rPr>
          <w:rFonts w:hint="eastAsia"/>
        </w:rPr>
        <w:t>动态评估应基于真实可靠的数据和科学合理的方法，充分利用遥感、GIS、物联网、大数据和人工智能等现代信息技术，确保评估结果具有准确性和可重复性。</w:t>
      </w:r>
    </w:p>
    <w:p w14:paraId="7E54A688">
      <w:pPr>
        <w:pStyle w:val="56"/>
        <w:spacing w:line="360" w:lineRule="auto"/>
        <w:ind w:firstLine="420"/>
      </w:pPr>
      <w:r>
        <w:rPr>
          <w:rFonts w:hint="eastAsia"/>
        </w:rPr>
        <w:t>建立统一的数据标准与共享平台，避免因数据来源分散造成偏差。</w:t>
      </w:r>
    </w:p>
    <w:p w14:paraId="757AB0B9">
      <w:pPr>
        <w:pStyle w:val="105"/>
        <w:spacing w:before="120" w:after="120" w:line="360" w:lineRule="auto"/>
      </w:pPr>
      <w:r>
        <w:rPr>
          <w:rFonts w:hint="eastAsia"/>
        </w:rPr>
        <w:t>系统性</w:t>
      </w:r>
    </w:p>
    <w:p w14:paraId="25881422">
      <w:pPr>
        <w:pStyle w:val="56"/>
        <w:spacing w:line="360" w:lineRule="auto"/>
        <w:ind w:firstLine="420"/>
      </w:pPr>
      <w:r>
        <w:rPr>
          <w:rFonts w:hint="eastAsia"/>
        </w:rPr>
        <w:t>应从资源勘查、开采、加工、利用到废弃物处置和生态修复的全生命周期出发，形成涵盖空间、时间和要素的系统化管理模式。</w:t>
      </w:r>
    </w:p>
    <w:p w14:paraId="70791C1D">
      <w:pPr>
        <w:pStyle w:val="56"/>
        <w:spacing w:line="360" w:lineRule="auto"/>
        <w:ind w:firstLine="420"/>
      </w:pPr>
      <w:r>
        <w:rPr>
          <w:rFonts w:hint="eastAsia"/>
        </w:rPr>
        <w:t>在煤矿动态评估中，不仅要跟踪储量变化，还应考虑瓦斯抽采与生态恢复的协同效果。</w:t>
      </w:r>
    </w:p>
    <w:p w14:paraId="1DD9548C">
      <w:pPr>
        <w:pStyle w:val="105"/>
        <w:spacing w:before="120" w:after="120" w:line="360" w:lineRule="auto"/>
      </w:pPr>
      <w:r>
        <w:rPr>
          <w:rFonts w:hint="eastAsia"/>
        </w:rPr>
        <w:t>预防优先</w:t>
      </w:r>
    </w:p>
    <w:p w14:paraId="08A232F2">
      <w:pPr>
        <w:pStyle w:val="56"/>
        <w:spacing w:line="360" w:lineRule="auto"/>
        <w:ind w:firstLine="420"/>
      </w:pPr>
      <w:r>
        <w:rPr>
          <w:rFonts w:hint="eastAsia"/>
        </w:rPr>
        <w:t>在矿产资源开发前，应开展风险预测与敏感性分析，识别可能存在的地质灾害、生态破坏和环境风险，优先采取预防措施。</w:t>
      </w:r>
    </w:p>
    <w:p w14:paraId="51893339">
      <w:pPr>
        <w:pStyle w:val="56"/>
        <w:spacing w:line="360" w:lineRule="auto"/>
        <w:ind w:firstLine="420"/>
      </w:pPr>
      <w:r>
        <w:rPr>
          <w:rFonts w:hint="eastAsia"/>
        </w:rPr>
        <w:t>通过动态监测水文、地质和生态指标，建立早期预警机制，降低事后治理成本。</w:t>
      </w:r>
    </w:p>
    <w:p w14:paraId="7B390A5D">
      <w:pPr>
        <w:pStyle w:val="105"/>
        <w:spacing w:before="120" w:after="120" w:line="360" w:lineRule="auto"/>
      </w:pPr>
      <w:r>
        <w:rPr>
          <w:rFonts w:hint="eastAsia"/>
        </w:rPr>
        <w:t>可持续发展</w:t>
      </w:r>
    </w:p>
    <w:p w14:paraId="45C0074F">
      <w:pPr>
        <w:pStyle w:val="56"/>
        <w:spacing w:line="360" w:lineRule="auto"/>
        <w:ind w:firstLine="420"/>
      </w:pPr>
      <w:r>
        <w:rPr>
          <w:rFonts w:hint="eastAsia"/>
        </w:rPr>
        <w:t>资源开发既要满足当前经济社会发展需求，又要避免对未来造成不可逆损害，实现经济、社会与环境的均衡发展。</w:t>
      </w:r>
    </w:p>
    <w:p w14:paraId="72E5420E">
      <w:pPr>
        <w:pStyle w:val="56"/>
        <w:spacing w:line="360" w:lineRule="auto"/>
        <w:ind w:firstLine="420"/>
      </w:pPr>
      <w:r>
        <w:rPr>
          <w:rFonts w:hint="eastAsia"/>
        </w:rPr>
        <w:t>在金属矿开采中，严格控制尾矿排放标准，推动尾矿资源化利用，保障生态安全。</w:t>
      </w:r>
    </w:p>
    <w:p w14:paraId="60A92AC9">
      <w:pPr>
        <w:pStyle w:val="105"/>
        <w:spacing w:before="120" w:after="120" w:line="360" w:lineRule="auto"/>
      </w:pPr>
      <w:r>
        <w:rPr>
          <w:rFonts w:hint="eastAsia"/>
        </w:rPr>
        <w:t>综合利用</w:t>
      </w:r>
    </w:p>
    <w:p w14:paraId="7D9E0B5A">
      <w:pPr>
        <w:pStyle w:val="56"/>
        <w:spacing w:line="360" w:lineRule="auto"/>
        <w:ind w:firstLine="420"/>
      </w:pPr>
      <w:r>
        <w:rPr>
          <w:rFonts w:hint="eastAsia"/>
        </w:rPr>
        <w:t>应提高矿产资源的利用率，充分回收伴生矿和副产品，推动废弃物资源化和循环利用。</w:t>
      </w:r>
    </w:p>
    <w:p w14:paraId="332678D4">
      <w:pPr>
        <w:pStyle w:val="56"/>
        <w:spacing w:line="360" w:lineRule="auto"/>
        <w:ind w:firstLine="420"/>
      </w:pPr>
      <w:r>
        <w:rPr>
          <w:rFonts w:hint="eastAsia"/>
        </w:rPr>
        <w:t>铜矿伴生的钼、金、银等进行综合利用，既提升资源价值，又减少尾矿堆存量。</w:t>
      </w:r>
    </w:p>
    <w:p w14:paraId="25FB1FBD">
      <w:pPr>
        <w:pStyle w:val="105"/>
        <w:spacing w:before="120" w:after="120" w:line="360" w:lineRule="auto"/>
      </w:pPr>
      <w:r>
        <w:rPr>
          <w:rFonts w:hint="eastAsia"/>
        </w:rPr>
        <w:t>透明参与</w:t>
      </w:r>
    </w:p>
    <w:p w14:paraId="69644FF4">
      <w:pPr>
        <w:pStyle w:val="56"/>
        <w:spacing w:line="360" w:lineRule="auto"/>
        <w:ind w:firstLine="420"/>
      </w:pPr>
      <w:r>
        <w:rPr>
          <w:rFonts w:hint="eastAsia"/>
        </w:rPr>
        <w:t>应加强评估与管理过程的信息公开，接受社会监督，并鼓励公众、科研机构和第三方独立评价机构的参与。</w:t>
      </w:r>
    </w:p>
    <w:p w14:paraId="4E298868">
      <w:pPr>
        <w:pStyle w:val="56"/>
        <w:spacing w:line="360" w:lineRule="auto"/>
        <w:ind w:firstLine="420"/>
      </w:pPr>
      <w:r>
        <w:rPr>
          <w:rFonts w:hint="eastAsia"/>
        </w:rPr>
        <w:t>通过定期发布矿产资源动态评估报告和环境监测公报，增强矿业开发的透明度与公信力。</w:t>
      </w:r>
    </w:p>
    <w:p w14:paraId="2EC12605">
      <w:pPr>
        <w:pStyle w:val="104"/>
        <w:spacing w:before="240" w:after="240" w:line="360" w:lineRule="auto"/>
      </w:pPr>
      <w:bookmarkStart w:id="52" w:name="_Toc207028980"/>
      <w:r>
        <w:rPr>
          <w:rFonts w:hint="eastAsia"/>
        </w:rPr>
        <w:t>矿产资源动态评估</w:t>
      </w:r>
      <w:bookmarkEnd w:id="52"/>
    </w:p>
    <w:p w14:paraId="21F8A302">
      <w:pPr>
        <w:pStyle w:val="105"/>
        <w:spacing w:before="120" w:after="120" w:line="360" w:lineRule="auto"/>
      </w:pPr>
      <w:r>
        <w:rPr>
          <w:rFonts w:hint="eastAsia"/>
        </w:rPr>
        <w:t>总则</w:t>
      </w:r>
    </w:p>
    <w:p w14:paraId="3853A0EE">
      <w:pPr>
        <w:pStyle w:val="56"/>
        <w:spacing w:line="360" w:lineRule="auto"/>
        <w:ind w:firstLine="420"/>
      </w:pPr>
      <w:r>
        <w:rPr>
          <w:rFonts w:hint="eastAsia"/>
        </w:rPr>
        <w:t>矿产资源动态评估应以真实、全面、及时的数据为基础，采用多源信息融合与科学建模方法，对矿产资源储量、开发强度、利用效率及环境影响进行周期性或连续性评估。评估结果应为政府决策、企业管理和社会监督提供依据。</w:t>
      </w:r>
    </w:p>
    <w:p w14:paraId="072FC31B">
      <w:pPr>
        <w:pStyle w:val="105"/>
        <w:spacing w:before="120" w:after="120" w:line="360" w:lineRule="auto"/>
      </w:pPr>
      <w:r>
        <w:rPr>
          <w:rFonts w:hint="eastAsia"/>
        </w:rPr>
        <w:t>数据获取与更新</w:t>
      </w:r>
    </w:p>
    <w:p w14:paraId="4E85DCA4">
      <w:pPr>
        <w:pStyle w:val="56"/>
        <w:spacing w:line="360" w:lineRule="auto"/>
        <w:ind w:firstLine="420"/>
      </w:pPr>
      <w:r>
        <w:rPr>
          <w:rFonts w:hint="eastAsia"/>
        </w:rPr>
        <w:t>动态评估的准确性依赖于高质量的数据支撑。应建立完善的数据采集与更新机制：</w:t>
      </w:r>
    </w:p>
    <w:p w14:paraId="27FB466B">
      <w:pPr>
        <w:pStyle w:val="132"/>
        <w:spacing w:line="360" w:lineRule="auto"/>
      </w:pPr>
      <w:r>
        <w:rPr>
          <w:rFonts w:hint="eastAsia"/>
        </w:rPr>
        <w:t>数据来源：包括地质勘查数据、开采生产数据、环境监测数据、遥感影像数据及社会经济统计数据；</w:t>
      </w:r>
    </w:p>
    <w:p w14:paraId="5E2D3EAB">
      <w:pPr>
        <w:pStyle w:val="132"/>
        <w:spacing w:line="360" w:lineRule="auto"/>
      </w:pPr>
      <w:r>
        <w:rPr>
          <w:rFonts w:hint="eastAsia"/>
        </w:rPr>
        <w:t>采集方式：可采用物联网传感器、无人机监测、遥感监测、在线检测与人工调查等；</w:t>
      </w:r>
    </w:p>
    <w:p w14:paraId="4D2A5B77">
      <w:pPr>
        <w:pStyle w:val="132"/>
        <w:spacing w:line="360" w:lineRule="auto"/>
      </w:pPr>
      <w:r>
        <w:rPr>
          <w:rFonts w:hint="eastAsia"/>
        </w:rPr>
        <w:t>更新频率：对高风险或高强度开采矿山，应进行实时监测或季度更新；对一般矿山，建议每年更新一次数据。</w:t>
      </w:r>
    </w:p>
    <w:p w14:paraId="41A5A0F9">
      <w:pPr>
        <w:pStyle w:val="105"/>
        <w:spacing w:before="120" w:after="120" w:line="360" w:lineRule="auto"/>
      </w:pPr>
      <w:r>
        <w:rPr>
          <w:rFonts w:hint="eastAsia"/>
        </w:rPr>
        <w:t>指标体系构建</w:t>
      </w:r>
    </w:p>
    <w:p w14:paraId="20229E02">
      <w:pPr>
        <w:pStyle w:val="56"/>
        <w:spacing w:line="360" w:lineRule="auto"/>
        <w:ind w:firstLine="420"/>
      </w:pPr>
      <w:r>
        <w:rPr>
          <w:rFonts w:hint="eastAsia"/>
        </w:rPr>
        <w:t>矿产资源动态评估应建立涵盖资源、环境和经济社会等维度的指标体系，形成多层次、多角度的综合评价框架。为便于理解，常用的指标体系示例见表1。</w:t>
      </w:r>
    </w:p>
    <w:p w14:paraId="2A62EE40">
      <w:pPr>
        <w:pStyle w:val="112"/>
        <w:spacing w:before="120" w:after="120" w:line="360" w:lineRule="auto"/>
      </w:pPr>
      <w:r>
        <w:rPr>
          <w:rFonts w:hint="eastAsia"/>
        </w:rPr>
        <w:t>矿产资源动态评估指标体系示例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701"/>
        <w:gridCol w:w="3118"/>
        <w:gridCol w:w="3107"/>
      </w:tblGrid>
      <w:tr w14:paraId="25FDA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608D9E3D">
            <w:pPr>
              <w:pStyle w:val="178"/>
            </w:pPr>
            <w:r>
              <w:rPr>
                <w:rFonts w:hint="eastAsia"/>
              </w:rPr>
              <w:t>指标类别</w:t>
            </w:r>
          </w:p>
        </w:tc>
        <w:tc>
          <w:tcPr>
            <w:tcW w:w="1701" w:type="dxa"/>
            <w:tcBorders>
              <w:top w:val="single" w:color="auto" w:sz="8" w:space="0"/>
              <w:bottom w:val="single" w:color="auto" w:sz="8" w:space="0"/>
            </w:tcBorders>
            <w:vAlign w:val="center"/>
          </w:tcPr>
          <w:p w14:paraId="33FC851E">
            <w:pPr>
              <w:pStyle w:val="178"/>
            </w:pPr>
            <w:r>
              <w:rPr>
                <w:rFonts w:hint="eastAsia"/>
              </w:rPr>
              <w:t>一级指标</w:t>
            </w:r>
          </w:p>
        </w:tc>
        <w:tc>
          <w:tcPr>
            <w:tcW w:w="3118" w:type="dxa"/>
            <w:tcBorders>
              <w:top w:val="single" w:color="auto" w:sz="8" w:space="0"/>
              <w:bottom w:val="single" w:color="auto" w:sz="8" w:space="0"/>
            </w:tcBorders>
            <w:vAlign w:val="center"/>
          </w:tcPr>
          <w:p w14:paraId="798BAC82">
            <w:pPr>
              <w:pStyle w:val="178"/>
            </w:pPr>
            <w:r>
              <w:rPr>
                <w:rFonts w:hint="eastAsia"/>
              </w:rPr>
              <w:t>二级指标</w:t>
            </w:r>
          </w:p>
        </w:tc>
        <w:tc>
          <w:tcPr>
            <w:tcW w:w="3107" w:type="dxa"/>
            <w:tcBorders>
              <w:top w:val="single" w:color="auto" w:sz="8" w:space="0"/>
              <w:bottom w:val="single" w:color="auto" w:sz="8" w:space="0"/>
            </w:tcBorders>
            <w:vAlign w:val="center"/>
          </w:tcPr>
          <w:p w14:paraId="7E65E48B">
            <w:pPr>
              <w:pStyle w:val="178"/>
            </w:pPr>
            <w:r>
              <w:rPr>
                <w:rFonts w:hint="eastAsia"/>
              </w:rPr>
              <w:t>说明</w:t>
            </w:r>
          </w:p>
        </w:tc>
      </w:tr>
      <w:tr w14:paraId="37918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tcBorders>
              <w:top w:val="single" w:color="auto" w:sz="8" w:space="0"/>
            </w:tcBorders>
            <w:vAlign w:val="center"/>
          </w:tcPr>
          <w:p w14:paraId="0F54ABBE">
            <w:pPr>
              <w:pStyle w:val="178"/>
              <w:rPr>
                <w:rFonts w:hint="eastAsia"/>
              </w:rPr>
            </w:pPr>
            <w:r>
              <w:rPr>
                <w:rFonts w:hint="eastAsia"/>
              </w:rPr>
              <w:t>资源类</w:t>
            </w:r>
          </w:p>
        </w:tc>
        <w:tc>
          <w:tcPr>
            <w:tcW w:w="1701" w:type="dxa"/>
            <w:tcBorders>
              <w:top w:val="single" w:color="auto" w:sz="8" w:space="0"/>
            </w:tcBorders>
            <w:vAlign w:val="center"/>
          </w:tcPr>
          <w:p w14:paraId="3E4D576A">
            <w:pPr>
              <w:pStyle w:val="178"/>
            </w:pPr>
            <w:r>
              <w:rPr>
                <w:rFonts w:hint="eastAsia"/>
              </w:rPr>
              <w:t>储量动态变化</w:t>
            </w:r>
          </w:p>
        </w:tc>
        <w:tc>
          <w:tcPr>
            <w:tcW w:w="3118" w:type="dxa"/>
            <w:tcBorders>
              <w:top w:val="single" w:color="auto" w:sz="8" w:space="0"/>
            </w:tcBorders>
            <w:vAlign w:val="center"/>
          </w:tcPr>
          <w:p w14:paraId="381F4A9C">
            <w:pPr>
              <w:pStyle w:val="178"/>
            </w:pPr>
            <w:r>
              <w:rPr>
                <w:rFonts w:hint="eastAsia"/>
              </w:rPr>
              <w:t>年度新增储量、年度消耗储量</w:t>
            </w:r>
          </w:p>
        </w:tc>
        <w:tc>
          <w:tcPr>
            <w:tcW w:w="3107" w:type="dxa"/>
            <w:tcBorders>
              <w:top w:val="single" w:color="auto" w:sz="8" w:space="0"/>
            </w:tcBorders>
            <w:vAlign w:val="center"/>
          </w:tcPr>
          <w:p w14:paraId="237E18FE">
            <w:pPr>
              <w:pStyle w:val="178"/>
            </w:pPr>
            <w:r>
              <w:rPr>
                <w:rFonts w:hint="eastAsia"/>
              </w:rPr>
              <w:t>反映资源存量及开采对储量的影响</w:t>
            </w:r>
          </w:p>
        </w:tc>
      </w:tr>
      <w:tr w14:paraId="358DF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64B535DE">
            <w:pPr>
              <w:pStyle w:val="178"/>
            </w:pPr>
          </w:p>
        </w:tc>
        <w:tc>
          <w:tcPr>
            <w:tcW w:w="1701" w:type="dxa"/>
            <w:vAlign w:val="center"/>
          </w:tcPr>
          <w:p w14:paraId="16E068A2">
            <w:pPr>
              <w:pStyle w:val="178"/>
            </w:pPr>
            <w:r>
              <w:rPr>
                <w:rFonts w:hint="eastAsia"/>
              </w:rPr>
              <w:t>开采强度</w:t>
            </w:r>
          </w:p>
        </w:tc>
        <w:tc>
          <w:tcPr>
            <w:tcW w:w="3118" w:type="dxa"/>
            <w:vAlign w:val="center"/>
          </w:tcPr>
          <w:p w14:paraId="3A1AC04E">
            <w:pPr>
              <w:pStyle w:val="178"/>
            </w:pPr>
            <w:r>
              <w:rPr>
                <w:rFonts w:hint="eastAsia"/>
              </w:rPr>
              <w:t>年开采量/保有储量比</w:t>
            </w:r>
          </w:p>
        </w:tc>
        <w:tc>
          <w:tcPr>
            <w:tcW w:w="3107" w:type="dxa"/>
            <w:vAlign w:val="center"/>
          </w:tcPr>
          <w:p w14:paraId="2F5045AE">
            <w:pPr>
              <w:pStyle w:val="178"/>
            </w:pPr>
            <w:r>
              <w:rPr>
                <w:rFonts w:hint="eastAsia"/>
              </w:rPr>
              <w:t>衡量资源消耗速度</w:t>
            </w:r>
          </w:p>
        </w:tc>
      </w:tr>
      <w:tr w14:paraId="1375A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22B431C5">
            <w:pPr>
              <w:pStyle w:val="178"/>
            </w:pPr>
          </w:p>
        </w:tc>
        <w:tc>
          <w:tcPr>
            <w:tcW w:w="1701" w:type="dxa"/>
            <w:vAlign w:val="center"/>
          </w:tcPr>
          <w:p w14:paraId="75E60A4F">
            <w:pPr>
              <w:pStyle w:val="178"/>
            </w:pPr>
            <w:r>
              <w:rPr>
                <w:rFonts w:hint="eastAsia"/>
              </w:rPr>
              <w:t>综合利用率</w:t>
            </w:r>
          </w:p>
        </w:tc>
        <w:tc>
          <w:tcPr>
            <w:tcW w:w="3118" w:type="dxa"/>
            <w:vAlign w:val="center"/>
          </w:tcPr>
          <w:p w14:paraId="15267E4D">
            <w:pPr>
              <w:pStyle w:val="178"/>
            </w:pPr>
            <w:r>
              <w:rPr>
                <w:rFonts w:hint="eastAsia"/>
              </w:rPr>
              <w:t>主矿产品+伴生矿利用率</w:t>
            </w:r>
          </w:p>
        </w:tc>
        <w:tc>
          <w:tcPr>
            <w:tcW w:w="3107" w:type="dxa"/>
            <w:vAlign w:val="center"/>
          </w:tcPr>
          <w:p w14:paraId="00C7FE5C">
            <w:pPr>
              <w:pStyle w:val="178"/>
            </w:pPr>
            <w:r>
              <w:rPr>
                <w:rFonts w:hint="eastAsia"/>
              </w:rPr>
              <w:t>评价资源利用的完整性</w:t>
            </w:r>
          </w:p>
        </w:tc>
      </w:tr>
      <w:tr w14:paraId="39AB2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vAlign w:val="center"/>
          </w:tcPr>
          <w:p w14:paraId="2484089B">
            <w:pPr>
              <w:pStyle w:val="178"/>
              <w:rPr>
                <w:rFonts w:hint="eastAsia"/>
              </w:rPr>
            </w:pPr>
            <w:r>
              <w:rPr>
                <w:rFonts w:hint="eastAsia"/>
              </w:rPr>
              <w:t>环境类</w:t>
            </w:r>
          </w:p>
        </w:tc>
        <w:tc>
          <w:tcPr>
            <w:tcW w:w="1701" w:type="dxa"/>
            <w:vAlign w:val="center"/>
          </w:tcPr>
          <w:p w14:paraId="784AE28E">
            <w:pPr>
              <w:pStyle w:val="178"/>
            </w:pPr>
            <w:r>
              <w:rPr>
                <w:rFonts w:hint="eastAsia"/>
              </w:rPr>
              <w:t>生态破坏程度</w:t>
            </w:r>
          </w:p>
        </w:tc>
        <w:tc>
          <w:tcPr>
            <w:tcW w:w="3118" w:type="dxa"/>
            <w:vAlign w:val="center"/>
          </w:tcPr>
          <w:p w14:paraId="6BE26BA4">
            <w:pPr>
              <w:pStyle w:val="178"/>
            </w:pPr>
            <w:r>
              <w:rPr>
                <w:rFonts w:hint="eastAsia"/>
              </w:rPr>
              <w:t>占地面积、植被覆盖率变化</w:t>
            </w:r>
          </w:p>
        </w:tc>
        <w:tc>
          <w:tcPr>
            <w:tcW w:w="3107" w:type="dxa"/>
            <w:vAlign w:val="center"/>
          </w:tcPr>
          <w:p w14:paraId="68485329">
            <w:pPr>
              <w:pStyle w:val="178"/>
            </w:pPr>
            <w:r>
              <w:rPr>
                <w:rFonts w:hint="eastAsia"/>
              </w:rPr>
              <w:t>反映矿山对生态系统的影响</w:t>
            </w:r>
          </w:p>
        </w:tc>
      </w:tr>
      <w:tr w14:paraId="0C8B8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769CA5EA">
            <w:pPr>
              <w:pStyle w:val="178"/>
            </w:pPr>
          </w:p>
        </w:tc>
        <w:tc>
          <w:tcPr>
            <w:tcW w:w="1701" w:type="dxa"/>
            <w:vAlign w:val="center"/>
          </w:tcPr>
          <w:p w14:paraId="7295EDD4">
            <w:pPr>
              <w:pStyle w:val="178"/>
            </w:pPr>
            <w:r>
              <w:rPr>
                <w:rFonts w:hint="eastAsia"/>
              </w:rPr>
              <w:t>水土环境影响</w:t>
            </w:r>
          </w:p>
        </w:tc>
        <w:tc>
          <w:tcPr>
            <w:tcW w:w="3118" w:type="dxa"/>
            <w:vAlign w:val="center"/>
          </w:tcPr>
          <w:p w14:paraId="7CD1C68A">
            <w:pPr>
              <w:pStyle w:val="178"/>
            </w:pPr>
            <w:r>
              <w:rPr>
                <w:rFonts w:hint="eastAsia"/>
              </w:rPr>
              <w:t>水污染物排放量、土壤重金属含量</w:t>
            </w:r>
          </w:p>
        </w:tc>
        <w:tc>
          <w:tcPr>
            <w:tcW w:w="3107" w:type="dxa"/>
            <w:vAlign w:val="center"/>
          </w:tcPr>
          <w:p w14:paraId="16BA84F6">
            <w:pPr>
              <w:pStyle w:val="178"/>
            </w:pPr>
            <w:r>
              <w:rPr>
                <w:rFonts w:hint="eastAsia"/>
              </w:rPr>
              <w:t>评估环境风险水平</w:t>
            </w:r>
          </w:p>
        </w:tc>
      </w:tr>
      <w:tr w14:paraId="0ADC3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60209C61">
            <w:pPr>
              <w:pStyle w:val="178"/>
            </w:pPr>
          </w:p>
        </w:tc>
        <w:tc>
          <w:tcPr>
            <w:tcW w:w="1701" w:type="dxa"/>
            <w:vAlign w:val="center"/>
          </w:tcPr>
          <w:p w14:paraId="5E1C23E8">
            <w:pPr>
              <w:pStyle w:val="178"/>
            </w:pPr>
            <w:r>
              <w:rPr>
                <w:rFonts w:hint="eastAsia"/>
              </w:rPr>
              <w:t>能源消耗强度</w:t>
            </w:r>
          </w:p>
        </w:tc>
        <w:tc>
          <w:tcPr>
            <w:tcW w:w="3118" w:type="dxa"/>
            <w:vAlign w:val="center"/>
          </w:tcPr>
          <w:p w14:paraId="789A5FFB">
            <w:pPr>
              <w:pStyle w:val="178"/>
            </w:pPr>
            <w:r>
              <w:rPr>
                <w:rFonts w:hint="eastAsia"/>
              </w:rPr>
              <w:t>单位产品能耗</w:t>
            </w:r>
          </w:p>
        </w:tc>
        <w:tc>
          <w:tcPr>
            <w:tcW w:w="3107" w:type="dxa"/>
            <w:vAlign w:val="center"/>
          </w:tcPr>
          <w:p w14:paraId="5561252E">
            <w:pPr>
              <w:pStyle w:val="178"/>
            </w:pPr>
            <w:r>
              <w:rPr>
                <w:rFonts w:hint="eastAsia"/>
              </w:rPr>
              <w:t>衡量生产过程的能源效率</w:t>
            </w:r>
          </w:p>
        </w:tc>
      </w:tr>
      <w:tr w14:paraId="31A4E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vAlign w:val="center"/>
          </w:tcPr>
          <w:p w14:paraId="3E7A6A7A">
            <w:pPr>
              <w:pStyle w:val="178"/>
              <w:rPr>
                <w:rFonts w:hint="eastAsia"/>
              </w:rPr>
            </w:pPr>
            <w:r>
              <w:rPr>
                <w:rFonts w:hint="eastAsia"/>
              </w:rPr>
              <w:t>社会类</w:t>
            </w:r>
          </w:p>
        </w:tc>
        <w:tc>
          <w:tcPr>
            <w:tcW w:w="1701" w:type="dxa"/>
            <w:vAlign w:val="center"/>
          </w:tcPr>
          <w:p w14:paraId="7953AC66">
            <w:pPr>
              <w:pStyle w:val="178"/>
            </w:pPr>
            <w:r>
              <w:rPr>
                <w:rFonts w:hint="eastAsia"/>
              </w:rPr>
              <w:t>经济贡献</w:t>
            </w:r>
          </w:p>
        </w:tc>
        <w:tc>
          <w:tcPr>
            <w:tcW w:w="3118" w:type="dxa"/>
            <w:vAlign w:val="center"/>
          </w:tcPr>
          <w:p w14:paraId="1A09BC58">
            <w:pPr>
              <w:pStyle w:val="178"/>
            </w:pPr>
            <w:r>
              <w:rPr>
                <w:rFonts w:hint="eastAsia"/>
              </w:rPr>
              <w:t>矿业产值占地区GDP比重</w:t>
            </w:r>
          </w:p>
        </w:tc>
        <w:tc>
          <w:tcPr>
            <w:tcW w:w="3107" w:type="dxa"/>
            <w:vAlign w:val="center"/>
          </w:tcPr>
          <w:p w14:paraId="028B360B">
            <w:pPr>
              <w:pStyle w:val="178"/>
            </w:pPr>
            <w:r>
              <w:rPr>
                <w:rFonts w:hint="eastAsia"/>
              </w:rPr>
              <w:t>评价矿业经济作用</w:t>
            </w:r>
          </w:p>
        </w:tc>
      </w:tr>
      <w:tr w14:paraId="43D78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1F665DC4">
            <w:pPr>
              <w:pStyle w:val="178"/>
            </w:pPr>
          </w:p>
        </w:tc>
        <w:tc>
          <w:tcPr>
            <w:tcW w:w="1701" w:type="dxa"/>
            <w:vAlign w:val="center"/>
          </w:tcPr>
          <w:p w14:paraId="3527E1AD">
            <w:pPr>
              <w:pStyle w:val="178"/>
            </w:pPr>
            <w:r>
              <w:rPr>
                <w:rFonts w:hint="eastAsia"/>
              </w:rPr>
              <w:t>就业贡献</w:t>
            </w:r>
          </w:p>
        </w:tc>
        <w:tc>
          <w:tcPr>
            <w:tcW w:w="3118" w:type="dxa"/>
            <w:vAlign w:val="center"/>
          </w:tcPr>
          <w:p w14:paraId="56096989">
            <w:pPr>
              <w:pStyle w:val="178"/>
            </w:pPr>
            <w:r>
              <w:rPr>
                <w:rFonts w:hint="eastAsia"/>
              </w:rPr>
              <w:t>矿山就业人数</w:t>
            </w:r>
          </w:p>
        </w:tc>
        <w:tc>
          <w:tcPr>
            <w:tcW w:w="3107" w:type="dxa"/>
            <w:vAlign w:val="center"/>
          </w:tcPr>
          <w:p w14:paraId="422295BF">
            <w:pPr>
              <w:pStyle w:val="178"/>
            </w:pPr>
            <w:r>
              <w:rPr>
                <w:rFonts w:hint="eastAsia"/>
              </w:rPr>
              <w:t>衡量社会效益</w:t>
            </w:r>
          </w:p>
        </w:tc>
      </w:tr>
      <w:tr w14:paraId="0BFF6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3E44F746">
            <w:pPr>
              <w:pStyle w:val="178"/>
            </w:pPr>
          </w:p>
        </w:tc>
        <w:tc>
          <w:tcPr>
            <w:tcW w:w="1701" w:type="dxa"/>
            <w:vAlign w:val="center"/>
          </w:tcPr>
          <w:p w14:paraId="76CF059A">
            <w:pPr>
              <w:pStyle w:val="178"/>
            </w:pPr>
            <w:r>
              <w:rPr>
                <w:rFonts w:hint="eastAsia"/>
              </w:rPr>
              <w:t>社会责任履行</w:t>
            </w:r>
          </w:p>
        </w:tc>
        <w:tc>
          <w:tcPr>
            <w:tcW w:w="3118" w:type="dxa"/>
            <w:vAlign w:val="center"/>
          </w:tcPr>
          <w:p w14:paraId="7F16E897">
            <w:pPr>
              <w:pStyle w:val="178"/>
            </w:pPr>
            <w:r>
              <w:rPr>
                <w:rFonts w:hint="eastAsia"/>
              </w:rPr>
              <w:t>环境投入比例、社会公益支出</w:t>
            </w:r>
          </w:p>
        </w:tc>
        <w:tc>
          <w:tcPr>
            <w:tcW w:w="3107" w:type="dxa"/>
            <w:vAlign w:val="center"/>
          </w:tcPr>
          <w:p w14:paraId="2CE5EE9B">
            <w:pPr>
              <w:pStyle w:val="178"/>
            </w:pPr>
            <w:r>
              <w:rPr>
                <w:rFonts w:hint="eastAsia"/>
              </w:rPr>
              <w:t>反映企业社会责任水平</w:t>
            </w:r>
          </w:p>
        </w:tc>
      </w:tr>
    </w:tbl>
    <w:p w14:paraId="4FC69580">
      <w:pPr>
        <w:pStyle w:val="56"/>
        <w:spacing w:before="120" w:beforeLines="50" w:line="360" w:lineRule="auto"/>
        <w:ind w:firstLine="420"/>
      </w:pPr>
      <w:r>
        <w:rPr>
          <w:rFonts w:hint="eastAsia"/>
        </w:rPr>
        <w:t>该指标体系可根据不同矿种、开采方式及区域特征进行适当调整和扩展。</w:t>
      </w:r>
    </w:p>
    <w:p w14:paraId="241A5AC6">
      <w:pPr>
        <w:pStyle w:val="105"/>
        <w:spacing w:before="120" w:after="120" w:line="360" w:lineRule="auto"/>
      </w:pPr>
      <w:r>
        <w:rPr>
          <w:rFonts w:hint="eastAsia"/>
        </w:rPr>
        <w:t>评估方法</w:t>
      </w:r>
    </w:p>
    <w:p w14:paraId="3B8BDD1A">
      <w:pPr>
        <w:pStyle w:val="56"/>
        <w:spacing w:line="360" w:lineRule="auto"/>
        <w:ind w:firstLine="420"/>
      </w:pPr>
      <w:r>
        <w:rPr>
          <w:rFonts w:hint="eastAsia"/>
        </w:rPr>
        <w:t>矿产资源动态评估应根据不同目标采用科学合理的分析方法：</w:t>
      </w:r>
    </w:p>
    <w:p w14:paraId="5291E96A">
      <w:pPr>
        <w:pStyle w:val="132"/>
        <w:spacing w:line="360" w:lineRule="auto"/>
      </w:pPr>
      <w:r>
        <w:rPr>
          <w:rFonts w:hint="eastAsia"/>
        </w:rPr>
        <w:t>定量方法：采用数理统计、地质建模、生命周期评价、物质流分析等方法，提供定量化指标；</w:t>
      </w:r>
    </w:p>
    <w:p w14:paraId="1F014E3F">
      <w:pPr>
        <w:pStyle w:val="132"/>
        <w:spacing w:line="360" w:lineRule="auto"/>
      </w:pPr>
      <w:r>
        <w:rPr>
          <w:rFonts w:hint="eastAsia"/>
        </w:rPr>
        <w:t>定性方法：利用专家咨询、层次分析法等方法，对难以量化的社会与生态指标进行评估；</w:t>
      </w:r>
    </w:p>
    <w:p w14:paraId="3C92CE07">
      <w:pPr>
        <w:pStyle w:val="132"/>
        <w:spacing w:line="360" w:lineRule="auto"/>
      </w:pPr>
      <w:r>
        <w:rPr>
          <w:rFonts w:hint="eastAsia"/>
        </w:rPr>
        <w:t>综合方法：结合定量与定性方法，采用多指标综合评价模型或模糊综合评价模型，提高结果的全面性。</w:t>
      </w:r>
    </w:p>
    <w:p w14:paraId="1FA36FEF">
      <w:pPr>
        <w:pStyle w:val="105"/>
        <w:spacing w:before="120" w:after="120" w:line="360" w:lineRule="auto"/>
      </w:pPr>
      <w:r>
        <w:rPr>
          <w:rFonts w:hint="eastAsia"/>
        </w:rPr>
        <w:t>结果应用</w:t>
      </w:r>
    </w:p>
    <w:p w14:paraId="050D832D">
      <w:pPr>
        <w:pStyle w:val="56"/>
        <w:spacing w:line="360" w:lineRule="auto"/>
        <w:ind w:firstLine="420"/>
      </w:pPr>
      <w:r>
        <w:rPr>
          <w:rFonts w:hint="eastAsia"/>
        </w:rPr>
        <w:t>评估结果应服务于矿产资源规划、开采审批、监管执法和企业管理：</w:t>
      </w:r>
    </w:p>
    <w:p w14:paraId="03AE48CF">
      <w:pPr>
        <w:pStyle w:val="132"/>
        <w:spacing w:line="360" w:lineRule="auto"/>
      </w:pPr>
      <w:r>
        <w:rPr>
          <w:rFonts w:hint="eastAsia"/>
        </w:rPr>
        <w:t>政府层面：为资源配置、政策制定和环境监管提供依据；</w:t>
      </w:r>
    </w:p>
    <w:p w14:paraId="3EEC97CC">
      <w:pPr>
        <w:pStyle w:val="132"/>
        <w:spacing w:line="360" w:lineRule="auto"/>
      </w:pPr>
      <w:r>
        <w:rPr>
          <w:rFonts w:hint="eastAsia"/>
        </w:rPr>
        <w:t>企业层面：为生产优化、节能降耗和环境管理提供参考；</w:t>
      </w:r>
    </w:p>
    <w:p w14:paraId="305AD961">
      <w:pPr>
        <w:pStyle w:val="132"/>
        <w:spacing w:line="360" w:lineRule="auto"/>
      </w:pPr>
      <w:r>
        <w:rPr>
          <w:rFonts w:hint="eastAsia"/>
        </w:rPr>
        <w:t>社会层面：通过信息公开和报告发布，提高公众知情权和参与度。</w:t>
      </w:r>
    </w:p>
    <w:p w14:paraId="6C76C9A6">
      <w:pPr>
        <w:pStyle w:val="104"/>
        <w:spacing w:before="240" w:after="240" w:line="360" w:lineRule="auto"/>
      </w:pPr>
      <w:bookmarkStart w:id="53" w:name="_Toc207028981"/>
      <w:r>
        <w:rPr>
          <w:rFonts w:hint="eastAsia"/>
        </w:rPr>
        <w:t>可持续开采管理</w:t>
      </w:r>
      <w:bookmarkEnd w:id="53"/>
    </w:p>
    <w:p w14:paraId="6EB857EC">
      <w:pPr>
        <w:pStyle w:val="105"/>
        <w:spacing w:before="120" w:after="120" w:line="360" w:lineRule="auto"/>
      </w:pPr>
      <w:r>
        <w:rPr>
          <w:rFonts w:hint="eastAsia"/>
        </w:rPr>
        <w:t>总则</w:t>
      </w:r>
    </w:p>
    <w:p w14:paraId="16C7A0B2">
      <w:pPr>
        <w:pStyle w:val="56"/>
        <w:spacing w:line="360" w:lineRule="auto"/>
        <w:ind w:firstLine="420"/>
      </w:pPr>
      <w:r>
        <w:rPr>
          <w:rFonts w:hint="eastAsia"/>
        </w:rPr>
        <w:t>可持续开采管理应覆盖矿山规划、开采实施、生产运行和矿后治理全过程，确保资源利用的最大化、环境破坏的最小化以及社会效益的最优化。</w:t>
      </w:r>
    </w:p>
    <w:p w14:paraId="7856AA63">
      <w:pPr>
        <w:pStyle w:val="105"/>
        <w:spacing w:before="120" w:after="120" w:line="360" w:lineRule="auto"/>
      </w:pPr>
      <w:r>
        <w:rPr>
          <w:rFonts w:hint="eastAsia"/>
        </w:rPr>
        <w:t>资源节约利用</w:t>
      </w:r>
    </w:p>
    <w:p w14:paraId="645351DA">
      <w:pPr>
        <w:pStyle w:val="56"/>
        <w:spacing w:line="360" w:lineRule="auto"/>
        <w:ind w:firstLine="420"/>
      </w:pPr>
      <w:r>
        <w:rPr>
          <w:rFonts w:hint="eastAsia"/>
        </w:rPr>
        <w:t>在开采过程中，应加强对资源开采率与回采率的控制，推动伴生矿与共生矿的综合回收，减少废弃物排放：</w:t>
      </w:r>
    </w:p>
    <w:p w14:paraId="7464AB3D">
      <w:pPr>
        <w:pStyle w:val="132"/>
        <w:spacing w:line="360" w:lineRule="auto"/>
      </w:pPr>
      <w:r>
        <w:rPr>
          <w:rFonts w:hint="eastAsia"/>
        </w:rPr>
        <w:t>应明确矿山开采回采率、选矿回收率等指标；</w:t>
      </w:r>
    </w:p>
    <w:p w14:paraId="05655CEF">
      <w:pPr>
        <w:pStyle w:val="132"/>
        <w:spacing w:line="360" w:lineRule="auto"/>
      </w:pPr>
      <w:r>
        <w:rPr>
          <w:rFonts w:hint="eastAsia"/>
        </w:rPr>
        <w:t>应建立资源利用台账，对生产过程中的损失和浪费进行统计与分析；</w:t>
      </w:r>
    </w:p>
    <w:p w14:paraId="63CBF769">
      <w:pPr>
        <w:pStyle w:val="132"/>
        <w:spacing w:line="360" w:lineRule="auto"/>
      </w:pPr>
      <w:r>
        <w:rPr>
          <w:rFonts w:hint="eastAsia"/>
        </w:rPr>
        <w:t>鼓励采用先进选矿、冶炼与综合利用技术。</w:t>
      </w:r>
    </w:p>
    <w:p w14:paraId="709692A6">
      <w:pPr>
        <w:pStyle w:val="105"/>
        <w:spacing w:before="120" w:after="120" w:line="360" w:lineRule="auto"/>
      </w:pPr>
      <w:r>
        <w:rPr>
          <w:rFonts w:hint="eastAsia"/>
        </w:rPr>
        <w:t>环境保护措施</w:t>
      </w:r>
    </w:p>
    <w:p w14:paraId="15112FCE">
      <w:pPr>
        <w:pStyle w:val="56"/>
        <w:spacing w:line="360" w:lineRule="auto"/>
        <w:ind w:firstLine="420"/>
      </w:pPr>
      <w:r>
        <w:rPr>
          <w:rFonts w:hint="eastAsia"/>
        </w:rPr>
        <w:t>环境保护应贯穿开采全过程，避免因不合理开采造成生态系统不可逆破坏。主要要求包括：</w:t>
      </w:r>
    </w:p>
    <w:p w14:paraId="410B2EB8">
      <w:pPr>
        <w:pStyle w:val="132"/>
        <w:spacing w:line="360" w:lineRule="auto"/>
      </w:pPr>
      <w:r>
        <w:rPr>
          <w:rFonts w:hint="eastAsia"/>
        </w:rPr>
        <w:t>严格控制“三废”排放，达标后方可排放；</w:t>
      </w:r>
    </w:p>
    <w:p w14:paraId="1F30B303">
      <w:pPr>
        <w:pStyle w:val="132"/>
        <w:spacing w:line="360" w:lineRule="auto"/>
      </w:pPr>
      <w:r>
        <w:rPr>
          <w:rFonts w:hint="eastAsia"/>
        </w:rPr>
        <w:t>实施边开采、边治理的生态修复模式；</w:t>
      </w:r>
    </w:p>
    <w:p w14:paraId="65C7CD9B">
      <w:pPr>
        <w:pStyle w:val="132"/>
        <w:spacing w:line="360" w:lineRule="auto"/>
      </w:pPr>
      <w:r>
        <w:rPr>
          <w:rFonts w:hint="eastAsia"/>
        </w:rPr>
        <w:t>加强水土保持和地下水保护，防止水污染和地质灾害。</w:t>
      </w:r>
    </w:p>
    <w:p w14:paraId="35556ED3">
      <w:pPr>
        <w:pStyle w:val="105"/>
        <w:spacing w:before="120" w:after="120" w:line="360" w:lineRule="auto"/>
      </w:pPr>
      <w:r>
        <w:rPr>
          <w:rFonts w:hint="eastAsia"/>
        </w:rPr>
        <w:t>安全与职业健康</w:t>
      </w:r>
    </w:p>
    <w:p w14:paraId="18C544EC">
      <w:pPr>
        <w:pStyle w:val="56"/>
        <w:spacing w:line="360" w:lineRule="auto"/>
        <w:ind w:firstLine="420"/>
      </w:pPr>
      <w:r>
        <w:rPr>
          <w:rFonts w:hint="eastAsia"/>
        </w:rPr>
        <w:t>矿山企业应落实安全生产主体责任，保障职工职业健康与安全：</w:t>
      </w:r>
    </w:p>
    <w:p w14:paraId="7177CB28">
      <w:pPr>
        <w:pStyle w:val="132"/>
        <w:spacing w:line="360" w:lineRule="auto"/>
      </w:pPr>
      <w:r>
        <w:rPr>
          <w:rFonts w:hint="eastAsia"/>
        </w:rPr>
        <w:t>建立安全风险分级管控与隐患排查制度；</w:t>
      </w:r>
    </w:p>
    <w:p w14:paraId="3C5AED87">
      <w:pPr>
        <w:pStyle w:val="132"/>
        <w:spacing w:line="360" w:lineRule="auto"/>
      </w:pPr>
      <w:r>
        <w:rPr>
          <w:rFonts w:hint="eastAsia"/>
        </w:rPr>
        <w:t>对粉尘、噪声、有毒有害气体进行监测与治理；</w:t>
      </w:r>
    </w:p>
    <w:p w14:paraId="380097D5">
      <w:pPr>
        <w:pStyle w:val="132"/>
        <w:spacing w:line="360" w:lineRule="auto"/>
      </w:pPr>
      <w:r>
        <w:rPr>
          <w:rFonts w:hint="eastAsia"/>
        </w:rPr>
        <w:t>提供必要的劳动防护用品和健康体检。</w:t>
      </w:r>
    </w:p>
    <w:p w14:paraId="300CBB94">
      <w:pPr>
        <w:pStyle w:val="105"/>
        <w:spacing w:before="120" w:after="120" w:line="360" w:lineRule="auto"/>
      </w:pPr>
      <w:r>
        <w:rPr>
          <w:rFonts w:hint="eastAsia"/>
        </w:rPr>
        <w:t>社会与社区责任</w:t>
      </w:r>
    </w:p>
    <w:p w14:paraId="4CB3A3F9">
      <w:pPr>
        <w:pStyle w:val="56"/>
        <w:spacing w:line="360" w:lineRule="auto"/>
        <w:ind w:firstLine="420"/>
      </w:pPr>
      <w:r>
        <w:rPr>
          <w:rFonts w:hint="eastAsia"/>
        </w:rPr>
        <w:t>矿产资源开采应兼顾社会和社区利益，促进矿区经济与社会发展：</w:t>
      </w:r>
    </w:p>
    <w:p w14:paraId="67480BBD">
      <w:pPr>
        <w:pStyle w:val="132"/>
        <w:spacing w:line="360" w:lineRule="auto"/>
      </w:pPr>
      <w:r>
        <w:rPr>
          <w:rFonts w:hint="eastAsia"/>
        </w:rPr>
        <w:t>提供就业岗位，带动地方经济发展；</w:t>
      </w:r>
    </w:p>
    <w:p w14:paraId="17E9DE83">
      <w:pPr>
        <w:pStyle w:val="132"/>
        <w:spacing w:line="360" w:lineRule="auto"/>
      </w:pPr>
      <w:r>
        <w:rPr>
          <w:rFonts w:hint="eastAsia"/>
        </w:rPr>
        <w:t>加强与社区的沟通与合作，减少因开采活动引发的社会矛盾；</w:t>
      </w:r>
    </w:p>
    <w:p w14:paraId="5589BA7B">
      <w:pPr>
        <w:pStyle w:val="132"/>
        <w:spacing w:line="360" w:lineRule="auto"/>
      </w:pPr>
      <w:r>
        <w:rPr>
          <w:rFonts w:hint="eastAsia"/>
        </w:rPr>
        <w:t>参与公益事业和基础设施建设。</w:t>
      </w:r>
    </w:p>
    <w:p w14:paraId="3BDBFEBB">
      <w:pPr>
        <w:pStyle w:val="56"/>
        <w:spacing w:line="360" w:lineRule="auto"/>
        <w:ind w:firstLine="420"/>
      </w:pPr>
      <w:r>
        <w:rPr>
          <w:rFonts w:hint="eastAsia"/>
        </w:rPr>
        <w:t>在实际实施中，不同管理环节往往需要配套的制度与技术措施。可持续开采主要管理措施见表2。</w:t>
      </w:r>
    </w:p>
    <w:p w14:paraId="2FAA6A2F">
      <w:pPr>
        <w:pStyle w:val="112"/>
        <w:spacing w:before="120" w:after="120" w:line="360" w:lineRule="auto"/>
      </w:pPr>
      <w:r>
        <w:rPr>
          <w:rFonts w:hint="eastAsia"/>
        </w:rPr>
        <w:t>可持续开采主要管理措施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2977"/>
        <w:gridCol w:w="4524"/>
      </w:tblGrid>
      <w:tr w14:paraId="0486D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03D52D56">
            <w:pPr>
              <w:pStyle w:val="178"/>
            </w:pPr>
            <w:r>
              <w:rPr>
                <w:rFonts w:hint="eastAsia"/>
              </w:rPr>
              <w:t>管理环节</w:t>
            </w:r>
          </w:p>
        </w:tc>
        <w:tc>
          <w:tcPr>
            <w:tcW w:w="2977" w:type="dxa"/>
            <w:tcBorders>
              <w:top w:val="single" w:color="auto" w:sz="8" w:space="0"/>
              <w:bottom w:val="single" w:color="auto" w:sz="8" w:space="0"/>
            </w:tcBorders>
          </w:tcPr>
          <w:p w14:paraId="2438F8A3">
            <w:pPr>
              <w:pStyle w:val="178"/>
            </w:pPr>
            <w:r>
              <w:rPr>
                <w:rFonts w:hint="eastAsia"/>
              </w:rPr>
              <w:t>主要目标</w:t>
            </w:r>
          </w:p>
        </w:tc>
        <w:tc>
          <w:tcPr>
            <w:tcW w:w="4524" w:type="dxa"/>
            <w:tcBorders>
              <w:top w:val="single" w:color="auto" w:sz="8" w:space="0"/>
              <w:bottom w:val="single" w:color="auto" w:sz="8" w:space="0"/>
            </w:tcBorders>
          </w:tcPr>
          <w:p w14:paraId="38A74820">
            <w:pPr>
              <w:pStyle w:val="178"/>
            </w:pPr>
            <w:r>
              <w:rPr>
                <w:rFonts w:hint="eastAsia"/>
              </w:rPr>
              <w:t>管理措施举例</w:t>
            </w:r>
          </w:p>
        </w:tc>
      </w:tr>
      <w:tr w14:paraId="59654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43B2F253">
            <w:pPr>
              <w:pStyle w:val="178"/>
            </w:pPr>
            <w:r>
              <w:rPr>
                <w:rFonts w:hint="eastAsia"/>
              </w:rPr>
              <w:t>资源节约利用</w:t>
            </w:r>
          </w:p>
        </w:tc>
        <w:tc>
          <w:tcPr>
            <w:tcW w:w="2977" w:type="dxa"/>
            <w:tcBorders>
              <w:top w:val="single" w:color="auto" w:sz="8" w:space="0"/>
            </w:tcBorders>
          </w:tcPr>
          <w:p w14:paraId="430728D4">
            <w:pPr>
              <w:pStyle w:val="178"/>
            </w:pPr>
            <w:r>
              <w:rPr>
                <w:rFonts w:hint="eastAsia"/>
              </w:rPr>
              <w:t>提高回采率与综合利用率</w:t>
            </w:r>
          </w:p>
        </w:tc>
        <w:tc>
          <w:tcPr>
            <w:tcW w:w="4524" w:type="dxa"/>
            <w:tcBorders>
              <w:top w:val="single" w:color="auto" w:sz="8" w:space="0"/>
            </w:tcBorders>
          </w:tcPr>
          <w:p w14:paraId="04B61C38">
            <w:pPr>
              <w:pStyle w:val="178"/>
            </w:pPr>
            <w:r>
              <w:rPr>
                <w:rFonts w:hint="eastAsia"/>
              </w:rPr>
              <w:t>推行先进采选技术，建设尾矿综合利用系统</w:t>
            </w:r>
          </w:p>
        </w:tc>
      </w:tr>
      <w:tr w14:paraId="59A7A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CDF015A">
            <w:pPr>
              <w:pStyle w:val="178"/>
            </w:pPr>
            <w:r>
              <w:rPr>
                <w:rFonts w:hint="eastAsia"/>
              </w:rPr>
              <w:t>环境保护</w:t>
            </w:r>
          </w:p>
        </w:tc>
        <w:tc>
          <w:tcPr>
            <w:tcW w:w="2977" w:type="dxa"/>
          </w:tcPr>
          <w:p w14:paraId="32439916">
            <w:pPr>
              <w:pStyle w:val="178"/>
            </w:pPr>
            <w:r>
              <w:rPr>
                <w:rFonts w:hint="eastAsia"/>
              </w:rPr>
              <w:t>减少生态破坏，控制污染物排放</w:t>
            </w:r>
          </w:p>
        </w:tc>
        <w:tc>
          <w:tcPr>
            <w:tcW w:w="4524" w:type="dxa"/>
          </w:tcPr>
          <w:p w14:paraId="6654AE17">
            <w:pPr>
              <w:pStyle w:val="178"/>
            </w:pPr>
            <w:r>
              <w:rPr>
                <w:rFonts w:hint="eastAsia"/>
              </w:rPr>
              <w:t>实施边开采边治理，建设矿山废水处理设施</w:t>
            </w:r>
          </w:p>
        </w:tc>
      </w:tr>
      <w:tr w14:paraId="50DEE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F732DB4">
            <w:pPr>
              <w:pStyle w:val="178"/>
            </w:pPr>
            <w:r>
              <w:rPr>
                <w:rFonts w:hint="eastAsia"/>
              </w:rPr>
              <w:t>安全与职业健康</w:t>
            </w:r>
          </w:p>
        </w:tc>
        <w:tc>
          <w:tcPr>
            <w:tcW w:w="2977" w:type="dxa"/>
          </w:tcPr>
          <w:p w14:paraId="50AD074A">
            <w:pPr>
              <w:pStyle w:val="178"/>
            </w:pPr>
            <w:r>
              <w:rPr>
                <w:rFonts w:hint="eastAsia"/>
              </w:rPr>
              <w:t>防范事故，保障职工健康</w:t>
            </w:r>
          </w:p>
        </w:tc>
        <w:tc>
          <w:tcPr>
            <w:tcW w:w="4524" w:type="dxa"/>
          </w:tcPr>
          <w:p w14:paraId="18FD84DE">
            <w:pPr>
              <w:pStyle w:val="178"/>
            </w:pPr>
            <w:r>
              <w:rPr>
                <w:rFonts w:hint="eastAsia"/>
              </w:rPr>
              <w:t>建立双重预防机制，配备防护用品与检测设备</w:t>
            </w:r>
          </w:p>
        </w:tc>
      </w:tr>
      <w:tr w14:paraId="385D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2C7BCCB">
            <w:pPr>
              <w:pStyle w:val="178"/>
            </w:pPr>
            <w:r>
              <w:rPr>
                <w:rFonts w:hint="eastAsia"/>
              </w:rPr>
              <w:t>社会责任</w:t>
            </w:r>
          </w:p>
        </w:tc>
        <w:tc>
          <w:tcPr>
            <w:tcW w:w="2977" w:type="dxa"/>
          </w:tcPr>
          <w:p w14:paraId="13A266F4">
            <w:pPr>
              <w:pStyle w:val="178"/>
            </w:pPr>
            <w:r>
              <w:rPr>
                <w:rFonts w:hint="eastAsia"/>
              </w:rPr>
              <w:t>促进社区和谐与经济发展</w:t>
            </w:r>
          </w:p>
        </w:tc>
        <w:tc>
          <w:tcPr>
            <w:tcW w:w="4524" w:type="dxa"/>
          </w:tcPr>
          <w:p w14:paraId="585462C0">
            <w:pPr>
              <w:pStyle w:val="178"/>
            </w:pPr>
            <w:r>
              <w:rPr>
                <w:rFonts w:hint="eastAsia"/>
              </w:rPr>
              <w:t>创造就业机会，参与社区建设和公益事业</w:t>
            </w:r>
          </w:p>
        </w:tc>
      </w:tr>
    </w:tbl>
    <w:p w14:paraId="411CDB32">
      <w:pPr>
        <w:pStyle w:val="56"/>
        <w:spacing w:before="120" w:beforeLines="50" w:line="360" w:lineRule="auto"/>
        <w:ind w:firstLine="420"/>
      </w:pPr>
      <w:r>
        <w:rPr>
          <w:rFonts w:hint="eastAsia"/>
        </w:rPr>
        <w:t>该表可作为企业制定可持续开采管理方案的参考，各单位应结合矿山实际情况灵活调整和细化措施。</w:t>
      </w:r>
    </w:p>
    <w:p w14:paraId="49B25935">
      <w:pPr>
        <w:pStyle w:val="105"/>
        <w:spacing w:before="120" w:after="120" w:line="360" w:lineRule="auto"/>
      </w:pPr>
      <w:r>
        <w:rPr>
          <w:rFonts w:hint="eastAsia"/>
        </w:rPr>
        <w:t>持续改进</w:t>
      </w:r>
    </w:p>
    <w:p w14:paraId="767A5607">
      <w:pPr>
        <w:pStyle w:val="56"/>
        <w:spacing w:line="360" w:lineRule="auto"/>
        <w:ind w:firstLine="420"/>
      </w:pPr>
      <w:r>
        <w:rPr>
          <w:rFonts w:hint="eastAsia"/>
        </w:rPr>
        <w:t>矿山企业应定期对可持续开采措施进行评估与优化：</w:t>
      </w:r>
    </w:p>
    <w:p w14:paraId="049D69E6">
      <w:pPr>
        <w:pStyle w:val="132"/>
        <w:spacing w:line="360" w:lineRule="auto"/>
      </w:pPr>
      <w:r>
        <w:rPr>
          <w:rFonts w:hint="eastAsia"/>
        </w:rPr>
        <w:t>每年至少开展一次资源利用与环境保护绩效评价；</w:t>
      </w:r>
    </w:p>
    <w:p w14:paraId="291F2F89">
      <w:pPr>
        <w:pStyle w:val="132"/>
        <w:spacing w:line="360" w:lineRule="auto"/>
      </w:pPr>
      <w:r>
        <w:rPr>
          <w:rFonts w:hint="eastAsia"/>
        </w:rPr>
        <w:t>根据评价结果修订管理制度和实施方案；</w:t>
      </w:r>
    </w:p>
    <w:p w14:paraId="285226B2">
      <w:pPr>
        <w:pStyle w:val="132"/>
        <w:spacing w:line="360" w:lineRule="auto"/>
      </w:pPr>
      <w:r>
        <w:rPr>
          <w:rFonts w:hint="eastAsia"/>
        </w:rPr>
        <w:t>引入新技术、新设备，不断提升绿色开采水平。</w:t>
      </w:r>
    </w:p>
    <w:p w14:paraId="117D5378">
      <w:pPr>
        <w:pStyle w:val="104"/>
        <w:spacing w:before="240" w:after="240" w:line="360" w:lineRule="auto"/>
      </w:pPr>
      <w:bookmarkStart w:id="54" w:name="_Toc207028982"/>
      <w:r>
        <w:rPr>
          <w:rFonts w:hint="eastAsia"/>
        </w:rPr>
        <w:t>数据信息管理</w:t>
      </w:r>
      <w:bookmarkEnd w:id="54"/>
    </w:p>
    <w:p w14:paraId="3A0DC3BE">
      <w:pPr>
        <w:pStyle w:val="105"/>
        <w:spacing w:before="120" w:after="120" w:line="360" w:lineRule="auto"/>
      </w:pPr>
      <w:r>
        <w:rPr>
          <w:rFonts w:hint="eastAsia"/>
        </w:rPr>
        <w:t>总则</w:t>
      </w:r>
    </w:p>
    <w:p w14:paraId="5316D801">
      <w:pPr>
        <w:pStyle w:val="56"/>
        <w:spacing w:line="360" w:lineRule="auto"/>
        <w:ind w:firstLine="420"/>
      </w:pPr>
      <w:r>
        <w:rPr>
          <w:rFonts w:hint="eastAsia"/>
        </w:rPr>
        <w:t>矿产资源数据与信息管理应遵循统一标准、集中管理、安全可靠和共享利用的原则，确保动态评估和可持续管理全过程均有数据支撑。</w:t>
      </w:r>
    </w:p>
    <w:p w14:paraId="1FC7CDF8">
      <w:pPr>
        <w:pStyle w:val="105"/>
        <w:spacing w:before="120" w:after="120" w:line="360" w:lineRule="auto"/>
      </w:pPr>
      <w:r>
        <w:rPr>
          <w:rFonts w:hint="eastAsia"/>
        </w:rPr>
        <w:t>数据采集与存储</w:t>
      </w:r>
    </w:p>
    <w:p w14:paraId="4F352EF5">
      <w:pPr>
        <w:pStyle w:val="56"/>
        <w:spacing w:line="360" w:lineRule="auto"/>
        <w:ind w:firstLine="420"/>
      </w:pPr>
      <w:r>
        <w:rPr>
          <w:rFonts w:hint="eastAsia"/>
        </w:rPr>
        <w:t>数据采集应覆盖资源、环境、经济与社会等方面，并建立规范的存储制度：</w:t>
      </w:r>
    </w:p>
    <w:p w14:paraId="1CFDC160">
      <w:pPr>
        <w:pStyle w:val="132"/>
        <w:spacing w:line="360" w:lineRule="auto"/>
      </w:pPr>
      <w:r>
        <w:rPr>
          <w:rFonts w:hint="eastAsia"/>
        </w:rPr>
        <w:t>采集要求：原始数据应完整、真实、可验证；</w:t>
      </w:r>
    </w:p>
    <w:p w14:paraId="16CE88C1">
      <w:pPr>
        <w:pStyle w:val="132"/>
        <w:spacing w:line="360" w:lineRule="auto"/>
      </w:pPr>
      <w:r>
        <w:rPr>
          <w:rFonts w:hint="eastAsia"/>
        </w:rPr>
        <w:t>存储要求：应建立数据中心或数据库，支持多格式存储和历史数据追溯；</w:t>
      </w:r>
    </w:p>
    <w:p w14:paraId="0102A251">
      <w:pPr>
        <w:pStyle w:val="132"/>
        <w:spacing w:line="360" w:lineRule="auto"/>
      </w:pPr>
      <w:r>
        <w:rPr>
          <w:rFonts w:hint="eastAsia"/>
        </w:rPr>
        <w:t>安全要求：采取加密、备份等措施，防止数据丢失与篡改。</w:t>
      </w:r>
    </w:p>
    <w:p w14:paraId="3D6DC20C">
      <w:pPr>
        <w:pStyle w:val="105"/>
        <w:spacing w:before="120" w:after="120" w:line="360" w:lineRule="auto"/>
      </w:pPr>
      <w:r>
        <w:rPr>
          <w:rFonts w:hint="eastAsia"/>
        </w:rPr>
        <w:t>数据共享与交换</w:t>
      </w:r>
    </w:p>
    <w:p w14:paraId="1F55007A">
      <w:pPr>
        <w:pStyle w:val="56"/>
        <w:spacing w:line="360" w:lineRule="auto"/>
        <w:ind w:firstLine="420"/>
      </w:pPr>
      <w:r>
        <w:rPr>
          <w:rFonts w:hint="eastAsia"/>
        </w:rPr>
        <w:t>为避免“信息孤岛”，矿产资源动态评估应推动数据在政府部门、企业和科研机构之间的共享：</w:t>
      </w:r>
    </w:p>
    <w:p w14:paraId="691556A9">
      <w:pPr>
        <w:pStyle w:val="132"/>
        <w:spacing w:line="360" w:lineRule="auto"/>
      </w:pPr>
      <w:r>
        <w:rPr>
          <w:rFonts w:hint="eastAsia"/>
        </w:rPr>
        <w:t>应采用统一的数据接口与交换标准；</w:t>
      </w:r>
    </w:p>
    <w:p w14:paraId="10172081">
      <w:pPr>
        <w:pStyle w:val="132"/>
        <w:spacing w:line="360" w:lineRule="auto"/>
      </w:pPr>
      <w:r>
        <w:rPr>
          <w:rFonts w:hint="eastAsia"/>
        </w:rPr>
        <w:t>在符合国家网络安全要求的前提下，推进跨部门、跨行业数据共享；</w:t>
      </w:r>
    </w:p>
    <w:p w14:paraId="4DF3C969">
      <w:pPr>
        <w:pStyle w:val="132"/>
        <w:spacing w:line="360" w:lineRule="auto"/>
      </w:pPr>
      <w:r>
        <w:rPr>
          <w:rFonts w:hint="eastAsia"/>
        </w:rPr>
        <w:t>鼓励利用大数据平台和云计算提升数据的应用价值。</w:t>
      </w:r>
    </w:p>
    <w:p w14:paraId="5C6625DA">
      <w:pPr>
        <w:pStyle w:val="105"/>
        <w:spacing w:before="120" w:after="120" w:line="360" w:lineRule="auto"/>
      </w:pPr>
      <w:r>
        <w:rPr>
          <w:rFonts w:hint="eastAsia"/>
        </w:rPr>
        <w:t>信息公开与透明</w:t>
      </w:r>
    </w:p>
    <w:p w14:paraId="4E6BF6D6">
      <w:pPr>
        <w:pStyle w:val="56"/>
        <w:spacing w:line="360" w:lineRule="auto"/>
        <w:ind w:firstLine="420"/>
      </w:pPr>
      <w:r>
        <w:rPr>
          <w:rFonts w:hint="eastAsia"/>
        </w:rPr>
        <w:t>矿产资源动态评估和可持续开采管理涉及社会公共利益，应适度公开相关数据和信息：</w:t>
      </w:r>
    </w:p>
    <w:p w14:paraId="766DEE29">
      <w:pPr>
        <w:pStyle w:val="132"/>
        <w:spacing w:line="360" w:lineRule="auto"/>
      </w:pPr>
      <w:r>
        <w:rPr>
          <w:rFonts w:hint="eastAsia"/>
        </w:rPr>
        <w:t>应定期发布资源动态评估报告和环境监测公报；</w:t>
      </w:r>
    </w:p>
    <w:p w14:paraId="7E46EE4F">
      <w:pPr>
        <w:pStyle w:val="132"/>
        <w:spacing w:line="360" w:lineRule="auto"/>
      </w:pPr>
      <w:r>
        <w:rPr>
          <w:rFonts w:hint="eastAsia"/>
        </w:rPr>
        <w:t>信息公开应明确范围，既满足公众知情权，又保护商业秘密和国家安全；</w:t>
      </w:r>
    </w:p>
    <w:p w14:paraId="398AFE37">
      <w:pPr>
        <w:pStyle w:val="132"/>
        <w:spacing w:line="360" w:lineRule="auto"/>
      </w:pPr>
      <w:r>
        <w:rPr>
          <w:rFonts w:hint="eastAsia"/>
        </w:rPr>
        <w:t>鼓励建设公开查询平台，提升社会监督力度。</w:t>
      </w:r>
    </w:p>
    <w:p w14:paraId="28585216">
      <w:pPr>
        <w:pStyle w:val="56"/>
        <w:spacing w:line="360" w:lineRule="auto"/>
        <w:ind w:firstLine="420"/>
      </w:pPr>
      <w:r>
        <w:rPr>
          <w:rFonts w:hint="eastAsia"/>
        </w:rPr>
        <w:t>为便于理解与实施，常见的数据管理内容和要求见表3。</w:t>
      </w:r>
    </w:p>
    <w:p w14:paraId="092126E8">
      <w:pPr>
        <w:pStyle w:val="112"/>
        <w:spacing w:before="120" w:after="120" w:line="360" w:lineRule="auto"/>
      </w:pPr>
      <w:r>
        <w:rPr>
          <w:rFonts w:hint="eastAsia"/>
        </w:rPr>
        <w:t>矿产资源数据管理内容及要求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110"/>
        <w:gridCol w:w="2694"/>
        <w:gridCol w:w="980"/>
      </w:tblGrid>
      <w:tr w14:paraId="1C105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532E759F">
            <w:pPr>
              <w:pStyle w:val="178"/>
            </w:pPr>
            <w:r>
              <w:rPr>
                <w:rFonts w:hint="eastAsia"/>
              </w:rPr>
              <w:t>数据类别</w:t>
            </w:r>
          </w:p>
        </w:tc>
        <w:tc>
          <w:tcPr>
            <w:tcW w:w="4110" w:type="dxa"/>
            <w:tcBorders>
              <w:top w:val="single" w:color="auto" w:sz="8" w:space="0"/>
              <w:bottom w:val="single" w:color="auto" w:sz="8" w:space="0"/>
            </w:tcBorders>
          </w:tcPr>
          <w:p w14:paraId="38632636">
            <w:pPr>
              <w:pStyle w:val="178"/>
            </w:pPr>
            <w:r>
              <w:rPr>
                <w:rFonts w:hint="eastAsia"/>
              </w:rPr>
              <w:t>主要内容</w:t>
            </w:r>
          </w:p>
        </w:tc>
        <w:tc>
          <w:tcPr>
            <w:tcW w:w="2694" w:type="dxa"/>
            <w:tcBorders>
              <w:top w:val="single" w:color="auto" w:sz="8" w:space="0"/>
              <w:bottom w:val="single" w:color="auto" w:sz="8" w:space="0"/>
            </w:tcBorders>
          </w:tcPr>
          <w:p w14:paraId="4EBDAA1A">
            <w:pPr>
              <w:pStyle w:val="178"/>
            </w:pPr>
            <w:r>
              <w:rPr>
                <w:rFonts w:hint="eastAsia"/>
              </w:rPr>
              <w:t>管理要求</w:t>
            </w:r>
          </w:p>
        </w:tc>
        <w:tc>
          <w:tcPr>
            <w:tcW w:w="980" w:type="dxa"/>
            <w:tcBorders>
              <w:top w:val="single" w:color="auto" w:sz="8" w:space="0"/>
              <w:bottom w:val="single" w:color="auto" w:sz="8" w:space="0"/>
            </w:tcBorders>
          </w:tcPr>
          <w:p w14:paraId="5D338208">
            <w:pPr>
              <w:pStyle w:val="178"/>
            </w:pPr>
            <w:r>
              <w:rPr>
                <w:rFonts w:hint="eastAsia"/>
              </w:rPr>
              <w:t>保存期限</w:t>
            </w:r>
          </w:p>
        </w:tc>
      </w:tr>
      <w:tr w14:paraId="44A28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3AEF1719">
            <w:pPr>
              <w:pStyle w:val="178"/>
            </w:pPr>
            <w:r>
              <w:rPr>
                <w:rFonts w:hint="eastAsia"/>
              </w:rPr>
              <w:t>资源类数据</w:t>
            </w:r>
          </w:p>
        </w:tc>
        <w:tc>
          <w:tcPr>
            <w:tcW w:w="4110" w:type="dxa"/>
            <w:tcBorders>
              <w:top w:val="single" w:color="auto" w:sz="8" w:space="0"/>
            </w:tcBorders>
          </w:tcPr>
          <w:p w14:paraId="0155EC0F">
            <w:pPr>
              <w:pStyle w:val="178"/>
            </w:pPr>
            <w:r>
              <w:rPr>
                <w:rFonts w:hint="eastAsia"/>
              </w:rPr>
              <w:t>储量动态变化、开采量、综合利用率</w:t>
            </w:r>
          </w:p>
        </w:tc>
        <w:tc>
          <w:tcPr>
            <w:tcW w:w="2694" w:type="dxa"/>
            <w:tcBorders>
              <w:top w:val="single" w:color="auto" w:sz="8" w:space="0"/>
            </w:tcBorders>
          </w:tcPr>
          <w:p w14:paraId="584DA3FC">
            <w:pPr>
              <w:pStyle w:val="178"/>
            </w:pPr>
            <w:r>
              <w:rPr>
                <w:rFonts w:hint="eastAsia"/>
              </w:rPr>
              <w:t>真实完整，来源可追溯</w:t>
            </w:r>
          </w:p>
        </w:tc>
        <w:tc>
          <w:tcPr>
            <w:tcW w:w="980" w:type="dxa"/>
            <w:tcBorders>
              <w:top w:val="single" w:color="auto" w:sz="8" w:space="0"/>
            </w:tcBorders>
          </w:tcPr>
          <w:p w14:paraId="3598DEA7">
            <w:pPr>
              <w:pStyle w:val="178"/>
            </w:pPr>
            <w:r>
              <w:rPr>
                <w:rFonts w:hint="eastAsia"/>
              </w:rPr>
              <w:t>≥10年</w:t>
            </w:r>
          </w:p>
        </w:tc>
      </w:tr>
      <w:tr w14:paraId="72F80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9E3DCD7">
            <w:pPr>
              <w:pStyle w:val="178"/>
            </w:pPr>
            <w:r>
              <w:rPr>
                <w:rFonts w:hint="eastAsia"/>
              </w:rPr>
              <w:t>环境类数据</w:t>
            </w:r>
          </w:p>
        </w:tc>
        <w:tc>
          <w:tcPr>
            <w:tcW w:w="4110" w:type="dxa"/>
          </w:tcPr>
          <w:p w14:paraId="259BEE96">
            <w:pPr>
              <w:pStyle w:val="178"/>
            </w:pPr>
            <w:r>
              <w:rPr>
                <w:rFonts w:hint="eastAsia"/>
              </w:rPr>
              <w:t>大气、水、土壤监测指标，生态修复进展</w:t>
            </w:r>
          </w:p>
        </w:tc>
        <w:tc>
          <w:tcPr>
            <w:tcW w:w="2694" w:type="dxa"/>
          </w:tcPr>
          <w:p w14:paraId="6A1CB918">
            <w:pPr>
              <w:pStyle w:val="178"/>
            </w:pPr>
            <w:r>
              <w:rPr>
                <w:rFonts w:hint="eastAsia"/>
              </w:rPr>
              <w:t>定期监测，结果公示</w:t>
            </w:r>
          </w:p>
        </w:tc>
        <w:tc>
          <w:tcPr>
            <w:tcW w:w="980" w:type="dxa"/>
          </w:tcPr>
          <w:p w14:paraId="6AF5CE4B">
            <w:pPr>
              <w:pStyle w:val="178"/>
            </w:pPr>
            <w:r>
              <w:rPr>
                <w:rFonts w:hint="eastAsia"/>
              </w:rPr>
              <w:t>≥10年</w:t>
            </w:r>
          </w:p>
        </w:tc>
      </w:tr>
      <w:tr w14:paraId="5214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04E88B3">
            <w:pPr>
              <w:pStyle w:val="178"/>
            </w:pPr>
            <w:r>
              <w:rPr>
                <w:rFonts w:hint="eastAsia"/>
              </w:rPr>
              <w:t>经济类数据</w:t>
            </w:r>
          </w:p>
        </w:tc>
        <w:tc>
          <w:tcPr>
            <w:tcW w:w="4110" w:type="dxa"/>
          </w:tcPr>
          <w:p w14:paraId="4FDF122B">
            <w:pPr>
              <w:pStyle w:val="178"/>
            </w:pPr>
            <w:r>
              <w:rPr>
                <w:rFonts w:hint="eastAsia"/>
              </w:rPr>
              <w:t>矿业产值、税收、就业人数</w:t>
            </w:r>
          </w:p>
        </w:tc>
        <w:tc>
          <w:tcPr>
            <w:tcW w:w="2694" w:type="dxa"/>
          </w:tcPr>
          <w:p w14:paraId="3BC8DEFA">
            <w:pPr>
              <w:pStyle w:val="178"/>
            </w:pPr>
            <w:r>
              <w:rPr>
                <w:rFonts w:hint="eastAsia"/>
              </w:rPr>
              <w:t>定期统计，确保一致性</w:t>
            </w:r>
          </w:p>
        </w:tc>
        <w:tc>
          <w:tcPr>
            <w:tcW w:w="980" w:type="dxa"/>
          </w:tcPr>
          <w:p w14:paraId="241EF11E">
            <w:pPr>
              <w:pStyle w:val="178"/>
            </w:pPr>
            <w:r>
              <w:rPr>
                <w:rFonts w:hint="eastAsia"/>
              </w:rPr>
              <w:t>≥5年</w:t>
            </w:r>
          </w:p>
        </w:tc>
      </w:tr>
      <w:tr w14:paraId="1C822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02FB60A9">
            <w:pPr>
              <w:pStyle w:val="178"/>
            </w:pPr>
            <w:r>
              <w:rPr>
                <w:rFonts w:hint="eastAsia"/>
              </w:rPr>
              <w:t>社会类数据</w:t>
            </w:r>
          </w:p>
        </w:tc>
        <w:tc>
          <w:tcPr>
            <w:tcW w:w="4110" w:type="dxa"/>
          </w:tcPr>
          <w:p w14:paraId="00B7E5E7">
            <w:pPr>
              <w:pStyle w:val="178"/>
            </w:pPr>
            <w:r>
              <w:rPr>
                <w:rFonts w:hint="eastAsia"/>
              </w:rPr>
              <w:t>社会责任投入、社区反馈信息</w:t>
            </w:r>
          </w:p>
        </w:tc>
        <w:tc>
          <w:tcPr>
            <w:tcW w:w="2694" w:type="dxa"/>
          </w:tcPr>
          <w:p w14:paraId="29FB6C5E">
            <w:pPr>
              <w:pStyle w:val="178"/>
            </w:pPr>
            <w:r>
              <w:rPr>
                <w:rFonts w:hint="eastAsia"/>
              </w:rPr>
              <w:t>分类存档，支持公众参与监督</w:t>
            </w:r>
          </w:p>
        </w:tc>
        <w:tc>
          <w:tcPr>
            <w:tcW w:w="980" w:type="dxa"/>
          </w:tcPr>
          <w:p w14:paraId="2D792B62">
            <w:pPr>
              <w:pStyle w:val="178"/>
            </w:pPr>
            <w:r>
              <w:rPr>
                <w:rFonts w:hint="eastAsia"/>
              </w:rPr>
              <w:t>≥5年</w:t>
            </w:r>
          </w:p>
        </w:tc>
      </w:tr>
      <w:tr w14:paraId="56BE8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76363A7">
            <w:pPr>
              <w:pStyle w:val="178"/>
            </w:pPr>
            <w:r>
              <w:rPr>
                <w:rFonts w:hint="eastAsia"/>
              </w:rPr>
              <w:t>管理类数据</w:t>
            </w:r>
          </w:p>
        </w:tc>
        <w:tc>
          <w:tcPr>
            <w:tcW w:w="4110" w:type="dxa"/>
          </w:tcPr>
          <w:p w14:paraId="4AF2C6D6">
            <w:pPr>
              <w:pStyle w:val="178"/>
            </w:pPr>
            <w:r>
              <w:rPr>
                <w:rFonts w:hint="eastAsia"/>
              </w:rPr>
              <w:t>政策文件、标准执行记录、审核与评估资料</w:t>
            </w:r>
          </w:p>
        </w:tc>
        <w:tc>
          <w:tcPr>
            <w:tcW w:w="2694" w:type="dxa"/>
          </w:tcPr>
          <w:p w14:paraId="5EC2D4B6">
            <w:pPr>
              <w:pStyle w:val="178"/>
            </w:pPr>
            <w:r>
              <w:rPr>
                <w:rFonts w:hint="eastAsia"/>
              </w:rPr>
              <w:t>建立档案库，确保随时可调阅</w:t>
            </w:r>
          </w:p>
        </w:tc>
        <w:tc>
          <w:tcPr>
            <w:tcW w:w="980" w:type="dxa"/>
          </w:tcPr>
          <w:p w14:paraId="73672334">
            <w:pPr>
              <w:pStyle w:val="178"/>
            </w:pPr>
            <w:r>
              <w:rPr>
                <w:rFonts w:hint="eastAsia"/>
              </w:rPr>
              <w:t>≥15年</w:t>
            </w:r>
          </w:p>
        </w:tc>
      </w:tr>
    </w:tbl>
    <w:p w14:paraId="35CCE7D0">
      <w:pPr>
        <w:pStyle w:val="56"/>
        <w:spacing w:before="120" w:beforeLines="50" w:line="360" w:lineRule="auto"/>
        <w:ind w:firstLine="420"/>
      </w:pPr>
      <w:r>
        <w:rPr>
          <w:rFonts w:hint="eastAsia"/>
        </w:rPr>
        <w:t>该表为各类数据管理提供了操作性要求，企业和主管部门可据此建立数据档案体系，保证信息的系统性和可追溯性。</w:t>
      </w:r>
    </w:p>
    <w:p w14:paraId="612D5D9E">
      <w:pPr>
        <w:pStyle w:val="105"/>
        <w:spacing w:before="120" w:after="120" w:line="360" w:lineRule="auto"/>
      </w:pPr>
      <w:r>
        <w:rPr>
          <w:rFonts w:hint="eastAsia"/>
        </w:rPr>
        <w:t>信息安全与隐私保护</w:t>
      </w:r>
    </w:p>
    <w:p w14:paraId="10F6C279">
      <w:pPr>
        <w:pStyle w:val="56"/>
        <w:spacing w:line="360" w:lineRule="auto"/>
        <w:ind w:firstLine="420"/>
      </w:pPr>
      <w:r>
        <w:rPr>
          <w:rFonts w:hint="eastAsia"/>
        </w:rPr>
        <w:t>在数据与信息管理过程中，应相关规定：</w:t>
      </w:r>
    </w:p>
    <w:p w14:paraId="47069A10">
      <w:pPr>
        <w:pStyle w:val="132"/>
        <w:spacing w:line="360" w:lineRule="auto"/>
      </w:pPr>
      <w:r>
        <w:rPr>
          <w:rFonts w:hint="eastAsia"/>
        </w:rPr>
        <w:t>建立权限管理制度，避免非授权访问；</w:t>
      </w:r>
    </w:p>
    <w:p w14:paraId="3E54D50C">
      <w:pPr>
        <w:pStyle w:val="132"/>
        <w:spacing w:line="360" w:lineRule="auto"/>
      </w:pPr>
      <w:r>
        <w:rPr>
          <w:rFonts w:hint="eastAsia"/>
        </w:rPr>
        <w:t>对敏感数据采取加密存储与传输；</w:t>
      </w:r>
    </w:p>
    <w:p w14:paraId="76390D43">
      <w:pPr>
        <w:pStyle w:val="132"/>
        <w:spacing w:line="360" w:lineRule="auto"/>
      </w:pPr>
      <w:r>
        <w:rPr>
          <w:rFonts w:hint="eastAsia"/>
        </w:rPr>
        <w:t>在数据共享与公开时，对涉及企业商业秘密和个人隐私的信息进行脱敏处理。</w:t>
      </w:r>
    </w:p>
    <w:p w14:paraId="54AF459E">
      <w:pPr>
        <w:pStyle w:val="104"/>
        <w:spacing w:before="240" w:after="240" w:line="360" w:lineRule="auto"/>
      </w:pPr>
      <w:bookmarkStart w:id="55" w:name="_Toc207028983"/>
      <w:r>
        <w:rPr>
          <w:rFonts w:hint="eastAsia"/>
        </w:rPr>
        <w:t>环境修复</w:t>
      </w:r>
      <w:bookmarkEnd w:id="55"/>
    </w:p>
    <w:p w14:paraId="30D93FA2">
      <w:pPr>
        <w:pStyle w:val="105"/>
        <w:spacing w:before="120" w:after="120" w:line="360" w:lineRule="auto"/>
      </w:pPr>
      <w:r>
        <w:rPr>
          <w:rFonts w:hint="eastAsia"/>
        </w:rPr>
        <w:t>环境保护要求</w:t>
      </w:r>
    </w:p>
    <w:p w14:paraId="35B95A2B">
      <w:pPr>
        <w:pStyle w:val="56"/>
        <w:spacing w:line="360" w:lineRule="auto"/>
        <w:ind w:firstLine="420"/>
      </w:pPr>
      <w:r>
        <w:rPr>
          <w:rFonts w:hint="eastAsia"/>
        </w:rPr>
        <w:t>在矿产资源开发过程中，应将环境保护作为全过程管理的重要内容：</w:t>
      </w:r>
    </w:p>
    <w:p w14:paraId="7978F254">
      <w:pPr>
        <w:pStyle w:val="132"/>
        <w:spacing w:line="360" w:lineRule="auto"/>
      </w:pPr>
      <w:r>
        <w:rPr>
          <w:rFonts w:hint="eastAsia"/>
        </w:rPr>
        <w:t>严格控制大气污染物、水污染物和固体废弃物排放；</w:t>
      </w:r>
    </w:p>
    <w:p w14:paraId="7A071130">
      <w:pPr>
        <w:pStyle w:val="132"/>
        <w:spacing w:line="360" w:lineRule="auto"/>
      </w:pPr>
      <w:r>
        <w:rPr>
          <w:rFonts w:hint="eastAsia"/>
        </w:rPr>
        <w:t>开采区应建设排水与防尘设施，降低对周边社区的影响；</w:t>
      </w:r>
    </w:p>
    <w:p w14:paraId="272DE780">
      <w:pPr>
        <w:pStyle w:val="132"/>
        <w:spacing w:line="360" w:lineRule="auto"/>
      </w:pPr>
      <w:r>
        <w:rPr>
          <w:rFonts w:hint="eastAsia"/>
        </w:rPr>
        <w:t>对噪声与振动应采取隔声、降噪与缓冲措施；</w:t>
      </w:r>
    </w:p>
    <w:p w14:paraId="35CA2A8E">
      <w:pPr>
        <w:pStyle w:val="132"/>
        <w:spacing w:line="360" w:lineRule="auto"/>
      </w:pPr>
      <w:r>
        <w:rPr>
          <w:rFonts w:hint="eastAsia"/>
        </w:rPr>
        <w:t>应建立环境监测点，实时监测并定期公开环境质量状况。</w:t>
      </w:r>
    </w:p>
    <w:p w14:paraId="595CE752">
      <w:pPr>
        <w:pStyle w:val="105"/>
        <w:spacing w:before="120" w:after="120" w:line="360" w:lineRule="auto"/>
      </w:pPr>
      <w:r>
        <w:rPr>
          <w:rFonts w:hint="eastAsia"/>
        </w:rPr>
        <w:t>修复原则</w:t>
      </w:r>
    </w:p>
    <w:p w14:paraId="4AE06689">
      <w:pPr>
        <w:pStyle w:val="56"/>
        <w:spacing w:line="360" w:lineRule="auto"/>
        <w:ind w:firstLine="420"/>
      </w:pPr>
      <w:r>
        <w:rPr>
          <w:rFonts w:hint="eastAsia"/>
        </w:rPr>
        <w:t>矿山生态修复应遵循“因地制宜、分类施策、边采边治、恢复为主”的原则：</w:t>
      </w:r>
    </w:p>
    <w:p w14:paraId="7A7EC176">
      <w:pPr>
        <w:pStyle w:val="132"/>
        <w:spacing w:line="360" w:lineRule="auto"/>
      </w:pPr>
      <w:r>
        <w:rPr>
          <w:rFonts w:hint="eastAsia"/>
        </w:rPr>
        <w:t>因地制宜：根据矿区气候、土壤和生态特征选择修复模式；</w:t>
      </w:r>
    </w:p>
    <w:p w14:paraId="42D8AFCE">
      <w:pPr>
        <w:pStyle w:val="132"/>
        <w:spacing w:line="360" w:lineRule="auto"/>
      </w:pPr>
      <w:r>
        <w:rPr>
          <w:rFonts w:hint="eastAsia"/>
        </w:rPr>
        <w:t>分类施策：对采空区、排土场、尾矿库采取不同修复措施；</w:t>
      </w:r>
    </w:p>
    <w:p w14:paraId="7E08F961">
      <w:pPr>
        <w:pStyle w:val="132"/>
        <w:spacing w:line="360" w:lineRule="auto"/>
      </w:pPr>
      <w:r>
        <w:rPr>
          <w:rFonts w:hint="eastAsia"/>
        </w:rPr>
        <w:t>边采边治：在开采过程中同步实施修复，减少环境累积损害；</w:t>
      </w:r>
    </w:p>
    <w:p w14:paraId="63BFE48A">
      <w:pPr>
        <w:pStyle w:val="132"/>
        <w:spacing w:line="360" w:lineRule="auto"/>
      </w:pPr>
      <w:r>
        <w:rPr>
          <w:rFonts w:hint="eastAsia"/>
        </w:rPr>
        <w:t>恢复为主：优先恢复生态系统的功能与服务能力，而非单一景观效果。</w:t>
      </w:r>
    </w:p>
    <w:p w14:paraId="0E72D711">
      <w:pPr>
        <w:pStyle w:val="105"/>
        <w:spacing w:before="120" w:after="120" w:line="360" w:lineRule="auto"/>
      </w:pPr>
      <w:r>
        <w:rPr>
          <w:rFonts w:hint="eastAsia"/>
        </w:rPr>
        <w:t>修复措施</w:t>
      </w:r>
    </w:p>
    <w:p w14:paraId="3B883A82">
      <w:pPr>
        <w:pStyle w:val="56"/>
        <w:spacing w:line="360" w:lineRule="auto"/>
        <w:ind w:firstLine="420"/>
      </w:pPr>
      <w:r>
        <w:rPr>
          <w:rFonts w:hint="eastAsia"/>
        </w:rPr>
        <w:t>矿山修复措施包括工程、植被和综合治理等类型。为便于理解，常见修复措施分类见表4。</w:t>
      </w:r>
    </w:p>
    <w:p w14:paraId="68968695">
      <w:pPr>
        <w:pStyle w:val="112"/>
        <w:spacing w:before="120" w:after="120" w:line="360" w:lineRule="auto"/>
      </w:pPr>
      <w:r>
        <w:rPr>
          <w:rFonts w:hint="eastAsia"/>
        </w:rPr>
        <w:t>矿山生态修复措施分类表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976"/>
        <w:gridCol w:w="2552"/>
        <w:gridCol w:w="2823"/>
      </w:tblGrid>
      <w:tr w14:paraId="73109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tcPr>
          <w:p w14:paraId="2F8D314C">
            <w:pPr>
              <w:pStyle w:val="178"/>
            </w:pPr>
            <w:r>
              <w:rPr>
                <w:rFonts w:hint="eastAsia"/>
              </w:rPr>
              <w:t>修复类型</w:t>
            </w:r>
          </w:p>
        </w:tc>
        <w:tc>
          <w:tcPr>
            <w:tcW w:w="2976" w:type="dxa"/>
            <w:tcBorders>
              <w:top w:val="single" w:color="auto" w:sz="8" w:space="0"/>
              <w:bottom w:val="single" w:color="auto" w:sz="8" w:space="0"/>
            </w:tcBorders>
          </w:tcPr>
          <w:p w14:paraId="56A8F53E">
            <w:pPr>
              <w:pStyle w:val="178"/>
            </w:pPr>
            <w:r>
              <w:rPr>
                <w:rFonts w:hint="eastAsia"/>
              </w:rPr>
              <w:t>主要措施</w:t>
            </w:r>
          </w:p>
        </w:tc>
        <w:tc>
          <w:tcPr>
            <w:tcW w:w="2552" w:type="dxa"/>
            <w:tcBorders>
              <w:top w:val="single" w:color="auto" w:sz="8" w:space="0"/>
              <w:bottom w:val="single" w:color="auto" w:sz="8" w:space="0"/>
            </w:tcBorders>
          </w:tcPr>
          <w:p w14:paraId="2AD5340D">
            <w:pPr>
              <w:pStyle w:val="178"/>
            </w:pPr>
            <w:r>
              <w:rPr>
                <w:rFonts w:hint="eastAsia"/>
              </w:rPr>
              <w:t>适用对象</w:t>
            </w:r>
          </w:p>
        </w:tc>
        <w:tc>
          <w:tcPr>
            <w:tcW w:w="2823" w:type="dxa"/>
            <w:tcBorders>
              <w:top w:val="single" w:color="auto" w:sz="8" w:space="0"/>
              <w:bottom w:val="single" w:color="auto" w:sz="8" w:space="0"/>
            </w:tcBorders>
          </w:tcPr>
          <w:p w14:paraId="503A991C">
            <w:pPr>
              <w:pStyle w:val="178"/>
            </w:pPr>
            <w:r>
              <w:rPr>
                <w:rFonts w:hint="eastAsia"/>
              </w:rPr>
              <w:t>效果说明</w:t>
            </w:r>
          </w:p>
        </w:tc>
      </w:tr>
      <w:tr w14:paraId="2F7A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tcPr>
          <w:p w14:paraId="5F9C0628">
            <w:pPr>
              <w:pStyle w:val="178"/>
            </w:pPr>
            <w:r>
              <w:rPr>
                <w:rFonts w:hint="eastAsia"/>
              </w:rPr>
              <w:t>工程措施</w:t>
            </w:r>
          </w:p>
        </w:tc>
        <w:tc>
          <w:tcPr>
            <w:tcW w:w="2976" w:type="dxa"/>
            <w:tcBorders>
              <w:top w:val="single" w:color="auto" w:sz="8" w:space="0"/>
            </w:tcBorders>
          </w:tcPr>
          <w:p w14:paraId="7FA51EF1">
            <w:pPr>
              <w:pStyle w:val="178"/>
            </w:pPr>
            <w:r>
              <w:rPr>
                <w:rFonts w:hint="eastAsia"/>
              </w:rPr>
              <w:t>护坡工程、排水工程、截渗工程</w:t>
            </w:r>
          </w:p>
        </w:tc>
        <w:tc>
          <w:tcPr>
            <w:tcW w:w="2552" w:type="dxa"/>
            <w:tcBorders>
              <w:top w:val="single" w:color="auto" w:sz="8" w:space="0"/>
            </w:tcBorders>
          </w:tcPr>
          <w:p w14:paraId="7CA111C3">
            <w:pPr>
              <w:pStyle w:val="178"/>
            </w:pPr>
            <w:r>
              <w:rPr>
                <w:rFonts w:hint="eastAsia"/>
              </w:rPr>
              <w:t>采空区、排土场、滑坡隐患区域</w:t>
            </w:r>
          </w:p>
        </w:tc>
        <w:tc>
          <w:tcPr>
            <w:tcW w:w="2823" w:type="dxa"/>
            <w:tcBorders>
              <w:top w:val="single" w:color="auto" w:sz="8" w:space="0"/>
            </w:tcBorders>
          </w:tcPr>
          <w:p w14:paraId="4A335CC0">
            <w:pPr>
              <w:pStyle w:val="178"/>
            </w:pPr>
            <w:r>
              <w:rPr>
                <w:rFonts w:hint="eastAsia"/>
              </w:rPr>
              <w:t>稳定地形、防止水土流失</w:t>
            </w:r>
          </w:p>
        </w:tc>
      </w:tr>
      <w:tr w14:paraId="0E178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79A25FF0">
            <w:pPr>
              <w:pStyle w:val="178"/>
            </w:pPr>
            <w:r>
              <w:rPr>
                <w:rFonts w:hint="eastAsia"/>
              </w:rPr>
              <w:t>植被措施</w:t>
            </w:r>
          </w:p>
        </w:tc>
        <w:tc>
          <w:tcPr>
            <w:tcW w:w="2976" w:type="dxa"/>
          </w:tcPr>
          <w:p w14:paraId="65476290">
            <w:pPr>
              <w:pStyle w:val="178"/>
            </w:pPr>
            <w:r>
              <w:rPr>
                <w:rFonts w:hint="eastAsia"/>
              </w:rPr>
              <w:t>播撒草籽、栽植树木、灌木修复</w:t>
            </w:r>
          </w:p>
        </w:tc>
        <w:tc>
          <w:tcPr>
            <w:tcW w:w="2552" w:type="dxa"/>
          </w:tcPr>
          <w:p w14:paraId="7E9D0932">
            <w:pPr>
              <w:pStyle w:val="178"/>
            </w:pPr>
            <w:r>
              <w:rPr>
                <w:rFonts w:hint="eastAsia"/>
              </w:rPr>
              <w:t>剥离区、裸露边坡、尾矿库</w:t>
            </w:r>
          </w:p>
        </w:tc>
        <w:tc>
          <w:tcPr>
            <w:tcW w:w="2823" w:type="dxa"/>
          </w:tcPr>
          <w:p w14:paraId="6976D007">
            <w:pPr>
              <w:pStyle w:val="178"/>
            </w:pPr>
            <w:r>
              <w:rPr>
                <w:rFonts w:hint="eastAsia"/>
              </w:rPr>
              <w:t>恢复植被覆盖，改善土壤结构</w:t>
            </w:r>
          </w:p>
        </w:tc>
      </w:tr>
      <w:tr w14:paraId="1FB15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37EE3F34">
            <w:pPr>
              <w:pStyle w:val="178"/>
            </w:pPr>
            <w:r>
              <w:rPr>
                <w:rFonts w:hint="eastAsia"/>
              </w:rPr>
              <w:t>土壤改良</w:t>
            </w:r>
          </w:p>
        </w:tc>
        <w:tc>
          <w:tcPr>
            <w:tcW w:w="2976" w:type="dxa"/>
          </w:tcPr>
          <w:p w14:paraId="49FB6EB4">
            <w:pPr>
              <w:pStyle w:val="178"/>
            </w:pPr>
            <w:r>
              <w:rPr>
                <w:rFonts w:hint="eastAsia"/>
              </w:rPr>
              <w:t>回填表土、施加有机肥、土壤改良剂</w:t>
            </w:r>
          </w:p>
        </w:tc>
        <w:tc>
          <w:tcPr>
            <w:tcW w:w="2552" w:type="dxa"/>
          </w:tcPr>
          <w:p w14:paraId="4DD2CDCD">
            <w:pPr>
              <w:pStyle w:val="178"/>
            </w:pPr>
            <w:r>
              <w:rPr>
                <w:rFonts w:hint="eastAsia"/>
              </w:rPr>
              <w:t>土壤贫瘠区、复垦地</w:t>
            </w:r>
          </w:p>
        </w:tc>
        <w:tc>
          <w:tcPr>
            <w:tcW w:w="2823" w:type="dxa"/>
          </w:tcPr>
          <w:p w14:paraId="2B2E0638">
            <w:pPr>
              <w:pStyle w:val="178"/>
            </w:pPr>
            <w:r>
              <w:rPr>
                <w:rFonts w:hint="eastAsia"/>
              </w:rPr>
              <w:t>提高土壤肥力，促进植物生长</w:t>
            </w:r>
          </w:p>
        </w:tc>
      </w:tr>
      <w:tr w14:paraId="3B901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71515E1E">
            <w:pPr>
              <w:pStyle w:val="178"/>
            </w:pPr>
            <w:r>
              <w:rPr>
                <w:rFonts w:hint="eastAsia"/>
              </w:rPr>
              <w:t>综合措施</w:t>
            </w:r>
          </w:p>
        </w:tc>
        <w:tc>
          <w:tcPr>
            <w:tcW w:w="2976" w:type="dxa"/>
          </w:tcPr>
          <w:p w14:paraId="5994A660">
            <w:pPr>
              <w:pStyle w:val="178"/>
            </w:pPr>
            <w:r>
              <w:rPr>
                <w:rFonts w:hint="eastAsia"/>
              </w:rPr>
              <w:t>工程与生物措施结合</w:t>
            </w:r>
          </w:p>
        </w:tc>
        <w:tc>
          <w:tcPr>
            <w:tcW w:w="2552" w:type="dxa"/>
          </w:tcPr>
          <w:p w14:paraId="36BF85EB">
            <w:pPr>
              <w:pStyle w:val="178"/>
            </w:pPr>
            <w:r>
              <w:rPr>
                <w:rFonts w:hint="eastAsia"/>
              </w:rPr>
              <w:t>大型露天矿山、采空区</w:t>
            </w:r>
          </w:p>
        </w:tc>
        <w:tc>
          <w:tcPr>
            <w:tcW w:w="2823" w:type="dxa"/>
          </w:tcPr>
          <w:p w14:paraId="6C81686D">
            <w:pPr>
              <w:pStyle w:val="178"/>
            </w:pPr>
            <w:r>
              <w:rPr>
                <w:rFonts w:hint="eastAsia"/>
              </w:rPr>
              <w:t>协同治理，兼顾稳定性与生态恢复</w:t>
            </w:r>
          </w:p>
        </w:tc>
      </w:tr>
    </w:tbl>
    <w:p w14:paraId="5C46D471">
      <w:pPr>
        <w:pStyle w:val="56"/>
        <w:spacing w:before="120" w:beforeLines="50" w:line="360" w:lineRule="auto"/>
        <w:ind w:firstLine="420"/>
      </w:pPr>
      <w:r>
        <w:rPr>
          <w:rFonts w:hint="eastAsia"/>
        </w:rPr>
        <w:t>通过以上分类，企业可根据矿区实际情况灵活选择修复模式，确保修复效果长期、稳定和可持续。</w:t>
      </w:r>
    </w:p>
    <w:p w14:paraId="4A0221D0">
      <w:pPr>
        <w:pStyle w:val="105"/>
        <w:spacing w:before="120" w:after="120" w:line="360" w:lineRule="auto"/>
      </w:pPr>
      <w:r>
        <w:rPr>
          <w:rFonts w:hint="eastAsia"/>
        </w:rPr>
        <w:t>后期管理</w:t>
      </w:r>
    </w:p>
    <w:p w14:paraId="4E48CD74">
      <w:pPr>
        <w:pStyle w:val="56"/>
        <w:spacing w:line="360" w:lineRule="auto"/>
        <w:ind w:firstLine="420"/>
      </w:pPr>
      <w:r>
        <w:rPr>
          <w:rFonts w:hint="eastAsia"/>
        </w:rPr>
        <w:t>生态修复完成后，应建立长期的管护与评估机制：</w:t>
      </w:r>
    </w:p>
    <w:p w14:paraId="1CD642D2">
      <w:pPr>
        <w:pStyle w:val="132"/>
        <w:spacing w:line="360" w:lineRule="auto"/>
      </w:pPr>
      <w:r>
        <w:rPr>
          <w:rFonts w:hint="eastAsia"/>
        </w:rPr>
        <w:t>管护：包括植被养护、病虫害防治、设施维护；</w:t>
      </w:r>
    </w:p>
    <w:p w14:paraId="1D62B5A6">
      <w:pPr>
        <w:pStyle w:val="132"/>
        <w:spacing w:line="360" w:lineRule="auto"/>
      </w:pPr>
      <w:r>
        <w:rPr>
          <w:rFonts w:hint="eastAsia"/>
        </w:rPr>
        <w:t>评估：定期开展修复效果评估，评价植被覆盖度、物种多样性和土壤质量恢复情况；</w:t>
      </w:r>
    </w:p>
    <w:p w14:paraId="3DFF972A">
      <w:pPr>
        <w:pStyle w:val="132"/>
        <w:spacing w:line="360" w:lineRule="auto"/>
      </w:pPr>
      <w:r>
        <w:rPr>
          <w:rFonts w:hint="eastAsia"/>
        </w:rPr>
        <w:t>改进：根据评估结果不断优化修复方案。</w:t>
      </w:r>
    </w:p>
    <w:p w14:paraId="3B6DC8F6">
      <w:pPr>
        <w:pStyle w:val="104"/>
        <w:spacing w:before="240" w:after="240" w:line="360" w:lineRule="auto"/>
      </w:pPr>
      <w:bookmarkStart w:id="56" w:name="_Toc207028984"/>
      <w:r>
        <w:rPr>
          <w:rFonts w:hint="eastAsia"/>
        </w:rPr>
        <w:t>监督改进</w:t>
      </w:r>
      <w:bookmarkEnd w:id="56"/>
    </w:p>
    <w:p w14:paraId="0063491D">
      <w:pPr>
        <w:pStyle w:val="105"/>
        <w:spacing w:before="120" w:after="120" w:line="360" w:lineRule="auto"/>
      </w:pPr>
      <w:r>
        <w:rPr>
          <w:rFonts w:hint="eastAsia"/>
        </w:rPr>
        <w:t>总则</w:t>
      </w:r>
    </w:p>
    <w:p w14:paraId="09F130FE">
      <w:pPr>
        <w:pStyle w:val="56"/>
        <w:spacing w:line="360" w:lineRule="auto"/>
        <w:ind w:firstLine="420"/>
      </w:pPr>
      <w:r>
        <w:rPr>
          <w:rFonts w:hint="eastAsia"/>
        </w:rPr>
        <w:t>监督与改进应坚持依法依规、客观公正和持续改进的原则。监督不仅包括政府监管，还应涵盖企业自查、第三方评估和社会监督，形成多元化的监督格局。</w:t>
      </w:r>
    </w:p>
    <w:p w14:paraId="32BD310C">
      <w:pPr>
        <w:pStyle w:val="105"/>
        <w:spacing w:before="120" w:after="120" w:line="360" w:lineRule="auto"/>
      </w:pPr>
      <w:r>
        <w:rPr>
          <w:rFonts w:hint="eastAsia"/>
        </w:rPr>
        <w:t>内部监督</w:t>
      </w:r>
    </w:p>
    <w:p w14:paraId="2BA42127">
      <w:pPr>
        <w:pStyle w:val="56"/>
        <w:spacing w:line="360" w:lineRule="auto"/>
        <w:ind w:firstLine="420"/>
      </w:pPr>
      <w:r>
        <w:rPr>
          <w:rFonts w:hint="eastAsia"/>
        </w:rPr>
        <w:t>矿山企业应建立内部监督制度，确保管理体系在日常运行中得到有效执行：</w:t>
      </w:r>
    </w:p>
    <w:p w14:paraId="45A43B3A">
      <w:pPr>
        <w:pStyle w:val="132"/>
        <w:spacing w:line="360" w:lineRule="auto"/>
      </w:pPr>
      <w:r>
        <w:rPr>
          <w:rFonts w:hint="eastAsia"/>
        </w:rPr>
        <w:t>建立企业自查制度，对资源利用、环境保护、安全生产和社会责任等方面进行定期检查；</w:t>
      </w:r>
    </w:p>
    <w:p w14:paraId="17E0673B">
      <w:pPr>
        <w:pStyle w:val="132"/>
        <w:spacing w:line="360" w:lineRule="auto"/>
      </w:pPr>
      <w:r>
        <w:rPr>
          <w:rFonts w:hint="eastAsia"/>
        </w:rPr>
        <w:t>设置专门的质量与安全管理部门，负责监督实施情况；</w:t>
      </w:r>
    </w:p>
    <w:p w14:paraId="6C3B94F7">
      <w:pPr>
        <w:pStyle w:val="132"/>
        <w:spacing w:line="360" w:lineRule="auto"/>
      </w:pPr>
      <w:r>
        <w:rPr>
          <w:rFonts w:hint="eastAsia"/>
        </w:rPr>
        <w:t>建立内部问责机制，对违规行为及时纠正和处罚。</w:t>
      </w:r>
    </w:p>
    <w:p w14:paraId="48D0D07D">
      <w:pPr>
        <w:pStyle w:val="105"/>
        <w:spacing w:before="120" w:after="120" w:line="360" w:lineRule="auto"/>
      </w:pPr>
      <w:r>
        <w:rPr>
          <w:rFonts w:hint="eastAsia"/>
        </w:rPr>
        <w:t>外部监督</w:t>
      </w:r>
    </w:p>
    <w:p w14:paraId="2C30AE6A">
      <w:pPr>
        <w:pStyle w:val="56"/>
        <w:spacing w:line="360" w:lineRule="auto"/>
        <w:ind w:firstLine="420"/>
      </w:pPr>
      <w:r>
        <w:rPr>
          <w:rFonts w:hint="eastAsia"/>
        </w:rPr>
        <w:t>外部监督由政府部门、行业组织及第三方机构实施，以保证企业执行情况透明公开：</w:t>
      </w:r>
    </w:p>
    <w:p w14:paraId="29D6D7E6">
      <w:pPr>
        <w:pStyle w:val="132"/>
        <w:spacing w:line="360" w:lineRule="auto"/>
      </w:pPr>
      <w:r>
        <w:rPr>
          <w:rFonts w:hint="eastAsia"/>
        </w:rPr>
        <w:t>政府主管部门应开展例行检查与专项督查；</w:t>
      </w:r>
    </w:p>
    <w:p w14:paraId="5DA5B3ED">
      <w:pPr>
        <w:pStyle w:val="132"/>
        <w:spacing w:line="360" w:lineRule="auto"/>
      </w:pPr>
      <w:r>
        <w:rPr>
          <w:rFonts w:hint="eastAsia"/>
        </w:rPr>
        <w:t>行业协会可组织评估，推动先进经验的推广与交流；</w:t>
      </w:r>
    </w:p>
    <w:p w14:paraId="15DC19D1">
      <w:pPr>
        <w:pStyle w:val="132"/>
        <w:spacing w:line="360" w:lineRule="auto"/>
      </w:pPr>
      <w:r>
        <w:rPr>
          <w:rFonts w:hint="eastAsia"/>
        </w:rPr>
        <w:t>鼓励第三方专业机构独立开展合规性与绩效评估。</w:t>
      </w:r>
    </w:p>
    <w:p w14:paraId="51679B3D">
      <w:pPr>
        <w:pStyle w:val="105"/>
        <w:spacing w:before="120" w:after="120" w:line="360" w:lineRule="auto"/>
      </w:pPr>
      <w:r>
        <w:rPr>
          <w:rFonts w:hint="eastAsia"/>
        </w:rPr>
        <w:t>社会监督</w:t>
      </w:r>
    </w:p>
    <w:p w14:paraId="411E7AD6">
      <w:pPr>
        <w:pStyle w:val="56"/>
        <w:spacing w:line="360" w:lineRule="auto"/>
        <w:ind w:firstLine="420"/>
      </w:pPr>
      <w:r>
        <w:rPr>
          <w:rFonts w:hint="eastAsia"/>
        </w:rPr>
        <w:t>社会公众和利益相关者的监督是保障矿业活动透明的重要方式：</w:t>
      </w:r>
    </w:p>
    <w:p w14:paraId="4EBA9341">
      <w:pPr>
        <w:pStyle w:val="132"/>
        <w:spacing w:line="360" w:lineRule="auto"/>
      </w:pPr>
      <w:r>
        <w:rPr>
          <w:rFonts w:hint="eastAsia"/>
        </w:rPr>
        <w:t>企业应定期发布矿产资源动态评估报告和环境监测报告；</w:t>
      </w:r>
    </w:p>
    <w:p w14:paraId="095F92B4">
      <w:pPr>
        <w:pStyle w:val="132"/>
        <w:spacing w:line="360" w:lineRule="auto"/>
      </w:pPr>
      <w:r>
        <w:rPr>
          <w:rFonts w:hint="eastAsia"/>
        </w:rPr>
        <w:t>公众可通过听证、座谈或信息公开平台提出意见和建议；</w:t>
      </w:r>
    </w:p>
    <w:p w14:paraId="35690F05">
      <w:pPr>
        <w:pStyle w:val="132"/>
        <w:spacing w:line="360" w:lineRule="auto"/>
      </w:pPr>
      <w:r>
        <w:rPr>
          <w:rFonts w:hint="eastAsia"/>
        </w:rPr>
        <w:t>建立公众举报与反馈渠道，提升社会监督的有效性。</w:t>
      </w:r>
    </w:p>
    <w:p w14:paraId="21F81640">
      <w:pPr>
        <w:pStyle w:val="105"/>
        <w:spacing w:before="120" w:after="120" w:line="360" w:lineRule="auto"/>
      </w:pPr>
      <w:r>
        <w:rPr>
          <w:rFonts w:hint="eastAsia"/>
        </w:rPr>
        <w:t>改进机制</w:t>
      </w:r>
    </w:p>
    <w:p w14:paraId="0443FFB2">
      <w:pPr>
        <w:pStyle w:val="56"/>
        <w:spacing w:line="360" w:lineRule="auto"/>
        <w:ind w:firstLine="420"/>
      </w:pPr>
      <w:r>
        <w:rPr>
          <w:rFonts w:hint="eastAsia"/>
        </w:rPr>
        <w:t>监督的最终目标在于改进。监督结果应形成整改措施和反馈机制，确保持续优化：</w:t>
      </w:r>
    </w:p>
    <w:p w14:paraId="1F576177">
      <w:pPr>
        <w:pStyle w:val="132"/>
        <w:spacing w:line="360" w:lineRule="auto"/>
      </w:pPr>
      <w:r>
        <w:rPr>
          <w:rFonts w:hint="eastAsia"/>
        </w:rPr>
        <w:t>对监督发现的问题应制定整改计划，明确责任人和完成时限；</w:t>
      </w:r>
    </w:p>
    <w:p w14:paraId="7F282E90">
      <w:pPr>
        <w:pStyle w:val="132"/>
        <w:spacing w:line="360" w:lineRule="auto"/>
      </w:pPr>
      <w:r>
        <w:rPr>
          <w:rFonts w:hint="eastAsia"/>
        </w:rPr>
        <w:t>建立“监督—整改—复查—改进”的闭环管理流程；</w:t>
      </w:r>
    </w:p>
    <w:p w14:paraId="2C6DE422">
      <w:pPr>
        <w:pStyle w:val="132"/>
        <w:spacing w:line="360" w:lineRule="auto"/>
      </w:pPr>
      <w:r>
        <w:rPr>
          <w:rFonts w:hint="eastAsia"/>
        </w:rPr>
        <w:t>将改进措施纳入企业年度计划和长期战略，形成制度化。</w:t>
      </w:r>
    </w:p>
    <w:bookmarkEnd w:id="26"/>
    <w:p w14:paraId="1A878E58">
      <w:pPr>
        <w:pStyle w:val="56"/>
        <w:ind w:firstLine="0" w:firstLineChars="0"/>
        <w:jc w:val="center"/>
      </w:pPr>
      <w:bookmarkStart w:id="57" w:name="BookMark8"/>
      <w:r>
        <w:rPr>
          <w:rFonts w:hint="eastAsia"/>
        </w:rPr>
        <w:drawing>
          <wp:inline distT="0" distB="0" distL="0" distR="0">
            <wp:extent cx="1485900" cy="317500"/>
            <wp:effectExtent l="0" t="0" r="0" b="6350"/>
            <wp:docPr id="1489103438" name="图片 3"/>
            <wp:cNvGraphicFramePr/>
            <a:graphic xmlns:a="http://schemas.openxmlformats.org/drawingml/2006/main">
              <a:graphicData uri="http://schemas.openxmlformats.org/drawingml/2006/picture">
                <pic:pic xmlns:pic="http://schemas.openxmlformats.org/drawingml/2006/picture">
                  <pic:nvPicPr>
                    <pic:cNvPr id="1489103438"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E5A1">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5A8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899E">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702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6EC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2C6F">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C1B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8404">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47D5">
    <w:pPr>
      <w:pStyle w:val="61"/>
    </w:pPr>
    <w:r>
      <w:fldChar w:fldCharType="begin"/>
    </w:r>
    <w:r>
      <w:instrText xml:space="preserve"> STYLEREF  标准文件_文件编号  \* MERGEFORMAT </w:instrText>
    </w:r>
    <w:r>
      <w:fldChar w:fldCharType="separate"/>
    </w:r>
    <w:r>
      <w:t>T/XZBX 0088—2025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C6A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0088—2025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91B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0088—2025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B8B1">
    <w:pPr>
      <w:pStyle w:val="61"/>
    </w:pPr>
    <w:r>
      <w:fldChar w:fldCharType="begin"/>
    </w:r>
    <w:r>
      <w:instrText xml:space="preserve"> STYLEREF  标准文件_文件编号  \* MERGEFORMAT </w:instrText>
    </w:r>
    <w:r>
      <w:fldChar w:fldCharType="separate"/>
    </w:r>
    <w:r>
      <w:t>T/XZBX 0088—2025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B72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0088—2025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0727">
    <w:pPr>
      <w:pStyle w:val="61"/>
    </w:pPr>
    <w:r>
      <w:fldChar w:fldCharType="begin"/>
    </w:r>
    <w:r>
      <w:instrText xml:space="preserve"> STYLEREF  标准文件_文件编号  \* MERGEFORMAT </w:instrText>
    </w:r>
    <w:r>
      <w:fldChar w:fldCharType="separate"/>
    </w:r>
    <w:r>
      <w:t>T/XZBX 0088—2025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289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0088—2025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9A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AA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15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4CEB"/>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C81"/>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19D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699"/>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A2A"/>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AF68C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887"/>
    <w:rsid w:val="00B54ABC"/>
    <w:rsid w:val="00B56FBE"/>
    <w:rsid w:val="00B60ACF"/>
    <w:rsid w:val="00B62B58"/>
    <w:rsid w:val="00B65149"/>
    <w:rsid w:val="00B66567"/>
    <w:rsid w:val="00B66F14"/>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9E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0F79"/>
    <w:rsid w:val="00D11272"/>
    <w:rsid w:val="00D112B4"/>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8C3"/>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946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86B58C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663139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A79C84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143E73"/>
    <w:rsid w:val="002E6AD9"/>
    <w:rsid w:val="00394AE4"/>
    <w:rsid w:val="003F62CE"/>
    <w:rsid w:val="004A6324"/>
    <w:rsid w:val="006141C6"/>
    <w:rsid w:val="0085757A"/>
    <w:rsid w:val="00911EFE"/>
    <w:rsid w:val="00953699"/>
    <w:rsid w:val="00AE100B"/>
    <w:rsid w:val="00AE1DC6"/>
    <w:rsid w:val="00AF68CC"/>
    <w:rsid w:val="00C3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3419</Words>
  <Characters>3710</Characters>
  <Lines>52</Lines>
  <Paragraphs>14</Paragraphs>
  <TotalTime>42</TotalTime>
  <ScaleCrop>false</ScaleCrop>
  <LinksUpToDate>false</LinksUpToDate>
  <CharactersWithSpaces>3795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2025-08-23T08:48:00Z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2025-09-05T07:04:45Z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C4E8E4A6F375493DA9895C9E1A6A7412_12</vt:lpwstr>
  </property>
</Properties>
</file>