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07.100.3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07.100.30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53"/>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C 53</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89"/>
            </w:textInput>
          </w:ffData>
        </w:fldChar>
      </w:r>
      <w:bookmarkStart w:id="6" w:name="NSTD_CODE_F"/>
      <w:r>
        <w:instrText xml:space="preserve"> FORMTEXT </w:instrText>
      </w:r>
      <w:r>
        <w:fldChar w:fldCharType="separate"/>
      </w:r>
      <w:r>
        <w:t>0089</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食品微生物检测自动化技术规范"/>
            </w:textInput>
          </w:ffData>
        </w:fldChar>
      </w:r>
      <w:bookmarkStart w:id="9" w:name="CSTD_NAME"/>
      <w:r>
        <w:rPr>
          <w:rFonts w:hint="eastAsia"/>
        </w:rPr>
        <w:instrText xml:space="preserve"> FORMTEXT </w:instrText>
      </w:r>
      <w:r>
        <w:rPr>
          <w:rFonts w:hint="eastAsia"/>
        </w:rPr>
        <w:fldChar w:fldCharType="separate"/>
      </w:r>
      <w:r>
        <w:rPr>
          <w:rFonts w:hint="eastAsia"/>
        </w:rPr>
        <w:t>食品微生物检测自动化技术规范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dynamic evaluation and sustainable mining management of mineral resource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dynamic evaluation and sustainable mining management of mineral resources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E36137F">
      <w:pPr>
        <w:pStyle w:val="91"/>
        <w:spacing w:after="360"/>
      </w:pPr>
      <w:bookmarkStart w:id="21" w:name="BookMark1"/>
      <w:r>
        <w:rPr>
          <w:rFonts w:hint="eastAsia"/>
          <w:spacing w:val="320"/>
        </w:rPr>
        <w:t>目</w:t>
      </w:r>
      <w:r>
        <w:rPr>
          <w:rFonts w:hint="eastAsia"/>
        </w:rPr>
        <w:t>次</w:t>
      </w:r>
    </w:p>
    <w:p w14:paraId="2F6C4A2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"_Toc207626826"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_Toc207626826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8653F5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"_Toc207626827"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_Toc207626827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0F3BB48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"_Toc207626828"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_Toc207626828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089D40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"_Toc207626829"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_Toc207626829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296AA8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"_Toc207626830"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_Toc207626830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9184B5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"_Toc207626831"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_Toc207626831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4102A0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"_Toc207626832" </w:instrText>
      </w:r>
      <w:r>
        <w:fldChar w:fldCharType="separate"/>
      </w:r>
      <w:r>
        <w:rPr>
          <w:rStyle w:val="32"/>
          <w:rFonts w:hint="eastAsia"/>
        </w:rPr>
        <w:t>5</w:t>
      </w:r>
      <w:r>
        <w:rPr>
          <w:rStyle w:val="32"/>
        </w:rPr>
        <w:t xml:space="preserve"> </w:t>
      </w:r>
      <w:r>
        <w:rPr>
          <w:rStyle w:val="32"/>
          <w:rFonts w:hint="eastAsia"/>
        </w:rPr>
        <w:t xml:space="preserve"> 技术要求</w:t>
      </w:r>
      <w:r>
        <w:rPr>
          <w:rFonts w:hint="eastAsia"/>
        </w:rPr>
        <w:tab/>
      </w:r>
      <w:r>
        <w:rPr>
          <w:rFonts w:hint="eastAsia"/>
        </w:rPr>
        <w:fldChar w:fldCharType="begin"/>
      </w:r>
      <w:r>
        <w:rPr>
          <w:rFonts w:hint="eastAsia"/>
        </w:rPr>
        <w:instrText xml:space="preserve"> </w:instrText>
      </w:r>
      <w:r>
        <w:instrText xml:space="preserve">PAGEREF _Toc207626832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B29BA1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"_Toc207626833" </w:instrText>
      </w:r>
      <w:r>
        <w:fldChar w:fldCharType="separate"/>
      </w:r>
      <w:r>
        <w:rPr>
          <w:rStyle w:val="32"/>
          <w:rFonts w:hint="eastAsia"/>
        </w:rPr>
        <w:t>6</w:t>
      </w:r>
      <w:r>
        <w:rPr>
          <w:rStyle w:val="32"/>
        </w:rPr>
        <w:t xml:space="preserve"> </w:t>
      </w:r>
      <w:r>
        <w:rPr>
          <w:rStyle w:val="32"/>
          <w:rFonts w:hint="eastAsia"/>
        </w:rPr>
        <w:t xml:space="preserve"> 检测方法</w:t>
      </w:r>
      <w:r>
        <w:rPr>
          <w:rFonts w:hint="eastAsia"/>
        </w:rPr>
        <w:tab/>
      </w:r>
      <w:r>
        <w:rPr>
          <w:rFonts w:hint="eastAsia"/>
        </w:rPr>
        <w:fldChar w:fldCharType="begin"/>
      </w:r>
      <w:r>
        <w:rPr>
          <w:rFonts w:hint="eastAsia"/>
        </w:rPr>
        <w:instrText xml:space="preserve"> </w:instrText>
      </w:r>
      <w:r>
        <w:instrText xml:space="preserve">PAGEREF _Toc207626833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AD5EDB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"_Toc207626834" </w:instrText>
      </w:r>
      <w:r>
        <w:fldChar w:fldCharType="separate"/>
      </w:r>
      <w:r>
        <w:rPr>
          <w:rStyle w:val="32"/>
          <w:rFonts w:hint="eastAsia"/>
        </w:rPr>
        <w:t>7</w:t>
      </w:r>
      <w:r>
        <w:rPr>
          <w:rStyle w:val="32"/>
        </w:rPr>
        <w:t xml:space="preserve"> </w:t>
      </w:r>
      <w:r>
        <w:rPr>
          <w:rStyle w:val="32"/>
          <w:rFonts w:hint="eastAsia"/>
        </w:rPr>
        <w:t xml:space="preserve"> 数据管理</w:t>
      </w:r>
      <w:r>
        <w:rPr>
          <w:rFonts w:hint="eastAsia"/>
        </w:rPr>
        <w:tab/>
      </w:r>
      <w:r>
        <w:rPr>
          <w:rFonts w:hint="eastAsia"/>
        </w:rPr>
        <w:fldChar w:fldCharType="begin"/>
      </w:r>
      <w:r>
        <w:rPr>
          <w:rFonts w:hint="eastAsia"/>
        </w:rPr>
        <w:instrText xml:space="preserve"> </w:instrText>
      </w:r>
      <w:r>
        <w:instrText xml:space="preserve">PAGEREF _Toc207626834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C0E212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"_Toc207626835" </w:instrText>
      </w:r>
      <w:r>
        <w:fldChar w:fldCharType="separate"/>
      </w:r>
      <w:r>
        <w:rPr>
          <w:rStyle w:val="32"/>
          <w:rFonts w:hint="eastAsia"/>
        </w:rPr>
        <w:t>8</w:t>
      </w:r>
      <w:r>
        <w:rPr>
          <w:rStyle w:val="32"/>
        </w:rPr>
        <w:t xml:space="preserve"> </w:t>
      </w:r>
      <w:r>
        <w:rPr>
          <w:rStyle w:val="32"/>
          <w:rFonts w:hint="eastAsia"/>
        </w:rPr>
        <w:t xml:space="preserve"> 安全与环境要求</w:t>
      </w:r>
      <w:r>
        <w:rPr>
          <w:rFonts w:hint="eastAsia"/>
        </w:rPr>
        <w:tab/>
      </w:r>
      <w:r>
        <w:rPr>
          <w:rFonts w:hint="eastAsia"/>
        </w:rPr>
        <w:fldChar w:fldCharType="begin"/>
      </w:r>
      <w:r>
        <w:rPr>
          <w:rFonts w:hint="eastAsia"/>
        </w:rPr>
        <w:instrText xml:space="preserve"> </w:instrText>
      </w:r>
      <w:r>
        <w:instrText xml:space="preserve">PAGEREF _Toc207626835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51AEFE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"_Toc207626836" </w:instrText>
      </w:r>
      <w:r>
        <w:fldChar w:fldCharType="separate"/>
      </w:r>
      <w:r>
        <w:rPr>
          <w:rStyle w:val="32"/>
          <w:rFonts w:hint="eastAsia"/>
        </w:rPr>
        <w:t>9</w:t>
      </w:r>
      <w:r>
        <w:rPr>
          <w:rStyle w:val="32"/>
        </w:rPr>
        <w:t xml:space="preserve"> </w:t>
      </w:r>
      <w:r>
        <w:rPr>
          <w:rStyle w:val="32"/>
          <w:rFonts w:hint="eastAsia"/>
        </w:rPr>
        <w:t xml:space="preserve"> 评价改进</w:t>
      </w:r>
      <w:r>
        <w:rPr>
          <w:rFonts w:hint="eastAsia"/>
        </w:rPr>
        <w:tab/>
      </w:r>
      <w:r>
        <w:rPr>
          <w:rFonts w:hint="eastAsia"/>
        </w:rPr>
        <w:fldChar w:fldCharType="begin"/>
      </w:r>
      <w:r>
        <w:rPr>
          <w:rFonts w:hint="eastAsia"/>
        </w:rPr>
        <w:instrText xml:space="preserve"> </w:instrText>
      </w:r>
      <w:r>
        <w:instrText xml:space="preserve">PAGEREF _Toc207626836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1032768">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7626826"/>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本文件起草单位：吉林化工大学。</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本文件主要起草人：孔繁星。</w:t>
      </w:r>
      <w:bookmarkStart w:id="58" w:name="_GoBack"/>
      <w:bookmarkEnd w:id="58"/>
    </w:p>
    <w:bookmarkEnd w:id="23"/>
    <w:p w14:paraId="66D0A2F3">
      <w:pPr>
        <w:pStyle w:val="89"/>
        <w:spacing w:after="360"/>
      </w:pPr>
      <w:bookmarkStart w:id="24" w:name="_Toc207626827"/>
      <w:bookmarkStart w:id="25" w:name="BookMark3"/>
      <w:r>
        <w:rPr>
          <w:spacing w:val="320"/>
        </w:rPr>
        <w:t>引</w:t>
      </w:r>
      <w:r>
        <w:t>言</w:t>
      </w:r>
      <w:bookmarkEnd w:id="24"/>
    </w:p>
    <w:p w14:paraId="17218EE1">
      <w:pPr>
        <w:pStyle w:val="56"/>
        <w:spacing w:line="360" w:lineRule="auto"/>
        <w:ind w:firstLine="420"/>
      </w:pPr>
      <w:r>
        <w:rPr>
          <w:rFonts w:hint="eastAsia"/>
        </w:rPr>
        <w:t>食品安全是公共健康和社会稳定的重要保障，而微生物污染是导致食品安全事件的主要风险之一。传统的食品微生物检测方法多依赖人工操作，存在检测周期长、效率低、人工误差大等问题，难以满足食品产业链快速检测与监管的需要。</w:t>
      </w:r>
    </w:p>
    <w:p w14:paraId="410800E2">
      <w:pPr>
        <w:pStyle w:val="56"/>
        <w:spacing w:line="360" w:lineRule="auto"/>
        <w:ind w:firstLine="420"/>
      </w:pPr>
      <w:r>
        <w:rPr>
          <w:rFonts w:hint="eastAsia"/>
        </w:rPr>
        <w:t>随着自动化技术、分子生物学和信息技术的发展，食品微生物检测正逐步向高通量、快速化和智能化方向转变。自动化检测系统通过集成样品前处理、核酸提取、扩增分析和结果判读等功能，可以有效减少人工干预，提高检测灵敏度和准确性，并实现批量样品的高效检测。</w:t>
      </w:r>
    </w:p>
    <w:p w14:paraId="41C59179">
      <w:pPr>
        <w:pStyle w:val="56"/>
        <w:spacing w:line="360" w:lineRule="auto"/>
        <w:ind w:firstLine="420"/>
      </w:pPr>
      <w:r>
        <w:rPr>
          <w:rFonts w:hint="eastAsia"/>
        </w:rPr>
        <w:t>然而，目前食品微生物检测自动化在设备选型、操作流程、质量控制和数据管理等方面尚缺乏统一规范，影响了其推广应用和结果的可比性。本文件的制定，旨在建立食品微生物检测自动化的技术规范，明确基本原则、技术要求、操作流程与质量管理措施，为食品检测机构、监管部门和相关企业提供标准依据，提升食品微生物检测的科学性、可靠性和可追溯性。</w:t>
      </w: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食品微生物检测自动化技术规范</w:t>
          </w:r>
        </w:p>
      </w:sdtContent>
    </w:sdt>
    <w:bookmarkEnd w:id="27"/>
    <w:p w14:paraId="3DB22445">
      <w:pPr>
        <w:pStyle w:val="104"/>
        <w:spacing w:before="240" w:after="240" w:line="360" w:lineRule="auto"/>
      </w:pPr>
      <w:bookmarkStart w:id="28" w:name="_Toc17233333"/>
      <w:bookmarkStart w:id="29" w:name="_Toc24884211"/>
      <w:bookmarkStart w:id="30" w:name="_Toc17233325"/>
      <w:bookmarkStart w:id="31" w:name="_Toc26648465"/>
      <w:bookmarkStart w:id="32" w:name="_Toc26986771"/>
      <w:bookmarkStart w:id="33" w:name="_Toc26718930"/>
      <w:bookmarkStart w:id="34" w:name="_Toc26986530"/>
      <w:bookmarkStart w:id="35" w:name="_Toc24884218"/>
      <w:bookmarkStart w:id="36" w:name="_Toc97192964"/>
      <w:bookmarkStart w:id="37" w:name="_Toc207626828"/>
      <w:r>
        <w:rPr>
          <w:rFonts w:hint="eastAsia"/>
        </w:rPr>
        <w:t>范围</w:t>
      </w:r>
      <w:bookmarkEnd w:id="28"/>
      <w:bookmarkEnd w:id="29"/>
      <w:bookmarkEnd w:id="30"/>
      <w:bookmarkEnd w:id="31"/>
      <w:bookmarkEnd w:id="32"/>
      <w:bookmarkEnd w:id="33"/>
      <w:bookmarkEnd w:id="34"/>
      <w:bookmarkEnd w:id="35"/>
      <w:bookmarkEnd w:id="36"/>
      <w:bookmarkEnd w:id="37"/>
    </w:p>
    <w:p w14:paraId="72CFF813">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本文件规定了食品微生物检测自动化的总体原则、技术要求、检测方法、数据管理、安全与环境要求及评价改进等方面的内容。</w:t>
      </w:r>
    </w:p>
    <w:p w14:paraId="2F6CDF6C">
      <w:pPr>
        <w:pStyle w:val="56"/>
        <w:spacing w:line="360" w:lineRule="auto"/>
        <w:ind w:firstLine="420"/>
      </w:pPr>
      <w:r>
        <w:rPr>
          <w:rFonts w:hint="eastAsia"/>
        </w:rPr>
        <w:t>本文件适用于食品生产企业、食品检测实验室及第三方检测机构在食品中致病菌、指示菌及其他相关微生物的自动化检测过程。</w:t>
      </w:r>
    </w:p>
    <w:p w14:paraId="76265264">
      <w:pPr>
        <w:pStyle w:val="56"/>
        <w:spacing w:line="360" w:lineRule="auto"/>
        <w:ind w:firstLine="420"/>
      </w:pPr>
      <w:r>
        <w:rPr>
          <w:rFonts w:hint="eastAsia"/>
        </w:rPr>
        <w:t>本文件不适用于纯手工操作的传统检测方法及非食品领域的微生物检测。</w:t>
      </w:r>
    </w:p>
    <w:p w14:paraId="3733B2AD">
      <w:pPr>
        <w:pStyle w:val="104"/>
        <w:spacing w:before="240" w:after="240" w:line="360" w:lineRule="auto"/>
      </w:pPr>
      <w:bookmarkStart w:id="43" w:name="_Toc26986531"/>
      <w:bookmarkStart w:id="44" w:name="_Toc26986772"/>
      <w:bookmarkStart w:id="45" w:name="_Toc26718931"/>
      <w:bookmarkStart w:id="46" w:name="_Toc207626829"/>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A7F860">
      <w:pPr>
        <w:pStyle w:val="56"/>
        <w:spacing w:line="360" w:lineRule="auto"/>
        <w:ind w:firstLine="420"/>
      </w:pPr>
      <w:r>
        <w:t>GB 4789.1</w:t>
      </w:r>
      <w:r>
        <w:rPr>
          <w:rFonts w:hint="eastAsia"/>
        </w:rPr>
        <w:t>—</w:t>
      </w:r>
      <w:r>
        <w:t>2016</w:t>
      </w:r>
      <w:r>
        <w:rPr>
          <w:rFonts w:hint="eastAsia"/>
        </w:rPr>
        <w:t xml:space="preserve"> 食品安全国家标准  食品微生物学检验  总则</w:t>
      </w:r>
    </w:p>
    <w:p w14:paraId="7A699F51">
      <w:pPr>
        <w:pStyle w:val="56"/>
        <w:spacing w:line="360" w:lineRule="auto"/>
        <w:ind w:firstLine="420"/>
      </w:pPr>
      <w:r>
        <w:t>GB 4789.2</w:t>
      </w:r>
      <w:r>
        <w:rPr>
          <w:rFonts w:hint="eastAsia"/>
        </w:rPr>
        <w:t>—</w:t>
      </w:r>
      <w:r>
        <w:t>2022</w:t>
      </w:r>
      <w:r>
        <w:rPr>
          <w:rFonts w:hint="eastAsia"/>
        </w:rPr>
        <w:t xml:space="preserve"> 食品安全国家标准  食品微生物学检验  菌落总数测定</w:t>
      </w:r>
    </w:p>
    <w:p w14:paraId="095572D6">
      <w:pPr>
        <w:pStyle w:val="56"/>
        <w:spacing w:line="360" w:lineRule="auto"/>
        <w:ind w:firstLine="420"/>
      </w:pPr>
      <w:r>
        <w:t>GB 4789.3</w:t>
      </w:r>
      <w:r>
        <w:rPr>
          <w:rFonts w:hint="eastAsia"/>
        </w:rPr>
        <w:t>—</w:t>
      </w:r>
      <w:r>
        <w:t>2016</w:t>
      </w:r>
      <w:r>
        <w:rPr>
          <w:rFonts w:hint="eastAsia"/>
        </w:rPr>
        <w:t xml:space="preserve"> 食品安全国家标准  食品微生物学检验  大肠菌群计数</w:t>
      </w:r>
    </w:p>
    <w:p w14:paraId="580DDA0B">
      <w:pPr>
        <w:pStyle w:val="56"/>
        <w:spacing w:line="360" w:lineRule="auto"/>
        <w:ind w:firstLine="420"/>
      </w:pPr>
      <w:r>
        <w:t>GB 4789.4</w:t>
      </w:r>
      <w:r>
        <w:rPr>
          <w:rFonts w:hint="eastAsia"/>
        </w:rPr>
        <w:t>—</w:t>
      </w:r>
      <w:r>
        <w:t>2024</w:t>
      </w:r>
      <w:r>
        <w:rPr>
          <w:rFonts w:hint="eastAsia"/>
        </w:rPr>
        <w:t xml:space="preserve"> 食品安全国家标准  食品微生物学检验  沙门氏菌检验</w:t>
      </w:r>
    </w:p>
    <w:p w14:paraId="166C953A">
      <w:pPr>
        <w:pStyle w:val="56"/>
        <w:spacing w:line="360" w:lineRule="auto"/>
        <w:ind w:firstLine="420"/>
      </w:pPr>
      <w:r>
        <w:t>GB 4789.10</w:t>
      </w:r>
      <w:r>
        <w:rPr>
          <w:rFonts w:hint="eastAsia"/>
        </w:rPr>
        <w:t>—</w:t>
      </w:r>
      <w:r>
        <w:t>2016</w:t>
      </w:r>
      <w:r>
        <w:rPr>
          <w:rFonts w:hint="eastAsia"/>
        </w:rPr>
        <w:t xml:space="preserve"> 食品安全国家标准  食品微生物学检验  金黄色葡萄球菌检验</w:t>
      </w:r>
    </w:p>
    <w:p w14:paraId="7CBE3F6E">
      <w:pPr>
        <w:pStyle w:val="56"/>
        <w:spacing w:line="360" w:lineRule="auto"/>
        <w:ind w:firstLine="420"/>
      </w:pPr>
      <w:r>
        <w:t>GB/T 27405</w:t>
      </w:r>
      <w:r>
        <w:rPr>
          <w:rFonts w:hint="eastAsia"/>
        </w:rPr>
        <w:t>—</w:t>
      </w:r>
      <w:r>
        <w:t>2008</w:t>
      </w:r>
      <w:r>
        <w:rPr>
          <w:rFonts w:hint="eastAsia"/>
        </w:rPr>
        <w:t xml:space="preserve"> 实验室质量控制规范  食品微生物检测</w:t>
      </w:r>
    </w:p>
    <w:p w14:paraId="51F02A4E">
      <w:pPr>
        <w:pStyle w:val="104"/>
        <w:spacing w:before="240" w:after="240" w:line="360" w:lineRule="auto"/>
      </w:pPr>
      <w:bookmarkStart w:id="48" w:name="_Toc207626830"/>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6551AC6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食品微生物检测 food microorganism detection</w:t>
      </w:r>
    </w:p>
    <w:p w14:paraId="7D6ACD2F">
      <w:pPr>
        <w:pStyle w:val="56"/>
        <w:spacing w:line="360" w:lineRule="auto"/>
        <w:ind w:firstLine="420"/>
      </w:pPr>
      <w:r>
        <w:rPr>
          <w:rFonts w:hint="eastAsia"/>
        </w:rPr>
        <w:t>采用培养、分子生物学或免疫学等方法，对食品样品中致病菌、指示菌及其他微生物进行定性或定量检测的过程。</w:t>
      </w:r>
    </w:p>
    <w:p w14:paraId="2E949C5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自动化检测系统 automated detection system</w:t>
      </w:r>
    </w:p>
    <w:p w14:paraId="20E5AF5F">
      <w:pPr>
        <w:pStyle w:val="56"/>
        <w:spacing w:line="360" w:lineRule="auto"/>
        <w:ind w:firstLine="420"/>
      </w:pPr>
      <w:r>
        <w:rPr>
          <w:rFonts w:hint="eastAsia"/>
        </w:rPr>
        <w:t>通过机械化、信息化与智能化设备实现食品微生物检测全过程或部分环节自动化运行的系统，包括样品前处理、核酸提取、扩增分析及结果判读等。</w:t>
      </w:r>
    </w:p>
    <w:p w14:paraId="5513E1E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灵敏度 sensitivity</w:t>
      </w:r>
    </w:p>
    <w:p w14:paraId="1174AC25">
      <w:pPr>
        <w:pStyle w:val="56"/>
        <w:spacing w:line="360" w:lineRule="auto"/>
        <w:ind w:firstLine="420"/>
      </w:pPr>
      <w:r>
        <w:rPr>
          <w:rFonts w:hint="eastAsia"/>
        </w:rPr>
        <w:t>检测系统在规定条件下，对食品中微生物进行检出时的最低检出限度。</w:t>
      </w:r>
    </w:p>
    <w:p w14:paraId="50D2641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特异性 specificity</w:t>
      </w:r>
    </w:p>
    <w:p w14:paraId="48F78BFF">
      <w:pPr>
        <w:pStyle w:val="56"/>
        <w:spacing w:line="360" w:lineRule="auto"/>
        <w:ind w:firstLine="420"/>
      </w:pPr>
      <w:r>
        <w:rPr>
          <w:rFonts w:hint="eastAsia"/>
        </w:rPr>
        <w:t>检测系统区分目标微生物与非目标微生物的能力，避免产生假阳性或假阴性结果。</w:t>
      </w:r>
    </w:p>
    <w:p w14:paraId="525D491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质量控制 quality control</w:t>
      </w:r>
    </w:p>
    <w:p w14:paraId="7D90BF10">
      <w:pPr>
        <w:pStyle w:val="56"/>
        <w:spacing w:line="360" w:lineRule="auto"/>
        <w:ind w:firstLine="420"/>
      </w:pPr>
      <w:r>
        <w:rPr>
          <w:rFonts w:hint="eastAsia"/>
        </w:rPr>
        <w:t>为保证检测过程的科学性、准确性和可靠性，对实验室检测设备、方法、人员和数据进行全过程管理与监督的活动。</w:t>
      </w:r>
    </w:p>
    <w:p w14:paraId="2CC0383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可追溯性 traceability</w:t>
      </w:r>
    </w:p>
    <w:p w14:paraId="11ED0D72">
      <w:pPr>
        <w:pStyle w:val="56"/>
        <w:spacing w:line="360" w:lineRule="auto"/>
        <w:ind w:firstLine="420"/>
      </w:pPr>
      <w:r>
        <w:rPr>
          <w:rFonts w:hint="eastAsia"/>
        </w:rPr>
        <w:t>检测数据及结果能够通过记录和档案管理，追溯至样品来源、操作环节和设备状态的能力。</w:t>
      </w:r>
    </w:p>
    <w:p w14:paraId="4D19FA02">
      <w:pPr>
        <w:pStyle w:val="104"/>
        <w:spacing w:before="240" w:after="240" w:line="360" w:lineRule="auto"/>
      </w:pPr>
      <w:bookmarkStart w:id="51" w:name="_Toc207626831"/>
      <w:r>
        <w:rPr>
          <w:rFonts w:hint="eastAsia"/>
        </w:rPr>
        <w:t>总体原则</w:t>
      </w:r>
      <w:bookmarkEnd w:id="51"/>
    </w:p>
    <w:p w14:paraId="22E362BF">
      <w:pPr>
        <w:pStyle w:val="105"/>
        <w:spacing w:before="120" w:after="120" w:line="360" w:lineRule="auto"/>
      </w:pPr>
      <w:r>
        <w:rPr>
          <w:rFonts w:hint="eastAsia"/>
        </w:rPr>
        <w:t>科学性原则</w:t>
      </w:r>
    </w:p>
    <w:p w14:paraId="0B102CF9">
      <w:pPr>
        <w:pStyle w:val="56"/>
        <w:spacing w:line="360" w:lineRule="auto"/>
        <w:ind w:firstLine="420"/>
      </w:pPr>
      <w:r>
        <w:rPr>
          <w:rFonts w:hint="eastAsia"/>
        </w:rPr>
        <w:t>检测过程应以科学的方法和可靠的数据为基础，保证结果的准确性与可重复性。采用经过验证的方法和标准化试剂，避免实验条件不一致导致结果偏差。</w:t>
      </w:r>
    </w:p>
    <w:p w14:paraId="5FC810CB">
      <w:pPr>
        <w:pStyle w:val="105"/>
        <w:spacing w:before="120" w:after="120" w:line="360" w:lineRule="auto"/>
      </w:pPr>
      <w:r>
        <w:rPr>
          <w:rFonts w:hint="eastAsia"/>
        </w:rPr>
        <w:t>系统性原则</w:t>
      </w:r>
    </w:p>
    <w:p w14:paraId="04198BE4">
      <w:pPr>
        <w:pStyle w:val="56"/>
        <w:spacing w:line="360" w:lineRule="auto"/>
        <w:ind w:firstLine="420"/>
      </w:pPr>
      <w:r>
        <w:rPr>
          <w:rFonts w:hint="eastAsia"/>
        </w:rPr>
        <w:t>自动化检测应覆盖样品采集、前处理、扩增分析、结果判读及数据管理的全过程，实现全流程质量控制。在实验室建立样品接收、处理、检测、结果发布的全链条管理模式。</w:t>
      </w:r>
    </w:p>
    <w:p w14:paraId="3AD41315">
      <w:pPr>
        <w:pStyle w:val="105"/>
        <w:spacing w:before="120" w:after="120" w:line="360" w:lineRule="auto"/>
      </w:pPr>
      <w:r>
        <w:rPr>
          <w:rFonts w:hint="eastAsia"/>
        </w:rPr>
        <w:t>准确性与可靠性原则</w:t>
      </w:r>
    </w:p>
    <w:p w14:paraId="3FBE80B8">
      <w:pPr>
        <w:pStyle w:val="56"/>
        <w:spacing w:line="360" w:lineRule="auto"/>
        <w:ind w:firstLine="420"/>
      </w:pPr>
      <w:r>
        <w:rPr>
          <w:rFonts w:hint="eastAsia"/>
        </w:rPr>
        <w:t>检测系统应具备较高的灵敏度和特异性，避免假阳性或假阴性结果，确保食品安全风险的有效识别。使用阳性对照、阴性对照和质控样品进行全过程验证，定期评估系统性能。</w:t>
      </w:r>
    </w:p>
    <w:p w14:paraId="665B2DC7">
      <w:pPr>
        <w:pStyle w:val="105"/>
        <w:spacing w:before="120" w:after="120" w:line="360" w:lineRule="auto"/>
      </w:pPr>
      <w:r>
        <w:rPr>
          <w:rFonts w:hint="eastAsia"/>
        </w:rPr>
        <w:t>高效性原则</w:t>
      </w:r>
    </w:p>
    <w:p w14:paraId="15813A9F">
      <w:pPr>
        <w:pStyle w:val="56"/>
        <w:spacing w:line="360" w:lineRule="auto"/>
        <w:ind w:firstLine="420"/>
      </w:pPr>
      <w:r>
        <w:rPr>
          <w:rFonts w:hint="eastAsia"/>
        </w:rPr>
        <w:t>自动化检测应提升检测通量和效率，缩短检测周期，满足大规模样品快速检测需求。配备高通量自动化设备，实现批量样品平行检测，减少人工干预。</w:t>
      </w:r>
    </w:p>
    <w:p w14:paraId="7681EA3D">
      <w:pPr>
        <w:pStyle w:val="105"/>
        <w:spacing w:before="120" w:after="120" w:line="360" w:lineRule="auto"/>
      </w:pPr>
      <w:r>
        <w:rPr>
          <w:rFonts w:hint="eastAsia"/>
        </w:rPr>
        <w:t>信息化与可追溯性原则</w:t>
      </w:r>
    </w:p>
    <w:p w14:paraId="7B41D56E">
      <w:pPr>
        <w:pStyle w:val="56"/>
        <w:spacing w:line="360" w:lineRule="auto"/>
        <w:ind w:firstLine="420"/>
      </w:pPr>
      <w:r>
        <w:rPr>
          <w:rFonts w:hint="eastAsia"/>
        </w:rPr>
        <w:t>检测数据应实现数字化存储与管理，确保结果可追溯、可共享和可复查。建立电子档案管理系统，实现检测数据与样品编号、人员、设备的关联追溯。</w:t>
      </w:r>
    </w:p>
    <w:p w14:paraId="1D767039">
      <w:pPr>
        <w:pStyle w:val="105"/>
        <w:spacing w:before="120" w:after="120" w:line="360" w:lineRule="auto"/>
      </w:pPr>
      <w:r>
        <w:rPr>
          <w:rFonts w:hint="eastAsia"/>
        </w:rPr>
        <w:t>安全与环保原则</w:t>
      </w:r>
    </w:p>
    <w:p w14:paraId="4E298868">
      <w:pPr>
        <w:pStyle w:val="56"/>
        <w:spacing w:line="360" w:lineRule="auto"/>
        <w:ind w:firstLine="420"/>
      </w:pPr>
      <w:r>
        <w:rPr>
          <w:rFonts w:hint="eastAsia"/>
        </w:rPr>
        <w:t>检测系统在运行过程中应保障实验人员安全，减少有害物质排放，实现绿色检测。配置生物安全柜与废弃物处理装置，推广节能环保型检测设备。</w:t>
      </w:r>
    </w:p>
    <w:p w14:paraId="767D589F">
      <w:pPr>
        <w:pStyle w:val="104"/>
        <w:spacing w:before="240" w:after="240" w:line="360" w:lineRule="auto"/>
      </w:pPr>
      <w:bookmarkStart w:id="52" w:name="_Toc207626832"/>
      <w:r>
        <w:rPr>
          <w:rFonts w:hint="eastAsia"/>
        </w:rPr>
        <w:t>技术要求</w:t>
      </w:r>
      <w:bookmarkEnd w:id="52"/>
    </w:p>
    <w:p w14:paraId="797C39A5">
      <w:pPr>
        <w:pStyle w:val="105"/>
        <w:spacing w:before="120" w:after="120" w:line="360" w:lineRule="auto"/>
      </w:pPr>
      <w:r>
        <w:rPr>
          <w:rFonts w:hint="eastAsia"/>
        </w:rPr>
        <w:t>设备要求</w:t>
      </w:r>
    </w:p>
    <w:p w14:paraId="2DEFF392">
      <w:pPr>
        <w:pStyle w:val="56"/>
        <w:spacing w:line="360" w:lineRule="auto"/>
        <w:ind w:firstLine="420"/>
      </w:pPr>
      <w:r>
        <w:rPr>
          <w:rFonts w:hint="eastAsia"/>
        </w:rPr>
        <w:t>自动化检测设备是保证检测效率与结果准确性的核心，应具备标准化、模块化和智能化特征。不同设备应在功能上互补，构成完整的检测链条。常用设备及其主要功能见表1。</w:t>
      </w:r>
    </w:p>
    <w:p w14:paraId="2A62EE40">
      <w:pPr>
        <w:pStyle w:val="112"/>
        <w:spacing w:before="120" w:after="120" w:line="360" w:lineRule="auto"/>
      </w:pPr>
      <w:r>
        <w:rPr>
          <w:rFonts w:hint="eastAsia"/>
        </w:rPr>
        <w:t>食品微生物自动化检测常用设备及主要功能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2693"/>
        <w:gridCol w:w="2757"/>
        <w:gridCol w:w="2334"/>
      </w:tblGrid>
      <w:tr w14:paraId="2FFE2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vAlign w:val="center"/>
          </w:tcPr>
          <w:p w14:paraId="1F20BCFF">
            <w:pPr>
              <w:pStyle w:val="178"/>
            </w:pPr>
            <w:r>
              <w:rPr>
                <w:rFonts w:hint="eastAsia"/>
              </w:rPr>
              <w:t>设备类别</w:t>
            </w:r>
          </w:p>
        </w:tc>
        <w:tc>
          <w:tcPr>
            <w:tcW w:w="2693" w:type="dxa"/>
            <w:tcBorders>
              <w:top w:val="single" w:color="auto" w:sz="8" w:space="0"/>
              <w:bottom w:val="single" w:color="auto" w:sz="8" w:space="0"/>
            </w:tcBorders>
            <w:vAlign w:val="center"/>
          </w:tcPr>
          <w:p w14:paraId="45FF3404">
            <w:pPr>
              <w:pStyle w:val="178"/>
            </w:pPr>
            <w:r>
              <w:rPr>
                <w:rFonts w:hint="eastAsia"/>
              </w:rPr>
              <w:t>主要设备</w:t>
            </w:r>
          </w:p>
        </w:tc>
        <w:tc>
          <w:tcPr>
            <w:tcW w:w="2757" w:type="dxa"/>
            <w:tcBorders>
              <w:top w:val="single" w:color="auto" w:sz="8" w:space="0"/>
              <w:bottom w:val="single" w:color="auto" w:sz="8" w:space="0"/>
            </w:tcBorders>
            <w:vAlign w:val="center"/>
          </w:tcPr>
          <w:p w14:paraId="6A7B4BD3">
            <w:pPr>
              <w:pStyle w:val="178"/>
            </w:pPr>
            <w:r>
              <w:rPr>
                <w:rFonts w:hint="eastAsia"/>
              </w:rPr>
              <w:t>主要功能</w:t>
            </w:r>
          </w:p>
        </w:tc>
        <w:tc>
          <w:tcPr>
            <w:tcW w:w="2334" w:type="dxa"/>
            <w:tcBorders>
              <w:top w:val="single" w:color="auto" w:sz="8" w:space="0"/>
              <w:bottom w:val="single" w:color="auto" w:sz="8" w:space="0"/>
            </w:tcBorders>
            <w:vAlign w:val="center"/>
          </w:tcPr>
          <w:p w14:paraId="1718DDB5">
            <w:pPr>
              <w:pStyle w:val="178"/>
            </w:pPr>
            <w:r>
              <w:rPr>
                <w:rFonts w:hint="eastAsia"/>
              </w:rPr>
              <w:t>技术要点</w:t>
            </w:r>
          </w:p>
        </w:tc>
      </w:tr>
      <w:tr w14:paraId="72202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vAlign w:val="center"/>
          </w:tcPr>
          <w:p w14:paraId="44FD990B">
            <w:pPr>
              <w:pStyle w:val="178"/>
            </w:pPr>
            <w:r>
              <w:rPr>
                <w:rFonts w:hint="eastAsia"/>
              </w:rPr>
              <w:t>样品前处理设备</w:t>
            </w:r>
          </w:p>
        </w:tc>
        <w:tc>
          <w:tcPr>
            <w:tcW w:w="2693" w:type="dxa"/>
            <w:tcBorders>
              <w:top w:val="single" w:color="auto" w:sz="8" w:space="0"/>
            </w:tcBorders>
            <w:vAlign w:val="center"/>
          </w:tcPr>
          <w:p w14:paraId="4FE50879">
            <w:pPr>
              <w:pStyle w:val="178"/>
            </w:pPr>
            <w:r>
              <w:rPr>
                <w:rFonts w:hint="eastAsia"/>
              </w:rPr>
              <w:t>自动均质器、自动分液系统</w:t>
            </w:r>
          </w:p>
        </w:tc>
        <w:tc>
          <w:tcPr>
            <w:tcW w:w="2757" w:type="dxa"/>
            <w:tcBorders>
              <w:top w:val="single" w:color="auto" w:sz="8" w:space="0"/>
            </w:tcBorders>
            <w:vAlign w:val="center"/>
          </w:tcPr>
          <w:p w14:paraId="2082DCC1">
            <w:pPr>
              <w:pStyle w:val="178"/>
            </w:pPr>
            <w:r>
              <w:rPr>
                <w:rFonts w:hint="eastAsia"/>
              </w:rPr>
              <w:t>样品均质、稀释与分装，减少人工误差</w:t>
            </w:r>
          </w:p>
        </w:tc>
        <w:tc>
          <w:tcPr>
            <w:tcW w:w="2334" w:type="dxa"/>
            <w:tcBorders>
              <w:top w:val="single" w:color="auto" w:sz="8" w:space="0"/>
            </w:tcBorders>
            <w:vAlign w:val="center"/>
          </w:tcPr>
          <w:p w14:paraId="575BA6F0">
            <w:pPr>
              <w:pStyle w:val="178"/>
            </w:pPr>
            <w:r>
              <w:rPr>
                <w:rFonts w:hint="eastAsia"/>
              </w:rPr>
              <w:t>应具备一次性耗材接口，避免交叉污染</w:t>
            </w:r>
          </w:p>
        </w:tc>
      </w:tr>
      <w:tr w14:paraId="71CFF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55D19B86">
            <w:pPr>
              <w:pStyle w:val="178"/>
            </w:pPr>
            <w:r>
              <w:rPr>
                <w:rFonts w:hint="eastAsia"/>
              </w:rPr>
              <w:t>核酸提取设备</w:t>
            </w:r>
          </w:p>
        </w:tc>
        <w:tc>
          <w:tcPr>
            <w:tcW w:w="2693" w:type="dxa"/>
            <w:vAlign w:val="center"/>
          </w:tcPr>
          <w:p w14:paraId="654847B5">
            <w:pPr>
              <w:pStyle w:val="178"/>
            </w:pPr>
            <w:r>
              <w:rPr>
                <w:rFonts w:hint="eastAsia"/>
              </w:rPr>
              <w:t>全自动核酸提取仪</w:t>
            </w:r>
          </w:p>
        </w:tc>
        <w:tc>
          <w:tcPr>
            <w:tcW w:w="2757" w:type="dxa"/>
            <w:vAlign w:val="center"/>
          </w:tcPr>
          <w:p w14:paraId="20F3D767">
            <w:pPr>
              <w:pStyle w:val="178"/>
            </w:pPr>
            <w:r>
              <w:rPr>
                <w:rFonts w:hint="eastAsia"/>
              </w:rPr>
              <w:t>核酸分离与纯化，提高提取效率</w:t>
            </w:r>
          </w:p>
        </w:tc>
        <w:tc>
          <w:tcPr>
            <w:tcW w:w="2334" w:type="dxa"/>
            <w:vAlign w:val="center"/>
          </w:tcPr>
          <w:p w14:paraId="459B4C6E">
            <w:pPr>
              <w:pStyle w:val="178"/>
            </w:pPr>
            <w:r>
              <w:rPr>
                <w:rFonts w:hint="eastAsia"/>
              </w:rPr>
              <w:t>应支持多通道并行处理，保证通量</w:t>
            </w:r>
          </w:p>
        </w:tc>
      </w:tr>
      <w:tr w14:paraId="07451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51A17576">
            <w:pPr>
              <w:pStyle w:val="178"/>
            </w:pPr>
            <w:r>
              <w:rPr>
                <w:rFonts w:hint="eastAsia"/>
              </w:rPr>
              <w:t>扩增分析设备</w:t>
            </w:r>
          </w:p>
        </w:tc>
        <w:tc>
          <w:tcPr>
            <w:tcW w:w="2693" w:type="dxa"/>
            <w:vAlign w:val="center"/>
          </w:tcPr>
          <w:p w14:paraId="3A24207C">
            <w:pPr>
              <w:pStyle w:val="178"/>
            </w:pPr>
            <w:r>
              <w:rPr>
                <w:rFonts w:hint="eastAsia"/>
              </w:rPr>
              <w:t>实时荧光定量PCR仪、恒温扩增仪</w:t>
            </w:r>
          </w:p>
        </w:tc>
        <w:tc>
          <w:tcPr>
            <w:tcW w:w="2757" w:type="dxa"/>
            <w:vAlign w:val="center"/>
          </w:tcPr>
          <w:p w14:paraId="16FF0F1D">
            <w:pPr>
              <w:pStyle w:val="178"/>
            </w:pPr>
            <w:r>
              <w:rPr>
                <w:rFonts w:hint="eastAsia"/>
              </w:rPr>
              <w:t>对目标微生物核酸进行扩增检测</w:t>
            </w:r>
          </w:p>
        </w:tc>
        <w:tc>
          <w:tcPr>
            <w:tcW w:w="2334" w:type="dxa"/>
            <w:vAlign w:val="center"/>
          </w:tcPr>
          <w:p w14:paraId="51F38BBF">
            <w:pPr>
              <w:pStyle w:val="178"/>
            </w:pPr>
            <w:r>
              <w:rPr>
                <w:rFonts w:hint="eastAsia"/>
              </w:rPr>
              <w:t>灵敏度不低于 10² CFU/mL，结果自动输出</w:t>
            </w:r>
          </w:p>
        </w:tc>
      </w:tr>
      <w:tr w14:paraId="7CB04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7FC7CEA3">
            <w:pPr>
              <w:pStyle w:val="178"/>
            </w:pPr>
            <w:r>
              <w:rPr>
                <w:rFonts w:hint="eastAsia"/>
              </w:rPr>
              <w:t>检测辅助设备</w:t>
            </w:r>
          </w:p>
        </w:tc>
        <w:tc>
          <w:tcPr>
            <w:tcW w:w="2693" w:type="dxa"/>
            <w:vAlign w:val="center"/>
          </w:tcPr>
          <w:p w14:paraId="2F4F5121">
            <w:pPr>
              <w:pStyle w:val="178"/>
            </w:pPr>
            <w:r>
              <w:rPr>
                <w:rFonts w:hint="eastAsia"/>
              </w:rPr>
              <w:t>液体工作站、自动移液器</w:t>
            </w:r>
          </w:p>
        </w:tc>
        <w:tc>
          <w:tcPr>
            <w:tcW w:w="2757" w:type="dxa"/>
            <w:vAlign w:val="center"/>
          </w:tcPr>
          <w:p w14:paraId="10E83A08">
            <w:pPr>
              <w:pStyle w:val="178"/>
            </w:pPr>
            <w:r>
              <w:rPr>
                <w:rFonts w:hint="eastAsia"/>
              </w:rPr>
              <w:t>自动移液与试剂分配，提升检测精度与通量</w:t>
            </w:r>
          </w:p>
        </w:tc>
        <w:tc>
          <w:tcPr>
            <w:tcW w:w="2334" w:type="dxa"/>
            <w:vAlign w:val="center"/>
          </w:tcPr>
          <w:p w14:paraId="3806EC9E">
            <w:pPr>
              <w:pStyle w:val="178"/>
            </w:pPr>
            <w:r>
              <w:rPr>
                <w:rFonts w:hint="eastAsia"/>
              </w:rPr>
              <w:t>支持可编程操作，兼容多种试剂盒</w:t>
            </w:r>
          </w:p>
        </w:tc>
      </w:tr>
      <w:tr w14:paraId="758111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50" w:type="dxa"/>
            <w:tcBorders>
              <w:bottom w:val="single" w:color="auto" w:sz="8" w:space="0"/>
            </w:tcBorders>
            <w:vAlign w:val="center"/>
          </w:tcPr>
          <w:p w14:paraId="129CFAFD">
            <w:pPr>
              <w:pStyle w:val="178"/>
            </w:pPr>
            <w:r>
              <w:rPr>
                <w:rFonts w:hint="eastAsia"/>
              </w:rPr>
              <w:t>数据处理系统</w:t>
            </w:r>
          </w:p>
        </w:tc>
        <w:tc>
          <w:tcPr>
            <w:tcW w:w="2693" w:type="dxa"/>
            <w:tcBorders>
              <w:bottom w:val="single" w:color="auto" w:sz="8" w:space="0"/>
            </w:tcBorders>
            <w:vAlign w:val="center"/>
          </w:tcPr>
          <w:p w14:paraId="2B5575AE">
            <w:pPr>
              <w:pStyle w:val="178"/>
            </w:pPr>
            <w:r>
              <w:rPr>
                <w:rFonts w:hint="eastAsia"/>
              </w:rPr>
              <w:t>分析软件、数据库管理平台</w:t>
            </w:r>
          </w:p>
        </w:tc>
        <w:tc>
          <w:tcPr>
            <w:tcW w:w="2757" w:type="dxa"/>
            <w:tcBorders>
              <w:bottom w:val="single" w:color="auto" w:sz="8" w:space="0"/>
            </w:tcBorders>
            <w:vAlign w:val="center"/>
          </w:tcPr>
          <w:p w14:paraId="08906FC7">
            <w:pPr>
              <w:pStyle w:val="178"/>
            </w:pPr>
            <w:r>
              <w:rPr>
                <w:rFonts w:hint="eastAsia"/>
              </w:rPr>
              <w:t>自动判读结果，存储数据并实现追溯管理</w:t>
            </w:r>
          </w:p>
        </w:tc>
        <w:tc>
          <w:tcPr>
            <w:tcW w:w="2334" w:type="dxa"/>
            <w:tcBorders>
              <w:bottom w:val="single" w:color="auto" w:sz="8" w:space="0"/>
            </w:tcBorders>
            <w:vAlign w:val="center"/>
          </w:tcPr>
          <w:p w14:paraId="281CD76C">
            <w:pPr>
              <w:pStyle w:val="178"/>
            </w:pPr>
            <w:r>
              <w:rPr>
                <w:rFonts w:hint="eastAsia"/>
              </w:rPr>
              <w:t>应具备数据加密与可追溯性，支持远程共享</w:t>
            </w:r>
          </w:p>
        </w:tc>
      </w:tr>
      <w:tr w14:paraId="11AF1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top w:val="single" w:color="auto" w:sz="8" w:space="0"/>
              <w:bottom w:val="single" w:color="auto" w:sz="8" w:space="0"/>
            </w:tcBorders>
          </w:tcPr>
          <w:p w14:paraId="389DB671">
            <w:pPr>
              <w:pStyle w:val="180"/>
            </w:pPr>
            <w:r>
              <w:rPr>
                <w:rFonts w:hint="eastAsia"/>
              </w:rPr>
              <w:t>自动化设备在使用前应通过国家或行业认可的性能验证。</w:t>
            </w:r>
          </w:p>
          <w:p w14:paraId="0ED11FC5">
            <w:pPr>
              <w:pStyle w:val="180"/>
            </w:pPr>
            <w:r>
              <w:rPr>
                <w:rFonts w:hint="eastAsia"/>
              </w:rPr>
              <w:t>应具备故障自检功能，出现异常时能够自动报警。</w:t>
            </w:r>
          </w:p>
          <w:p w14:paraId="7F4192F1">
            <w:pPr>
              <w:pStyle w:val="180"/>
            </w:pPr>
            <w:r>
              <w:rPr>
                <w:rFonts w:hint="eastAsia"/>
              </w:rPr>
              <w:t>关键设备应具备冗余配置，确保检测不中断。</w:t>
            </w:r>
          </w:p>
        </w:tc>
      </w:tr>
    </w:tbl>
    <w:p w14:paraId="1B5E7CA1">
      <w:pPr>
        <w:pStyle w:val="105"/>
        <w:spacing w:before="120" w:after="120" w:line="360" w:lineRule="auto"/>
      </w:pPr>
      <w:r>
        <w:rPr>
          <w:rFonts w:hint="eastAsia"/>
        </w:rPr>
        <w:t>操作流程</w:t>
      </w:r>
    </w:p>
    <w:p w14:paraId="54310971">
      <w:pPr>
        <w:pStyle w:val="56"/>
        <w:spacing w:line="360" w:lineRule="auto"/>
        <w:ind w:firstLine="420"/>
      </w:pPr>
      <w:r>
        <w:rPr>
          <w:rFonts w:hint="eastAsia"/>
        </w:rPr>
        <w:t>自动化检测流程应保持标准化与一致性，避免因不同人员或批次差异造成检测结果偏差。主要流程包括：</w:t>
      </w:r>
    </w:p>
    <w:p w14:paraId="6925AF59">
      <w:pPr>
        <w:pStyle w:val="132"/>
        <w:spacing w:line="360" w:lineRule="auto"/>
      </w:pPr>
      <w:r>
        <w:rPr>
          <w:rFonts w:hint="eastAsia"/>
        </w:rPr>
        <w:t>样品接收与登记：建立样品编号与电子档案，保证可追溯性；</w:t>
      </w:r>
    </w:p>
    <w:p w14:paraId="4A3AECBD">
      <w:pPr>
        <w:pStyle w:val="132"/>
        <w:spacing w:line="360" w:lineRule="auto"/>
      </w:pPr>
      <w:r>
        <w:rPr>
          <w:rFonts w:hint="eastAsia"/>
        </w:rPr>
        <w:t>自动化前处理：包括样品均质、稀释、分液等操作，确保样品均一性；</w:t>
      </w:r>
    </w:p>
    <w:p w14:paraId="74ABAAAF">
      <w:pPr>
        <w:pStyle w:val="132"/>
        <w:spacing w:line="360" w:lineRule="auto"/>
      </w:pPr>
      <w:r>
        <w:rPr>
          <w:rFonts w:hint="eastAsia"/>
        </w:rPr>
        <w:t>核酸提取与纯化：使用自动化设备，避免交叉污染；</w:t>
      </w:r>
    </w:p>
    <w:p w14:paraId="75453467">
      <w:pPr>
        <w:pStyle w:val="132"/>
        <w:spacing w:line="360" w:lineRule="auto"/>
      </w:pPr>
      <w:r>
        <w:rPr>
          <w:rFonts w:hint="eastAsia"/>
        </w:rPr>
        <w:t>扩增与检测：采用实时荧光定量PCR或恒温扩增等方法，确保检测灵敏度与特异性；</w:t>
      </w:r>
    </w:p>
    <w:p w14:paraId="23061403">
      <w:pPr>
        <w:pStyle w:val="132"/>
        <w:spacing w:line="360" w:lineRule="auto"/>
      </w:pPr>
      <w:r>
        <w:rPr>
          <w:rFonts w:hint="eastAsia"/>
        </w:rPr>
        <w:t>结果分析与报告：通过软件自动判读并生成检测报告，减少人工干预。</w:t>
      </w:r>
    </w:p>
    <w:p w14:paraId="4D6733B5">
      <w:pPr>
        <w:pStyle w:val="105"/>
        <w:spacing w:before="120" w:after="120" w:line="360" w:lineRule="auto"/>
      </w:pPr>
      <w:r>
        <w:rPr>
          <w:rFonts w:hint="eastAsia"/>
        </w:rPr>
        <w:t>质量控制</w:t>
      </w:r>
    </w:p>
    <w:p w14:paraId="6A7E2233">
      <w:pPr>
        <w:pStyle w:val="56"/>
        <w:spacing w:line="360" w:lineRule="auto"/>
        <w:ind w:firstLine="420"/>
      </w:pPr>
      <w:r>
        <w:rPr>
          <w:rFonts w:hint="eastAsia"/>
        </w:rPr>
        <w:t>质量控制是确保检测结果准确可靠的核心环节，主要要求如下：</w:t>
      </w:r>
    </w:p>
    <w:p w14:paraId="1A8AEFF9">
      <w:pPr>
        <w:pStyle w:val="132"/>
        <w:spacing w:line="360" w:lineRule="auto"/>
      </w:pPr>
      <w:r>
        <w:rPr>
          <w:rFonts w:hint="eastAsia"/>
        </w:rPr>
        <w:t>内部质控：每批检测均应设置阳性对照、阴性对照和空白对照；</w:t>
      </w:r>
    </w:p>
    <w:p w14:paraId="24BAD076">
      <w:pPr>
        <w:pStyle w:val="132"/>
        <w:spacing w:line="360" w:lineRule="auto"/>
      </w:pPr>
      <w:r>
        <w:rPr>
          <w:rFonts w:hint="eastAsia"/>
        </w:rPr>
        <w:t>设备校准：自动化设备应定期校准与维护，保持性能稳定；</w:t>
      </w:r>
    </w:p>
    <w:p w14:paraId="6DC3FF69">
      <w:pPr>
        <w:pStyle w:val="132"/>
        <w:spacing w:line="360" w:lineRule="auto"/>
      </w:pPr>
      <w:r>
        <w:rPr>
          <w:rFonts w:hint="eastAsia"/>
        </w:rPr>
        <w:t>人员管理：操作人员需接受培训并持证上岗，确保对设备与软件熟练掌握；</w:t>
      </w:r>
    </w:p>
    <w:p w14:paraId="5748DCBD">
      <w:pPr>
        <w:pStyle w:val="132"/>
        <w:spacing w:line="360" w:lineRule="auto"/>
      </w:pPr>
      <w:r>
        <w:rPr>
          <w:rFonts w:hint="eastAsia"/>
        </w:rPr>
        <w:t>记录与追溯：所有检测步骤应自动生成电子记录，形成完整的追溯链条；</w:t>
      </w:r>
    </w:p>
    <w:p w14:paraId="0C099717">
      <w:pPr>
        <w:pStyle w:val="132"/>
        <w:spacing w:line="360" w:lineRule="auto"/>
      </w:pPr>
      <w:r>
        <w:rPr>
          <w:rFonts w:hint="eastAsia"/>
        </w:rPr>
        <w:t>外部质评：实验室应定期参加能力验证或第三方比对试验。</w:t>
      </w:r>
    </w:p>
    <w:p w14:paraId="4013BC35">
      <w:pPr>
        <w:pStyle w:val="104"/>
        <w:spacing w:before="240" w:after="240" w:line="360" w:lineRule="auto"/>
      </w:pPr>
      <w:bookmarkStart w:id="53" w:name="_Toc207626833"/>
      <w:r>
        <w:rPr>
          <w:rFonts w:hint="eastAsia"/>
        </w:rPr>
        <w:t>检测方法</w:t>
      </w:r>
      <w:bookmarkEnd w:id="53"/>
    </w:p>
    <w:p w14:paraId="499D067F">
      <w:pPr>
        <w:pStyle w:val="105"/>
        <w:spacing w:before="120" w:after="120" w:line="360" w:lineRule="auto"/>
      </w:pPr>
      <w:r>
        <w:rPr>
          <w:rFonts w:hint="eastAsia"/>
        </w:rPr>
        <w:t>样品接收与登记</w:t>
      </w:r>
    </w:p>
    <w:p w14:paraId="664C0B53">
      <w:pPr>
        <w:pStyle w:val="56"/>
        <w:spacing w:line="360" w:lineRule="auto"/>
        <w:ind w:firstLine="420"/>
      </w:pPr>
      <w:r>
        <w:rPr>
          <w:rFonts w:hint="eastAsia"/>
        </w:rPr>
        <w:t>样品接收与登记是自动化检测的起点，良好的样品管理可以避免混淆和错误，为后续检测提供可靠保障。具体要求如下：</w:t>
      </w:r>
    </w:p>
    <w:p w14:paraId="624504D4">
      <w:pPr>
        <w:pStyle w:val="56"/>
        <w:spacing w:line="360" w:lineRule="auto"/>
        <w:ind w:firstLine="420"/>
      </w:pPr>
      <w:r>
        <w:rPr>
          <w:rFonts w:hint="eastAsia"/>
        </w:rPr>
        <w:t>样品到达实验室后，应核对标签和申请单，确保信息一致；</w:t>
      </w:r>
    </w:p>
    <w:p w14:paraId="32E402C2">
      <w:pPr>
        <w:pStyle w:val="56"/>
        <w:spacing w:line="360" w:lineRule="auto"/>
        <w:ind w:firstLine="420"/>
      </w:pPr>
      <w:r>
        <w:rPr>
          <w:rFonts w:hint="eastAsia"/>
        </w:rPr>
        <w:t>每个样品应赋予唯一编号并录入实验室信息管理系统（LIMS）；</w:t>
      </w:r>
    </w:p>
    <w:p w14:paraId="76C2124C">
      <w:pPr>
        <w:pStyle w:val="56"/>
        <w:spacing w:line="360" w:lineRule="auto"/>
        <w:ind w:firstLine="420"/>
      </w:pPr>
      <w:r>
        <w:rPr>
          <w:rFonts w:hint="eastAsia"/>
        </w:rPr>
        <w:t>应建立样品档案，实现全流程的可追溯性。</w:t>
      </w:r>
    </w:p>
    <w:p w14:paraId="0689491F">
      <w:pPr>
        <w:pStyle w:val="105"/>
        <w:spacing w:before="120" w:after="120" w:line="360" w:lineRule="auto"/>
      </w:pPr>
      <w:r>
        <w:rPr>
          <w:rFonts w:hint="eastAsia"/>
        </w:rPr>
        <w:t>样品前处理</w:t>
      </w:r>
    </w:p>
    <w:p w14:paraId="786EBF3B">
      <w:pPr>
        <w:pStyle w:val="56"/>
        <w:spacing w:line="360" w:lineRule="auto"/>
        <w:ind w:firstLine="420"/>
      </w:pPr>
      <w:r>
        <w:rPr>
          <w:rFonts w:hint="eastAsia"/>
        </w:rPr>
        <w:t>样品前处理的质量直接影响检测结果的代表性和准确性。自动均质、分液和稀释设备能够减少人工差异，保证样品一致性。</w:t>
      </w:r>
    </w:p>
    <w:p w14:paraId="4BAB455A">
      <w:pPr>
        <w:pStyle w:val="56"/>
        <w:spacing w:line="360" w:lineRule="auto"/>
        <w:ind w:firstLine="420"/>
      </w:pPr>
      <w:r>
        <w:rPr>
          <w:rFonts w:hint="eastAsia"/>
        </w:rPr>
        <w:t>对于固体食品，应充分均质以保证微生物分布均一。液体食品应根据菌落浓度进行适度稀释。而高油脂、高纤维或特殊基质食品，则需要采用专用的预处理方案，以避免抑制物对后续检测造成干扰。</w:t>
      </w:r>
    </w:p>
    <w:p w14:paraId="3187D3F6">
      <w:pPr>
        <w:pStyle w:val="105"/>
        <w:spacing w:before="120" w:after="120" w:line="360" w:lineRule="auto"/>
      </w:pPr>
      <w:r>
        <w:rPr>
          <w:rFonts w:hint="eastAsia"/>
        </w:rPr>
        <w:t>核酸提取与纯化</w:t>
      </w:r>
    </w:p>
    <w:p w14:paraId="7407B0F1">
      <w:pPr>
        <w:pStyle w:val="56"/>
        <w:spacing w:line="360" w:lineRule="auto"/>
        <w:ind w:firstLine="420"/>
      </w:pPr>
      <w:r>
        <w:rPr>
          <w:rFonts w:hint="eastAsia"/>
        </w:rPr>
        <w:t>核酸提取是分子检测方法的核心环节，其质量直接决定检测灵敏度和特异性。为此，应采用全自动核酸提取设备，以减少人工操作和交叉污染。主要要求包括：</w:t>
      </w:r>
    </w:p>
    <w:p w14:paraId="5B430E23">
      <w:pPr>
        <w:pStyle w:val="132"/>
        <w:spacing w:line="360" w:lineRule="auto"/>
      </w:pPr>
      <w:r>
        <w:rPr>
          <w:rFonts w:hint="eastAsia"/>
        </w:rPr>
        <w:t>选择与食品样品类型相匹配的试剂盒，并定期进行性能验证；</w:t>
      </w:r>
    </w:p>
    <w:p w14:paraId="3E294DC3">
      <w:pPr>
        <w:pStyle w:val="132"/>
        <w:spacing w:line="360" w:lineRule="auto"/>
      </w:pPr>
      <w:r>
        <w:rPr>
          <w:rFonts w:hint="eastAsia"/>
        </w:rPr>
        <w:t>提取的核酸应纯度合格，避免蛋白质、多糖等抑制物影响扩增反应；</w:t>
      </w:r>
    </w:p>
    <w:p w14:paraId="785638E3">
      <w:pPr>
        <w:pStyle w:val="132"/>
        <w:spacing w:line="360" w:lineRule="auto"/>
      </w:pPr>
      <w:r>
        <w:rPr>
          <w:rFonts w:hint="eastAsia"/>
        </w:rPr>
        <w:t>对难处理样品，可通过增加预处理步骤或优化提取条件来提高核酸质量。</w:t>
      </w:r>
    </w:p>
    <w:p w14:paraId="600B0762">
      <w:pPr>
        <w:pStyle w:val="105"/>
        <w:spacing w:before="120" w:after="120" w:line="360" w:lineRule="auto"/>
      </w:pPr>
      <w:r>
        <w:rPr>
          <w:rFonts w:hint="eastAsia"/>
        </w:rPr>
        <w:t>扩增与分析</w:t>
      </w:r>
    </w:p>
    <w:p w14:paraId="516497EB">
      <w:pPr>
        <w:pStyle w:val="56"/>
        <w:spacing w:line="360" w:lineRule="auto"/>
        <w:ind w:firstLine="420"/>
      </w:pPr>
      <w:r>
        <w:rPr>
          <w:rFonts w:hint="eastAsia"/>
        </w:rPr>
        <w:t>扩增与分析环节决定了目标微生物是否能够被准确检出，是自动化检测的核心。自动化扩增设备应具备高灵敏度和高通量性能，适合批量样品的平行检测。</w:t>
      </w:r>
    </w:p>
    <w:p w14:paraId="1B24F9C6">
      <w:pPr>
        <w:pStyle w:val="56"/>
        <w:spacing w:line="360" w:lineRule="auto"/>
        <w:ind w:firstLine="420"/>
      </w:pPr>
      <w:r>
        <w:rPr>
          <w:rFonts w:hint="eastAsia"/>
        </w:rPr>
        <w:t>在操作中，应确保每次检测都配备阳性对照、阴性对照和空白对照，以保证结果的可靠性；扩增检测方法可采用实时荧光定量PCR、恒温扩增或微流控芯片技术，并应符合相关标准的性能要求。</w:t>
      </w:r>
    </w:p>
    <w:p w14:paraId="2A48BF7C">
      <w:pPr>
        <w:pStyle w:val="105"/>
        <w:spacing w:before="120" w:after="120" w:line="360" w:lineRule="auto"/>
      </w:pPr>
      <w:r>
        <w:rPr>
          <w:rFonts w:hint="eastAsia"/>
        </w:rPr>
        <w:t>结果判定与报告</w:t>
      </w:r>
    </w:p>
    <w:p w14:paraId="0600E651">
      <w:pPr>
        <w:pStyle w:val="56"/>
        <w:spacing w:line="360" w:lineRule="auto"/>
        <w:ind w:firstLine="420"/>
      </w:pPr>
      <w:r>
        <w:rPr>
          <w:rFonts w:hint="eastAsia"/>
        </w:rPr>
        <w:t>结果判定与报告是检测工作的最终输出环节，要求科学、规范和透明。结果分析应依托自动化数据处理软件完成，自动生成检测曲线和阈值判定。检测报告应包含样品编号、检测方法、结果判定和质控情况，并支持电子存档和与实验室信息管理系统（LIMS）的对接，以确保数据的长期保存和追溯。</w:t>
      </w:r>
    </w:p>
    <w:p w14:paraId="1EAC75E2">
      <w:pPr>
        <w:pStyle w:val="56"/>
        <w:spacing w:line="360" w:lineRule="auto"/>
        <w:ind w:firstLine="420"/>
      </w:pPr>
      <w:r>
        <w:rPr>
          <w:rFonts w:hint="eastAsia"/>
        </w:rPr>
        <w:t>为便于直观理解，食品微生物自动化检测的典型流程见表2。</w:t>
      </w:r>
    </w:p>
    <w:p w14:paraId="285226B2">
      <w:pPr>
        <w:pStyle w:val="112"/>
        <w:spacing w:before="120" w:after="120" w:line="360" w:lineRule="auto"/>
      </w:pPr>
      <w:r>
        <w:rPr>
          <w:rFonts w:hint="eastAsia"/>
        </w:rPr>
        <w:t>食品微生物自动化检测流程示意表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105"/>
        <w:gridCol w:w="3112"/>
      </w:tblGrid>
      <w:tr w14:paraId="5FFA9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4BD5C494">
            <w:pPr>
              <w:pStyle w:val="178"/>
            </w:pPr>
            <w:r>
              <w:rPr>
                <w:rFonts w:hint="eastAsia"/>
              </w:rPr>
              <w:t>流程环节</w:t>
            </w:r>
          </w:p>
        </w:tc>
        <w:tc>
          <w:tcPr>
            <w:tcW w:w="4105" w:type="dxa"/>
            <w:tcBorders>
              <w:top w:val="single" w:color="auto" w:sz="8" w:space="0"/>
              <w:bottom w:val="single" w:color="auto" w:sz="8" w:space="0"/>
            </w:tcBorders>
          </w:tcPr>
          <w:p w14:paraId="62E34A10">
            <w:pPr>
              <w:pStyle w:val="178"/>
            </w:pPr>
            <w:r>
              <w:rPr>
                <w:rFonts w:hint="eastAsia"/>
              </w:rPr>
              <w:t>主要操作内容</w:t>
            </w:r>
          </w:p>
        </w:tc>
        <w:tc>
          <w:tcPr>
            <w:tcW w:w="3112" w:type="dxa"/>
            <w:tcBorders>
              <w:top w:val="single" w:color="auto" w:sz="8" w:space="0"/>
              <w:bottom w:val="single" w:color="auto" w:sz="8" w:space="0"/>
            </w:tcBorders>
          </w:tcPr>
          <w:p w14:paraId="449D4205">
            <w:pPr>
              <w:pStyle w:val="178"/>
            </w:pPr>
            <w:r>
              <w:rPr>
                <w:rFonts w:hint="eastAsia"/>
              </w:rPr>
              <w:t>技术要点</w:t>
            </w:r>
          </w:p>
        </w:tc>
      </w:tr>
      <w:tr w14:paraId="3A9DA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2C77F4C3">
            <w:pPr>
              <w:pStyle w:val="178"/>
            </w:pPr>
            <w:r>
              <w:rPr>
                <w:rFonts w:hint="eastAsia"/>
              </w:rPr>
              <w:t>样品接收与登记</w:t>
            </w:r>
          </w:p>
        </w:tc>
        <w:tc>
          <w:tcPr>
            <w:tcW w:w="4105" w:type="dxa"/>
            <w:tcBorders>
              <w:top w:val="single" w:color="auto" w:sz="8" w:space="0"/>
            </w:tcBorders>
          </w:tcPr>
          <w:p w14:paraId="10F5B376">
            <w:pPr>
              <w:pStyle w:val="178"/>
            </w:pPr>
            <w:r>
              <w:rPr>
                <w:rFonts w:hint="eastAsia"/>
              </w:rPr>
              <w:t>样品核对、编码与信息录入</w:t>
            </w:r>
          </w:p>
        </w:tc>
        <w:tc>
          <w:tcPr>
            <w:tcW w:w="3112" w:type="dxa"/>
            <w:tcBorders>
              <w:top w:val="single" w:color="auto" w:sz="8" w:space="0"/>
            </w:tcBorders>
          </w:tcPr>
          <w:p w14:paraId="3CF26872">
            <w:pPr>
              <w:pStyle w:val="178"/>
            </w:pPr>
            <w:r>
              <w:rPr>
                <w:rFonts w:hint="eastAsia"/>
              </w:rPr>
              <w:t>建立唯一编号，实现全程追溯</w:t>
            </w:r>
          </w:p>
        </w:tc>
      </w:tr>
      <w:tr w14:paraId="5C28F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4D4A4447">
            <w:pPr>
              <w:pStyle w:val="178"/>
            </w:pPr>
            <w:r>
              <w:rPr>
                <w:rFonts w:hint="eastAsia"/>
              </w:rPr>
              <w:t>样品前处理</w:t>
            </w:r>
          </w:p>
        </w:tc>
        <w:tc>
          <w:tcPr>
            <w:tcW w:w="4105" w:type="dxa"/>
          </w:tcPr>
          <w:p w14:paraId="352A47E3">
            <w:pPr>
              <w:pStyle w:val="178"/>
            </w:pPr>
            <w:r>
              <w:rPr>
                <w:rFonts w:hint="eastAsia"/>
              </w:rPr>
              <w:t>样品均质、稀释、分液</w:t>
            </w:r>
          </w:p>
        </w:tc>
        <w:tc>
          <w:tcPr>
            <w:tcW w:w="3112" w:type="dxa"/>
          </w:tcPr>
          <w:p w14:paraId="32149F1D">
            <w:pPr>
              <w:pStyle w:val="178"/>
            </w:pPr>
            <w:r>
              <w:rPr>
                <w:rFonts w:hint="eastAsia"/>
              </w:rPr>
              <w:t>根据食品特性调整处理方式</w:t>
            </w:r>
          </w:p>
        </w:tc>
      </w:tr>
      <w:tr w14:paraId="51826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2AD5CFFD">
            <w:pPr>
              <w:pStyle w:val="178"/>
            </w:pPr>
            <w:r>
              <w:rPr>
                <w:rFonts w:hint="eastAsia"/>
              </w:rPr>
              <w:t>核酸提取与纯化</w:t>
            </w:r>
          </w:p>
        </w:tc>
        <w:tc>
          <w:tcPr>
            <w:tcW w:w="4105" w:type="dxa"/>
          </w:tcPr>
          <w:p w14:paraId="6798DE8C">
            <w:pPr>
              <w:pStyle w:val="178"/>
            </w:pPr>
            <w:r>
              <w:rPr>
                <w:rFonts w:hint="eastAsia"/>
              </w:rPr>
              <w:t>自动化分离与纯化核酸</w:t>
            </w:r>
          </w:p>
        </w:tc>
        <w:tc>
          <w:tcPr>
            <w:tcW w:w="3112" w:type="dxa"/>
          </w:tcPr>
          <w:p w14:paraId="6E9E7F31">
            <w:pPr>
              <w:pStyle w:val="178"/>
            </w:pPr>
            <w:r>
              <w:rPr>
                <w:rFonts w:hint="eastAsia"/>
              </w:rPr>
              <w:t>确保纯度与完整性，避免抑制物</w:t>
            </w:r>
          </w:p>
        </w:tc>
      </w:tr>
      <w:tr w14:paraId="7F694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13E6DC02">
            <w:pPr>
              <w:pStyle w:val="178"/>
            </w:pPr>
            <w:r>
              <w:rPr>
                <w:rFonts w:hint="eastAsia"/>
              </w:rPr>
              <w:t>扩增与检测</w:t>
            </w:r>
          </w:p>
        </w:tc>
        <w:tc>
          <w:tcPr>
            <w:tcW w:w="4105" w:type="dxa"/>
          </w:tcPr>
          <w:p w14:paraId="1A930502">
            <w:pPr>
              <w:pStyle w:val="178"/>
            </w:pPr>
            <w:r>
              <w:rPr>
                <w:rFonts w:hint="eastAsia"/>
              </w:rPr>
              <w:t>实时PCR、恒温扩增或芯片检测</w:t>
            </w:r>
          </w:p>
        </w:tc>
        <w:tc>
          <w:tcPr>
            <w:tcW w:w="3112" w:type="dxa"/>
          </w:tcPr>
          <w:p w14:paraId="1533CDC2">
            <w:pPr>
              <w:pStyle w:val="178"/>
            </w:pPr>
            <w:r>
              <w:rPr>
                <w:rFonts w:hint="eastAsia"/>
              </w:rPr>
              <w:t>设置对照，保证灵敏度与特异性</w:t>
            </w:r>
          </w:p>
        </w:tc>
      </w:tr>
      <w:tr w14:paraId="5D353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061C2BBC">
            <w:pPr>
              <w:pStyle w:val="178"/>
            </w:pPr>
            <w:r>
              <w:rPr>
                <w:rFonts w:hint="eastAsia"/>
              </w:rPr>
              <w:t>数据分析与报告</w:t>
            </w:r>
          </w:p>
        </w:tc>
        <w:tc>
          <w:tcPr>
            <w:tcW w:w="4105" w:type="dxa"/>
          </w:tcPr>
          <w:p w14:paraId="01C6885E">
            <w:pPr>
              <w:pStyle w:val="178"/>
            </w:pPr>
            <w:r>
              <w:rPr>
                <w:rFonts w:hint="eastAsia"/>
              </w:rPr>
              <w:t>软件自动判读并生成检测报告</w:t>
            </w:r>
          </w:p>
        </w:tc>
        <w:tc>
          <w:tcPr>
            <w:tcW w:w="3112" w:type="dxa"/>
          </w:tcPr>
          <w:p w14:paraId="386A330C">
            <w:pPr>
              <w:pStyle w:val="178"/>
            </w:pPr>
            <w:r>
              <w:rPr>
                <w:rFonts w:hint="eastAsia"/>
              </w:rPr>
              <w:t>支持电子存档和系统对接</w:t>
            </w:r>
          </w:p>
        </w:tc>
      </w:tr>
    </w:tbl>
    <w:p w14:paraId="30A4ED05">
      <w:pPr>
        <w:pStyle w:val="105"/>
        <w:spacing w:before="120" w:after="120" w:line="360" w:lineRule="auto"/>
      </w:pPr>
      <w:r>
        <w:rPr>
          <w:rFonts w:hint="eastAsia"/>
        </w:rPr>
        <w:t>方法验证与适用性</w:t>
      </w:r>
    </w:p>
    <w:p w14:paraId="10BB23BE">
      <w:pPr>
        <w:pStyle w:val="56"/>
        <w:spacing w:line="360" w:lineRule="auto"/>
        <w:ind w:firstLine="420"/>
      </w:pPr>
      <w:r>
        <w:rPr>
          <w:rFonts w:hint="eastAsia"/>
        </w:rPr>
        <w:t>自动化检测方法在投入实际应用前，必须通过验证以确认其性能符合要求。验证内容应包括灵敏度、特异性、重复性和稳定性，并与传统方法进行对比，确保结果可比。对于新型食品类别或特殊基质，还应开展专项验证，必要时调整检测流程，以确保方法的普适性和可靠性。</w:t>
      </w:r>
    </w:p>
    <w:p w14:paraId="5C901A82">
      <w:pPr>
        <w:pStyle w:val="104"/>
        <w:spacing w:before="240" w:after="240" w:line="360" w:lineRule="auto"/>
      </w:pPr>
      <w:bookmarkStart w:id="54" w:name="_Toc207626834"/>
      <w:r>
        <w:rPr>
          <w:rFonts w:hint="eastAsia"/>
        </w:rPr>
        <w:t>数据管理</w:t>
      </w:r>
      <w:bookmarkEnd w:id="54"/>
    </w:p>
    <w:p w14:paraId="0890890A">
      <w:pPr>
        <w:pStyle w:val="105"/>
        <w:spacing w:before="120" w:after="120" w:line="360" w:lineRule="auto"/>
      </w:pPr>
      <w:r>
        <w:rPr>
          <w:rFonts w:hint="eastAsia"/>
        </w:rPr>
        <w:t>总则</w:t>
      </w:r>
    </w:p>
    <w:p w14:paraId="2BE5ECDF">
      <w:pPr>
        <w:pStyle w:val="56"/>
        <w:spacing w:line="360" w:lineRule="auto"/>
        <w:ind w:firstLine="420"/>
      </w:pPr>
      <w:r>
        <w:rPr>
          <w:rFonts w:hint="eastAsia"/>
        </w:rPr>
        <w:t>食品微生物检测自动化不仅依赖先进设备和规范操作，还需要科学的数据管理体系作为支撑。通过完善的数据采集、存储、共享与安全保护机制，可以确保检测结果的可追溯性与权威性，并为监管与决策提供可靠依据。</w:t>
      </w:r>
    </w:p>
    <w:p w14:paraId="2EBCEF3E">
      <w:pPr>
        <w:pStyle w:val="56"/>
        <w:spacing w:line="360" w:lineRule="auto"/>
        <w:ind w:firstLine="420"/>
      </w:pPr>
      <w:r>
        <w:rPr>
          <w:rFonts w:hint="eastAsia"/>
        </w:rPr>
        <w:t>数据管理应遵循统一标准、集中存储、安全可靠和可追溯的原则。所有检测数据应实现电子化管理，并具备防篡改与备份功能。</w:t>
      </w:r>
    </w:p>
    <w:p w14:paraId="3BDDF5BC">
      <w:pPr>
        <w:pStyle w:val="105"/>
        <w:spacing w:before="120" w:after="120" w:line="360" w:lineRule="auto"/>
      </w:pPr>
      <w:r>
        <w:rPr>
          <w:rFonts w:hint="eastAsia"/>
        </w:rPr>
        <w:t>数据采集与存储</w:t>
      </w:r>
    </w:p>
    <w:p w14:paraId="369402F6">
      <w:pPr>
        <w:pStyle w:val="56"/>
        <w:spacing w:line="360" w:lineRule="auto"/>
        <w:ind w:firstLine="420"/>
      </w:pPr>
      <w:r>
        <w:rPr>
          <w:rFonts w:hint="eastAsia"/>
        </w:rPr>
        <w:t>自动化检测系统产生的大量数据需要科学采集和合理存储，以保证数据的完整性与可用性。主要要求包括：</w:t>
      </w:r>
    </w:p>
    <w:p w14:paraId="7A2ED93C">
      <w:pPr>
        <w:pStyle w:val="132"/>
        <w:spacing w:line="360" w:lineRule="auto"/>
      </w:pPr>
      <w:r>
        <w:rPr>
          <w:rFonts w:hint="eastAsia"/>
        </w:rPr>
        <w:t>原始检测数据应实时采集并自动上传至数据库；</w:t>
      </w:r>
    </w:p>
    <w:p w14:paraId="20234B1D">
      <w:pPr>
        <w:pStyle w:val="132"/>
        <w:spacing w:line="360" w:lineRule="auto"/>
      </w:pPr>
      <w:r>
        <w:rPr>
          <w:rFonts w:hint="eastAsia"/>
        </w:rPr>
        <w:t>数据存储应支持多格式文件（如曲线图、数值文件、检测报告）；</w:t>
      </w:r>
    </w:p>
    <w:p w14:paraId="398E2792">
      <w:pPr>
        <w:pStyle w:val="132"/>
        <w:spacing w:line="360" w:lineRule="auto"/>
      </w:pPr>
      <w:r>
        <w:rPr>
          <w:rFonts w:hint="eastAsia"/>
        </w:rPr>
        <w:t>应建立定期备份制度，避免因系统故障或人为误操作造成数据丢失。</w:t>
      </w:r>
    </w:p>
    <w:p w14:paraId="585756DC">
      <w:pPr>
        <w:pStyle w:val="105"/>
        <w:spacing w:before="120" w:after="120" w:line="360" w:lineRule="auto"/>
      </w:pPr>
      <w:r>
        <w:rPr>
          <w:rFonts w:hint="eastAsia"/>
        </w:rPr>
        <w:t>数据共享与应用</w:t>
      </w:r>
    </w:p>
    <w:p w14:paraId="4C779463">
      <w:pPr>
        <w:pStyle w:val="56"/>
        <w:spacing w:line="360" w:lineRule="auto"/>
        <w:ind w:firstLine="420"/>
      </w:pPr>
      <w:r>
        <w:rPr>
          <w:rFonts w:hint="eastAsia"/>
        </w:rPr>
        <w:t>检测数据不仅服务于实验室内部管理，还应为行业监管和企业决策提供支撑。数据共享需在确保安全的前提下逐步推进：</w:t>
      </w:r>
    </w:p>
    <w:p w14:paraId="4D5E82E3">
      <w:pPr>
        <w:pStyle w:val="132"/>
        <w:spacing w:line="360" w:lineRule="auto"/>
      </w:pPr>
      <w:r>
        <w:rPr>
          <w:rFonts w:hint="eastAsia"/>
        </w:rPr>
        <w:t>实验室应具备与监管系统或食品安全数据库对接的接口；</w:t>
      </w:r>
    </w:p>
    <w:p w14:paraId="75CADCC7">
      <w:pPr>
        <w:pStyle w:val="132"/>
        <w:spacing w:line="360" w:lineRule="auto"/>
      </w:pPr>
      <w:r>
        <w:rPr>
          <w:rFonts w:hint="eastAsia"/>
        </w:rPr>
        <w:t>经过授权的数据可在企业、检测机构与监管部门间共享；</w:t>
      </w:r>
    </w:p>
    <w:p w14:paraId="37E37306">
      <w:pPr>
        <w:pStyle w:val="132"/>
        <w:spacing w:line="360" w:lineRule="auto"/>
      </w:pPr>
      <w:r>
        <w:rPr>
          <w:rFonts w:hint="eastAsia"/>
        </w:rPr>
        <w:t>鼓励利用大数据分析方法，对检测数据进行趋势研判和风险预警。</w:t>
      </w:r>
    </w:p>
    <w:p w14:paraId="146D4EF8">
      <w:pPr>
        <w:pStyle w:val="105"/>
        <w:spacing w:before="120" w:after="120" w:line="360" w:lineRule="auto"/>
      </w:pPr>
      <w:r>
        <w:rPr>
          <w:rFonts w:hint="eastAsia"/>
        </w:rPr>
        <w:t>信息公开与透明</w:t>
      </w:r>
    </w:p>
    <w:p w14:paraId="516ABA3A">
      <w:pPr>
        <w:pStyle w:val="56"/>
        <w:spacing w:line="360" w:lineRule="auto"/>
        <w:ind w:firstLine="420"/>
      </w:pPr>
      <w:r>
        <w:rPr>
          <w:rFonts w:hint="eastAsia"/>
        </w:rPr>
        <w:t>食品安全检测涉及公共利益，适度的信息公开有助于增强社会信任。实验室可通过定期发布检测月报或年报的方式，向社会披露总体结果，但应避免泄露企业商业秘密或涉及隐私的信息。</w:t>
      </w:r>
    </w:p>
    <w:p w14:paraId="25040CA5">
      <w:pPr>
        <w:pStyle w:val="56"/>
        <w:spacing w:line="360" w:lineRule="auto"/>
        <w:ind w:firstLine="420"/>
      </w:pPr>
      <w:r>
        <w:rPr>
          <w:rFonts w:hint="eastAsia"/>
        </w:rPr>
        <w:t>常见的数据管理内容和要求见表3。</w:t>
      </w:r>
    </w:p>
    <w:p w14:paraId="37B62D27">
      <w:pPr>
        <w:pStyle w:val="112"/>
        <w:spacing w:before="120" w:after="120" w:line="360" w:lineRule="auto"/>
      </w:pPr>
      <w:r>
        <w:rPr>
          <w:rFonts w:hint="eastAsia"/>
        </w:rPr>
        <w:t>食品微生物检测数据管理要点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2975"/>
        <w:gridCol w:w="3121"/>
        <w:gridCol w:w="1547"/>
      </w:tblGrid>
      <w:tr w14:paraId="1A0AF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15B10009">
            <w:pPr>
              <w:pStyle w:val="178"/>
            </w:pPr>
            <w:r>
              <w:rPr>
                <w:rFonts w:hint="eastAsia"/>
              </w:rPr>
              <w:t>数据类别</w:t>
            </w:r>
          </w:p>
        </w:tc>
        <w:tc>
          <w:tcPr>
            <w:tcW w:w="2975" w:type="dxa"/>
            <w:tcBorders>
              <w:top w:val="single" w:color="auto" w:sz="8" w:space="0"/>
              <w:bottom w:val="single" w:color="auto" w:sz="8" w:space="0"/>
            </w:tcBorders>
          </w:tcPr>
          <w:p w14:paraId="425B1B22">
            <w:pPr>
              <w:pStyle w:val="178"/>
            </w:pPr>
            <w:r>
              <w:rPr>
                <w:rFonts w:hint="eastAsia"/>
              </w:rPr>
              <w:t>主要内容</w:t>
            </w:r>
          </w:p>
        </w:tc>
        <w:tc>
          <w:tcPr>
            <w:tcW w:w="3121" w:type="dxa"/>
            <w:tcBorders>
              <w:top w:val="single" w:color="auto" w:sz="8" w:space="0"/>
              <w:bottom w:val="single" w:color="auto" w:sz="8" w:space="0"/>
            </w:tcBorders>
          </w:tcPr>
          <w:p w14:paraId="3C2CB43B">
            <w:pPr>
              <w:pStyle w:val="178"/>
            </w:pPr>
            <w:r>
              <w:rPr>
                <w:rFonts w:hint="eastAsia"/>
              </w:rPr>
              <w:t>管理要求</w:t>
            </w:r>
          </w:p>
        </w:tc>
        <w:tc>
          <w:tcPr>
            <w:tcW w:w="1547" w:type="dxa"/>
            <w:tcBorders>
              <w:top w:val="single" w:color="auto" w:sz="8" w:space="0"/>
              <w:bottom w:val="single" w:color="auto" w:sz="8" w:space="0"/>
            </w:tcBorders>
          </w:tcPr>
          <w:p w14:paraId="068B451C">
            <w:pPr>
              <w:pStyle w:val="178"/>
            </w:pPr>
            <w:r>
              <w:rPr>
                <w:rFonts w:hint="eastAsia"/>
              </w:rPr>
              <w:t>保存期限</w:t>
            </w:r>
          </w:p>
        </w:tc>
      </w:tr>
      <w:tr w14:paraId="43DD9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3292DA43">
            <w:pPr>
              <w:pStyle w:val="178"/>
            </w:pPr>
            <w:r>
              <w:rPr>
                <w:rFonts w:hint="eastAsia"/>
              </w:rPr>
              <w:t>原始数据</w:t>
            </w:r>
          </w:p>
        </w:tc>
        <w:tc>
          <w:tcPr>
            <w:tcW w:w="2975" w:type="dxa"/>
            <w:tcBorders>
              <w:top w:val="single" w:color="auto" w:sz="8" w:space="0"/>
            </w:tcBorders>
          </w:tcPr>
          <w:p w14:paraId="46CC167A">
            <w:pPr>
              <w:pStyle w:val="178"/>
            </w:pPr>
            <w:r>
              <w:rPr>
                <w:rFonts w:hint="eastAsia"/>
              </w:rPr>
              <w:t>仪器检测曲线、扩增结果</w:t>
            </w:r>
          </w:p>
        </w:tc>
        <w:tc>
          <w:tcPr>
            <w:tcW w:w="3121" w:type="dxa"/>
            <w:tcBorders>
              <w:top w:val="single" w:color="auto" w:sz="8" w:space="0"/>
            </w:tcBorders>
          </w:tcPr>
          <w:p w14:paraId="1E8733DE">
            <w:pPr>
              <w:pStyle w:val="178"/>
            </w:pPr>
            <w:r>
              <w:rPr>
                <w:rFonts w:hint="eastAsia"/>
              </w:rPr>
              <w:t>自动保存，禁止人工修改</w:t>
            </w:r>
          </w:p>
        </w:tc>
        <w:tc>
          <w:tcPr>
            <w:tcW w:w="1547" w:type="dxa"/>
            <w:tcBorders>
              <w:top w:val="single" w:color="auto" w:sz="8" w:space="0"/>
            </w:tcBorders>
          </w:tcPr>
          <w:p w14:paraId="610461D2">
            <w:pPr>
              <w:pStyle w:val="178"/>
            </w:pPr>
            <w:r>
              <w:rPr>
                <w:rFonts w:hint="eastAsia"/>
              </w:rPr>
              <w:t>≥10年</w:t>
            </w:r>
          </w:p>
        </w:tc>
      </w:tr>
      <w:tr w14:paraId="01FF9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91" w:type="dxa"/>
          </w:tcPr>
          <w:p w14:paraId="2698DB50">
            <w:pPr>
              <w:pStyle w:val="178"/>
            </w:pPr>
            <w:r>
              <w:rPr>
                <w:rFonts w:hint="eastAsia"/>
              </w:rPr>
              <w:t>处理数据</w:t>
            </w:r>
          </w:p>
        </w:tc>
        <w:tc>
          <w:tcPr>
            <w:tcW w:w="2975" w:type="dxa"/>
          </w:tcPr>
          <w:p w14:paraId="512249BA">
            <w:pPr>
              <w:pStyle w:val="178"/>
            </w:pPr>
            <w:r>
              <w:rPr>
                <w:rFonts w:hint="eastAsia"/>
              </w:rPr>
              <w:t>检测值、判定结果、统计数据</w:t>
            </w:r>
          </w:p>
        </w:tc>
        <w:tc>
          <w:tcPr>
            <w:tcW w:w="3121" w:type="dxa"/>
          </w:tcPr>
          <w:p w14:paraId="2B735138">
            <w:pPr>
              <w:pStyle w:val="178"/>
            </w:pPr>
            <w:r>
              <w:rPr>
                <w:rFonts w:hint="eastAsia"/>
              </w:rPr>
              <w:t>建立版本控制，定期校核</w:t>
            </w:r>
          </w:p>
        </w:tc>
        <w:tc>
          <w:tcPr>
            <w:tcW w:w="1547" w:type="dxa"/>
          </w:tcPr>
          <w:p w14:paraId="5A1080DC">
            <w:pPr>
              <w:pStyle w:val="178"/>
            </w:pPr>
            <w:r>
              <w:rPr>
                <w:rFonts w:hint="eastAsia"/>
              </w:rPr>
              <w:t>≥5年</w:t>
            </w:r>
          </w:p>
        </w:tc>
      </w:tr>
      <w:tr w14:paraId="4CF5E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4C4E4DF">
            <w:pPr>
              <w:pStyle w:val="178"/>
            </w:pPr>
            <w:r>
              <w:rPr>
                <w:rFonts w:hint="eastAsia"/>
              </w:rPr>
              <w:t>报告数据</w:t>
            </w:r>
          </w:p>
        </w:tc>
        <w:tc>
          <w:tcPr>
            <w:tcW w:w="2975" w:type="dxa"/>
          </w:tcPr>
          <w:p w14:paraId="508D1E8C">
            <w:pPr>
              <w:pStyle w:val="178"/>
            </w:pPr>
            <w:r>
              <w:rPr>
                <w:rFonts w:hint="eastAsia"/>
              </w:rPr>
              <w:t>检测报告、质控记录</w:t>
            </w:r>
          </w:p>
        </w:tc>
        <w:tc>
          <w:tcPr>
            <w:tcW w:w="3121" w:type="dxa"/>
          </w:tcPr>
          <w:p w14:paraId="50D9C20A">
            <w:pPr>
              <w:pStyle w:val="178"/>
            </w:pPr>
            <w:r>
              <w:rPr>
                <w:rFonts w:hint="eastAsia"/>
              </w:rPr>
              <w:t>与样品编号对应，便于追溯</w:t>
            </w:r>
          </w:p>
        </w:tc>
        <w:tc>
          <w:tcPr>
            <w:tcW w:w="1547" w:type="dxa"/>
          </w:tcPr>
          <w:p w14:paraId="2F0431FC">
            <w:pPr>
              <w:pStyle w:val="178"/>
            </w:pPr>
            <w:r>
              <w:rPr>
                <w:rFonts w:hint="eastAsia"/>
              </w:rPr>
              <w:t>≥10年</w:t>
            </w:r>
          </w:p>
        </w:tc>
      </w:tr>
      <w:tr w14:paraId="2BD8D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11FD3B4">
            <w:pPr>
              <w:pStyle w:val="178"/>
            </w:pPr>
            <w:r>
              <w:rPr>
                <w:rFonts w:hint="eastAsia"/>
              </w:rPr>
              <w:t>共享数据</w:t>
            </w:r>
          </w:p>
        </w:tc>
        <w:tc>
          <w:tcPr>
            <w:tcW w:w="2975" w:type="dxa"/>
          </w:tcPr>
          <w:p w14:paraId="0D096CF9">
            <w:pPr>
              <w:pStyle w:val="178"/>
            </w:pPr>
            <w:r>
              <w:rPr>
                <w:rFonts w:hint="eastAsia"/>
              </w:rPr>
              <w:t>行业数据库、监管平台对接数据</w:t>
            </w:r>
          </w:p>
        </w:tc>
        <w:tc>
          <w:tcPr>
            <w:tcW w:w="3121" w:type="dxa"/>
          </w:tcPr>
          <w:p w14:paraId="3DA631FF">
            <w:pPr>
              <w:pStyle w:val="178"/>
            </w:pPr>
            <w:r>
              <w:rPr>
                <w:rFonts w:hint="eastAsia"/>
              </w:rPr>
              <w:t>需经授权并进行脱敏处理</w:t>
            </w:r>
          </w:p>
        </w:tc>
        <w:tc>
          <w:tcPr>
            <w:tcW w:w="1547" w:type="dxa"/>
          </w:tcPr>
          <w:p w14:paraId="0D5BD6A5">
            <w:pPr>
              <w:pStyle w:val="178"/>
            </w:pPr>
            <w:r>
              <w:rPr>
                <w:rFonts w:hint="eastAsia"/>
              </w:rPr>
              <w:t>按规定</w:t>
            </w:r>
          </w:p>
        </w:tc>
      </w:tr>
      <w:tr w14:paraId="105E0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bottom w:val="single" w:color="auto" w:sz="8" w:space="0"/>
            </w:tcBorders>
          </w:tcPr>
          <w:p w14:paraId="39B842DD">
            <w:pPr>
              <w:pStyle w:val="178"/>
            </w:pPr>
            <w:r>
              <w:rPr>
                <w:rFonts w:hint="eastAsia"/>
              </w:rPr>
              <w:t>管理数据</w:t>
            </w:r>
          </w:p>
        </w:tc>
        <w:tc>
          <w:tcPr>
            <w:tcW w:w="2975" w:type="dxa"/>
            <w:tcBorders>
              <w:bottom w:val="single" w:color="auto" w:sz="8" w:space="0"/>
            </w:tcBorders>
          </w:tcPr>
          <w:p w14:paraId="6CE9ED8D">
            <w:pPr>
              <w:pStyle w:val="178"/>
            </w:pPr>
            <w:r>
              <w:rPr>
                <w:rFonts w:hint="eastAsia"/>
              </w:rPr>
              <w:t>设备日志、操作记录、质控信息</w:t>
            </w:r>
          </w:p>
        </w:tc>
        <w:tc>
          <w:tcPr>
            <w:tcW w:w="3121" w:type="dxa"/>
            <w:tcBorders>
              <w:bottom w:val="single" w:color="auto" w:sz="8" w:space="0"/>
            </w:tcBorders>
          </w:tcPr>
          <w:p w14:paraId="654B2F2F">
            <w:pPr>
              <w:pStyle w:val="178"/>
            </w:pPr>
            <w:r>
              <w:rPr>
                <w:rFonts w:hint="eastAsia"/>
              </w:rPr>
              <w:t>与责任人关联，纳入档案管理</w:t>
            </w:r>
          </w:p>
        </w:tc>
        <w:tc>
          <w:tcPr>
            <w:tcW w:w="1547" w:type="dxa"/>
            <w:tcBorders>
              <w:bottom w:val="single" w:color="auto" w:sz="8" w:space="0"/>
            </w:tcBorders>
          </w:tcPr>
          <w:p w14:paraId="7C1EA0F8">
            <w:pPr>
              <w:pStyle w:val="178"/>
            </w:pPr>
            <w:r>
              <w:rPr>
                <w:rFonts w:hint="eastAsia"/>
              </w:rPr>
              <w:t>≥10年</w:t>
            </w:r>
          </w:p>
        </w:tc>
      </w:tr>
    </w:tbl>
    <w:p w14:paraId="15DFCA09">
      <w:pPr>
        <w:pStyle w:val="56"/>
        <w:spacing w:before="120" w:beforeLines="50" w:line="360" w:lineRule="auto"/>
        <w:ind w:firstLine="420"/>
      </w:pPr>
      <w:r>
        <w:rPr>
          <w:rFonts w:hint="eastAsia"/>
        </w:rPr>
        <w:t>该表可作为实验室建立数据管理制度的参考。通过数据分级管理，可以同时实现内部控制和外部共享的平衡。</w:t>
      </w:r>
    </w:p>
    <w:p w14:paraId="201A049B">
      <w:pPr>
        <w:pStyle w:val="105"/>
        <w:spacing w:before="120" w:after="120" w:line="360" w:lineRule="auto"/>
      </w:pPr>
      <w:r>
        <w:rPr>
          <w:rFonts w:hint="eastAsia"/>
        </w:rPr>
        <w:t>数据安全与隐私保护</w:t>
      </w:r>
    </w:p>
    <w:p w14:paraId="02EDB617">
      <w:pPr>
        <w:pStyle w:val="56"/>
        <w:spacing w:line="360" w:lineRule="auto"/>
        <w:ind w:firstLine="420"/>
      </w:pPr>
      <w:r>
        <w:rPr>
          <w:rFonts w:hint="eastAsia"/>
        </w:rPr>
        <w:t>数据安全是食品微生物检测自动化长期运行的前提。实验室应建立严格的权限控制体系，确保只有授权人员才能访问敏感数据。同时，所有数据传输应采用加密方式，防止外部攻击和信息泄露。在涉及社会共享时，应对企业信息和个人隐私进行脱敏处理，避免产生不必要的风险。</w:t>
      </w:r>
    </w:p>
    <w:p w14:paraId="096FC34F">
      <w:pPr>
        <w:pStyle w:val="104"/>
        <w:spacing w:before="240" w:after="240" w:line="360" w:lineRule="auto"/>
      </w:pPr>
      <w:bookmarkStart w:id="55" w:name="_Toc207626835"/>
      <w:r>
        <w:rPr>
          <w:rFonts w:hint="eastAsia"/>
        </w:rPr>
        <w:t>安全与环境要求</w:t>
      </w:r>
      <w:bookmarkEnd w:id="55"/>
    </w:p>
    <w:p w14:paraId="644A8BC6">
      <w:pPr>
        <w:pStyle w:val="105"/>
        <w:spacing w:before="120" w:after="120" w:line="360" w:lineRule="auto"/>
      </w:pPr>
      <w:r>
        <w:rPr>
          <w:rFonts w:hint="eastAsia"/>
        </w:rPr>
        <w:t>实验室安全</w:t>
      </w:r>
    </w:p>
    <w:p w14:paraId="483E2BAF">
      <w:pPr>
        <w:pStyle w:val="56"/>
        <w:spacing w:line="360" w:lineRule="auto"/>
        <w:ind w:firstLine="420"/>
      </w:pPr>
      <w:r>
        <w:rPr>
          <w:rFonts w:hint="eastAsia"/>
        </w:rPr>
        <w:t>实验室安全是检测工作的首要前提。检测人员在开展实验活动时，应严格遵循相关生物安全规范，并确保实验室硬件条件和操作流程满足安全要求：</w:t>
      </w:r>
    </w:p>
    <w:p w14:paraId="7767ACEB">
      <w:pPr>
        <w:pStyle w:val="132"/>
        <w:spacing w:line="360" w:lineRule="auto"/>
      </w:pPr>
      <w:r>
        <w:rPr>
          <w:rFonts w:hint="eastAsia"/>
        </w:rPr>
        <w:t>检测场所应分区设置，包括清洁区、操作区和污染区；</w:t>
      </w:r>
    </w:p>
    <w:p w14:paraId="438BD0A1">
      <w:pPr>
        <w:pStyle w:val="132"/>
        <w:spacing w:line="360" w:lineRule="auto"/>
      </w:pPr>
      <w:r>
        <w:rPr>
          <w:rFonts w:hint="eastAsia"/>
        </w:rPr>
        <w:t>样品前处理和核酸提取环节应在生物安全柜内进行；</w:t>
      </w:r>
    </w:p>
    <w:p w14:paraId="679597B1">
      <w:pPr>
        <w:pStyle w:val="132"/>
        <w:spacing w:line="360" w:lineRule="auto"/>
      </w:pPr>
      <w:r>
        <w:rPr>
          <w:rFonts w:hint="eastAsia"/>
        </w:rPr>
        <w:t>操作人员应配备防护服、手套、护目镜等个人防护用品；</w:t>
      </w:r>
    </w:p>
    <w:p w14:paraId="42295C3D">
      <w:pPr>
        <w:pStyle w:val="132"/>
        <w:spacing w:line="360" w:lineRule="auto"/>
      </w:pPr>
      <w:r>
        <w:rPr>
          <w:rFonts w:hint="eastAsia"/>
        </w:rPr>
        <w:t>应设置应急设施，如洗眼器、灭火器和急救箱，并定期维护。</w:t>
      </w:r>
    </w:p>
    <w:p w14:paraId="524EF443">
      <w:pPr>
        <w:pStyle w:val="105"/>
        <w:spacing w:before="120" w:after="120" w:line="360" w:lineRule="auto"/>
      </w:pPr>
      <w:r>
        <w:rPr>
          <w:rFonts w:hint="eastAsia"/>
        </w:rPr>
        <w:t>废弃物管理</w:t>
      </w:r>
    </w:p>
    <w:p w14:paraId="4EB45A81">
      <w:pPr>
        <w:pStyle w:val="56"/>
        <w:spacing w:line="360" w:lineRule="auto"/>
        <w:ind w:firstLine="420"/>
      </w:pPr>
      <w:r>
        <w:rPr>
          <w:rFonts w:hint="eastAsia"/>
        </w:rPr>
        <w:t>自动化检测中会产生废液、废耗材和污染物，如果未能规范管理，容易造成交叉污染和环境风险。因此，应对废弃物进行严格分类和科学处置，确保安全合规：</w:t>
      </w:r>
    </w:p>
    <w:p w14:paraId="53603A95">
      <w:pPr>
        <w:pStyle w:val="132"/>
        <w:spacing w:line="360" w:lineRule="auto"/>
      </w:pPr>
      <w:r>
        <w:rPr>
          <w:rFonts w:hint="eastAsia"/>
        </w:rPr>
        <w:t>样品残余、污染耗材应统一收集并高压灭菌后处理；</w:t>
      </w:r>
    </w:p>
    <w:p w14:paraId="765A6686">
      <w:pPr>
        <w:pStyle w:val="132"/>
        <w:spacing w:line="360" w:lineRule="auto"/>
      </w:pPr>
      <w:r>
        <w:rPr>
          <w:rFonts w:hint="eastAsia"/>
        </w:rPr>
        <w:t>有机溶剂、消毒剂等废液应分类收集，交由有资质单位处理；</w:t>
      </w:r>
    </w:p>
    <w:p w14:paraId="20316F5B">
      <w:pPr>
        <w:pStyle w:val="132"/>
        <w:spacing w:line="360" w:lineRule="auto"/>
      </w:pPr>
      <w:r>
        <w:rPr>
          <w:rFonts w:hint="eastAsia"/>
        </w:rPr>
        <w:t>建立废弃物台账，明确产生量、去向和处理方式。</w:t>
      </w:r>
    </w:p>
    <w:p w14:paraId="7514091A">
      <w:pPr>
        <w:pStyle w:val="105"/>
        <w:spacing w:before="120" w:after="120" w:line="360" w:lineRule="auto"/>
      </w:pPr>
      <w:r>
        <w:rPr>
          <w:rFonts w:hint="eastAsia"/>
        </w:rPr>
        <w:t>环境保护</w:t>
      </w:r>
    </w:p>
    <w:p w14:paraId="5C6B44E1">
      <w:pPr>
        <w:pStyle w:val="56"/>
        <w:spacing w:line="360" w:lineRule="auto"/>
        <w:ind w:firstLine="420"/>
      </w:pPr>
      <w:r>
        <w:rPr>
          <w:rFonts w:hint="eastAsia"/>
        </w:rPr>
        <w:t>检测实验室不仅是科研和检测的重要场所，也可能成为资源消耗和污染的源头。为实现绿色低碳运行，实验室在日常管理中应注重节能、降耗和可持续发展：</w:t>
      </w:r>
    </w:p>
    <w:p w14:paraId="66E2782E">
      <w:pPr>
        <w:pStyle w:val="132"/>
        <w:spacing w:line="360" w:lineRule="auto"/>
      </w:pPr>
      <w:r>
        <w:rPr>
          <w:rFonts w:hint="eastAsia"/>
        </w:rPr>
        <w:t>优先选用节能型设备，减少能源消耗；</w:t>
      </w:r>
    </w:p>
    <w:p w14:paraId="63687FB1">
      <w:pPr>
        <w:pStyle w:val="132"/>
        <w:spacing w:line="360" w:lineRule="auto"/>
      </w:pPr>
      <w:r>
        <w:rPr>
          <w:rFonts w:hint="eastAsia"/>
        </w:rPr>
        <w:t>合理控制用水、用电，推广节能照明与自动化管理系统；</w:t>
      </w:r>
    </w:p>
    <w:p w14:paraId="4876BF52">
      <w:pPr>
        <w:pStyle w:val="132"/>
        <w:spacing w:line="360" w:lineRule="auto"/>
      </w:pPr>
      <w:r>
        <w:rPr>
          <w:rFonts w:hint="eastAsia"/>
        </w:rPr>
        <w:t>推广使用可降解或可回收的实验耗材，减少环境负担。</w:t>
      </w:r>
    </w:p>
    <w:p w14:paraId="42276419">
      <w:pPr>
        <w:pStyle w:val="56"/>
        <w:spacing w:line="360" w:lineRule="auto"/>
        <w:ind w:firstLine="420"/>
      </w:pPr>
      <w:r>
        <w:rPr>
          <w:rFonts w:hint="eastAsia"/>
        </w:rPr>
        <w:t>为便于实验室在日常工作中落实相关措施，常见的安全与环保管理要点见表4。</w:t>
      </w:r>
    </w:p>
    <w:p w14:paraId="12AF89C3">
      <w:pPr>
        <w:pStyle w:val="112"/>
        <w:spacing w:before="120" w:after="120" w:line="360" w:lineRule="auto"/>
      </w:pPr>
      <w:r>
        <w:rPr>
          <w:rFonts w:hint="eastAsia"/>
        </w:rPr>
        <w:t>食品微生物检测实验室安全与环保措施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253"/>
        <w:gridCol w:w="3390"/>
      </w:tblGrid>
      <w:tr w14:paraId="61C78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188D2C25">
            <w:pPr>
              <w:pStyle w:val="178"/>
            </w:pPr>
            <w:r>
              <w:rPr>
                <w:rFonts w:hint="eastAsia"/>
              </w:rPr>
              <w:t>管理环节</w:t>
            </w:r>
          </w:p>
        </w:tc>
        <w:tc>
          <w:tcPr>
            <w:tcW w:w="4253" w:type="dxa"/>
            <w:tcBorders>
              <w:top w:val="single" w:color="auto" w:sz="8" w:space="0"/>
              <w:bottom w:val="single" w:color="auto" w:sz="8" w:space="0"/>
            </w:tcBorders>
          </w:tcPr>
          <w:p w14:paraId="7AE34601">
            <w:pPr>
              <w:pStyle w:val="178"/>
            </w:pPr>
            <w:r>
              <w:rPr>
                <w:rFonts w:hint="eastAsia"/>
              </w:rPr>
              <w:t>安全措施</w:t>
            </w:r>
          </w:p>
        </w:tc>
        <w:tc>
          <w:tcPr>
            <w:tcW w:w="3390" w:type="dxa"/>
            <w:tcBorders>
              <w:top w:val="single" w:color="auto" w:sz="8" w:space="0"/>
              <w:bottom w:val="single" w:color="auto" w:sz="8" w:space="0"/>
            </w:tcBorders>
          </w:tcPr>
          <w:p w14:paraId="7C0187E6">
            <w:pPr>
              <w:pStyle w:val="178"/>
            </w:pPr>
            <w:r>
              <w:rPr>
                <w:rFonts w:hint="eastAsia"/>
              </w:rPr>
              <w:t>环保措施</w:t>
            </w:r>
          </w:p>
        </w:tc>
      </w:tr>
      <w:tr w14:paraId="6486C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3E7A1804">
            <w:pPr>
              <w:pStyle w:val="178"/>
            </w:pPr>
            <w:r>
              <w:rPr>
                <w:rFonts w:hint="eastAsia"/>
              </w:rPr>
              <w:t>场所管理</w:t>
            </w:r>
          </w:p>
        </w:tc>
        <w:tc>
          <w:tcPr>
            <w:tcW w:w="4253" w:type="dxa"/>
            <w:tcBorders>
              <w:top w:val="single" w:color="auto" w:sz="8" w:space="0"/>
            </w:tcBorders>
          </w:tcPr>
          <w:p w14:paraId="6CF82BD0">
            <w:pPr>
              <w:pStyle w:val="178"/>
            </w:pPr>
            <w:r>
              <w:rPr>
                <w:rFonts w:hint="eastAsia"/>
              </w:rPr>
              <w:t>清洁区与污染区分区，设立安全通道</w:t>
            </w:r>
          </w:p>
        </w:tc>
        <w:tc>
          <w:tcPr>
            <w:tcW w:w="3390" w:type="dxa"/>
            <w:tcBorders>
              <w:top w:val="single" w:color="auto" w:sz="8" w:space="0"/>
            </w:tcBorders>
          </w:tcPr>
          <w:p w14:paraId="07B5CD04">
            <w:pPr>
              <w:pStyle w:val="178"/>
            </w:pPr>
            <w:r>
              <w:rPr>
                <w:rFonts w:hint="eastAsia"/>
              </w:rPr>
              <w:t>合理布局，减少能源浪费</w:t>
            </w:r>
          </w:p>
        </w:tc>
      </w:tr>
      <w:tr w14:paraId="19654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2C2BD5B">
            <w:pPr>
              <w:pStyle w:val="178"/>
            </w:pPr>
            <w:r>
              <w:rPr>
                <w:rFonts w:hint="eastAsia"/>
              </w:rPr>
              <w:t>个人防护</w:t>
            </w:r>
          </w:p>
        </w:tc>
        <w:tc>
          <w:tcPr>
            <w:tcW w:w="4253" w:type="dxa"/>
          </w:tcPr>
          <w:p w14:paraId="23E72167">
            <w:pPr>
              <w:pStyle w:val="178"/>
            </w:pPr>
            <w:r>
              <w:rPr>
                <w:rFonts w:hint="eastAsia"/>
              </w:rPr>
              <w:t>配备防护服、手套、护目镜，定期培训</w:t>
            </w:r>
          </w:p>
        </w:tc>
        <w:tc>
          <w:tcPr>
            <w:tcW w:w="3390" w:type="dxa"/>
          </w:tcPr>
          <w:p w14:paraId="74F941FC">
            <w:pPr>
              <w:pStyle w:val="178"/>
            </w:pPr>
            <w:r>
              <w:rPr>
                <w:rFonts w:hint="eastAsia"/>
              </w:rPr>
              <w:t>鼓励使用可重复利用的防护用品</w:t>
            </w:r>
          </w:p>
        </w:tc>
      </w:tr>
      <w:tr w14:paraId="1F1DE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DFBDD00">
            <w:pPr>
              <w:pStyle w:val="178"/>
            </w:pPr>
            <w:r>
              <w:rPr>
                <w:rFonts w:hint="eastAsia"/>
              </w:rPr>
              <w:t>废弃物处置</w:t>
            </w:r>
          </w:p>
        </w:tc>
        <w:tc>
          <w:tcPr>
            <w:tcW w:w="4253" w:type="dxa"/>
          </w:tcPr>
          <w:p w14:paraId="225A2F34">
            <w:pPr>
              <w:pStyle w:val="178"/>
            </w:pPr>
            <w:r>
              <w:rPr>
                <w:rFonts w:hint="eastAsia"/>
              </w:rPr>
              <w:t>废样品与耗材高压灭菌后集中处理</w:t>
            </w:r>
          </w:p>
        </w:tc>
        <w:tc>
          <w:tcPr>
            <w:tcW w:w="3390" w:type="dxa"/>
          </w:tcPr>
          <w:p w14:paraId="78D1AE6F">
            <w:pPr>
              <w:pStyle w:val="178"/>
            </w:pPr>
            <w:r>
              <w:rPr>
                <w:rFonts w:hint="eastAsia"/>
              </w:rPr>
              <w:t>建立废弃物分类台账，规范回收</w:t>
            </w:r>
          </w:p>
        </w:tc>
      </w:tr>
      <w:tr w14:paraId="0B9A9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88C9368">
            <w:pPr>
              <w:pStyle w:val="178"/>
            </w:pPr>
            <w:r>
              <w:rPr>
                <w:rFonts w:hint="eastAsia"/>
              </w:rPr>
              <w:t>能源使用</w:t>
            </w:r>
          </w:p>
        </w:tc>
        <w:tc>
          <w:tcPr>
            <w:tcW w:w="4253" w:type="dxa"/>
          </w:tcPr>
          <w:p w14:paraId="23FFD0DA">
            <w:pPr>
              <w:pStyle w:val="178"/>
            </w:pPr>
            <w:r>
              <w:rPr>
                <w:rFonts w:hint="eastAsia"/>
              </w:rPr>
              <w:t>使用低能耗检测设备，配备节能设施</w:t>
            </w:r>
          </w:p>
        </w:tc>
        <w:tc>
          <w:tcPr>
            <w:tcW w:w="3390" w:type="dxa"/>
          </w:tcPr>
          <w:p w14:paraId="27FC0D65">
            <w:pPr>
              <w:pStyle w:val="178"/>
            </w:pPr>
            <w:r>
              <w:rPr>
                <w:rFonts w:hint="eastAsia"/>
              </w:rPr>
              <w:t>推广节能照明和自动化节能管理系统</w:t>
            </w:r>
          </w:p>
        </w:tc>
      </w:tr>
    </w:tbl>
    <w:p w14:paraId="4C497CCC">
      <w:pPr>
        <w:pStyle w:val="56"/>
        <w:spacing w:before="120" w:beforeLines="50" w:line="360" w:lineRule="auto"/>
        <w:ind w:firstLine="420"/>
      </w:pPr>
      <w:r>
        <w:rPr>
          <w:rFonts w:hint="eastAsia"/>
        </w:rPr>
        <w:t>表中的措施为实验室提供了操作性较强的参考，管理人员可根据自身条件进行细化和优化，以确保实验室在运行过程中同时满足安全性和环保性。</w:t>
      </w:r>
    </w:p>
    <w:p w14:paraId="16C9AEEF">
      <w:pPr>
        <w:pStyle w:val="105"/>
        <w:spacing w:before="120" w:after="120" w:line="360" w:lineRule="auto"/>
      </w:pPr>
      <w:r>
        <w:rPr>
          <w:rFonts w:hint="eastAsia"/>
        </w:rPr>
        <w:t>持续改进</w:t>
      </w:r>
    </w:p>
    <w:p w14:paraId="1C3D07DD">
      <w:pPr>
        <w:pStyle w:val="56"/>
        <w:spacing w:line="360" w:lineRule="auto"/>
        <w:ind w:firstLine="420"/>
      </w:pPr>
      <w:r>
        <w:rPr>
          <w:rFonts w:hint="eastAsia"/>
        </w:rPr>
        <w:t>安全与环保管理并非一劳永逸，而是一个动态改进的过程。实验室应定期开展安全与环保检查，发现隐患及时整改。每年至少进行一次综合评估，将结果纳入质量管理体系，并将改进措施落实到制度与培训之中，从而实现安全与环保水平的持续提升。</w:t>
      </w:r>
    </w:p>
    <w:p w14:paraId="10ADE7AB">
      <w:pPr>
        <w:pStyle w:val="104"/>
        <w:spacing w:before="240" w:after="240" w:line="360" w:lineRule="auto"/>
      </w:pPr>
      <w:bookmarkStart w:id="56" w:name="_Toc207626836"/>
      <w:r>
        <w:rPr>
          <w:rFonts w:hint="eastAsia"/>
        </w:rPr>
        <w:t>评价改进</w:t>
      </w:r>
      <w:bookmarkEnd w:id="56"/>
    </w:p>
    <w:p w14:paraId="14177F5C">
      <w:pPr>
        <w:pStyle w:val="105"/>
        <w:spacing w:before="120" w:after="120" w:line="360" w:lineRule="auto"/>
      </w:pPr>
      <w:r>
        <w:rPr>
          <w:rFonts w:hint="eastAsia"/>
        </w:rPr>
        <w:t>总则</w:t>
      </w:r>
    </w:p>
    <w:p w14:paraId="03EF0E0E">
      <w:pPr>
        <w:pStyle w:val="56"/>
        <w:spacing w:line="360" w:lineRule="auto"/>
        <w:ind w:firstLine="420"/>
      </w:pPr>
      <w:r>
        <w:rPr>
          <w:rFonts w:hint="eastAsia"/>
        </w:rPr>
        <w:t>食品微生物自动化检测系统在长期运行中，如果缺乏定期评价和改进，容易出现检测精度下降、管理措施滞后和数据利用不足等问题。为保证体系长期有效运行，有必要建立科学的评价机制，并通过不断的改进措施形成良性循环。评价不仅是对检测系统现状的检验，更是发现问题、优化流程和提升能力的重要途径。</w:t>
      </w:r>
    </w:p>
    <w:p w14:paraId="419CA290">
      <w:pPr>
        <w:pStyle w:val="56"/>
        <w:spacing w:line="360" w:lineRule="auto"/>
        <w:ind w:firstLine="420"/>
      </w:pPr>
      <w:r>
        <w:rPr>
          <w:rFonts w:hint="eastAsia"/>
        </w:rPr>
        <w:t>评价与改进工作应贯穿检测体系的全生命周期，遵循 客观、科学、持续改进 的基本原则。通过建立标准化的评价程序和反馈机制，可以不断优化检测流程，提升整体水平，最终形成动态改进的管理模式。</w:t>
      </w:r>
    </w:p>
    <w:p w14:paraId="15955357">
      <w:pPr>
        <w:pStyle w:val="105"/>
        <w:spacing w:before="120" w:after="120" w:line="360" w:lineRule="auto"/>
      </w:pPr>
      <w:r>
        <w:rPr>
          <w:rFonts w:hint="eastAsia"/>
        </w:rPr>
        <w:t>评价内容</w:t>
      </w:r>
    </w:p>
    <w:p w14:paraId="61E5F7D8">
      <w:pPr>
        <w:pStyle w:val="56"/>
        <w:spacing w:line="360" w:lineRule="auto"/>
        <w:ind w:firstLine="420"/>
      </w:pPr>
      <w:r>
        <w:rPr>
          <w:rFonts w:hint="eastAsia"/>
        </w:rPr>
        <w:t>评价的核心在于全面、系统地反映自动化检测体系的运行状况。因此，评价工作不应局限于技术环节，还应涵盖管理、数据以及安全环保等方面，以确保体系的整体有效性和可靠性。常见的评价内容包括：</w:t>
      </w:r>
    </w:p>
    <w:p w14:paraId="2118B458">
      <w:pPr>
        <w:pStyle w:val="132"/>
        <w:spacing w:line="360" w:lineRule="auto"/>
      </w:pPr>
      <w:r>
        <w:rPr>
          <w:rFonts w:hint="eastAsia"/>
        </w:rPr>
        <w:t>技术性能：检测灵敏度、特异性、重复性、稳定性和检测通量等；</w:t>
      </w:r>
    </w:p>
    <w:p w14:paraId="53972E85">
      <w:pPr>
        <w:pStyle w:val="132"/>
        <w:spacing w:line="360" w:lineRule="auto"/>
      </w:pPr>
      <w:r>
        <w:rPr>
          <w:rFonts w:hint="eastAsia"/>
        </w:rPr>
        <w:t>运行管理：样品管理规范性、操作流程执行情况、质控措施落实程度；</w:t>
      </w:r>
    </w:p>
    <w:p w14:paraId="66E6D896">
      <w:pPr>
        <w:pStyle w:val="132"/>
        <w:spacing w:line="360" w:lineRule="auto"/>
      </w:pPr>
      <w:r>
        <w:rPr>
          <w:rFonts w:hint="eastAsia"/>
        </w:rPr>
        <w:t>数据管理：数据完整性、追溯性、安全性以及共享与应用效果；</w:t>
      </w:r>
    </w:p>
    <w:p w14:paraId="185AB0D1">
      <w:pPr>
        <w:pStyle w:val="132"/>
        <w:spacing w:line="360" w:lineRule="auto"/>
      </w:pPr>
      <w:r>
        <w:rPr>
          <w:rFonts w:hint="eastAsia"/>
        </w:rPr>
        <w:t>安全与环保：生物安全措施的落实情况、废弃物处置规范性和节能减排成效。</w:t>
      </w:r>
    </w:p>
    <w:p w14:paraId="697FF99C">
      <w:pPr>
        <w:pStyle w:val="105"/>
        <w:spacing w:before="120" w:after="120" w:line="360" w:lineRule="auto"/>
      </w:pPr>
      <w:r>
        <w:rPr>
          <w:rFonts w:hint="eastAsia"/>
        </w:rPr>
        <w:t>评价方法</w:t>
      </w:r>
    </w:p>
    <w:p w14:paraId="714E8E13">
      <w:pPr>
        <w:pStyle w:val="56"/>
        <w:spacing w:line="360" w:lineRule="auto"/>
        <w:ind w:firstLine="420"/>
      </w:pPr>
      <w:r>
        <w:rPr>
          <w:rFonts w:hint="eastAsia"/>
        </w:rPr>
        <w:t>为了保证评价结果的科学性和客观性，应采用多元化的方法进行交叉验证。不同方法各有优势，合理组合可确保评价全面、准确。主要可采用以下几类方法：</w:t>
      </w:r>
    </w:p>
    <w:p w14:paraId="30FC7706">
      <w:pPr>
        <w:pStyle w:val="132"/>
        <w:spacing w:line="360" w:lineRule="auto"/>
      </w:pPr>
      <w:r>
        <w:rPr>
          <w:rFonts w:hint="eastAsia"/>
        </w:rPr>
        <w:t>内部审核：由实验室质量管理部门定期组织，发现问题并及时整改；</w:t>
      </w:r>
    </w:p>
    <w:p w14:paraId="1A001EC1">
      <w:pPr>
        <w:pStyle w:val="132"/>
        <w:spacing w:line="360" w:lineRule="auto"/>
      </w:pPr>
      <w:r>
        <w:rPr>
          <w:rFonts w:hint="eastAsia"/>
        </w:rPr>
        <w:t>能力验证：参加国家或行业组织的比对试验，检验检测结果的一致性与可靠性；</w:t>
      </w:r>
    </w:p>
    <w:p w14:paraId="09D1BB41">
      <w:pPr>
        <w:pStyle w:val="132"/>
        <w:spacing w:line="360" w:lineRule="auto"/>
      </w:pPr>
      <w:r>
        <w:rPr>
          <w:rFonts w:hint="eastAsia"/>
        </w:rPr>
        <w:t>第三方评估：委托有资质的独立机构进行客观评价，增强结果公信力；</w:t>
      </w:r>
    </w:p>
    <w:p w14:paraId="595EDC86">
      <w:pPr>
        <w:pStyle w:val="132"/>
        <w:spacing w:line="360" w:lineRule="auto"/>
      </w:pPr>
      <w:r>
        <w:rPr>
          <w:rFonts w:hint="eastAsia"/>
        </w:rPr>
        <w:t>统计分析：利用历史检测数据进行趋势分析和风险研判，为管理优化提供依据。</w:t>
      </w:r>
    </w:p>
    <w:p w14:paraId="35AD3FD0">
      <w:pPr>
        <w:pStyle w:val="105"/>
        <w:spacing w:before="120" w:after="120" w:line="360" w:lineRule="auto"/>
      </w:pPr>
      <w:r>
        <w:rPr>
          <w:rFonts w:hint="eastAsia"/>
        </w:rPr>
        <w:t>改进措施</w:t>
      </w:r>
    </w:p>
    <w:p w14:paraId="0C67F6E0">
      <w:pPr>
        <w:pStyle w:val="56"/>
        <w:spacing w:line="360" w:lineRule="auto"/>
        <w:ind w:firstLine="420"/>
      </w:pPr>
      <w:r>
        <w:rPr>
          <w:rFonts w:hint="eastAsia"/>
        </w:rPr>
        <w:t>评价的最终目的是改进。基于评价结果，实验室应针对不同问题制定相应的改进措施，并确保其落地执行。改进的方向既包括技术手段的优化，也包括管理制度的完善，具体可从以下几个方面着手：</w:t>
      </w:r>
    </w:p>
    <w:p w14:paraId="616955D5">
      <w:pPr>
        <w:pStyle w:val="132"/>
        <w:spacing w:line="360" w:lineRule="auto"/>
      </w:pPr>
      <w:r>
        <w:rPr>
          <w:rFonts w:hint="eastAsia"/>
        </w:rPr>
        <w:t>技术改进：引入新方法、新设备或优化现有流程，提高检测效率和准确性；</w:t>
      </w:r>
    </w:p>
    <w:p w14:paraId="4AC93B7B">
      <w:pPr>
        <w:pStyle w:val="132"/>
        <w:spacing w:line="360" w:lineRule="auto"/>
      </w:pPr>
      <w:r>
        <w:rPr>
          <w:rFonts w:hint="eastAsia"/>
        </w:rPr>
        <w:t>管理改进：修订和完善操作规程，加强人员培训与考核，确保执行到位；</w:t>
      </w:r>
    </w:p>
    <w:p w14:paraId="6726E813">
      <w:pPr>
        <w:pStyle w:val="132"/>
        <w:spacing w:line="360" w:lineRule="auto"/>
      </w:pPr>
      <w:r>
        <w:rPr>
          <w:rFonts w:hint="eastAsia"/>
        </w:rPr>
        <w:t>数据改进：升级数据管理平台，提升信息化水平和数据安全性；</w:t>
      </w:r>
    </w:p>
    <w:p w14:paraId="166A36AD">
      <w:pPr>
        <w:pStyle w:val="132"/>
        <w:spacing w:line="360" w:lineRule="auto"/>
      </w:pPr>
      <w:r>
        <w:rPr>
          <w:rFonts w:hint="eastAsia"/>
        </w:rPr>
        <w:t>安全环保改进：更新安全防护措施，提升废弃物处理与节能管理水平。</w:t>
      </w:r>
    </w:p>
    <w:p w14:paraId="0379ACEE">
      <w:pPr>
        <w:pStyle w:val="105"/>
        <w:spacing w:before="120" w:after="120" w:line="360" w:lineRule="auto"/>
      </w:pPr>
      <w:r>
        <w:rPr>
          <w:rFonts w:hint="eastAsia"/>
        </w:rPr>
        <w:t>持续改进机制</w:t>
      </w:r>
    </w:p>
    <w:p w14:paraId="0A097566">
      <w:pPr>
        <w:pStyle w:val="56"/>
        <w:spacing w:line="360" w:lineRule="auto"/>
        <w:ind w:firstLine="420"/>
      </w:pPr>
      <w:r>
        <w:rPr>
          <w:rFonts w:hint="eastAsia"/>
        </w:rPr>
        <w:t>改进措施要真正发挥作用，必须形成制度化、循环化的管理模式。持续改进机制强调通过“计划—实施—检查—改进（PDCA）”的循环不断推进改进进程。该机制的运行逻辑包括：</w:t>
      </w:r>
    </w:p>
    <w:p w14:paraId="469AF862">
      <w:pPr>
        <w:pStyle w:val="132"/>
        <w:spacing w:line="360" w:lineRule="auto"/>
      </w:pPr>
      <w:r>
        <w:rPr>
          <w:rFonts w:hint="eastAsia"/>
        </w:rPr>
        <w:t>制定年度或阶段性改进目标，明确责任部门与考核指标；</w:t>
      </w:r>
    </w:p>
    <w:p w14:paraId="6D2D6738">
      <w:pPr>
        <w:pStyle w:val="132"/>
        <w:spacing w:line="360" w:lineRule="auto"/>
      </w:pPr>
      <w:r>
        <w:rPr>
          <w:rFonts w:hint="eastAsia"/>
        </w:rPr>
        <w:t>根据目标实施相关技术或管理措施，确保落实到位；</w:t>
      </w:r>
    </w:p>
    <w:p w14:paraId="31652E2A">
      <w:pPr>
        <w:pStyle w:val="132"/>
        <w:spacing w:line="360" w:lineRule="auto"/>
      </w:pPr>
      <w:r>
        <w:rPr>
          <w:rFonts w:hint="eastAsia"/>
        </w:rPr>
        <w:t>定期检查改进成效，收集数据和反馈意见；</w:t>
      </w:r>
    </w:p>
    <w:p w14:paraId="1501613C">
      <w:pPr>
        <w:pStyle w:val="132"/>
        <w:spacing w:line="360" w:lineRule="auto"/>
      </w:pPr>
      <w:r>
        <w:rPr>
          <w:rFonts w:hint="eastAsia"/>
        </w:rPr>
        <w:t>将行之有效的经验固化为制度和标准，进入下一轮循环。</w:t>
      </w:r>
    </w:p>
    <w:bookmarkEnd w:id="26"/>
    <w:p w14:paraId="198F86BE">
      <w:pPr>
        <w:pStyle w:val="56"/>
        <w:ind w:firstLine="0" w:firstLineChars="0"/>
        <w:jc w:val="center"/>
      </w:pPr>
      <w:bookmarkStart w:id="57" w:name="BookMark8"/>
      <w:r>
        <w:rPr>
          <w:rFonts w:hint="eastAsia"/>
        </w:rPr>
        <w:drawing>
          <wp:inline distT="0" distB="0" distL="0" distR="0">
            <wp:extent cx="1485900" cy="317500"/>
            <wp:effectExtent l="0" t="0" r="0" b="6350"/>
            <wp:docPr id="1097605856" name="图片 3"/>
            <wp:cNvGraphicFramePr/>
            <a:graphic xmlns:a="http://schemas.openxmlformats.org/drawingml/2006/main">
              <a:graphicData uri="http://schemas.openxmlformats.org/drawingml/2006/picture">
                <pic:pic xmlns:pic="http://schemas.openxmlformats.org/drawingml/2006/picture">
                  <pic:nvPicPr>
                    <pic:cNvPr id="1097605856"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68C8">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C7E0B">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DC709">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52861">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F35A5">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474BD">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EED49">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A5EA">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FFDC">
    <w:pPr>
      <w:pStyle w:val="61"/>
    </w:pPr>
    <w:r>
      <w:fldChar w:fldCharType="begin"/>
    </w:r>
    <w:r>
      <w:instrText xml:space="preserve"> STYLEREF  标准文件_文件编号  \* MERGEFORMAT </w:instrText>
    </w:r>
    <w:r>
      <w:fldChar w:fldCharType="separate"/>
    </w:r>
    <w:r>
      <w:t>T/XZBX 0089—2025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C769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0089—2025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48EE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0089—2025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0089—2025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76D77">
    <w:pPr>
      <w:pStyle w:val="61"/>
    </w:pPr>
    <w:r>
      <w:fldChar w:fldCharType="begin"/>
    </w:r>
    <w:r>
      <w:instrText xml:space="preserve"> STYLEREF  标准文件_文件编号  \* MERGEFORMAT </w:instrText>
    </w:r>
    <w:r>
      <w:fldChar w:fldCharType="separate"/>
    </w:r>
    <w:r>
      <w:t>T/XZBX 0089—2025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9FF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0089—2025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27B5">
    <w:pPr>
      <w:pStyle w:val="61"/>
    </w:pPr>
    <w:r>
      <w:fldChar w:fldCharType="begin"/>
    </w:r>
    <w:r>
      <w:instrText xml:space="preserve"> STYLEREF  标准文件_文件编号  \* MERGEFORMAT </w:instrText>
    </w:r>
    <w:r>
      <w:fldChar w:fldCharType="separate"/>
    </w:r>
    <w:r>
      <w:t>T/XZBX 0089—2025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9E1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0089—2025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1FDE"/>
    <w:rsid w:val="00012FFD"/>
    <w:rsid w:val="00014162"/>
    <w:rsid w:val="00014340"/>
    <w:rsid w:val="00016A9C"/>
    <w:rsid w:val="00021863"/>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B2"/>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1EDB"/>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572A"/>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43"/>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4F05"/>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9FF"/>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174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1AA3"/>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1B8B"/>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6A7A"/>
    <w:rsid w:val="00B87131"/>
    <w:rsid w:val="00B939B1"/>
    <w:rsid w:val="00B96D40"/>
    <w:rsid w:val="00B97386"/>
    <w:rsid w:val="00BA263B"/>
    <w:rsid w:val="00BA42B2"/>
    <w:rsid w:val="00BA58D4"/>
    <w:rsid w:val="00BA5B9E"/>
    <w:rsid w:val="00BA7C9A"/>
    <w:rsid w:val="00BB5F23"/>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068"/>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0DF"/>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36E4"/>
    <w:rsid w:val="00CE7070"/>
    <w:rsid w:val="00CF0015"/>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6480"/>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5C3"/>
    <w:rsid w:val="00DE0A4B"/>
    <w:rsid w:val="00DE2410"/>
    <w:rsid w:val="00DE2939"/>
    <w:rsid w:val="00DE6BC6"/>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3CF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76EB"/>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4F7"/>
    <w:rsid w:val="00FF3E7D"/>
    <w:rsid w:val="00FF5B99"/>
    <w:rsid w:val="00FF730C"/>
    <w:rsid w:val="00FF73F4"/>
    <w:rsid w:val="00FF7CE4"/>
    <w:rsid w:val="00FF7E39"/>
    <w:rsid w:val="52BA1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52BF084">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D63E6F2">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38D495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10B77"/>
    <w:rsid w:val="002E6AD9"/>
    <w:rsid w:val="003F62CE"/>
    <w:rsid w:val="00421DDA"/>
    <w:rsid w:val="004A6324"/>
    <w:rsid w:val="00547983"/>
    <w:rsid w:val="006141C6"/>
    <w:rsid w:val="00881743"/>
    <w:rsid w:val="00A90292"/>
    <w:rsid w:val="00AE100B"/>
    <w:rsid w:val="00AE1DC6"/>
    <w:rsid w:val="00B86A7A"/>
    <w:rsid w:val="00BE43B6"/>
    <w:rsid w:val="00BF5068"/>
    <w:rsid w:val="00CE36E4"/>
    <w:rsid w:val="00D76480"/>
    <w:rsid w:val="00F0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3539</Words>
  <Characters>3827</Characters>
  <Lines>58</Lines>
  <Paragraphs>16</Paragraphs>
  <TotalTime>203</TotalTime>
  <ScaleCrop>false</ScaleCrop>
  <LinksUpToDate>false</LinksUpToDate>
  <CharactersWithSpaces>3931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2025-08-23T08:52:00Z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2025-09-05T07:05:22Z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7D565A312CC2461EBB5B23E5A2822842_12</vt:lpwstr>
  </property>
</Properties>
</file>