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A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9C05D8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CFE7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hint="eastAsia" w:ascii="黑体" w:hAnsi="黑体" w:eastAsia="黑体"/>
                <w:sz w:val="21"/>
                <w:szCs w:val="21"/>
              </w:rPr>
              <w:fldChar w:fldCharType="begin">
                <w:ffData>
                  <w:name w:val="ICS"/>
                  <w:enabled/>
                  <w:calcOnExit w:val="0"/>
                  <w:textInput>
                    <w:default w:val="23.060.01"/>
                  </w:textInput>
                </w:ffData>
              </w:fldChar>
            </w:r>
            <w:bookmarkStart w:id="0" w:name="ICS"/>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23.060.01</w:t>
            </w:r>
            <w:r>
              <w:rPr>
                <w:rFonts w:hint="eastAsia" w:ascii="黑体" w:hAnsi="黑体" w:eastAsia="黑体"/>
                <w:sz w:val="21"/>
                <w:szCs w:val="21"/>
              </w:rPr>
              <w:fldChar w:fldCharType="end"/>
            </w:r>
            <w:bookmarkEnd w:id="0"/>
          </w:p>
        </w:tc>
      </w:tr>
      <w:tr w14:paraId="2AE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B3D27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73C3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D9EF6ED">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ZBX"/>
                          <w:maxLength w:val="7"/>
                        </w:textInput>
                      </w:ffData>
                    </w:fldChar>
                  </w:r>
                  <w:bookmarkStart w:id="1" w:name="c1"/>
                  <w:r>
                    <w:instrText xml:space="preserve"> FORMTEXT </w:instrText>
                  </w:r>
                  <w:r>
                    <w:fldChar w:fldCharType="separate"/>
                  </w:r>
                  <w:r>
                    <w:t>XZBX</w:t>
                  </w:r>
                  <w:r>
                    <w:fldChar w:fldCharType="end"/>
                  </w:r>
                  <w:bookmarkEnd w:id="1"/>
                </w:p>
              </w:tc>
            </w:tr>
          </w:tbl>
          <w:p w14:paraId="7211AB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fldChar w:fldCharType="begin">
                <w:ffData>
                  <w:name w:val="CSDN"/>
                  <w:enabled/>
                  <w:calcOnExit w:val="0"/>
                  <w:textInput>
                    <w:default w:val="J 74"/>
                  </w:textInput>
                </w:ffData>
              </w:fldChar>
            </w:r>
            <w:bookmarkStart w:id="2" w:name="CSDN"/>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J 74</w:t>
            </w:r>
            <w:r>
              <w:rPr>
                <w:rFonts w:hint="eastAsia" w:ascii="黑体" w:hAnsi="黑体" w:eastAsia="黑体"/>
                <w:sz w:val="21"/>
                <w:szCs w:val="21"/>
              </w:rPr>
              <w:fldChar w:fldCharType="end"/>
            </w:r>
            <w:bookmarkEnd w:id="2"/>
          </w:p>
        </w:tc>
      </w:tr>
    </w:tbl>
    <w:p w14:paraId="14B17AD5">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质量与标准化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西安市质量与标准化协会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7C1F0ED">
      <w:pPr>
        <w:pStyle w:val="195"/>
        <w:framePr/>
      </w:pPr>
      <w:r>
        <w:t>T/</w:t>
      </w:r>
      <w:r>
        <w:fldChar w:fldCharType="begin">
          <w:ffData>
            <w:name w:val="文字1"/>
            <w:enabled/>
            <w:calcOnExit w:val="0"/>
            <w:textInput>
              <w:default w:val="XZBX"/>
            </w:textInput>
          </w:ffData>
        </w:fldChar>
      </w:r>
      <w:bookmarkStart w:id="5" w:name="文字1"/>
      <w:r>
        <w:instrText xml:space="preserve"> FORMTEXT </w:instrText>
      </w:r>
      <w:r>
        <w:fldChar w:fldCharType="separate"/>
      </w:r>
      <w:r>
        <w:t>XZBX</w:t>
      </w:r>
      <w:r>
        <w:fldChar w:fldCharType="end"/>
      </w:r>
      <w:bookmarkEnd w:id="5"/>
      <w:r>
        <w:t xml:space="preserve"> </w:t>
      </w:r>
      <w:r>
        <w:fldChar w:fldCharType="begin">
          <w:ffData>
            <w:name w:val="NSTD_CODE_F"/>
            <w:enabled/>
            <w:calcOnExit w:val="0"/>
            <w:textInput>
              <w:default w:val="0086"/>
            </w:textInput>
          </w:ffData>
        </w:fldChar>
      </w:r>
      <w:bookmarkStart w:id="6" w:name="NSTD_CODE_F"/>
      <w:r>
        <w:instrText xml:space="preserve"> FORMTEXT </w:instrText>
      </w:r>
      <w:r>
        <w:fldChar w:fldCharType="separate"/>
      </w:r>
      <w:r>
        <w:t>0086</w:t>
      </w:r>
      <w: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6644B319">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97C1C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CF237F3">
      <w:pPr>
        <w:pStyle w:val="50"/>
        <w:framePr w:w="9639" w:h="6976" w:hRule="exact" w:hSpace="0" w:vSpace="0" w:wrap="around" w:hAnchor="page" w:y="6408"/>
        <w:jc w:val="center"/>
        <w:rPr>
          <w:rFonts w:ascii="黑体" w:hAnsi="黑体" w:eastAsia="黑体"/>
          <w:b w:val="0"/>
          <w:bCs w:val="0"/>
          <w:w w:val="100"/>
        </w:rPr>
      </w:pPr>
    </w:p>
    <w:p w14:paraId="73594FE6">
      <w:pPr>
        <w:pStyle w:val="197"/>
        <w:framePr w:h="6974" w:hRule="exact" w:wrap="around" w:x="1419" w:anchorLock="1"/>
      </w:pPr>
      <w:r>
        <w:rPr>
          <w:rFonts w:hint="eastAsia"/>
        </w:rPr>
        <w:fldChar w:fldCharType="begin">
          <w:ffData>
            <w:name w:val="CSTD_NAME"/>
            <w:enabled/>
            <w:calcOnExit w:val="0"/>
            <w:textInput>
              <w:default w:val="压力管道泄漏智能检测技术规范"/>
            </w:textInput>
          </w:ffData>
        </w:fldChar>
      </w:r>
      <w:bookmarkStart w:id="9" w:name="CSTD_NAME"/>
      <w:r>
        <w:rPr>
          <w:rFonts w:hint="eastAsia"/>
        </w:rPr>
        <w:instrText xml:space="preserve"> </w:instrText>
      </w:r>
      <w:r>
        <w:instrText xml:space="preserve">FORMTEXT</w:instrText>
      </w:r>
      <w:r>
        <w:rPr>
          <w:rFonts w:hint="eastAsia"/>
        </w:rPr>
        <w:instrText xml:space="preserve"> </w:instrText>
      </w:r>
      <w:r>
        <w:rPr>
          <w:rFonts w:hint="eastAsia"/>
        </w:rPr>
        <w:fldChar w:fldCharType="separate"/>
      </w:r>
      <w:r>
        <w:rPr>
          <w:rFonts w:hint="eastAsia"/>
        </w:rPr>
        <w:t>压力管道泄漏智能检测技术规范</w:t>
      </w:r>
      <w:r>
        <w:rPr>
          <w:rFonts w:hint="eastAsia"/>
        </w:rPr>
        <w:fldChar w:fldCharType="end"/>
      </w:r>
      <w:bookmarkEnd w:id="9"/>
    </w:p>
    <w:p w14:paraId="445B16AD">
      <w:pPr>
        <w:framePr w:w="9639" w:h="6974" w:hRule="exact" w:wrap="around" w:vAnchor="page" w:hAnchor="page" w:x="1419" w:y="6408" w:anchorLock="1"/>
        <w:ind w:left="-1418"/>
      </w:pPr>
    </w:p>
    <w:p w14:paraId="7581C8E1">
      <w:pPr>
        <w:pStyle w:val="125"/>
        <w:framePr w:w="9639" w:h="6974" w:hRule="exact" w:wrap="around" w:vAnchor="page" w:hAnchor="page" w:x="1419" w:y="6408" w:anchorLock="1"/>
        <w:textAlignment w:val="bottom"/>
        <w:rPr>
          <w:rFonts w:ascii="黑体" w:hAnsi="黑体" w:eastAsia="黑体"/>
          <w:szCs w:val="28"/>
        </w:rPr>
      </w:pPr>
      <w:r>
        <w:rPr>
          <w:rFonts w:hint="eastAsia" w:ascii="黑体" w:hAnsi="黑体" w:eastAsia="黑体"/>
          <w:szCs w:val="28"/>
        </w:rPr>
        <w:fldChar w:fldCharType="begin">
          <w:ffData>
            <w:name w:val="ESTD_NAME"/>
            <w:enabled/>
            <w:calcOnExit w:val="0"/>
            <w:textInput>
              <w:default w:val="Specification for intelligent detection technology of pressure pipeline leakage"/>
            </w:textInput>
          </w:ffData>
        </w:fldChar>
      </w:r>
      <w:bookmarkStart w:id="10" w:name="ESTD_NAME"/>
      <w:r>
        <w:rPr>
          <w:rFonts w:hint="eastAsia" w:ascii="黑体" w:hAnsi="黑体" w:eastAsia="黑体"/>
          <w:szCs w:val="28"/>
        </w:rPr>
        <w:instrText xml:space="preserve"> FORMTEXT </w:instrText>
      </w:r>
      <w:r>
        <w:rPr>
          <w:rFonts w:hint="eastAsia" w:ascii="黑体" w:hAnsi="黑体" w:eastAsia="黑体"/>
          <w:szCs w:val="28"/>
        </w:rPr>
        <w:fldChar w:fldCharType="separate"/>
      </w:r>
      <w:r>
        <w:rPr>
          <w:rFonts w:hint="eastAsia" w:ascii="黑体" w:hAnsi="黑体" w:eastAsia="黑体"/>
          <w:szCs w:val="28"/>
        </w:rPr>
        <w:t>Specification for intelligent detection technology of pressure pipeline leakage</w:t>
      </w:r>
      <w:r>
        <w:rPr>
          <w:rFonts w:hint="eastAsia" w:ascii="黑体" w:hAnsi="黑体" w:eastAsia="黑体"/>
          <w:szCs w:val="28"/>
        </w:rPr>
        <w:fldChar w:fldCharType="end"/>
      </w:r>
      <w:bookmarkEnd w:id="10"/>
    </w:p>
    <w:p w14:paraId="0F045E5F">
      <w:pPr>
        <w:framePr w:w="9639" w:h="6974" w:hRule="exact" w:wrap="around" w:vAnchor="page" w:hAnchor="page" w:x="1419" w:y="6408" w:anchorLock="1"/>
        <w:spacing w:line="760" w:lineRule="exact"/>
        <w:ind w:left="-1418"/>
      </w:pPr>
    </w:p>
    <w:p w14:paraId="35A51517">
      <w:pPr>
        <w:pStyle w:val="125"/>
        <w:framePr w:w="9639" w:h="6974" w:hRule="exact" w:wrap="around" w:vAnchor="page" w:hAnchor="page" w:x="1419" w:y="6408" w:anchorLock="1"/>
        <w:textAlignment w:val="bottom"/>
        <w:rPr>
          <w:rFonts w:eastAsia="黑体"/>
          <w:szCs w:val="28"/>
        </w:rPr>
      </w:pPr>
    </w:p>
    <w:p w14:paraId="1926DE2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24A2D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F878F1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89F4D2">
      <w:pPr>
        <w:pStyle w:val="193"/>
        <w:framePr w:wrap="around" w:y="14176"/>
      </w:pPr>
      <w:r>
        <w:rPr>
          <w:rFonts w:ascii="黑体"/>
        </w:rPr>
        <w:fldChar w:fldCharType="begin">
          <w:ffData>
            <w:name w:val="PLSH_DATE_Y"/>
            <w:enabled/>
            <w:calcOnExit w:val="0"/>
            <w:textInput>
              <w:default w:val="2025"/>
              <w:maxLength w:val="4"/>
            </w:textInput>
          </w:ffData>
        </w:fldChar>
      </w:r>
      <w:bookmarkStart w:id="14"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09"/>
              <w:maxLength w:val="2"/>
            </w:textInput>
          </w:ffData>
        </w:fldChar>
      </w:r>
      <w:bookmarkStart w:id="15" w:name="PLSH_DATE_M"/>
      <w:r>
        <w:rPr>
          <w:rFonts w:ascii="黑体"/>
        </w:rPr>
        <w:instrText xml:space="preserve"> FORMTEXT </w:instrText>
      </w:r>
      <w:r>
        <w:rPr>
          <w:rFonts w:ascii="黑体"/>
        </w:rPr>
        <w:fldChar w:fldCharType="separate"/>
      </w:r>
      <w:r>
        <w:rPr>
          <w:rFonts w:ascii="黑体"/>
        </w:rPr>
        <w:t>09</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82105B">
      <w:pPr>
        <w:pStyle w:val="194"/>
        <w:framePr w:wrap="around" w:y="14176"/>
      </w:pPr>
      <w:r>
        <w:rPr>
          <w:rFonts w:ascii="黑体"/>
        </w:rPr>
        <w:fldChar w:fldCharType="begin">
          <w:ffData>
            <w:name w:val="CROT_DATE_Y"/>
            <w:enabled/>
            <w:calcOnExit w:val="0"/>
            <w:textInput>
              <w:default w:val="2025"/>
              <w:maxLength w:val="4"/>
            </w:textInput>
          </w:ffData>
        </w:fldChar>
      </w:r>
      <w:bookmarkStart w:id="17"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09"/>
              <w:maxLength w:val="2"/>
            </w:textInput>
          </w:ffData>
        </w:fldChar>
      </w:r>
      <w:bookmarkStart w:id="18" w:name="CROT_DATE_M"/>
      <w:r>
        <w:rPr>
          <w:rFonts w:ascii="黑体"/>
        </w:rPr>
        <w:instrText xml:space="preserve"> FORMTEXT </w:instrText>
      </w:r>
      <w:r>
        <w:rPr>
          <w:rFonts w:ascii="黑体"/>
        </w:rPr>
        <w:fldChar w:fldCharType="separate"/>
      </w:r>
      <w:r>
        <w:rPr>
          <w:rFonts w:ascii="黑体"/>
        </w:rPr>
        <w:t>09</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BA3478">
      <w:pPr>
        <w:pStyle w:val="151"/>
        <w:framePr w:h="584" w:hRule="exact" w:hSpace="181" w:vSpace="181" w:wrap="around" w:y="14800"/>
        <w:rPr>
          <w:rFonts w:hAnsi="黑体"/>
        </w:rPr>
      </w:pPr>
      <w:r>
        <w:rPr>
          <w:rFonts w:hint="eastAsia" w:hAnsi="黑体"/>
          <w:w w:val="100"/>
          <w:sz w:val="28"/>
        </w:rPr>
        <w:fldChar w:fldCharType="begin">
          <w:ffData>
            <w:name w:val="fm"/>
            <w:enabled/>
            <w:calcOnExit w:val="0"/>
            <w:textInput>
              <w:default w:val="西安市质量与标准化协会"/>
            </w:textInput>
          </w:ffData>
        </w:fldChar>
      </w:r>
      <w:bookmarkStart w:id="20" w:name="fm"/>
      <w:r>
        <w:rPr>
          <w:rFonts w:hint="eastAsia" w:hAnsi="黑体"/>
          <w:w w:val="100"/>
          <w:sz w:val="28"/>
        </w:rPr>
        <w:instrText xml:space="preserve"> FORMTEXT </w:instrText>
      </w:r>
      <w:r>
        <w:rPr>
          <w:rFonts w:hint="eastAsia" w:hAnsi="黑体"/>
          <w:w w:val="100"/>
          <w:sz w:val="28"/>
        </w:rPr>
        <w:fldChar w:fldCharType="separate"/>
      </w:r>
      <w:r>
        <w:rPr>
          <w:rFonts w:hint="eastAsia" w:hAnsi="黑体"/>
          <w:w w:val="100"/>
          <w:sz w:val="28"/>
        </w:rPr>
        <w:t>西安市质量与标准化协会</w:t>
      </w:r>
      <w:r>
        <w:rPr>
          <w:rFonts w:hint="eastAsia"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F7BCF62">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1E0990A8">
      <w:pPr>
        <w:pStyle w:val="91"/>
        <w:spacing w:after="360"/>
      </w:pPr>
      <w:bookmarkStart w:id="21" w:name="BookMark1"/>
      <w:r>
        <w:rPr>
          <w:rFonts w:hint="eastAsia"/>
          <w:spacing w:val="320"/>
        </w:rPr>
        <w:t>目</w:t>
      </w:r>
      <w:r>
        <w:rPr>
          <w:rFonts w:hint="eastAsia"/>
        </w:rPr>
        <w:t>次</w:t>
      </w:r>
    </w:p>
    <w:p w14:paraId="0EC8FA57">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"_Toc207024579"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_Toc207024579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4F3888F0">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"_Toc207024580"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_Toc207024580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46EA34E8">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"_Toc207024581"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_Toc207024581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21FC7A54">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"_Toc207024582"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_Toc207024582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DEDBE62">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"_Toc207024583"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_Toc207024583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54AD9595">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"_Toc207024584" </w:instrText>
      </w:r>
      <w:r>
        <w:fldChar w:fldCharType="separate"/>
      </w:r>
      <w:r>
        <w:rPr>
          <w:rStyle w:val="32"/>
          <w:rFonts w:hint="eastAsia"/>
        </w:rPr>
        <w:t>4</w:t>
      </w:r>
      <w:r>
        <w:rPr>
          <w:rStyle w:val="32"/>
        </w:rPr>
        <w:t xml:space="preserve"> </w:t>
      </w:r>
      <w:r>
        <w:rPr>
          <w:rStyle w:val="32"/>
          <w:rFonts w:hint="eastAsia"/>
        </w:rPr>
        <w:t xml:space="preserve"> 总体原则</w:t>
      </w:r>
      <w:r>
        <w:rPr>
          <w:rFonts w:hint="eastAsia"/>
        </w:rPr>
        <w:tab/>
      </w:r>
      <w:r>
        <w:rPr>
          <w:rFonts w:hint="eastAsia"/>
        </w:rPr>
        <w:fldChar w:fldCharType="begin"/>
      </w:r>
      <w:r>
        <w:rPr>
          <w:rFonts w:hint="eastAsia"/>
        </w:rPr>
        <w:instrText xml:space="preserve"> </w:instrText>
      </w:r>
      <w:r>
        <w:instrText xml:space="preserve">PAGEREF _Toc207024584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22506932">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"_Toc207024585" </w:instrText>
      </w:r>
      <w:r>
        <w:fldChar w:fldCharType="separate"/>
      </w:r>
      <w:r>
        <w:rPr>
          <w:rStyle w:val="32"/>
          <w:rFonts w:hint="eastAsia"/>
        </w:rPr>
        <w:t>5</w:t>
      </w:r>
      <w:r>
        <w:rPr>
          <w:rStyle w:val="32"/>
        </w:rPr>
        <w:t xml:space="preserve"> </w:t>
      </w:r>
      <w:r>
        <w:rPr>
          <w:rStyle w:val="32"/>
          <w:rFonts w:hint="eastAsia"/>
        </w:rPr>
        <w:t xml:space="preserve"> 系统架构</w:t>
      </w:r>
      <w:r>
        <w:rPr>
          <w:rFonts w:hint="eastAsia"/>
        </w:rPr>
        <w:tab/>
      </w:r>
      <w:r>
        <w:rPr>
          <w:rFonts w:hint="eastAsia"/>
        </w:rPr>
        <w:fldChar w:fldCharType="begin"/>
      </w:r>
      <w:r>
        <w:rPr>
          <w:rFonts w:hint="eastAsia"/>
        </w:rPr>
        <w:instrText xml:space="preserve"> </w:instrText>
      </w:r>
      <w:r>
        <w:instrText xml:space="preserve">PAGEREF _Toc207024585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01E06481">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"_Toc207024586" </w:instrText>
      </w:r>
      <w:r>
        <w:fldChar w:fldCharType="separate"/>
      </w:r>
      <w:r>
        <w:rPr>
          <w:rStyle w:val="32"/>
          <w:rFonts w:hint="eastAsia"/>
        </w:rPr>
        <w:t>6</w:t>
      </w:r>
      <w:r>
        <w:rPr>
          <w:rStyle w:val="32"/>
        </w:rPr>
        <w:t xml:space="preserve"> </w:t>
      </w:r>
      <w:r>
        <w:rPr>
          <w:rStyle w:val="32"/>
          <w:rFonts w:hint="eastAsia"/>
        </w:rPr>
        <w:t xml:space="preserve"> 关键技术</w:t>
      </w:r>
      <w:r>
        <w:rPr>
          <w:rFonts w:hint="eastAsia"/>
        </w:rPr>
        <w:tab/>
      </w:r>
      <w:r>
        <w:rPr>
          <w:rFonts w:hint="eastAsia"/>
        </w:rPr>
        <w:fldChar w:fldCharType="begin"/>
      </w:r>
      <w:r>
        <w:rPr>
          <w:rFonts w:hint="eastAsia"/>
        </w:rPr>
        <w:instrText xml:space="preserve"> </w:instrText>
      </w:r>
      <w:r>
        <w:instrText xml:space="preserve">PAGEREF _Toc207024586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187C6B54">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"_Toc207024587" </w:instrText>
      </w:r>
      <w:r>
        <w:fldChar w:fldCharType="separate"/>
      </w:r>
      <w:r>
        <w:rPr>
          <w:rStyle w:val="32"/>
          <w:rFonts w:hint="eastAsia"/>
        </w:rPr>
        <w:t>7</w:t>
      </w:r>
      <w:r>
        <w:rPr>
          <w:rStyle w:val="32"/>
        </w:rPr>
        <w:t xml:space="preserve"> </w:t>
      </w:r>
      <w:r>
        <w:rPr>
          <w:rStyle w:val="32"/>
          <w:rFonts w:hint="eastAsia"/>
        </w:rPr>
        <w:t xml:space="preserve"> 检测方法</w:t>
      </w:r>
      <w:r>
        <w:rPr>
          <w:rFonts w:hint="eastAsia"/>
        </w:rPr>
        <w:tab/>
      </w:r>
      <w:r>
        <w:rPr>
          <w:rFonts w:hint="eastAsia"/>
        </w:rPr>
        <w:fldChar w:fldCharType="begin"/>
      </w:r>
      <w:r>
        <w:rPr>
          <w:rFonts w:hint="eastAsia"/>
        </w:rPr>
        <w:instrText xml:space="preserve"> </w:instrText>
      </w:r>
      <w:r>
        <w:instrText xml:space="preserve">PAGEREF _Toc207024587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782E2D69">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"_Toc207024588" </w:instrText>
      </w:r>
      <w:r>
        <w:fldChar w:fldCharType="separate"/>
      </w:r>
      <w:r>
        <w:rPr>
          <w:rStyle w:val="32"/>
          <w:rFonts w:hint="eastAsia"/>
        </w:rPr>
        <w:t>8</w:t>
      </w:r>
      <w:r>
        <w:rPr>
          <w:rStyle w:val="32"/>
        </w:rPr>
        <w:t xml:space="preserve"> </w:t>
      </w:r>
      <w:r>
        <w:rPr>
          <w:rStyle w:val="32"/>
          <w:rFonts w:hint="eastAsia"/>
        </w:rPr>
        <w:t xml:space="preserve"> 运行管理</w:t>
      </w:r>
      <w:r>
        <w:rPr>
          <w:rFonts w:hint="eastAsia"/>
        </w:rPr>
        <w:tab/>
      </w:r>
      <w:r>
        <w:rPr>
          <w:rFonts w:hint="eastAsia"/>
        </w:rPr>
        <w:fldChar w:fldCharType="begin"/>
      </w:r>
      <w:r>
        <w:rPr>
          <w:rFonts w:hint="eastAsia"/>
        </w:rPr>
        <w:instrText xml:space="preserve"> </w:instrText>
      </w:r>
      <w:r>
        <w:instrText xml:space="preserve">PAGEREF _Toc207024588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1E911952">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"_Toc207024589" </w:instrText>
      </w:r>
      <w:r>
        <w:fldChar w:fldCharType="separate"/>
      </w:r>
      <w:r>
        <w:rPr>
          <w:rStyle w:val="32"/>
          <w:rFonts w:hint="eastAsia"/>
        </w:rPr>
        <w:t>9</w:t>
      </w:r>
      <w:r>
        <w:rPr>
          <w:rStyle w:val="32"/>
        </w:rPr>
        <w:t xml:space="preserve"> </w:t>
      </w:r>
      <w:r>
        <w:rPr>
          <w:rStyle w:val="32"/>
          <w:rFonts w:hint="eastAsia"/>
        </w:rPr>
        <w:t xml:space="preserve"> 安全保障</w:t>
      </w:r>
      <w:r>
        <w:rPr>
          <w:rFonts w:hint="eastAsia"/>
        </w:rPr>
        <w:tab/>
      </w:r>
      <w:r>
        <w:rPr>
          <w:rFonts w:hint="eastAsia"/>
        </w:rPr>
        <w:fldChar w:fldCharType="begin"/>
      </w:r>
      <w:r>
        <w:rPr>
          <w:rFonts w:hint="eastAsia"/>
        </w:rPr>
        <w:instrText xml:space="preserve"> </w:instrText>
      </w:r>
      <w:r>
        <w:instrText xml:space="preserve">PAGEREF _Toc207024589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3F852226">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"_Toc207024590" </w:instrText>
      </w:r>
      <w:r>
        <w:fldChar w:fldCharType="separate"/>
      </w:r>
      <w:r>
        <w:rPr>
          <w:rStyle w:val="32"/>
          <w:rFonts w:hint="eastAsia"/>
        </w:rPr>
        <w:t>10</w:t>
      </w:r>
      <w:r>
        <w:rPr>
          <w:rStyle w:val="32"/>
        </w:rPr>
        <w:t xml:space="preserve"> </w:t>
      </w:r>
      <w:r>
        <w:rPr>
          <w:rStyle w:val="32"/>
          <w:rFonts w:hint="eastAsia"/>
        </w:rPr>
        <w:t xml:space="preserve"> 评价改进</w:t>
      </w:r>
      <w:r>
        <w:rPr>
          <w:rFonts w:hint="eastAsia"/>
        </w:rPr>
        <w:tab/>
      </w:r>
      <w:r>
        <w:rPr>
          <w:rFonts w:hint="eastAsia"/>
        </w:rPr>
        <w:fldChar w:fldCharType="begin"/>
      </w:r>
      <w:r>
        <w:rPr>
          <w:rFonts w:hint="eastAsia"/>
        </w:rPr>
        <w:instrText xml:space="preserve"> </w:instrText>
      </w:r>
      <w:r>
        <w:instrText xml:space="preserve">PAGEREF _Toc207024590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2A55A0E5">
      <w:pPr>
        <w:pStyle w:val="91"/>
        <w:spacing w:after="36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500498C">
      <w:pPr>
        <w:pStyle w:val="89"/>
        <w:spacing w:before="900" w:after="360"/>
      </w:pPr>
      <w:bookmarkStart w:id="22" w:name="_Toc207024579"/>
      <w:bookmarkStart w:id="23" w:name="BookMark2"/>
      <w:r>
        <w:rPr>
          <w:spacing w:val="320"/>
        </w:rPr>
        <w:t>前</w:t>
      </w:r>
      <w:r>
        <w:t>言</w:t>
      </w:r>
      <w:bookmarkEnd w:id="22"/>
    </w:p>
    <w:p w14:paraId="252D74D2">
      <w:pPr>
        <w:pStyle w:val="56"/>
        <w:spacing w:line="360" w:lineRule="auto"/>
        <w:ind w:firstLine="420"/>
      </w:pPr>
      <w:r>
        <w:rPr>
          <w:rFonts w:hint="eastAsia"/>
        </w:rPr>
        <w:t>本文件按照GB/T 1.1—2020《标准化工作导则  第1部分：标准化文件的结构和起草规则》的规定起草。</w:t>
      </w:r>
    </w:p>
    <w:p w14:paraId="0F2E2311">
      <w:pPr>
        <w:pStyle w:val="56"/>
        <w:spacing w:line="360" w:lineRule="auto"/>
        <w:ind w:firstLine="420"/>
      </w:pPr>
      <w:r>
        <w:rPr>
          <w:rFonts w:hint="eastAsia"/>
        </w:rPr>
        <w:t>请注意本文件的某些内容可能涉及专利。本文件的发布机构不承担识别专利的责任。</w:t>
      </w:r>
    </w:p>
    <w:p w14:paraId="56B1EF6F">
      <w:pPr>
        <w:pStyle w:val="56"/>
        <w:spacing w:line="360" w:lineRule="auto"/>
        <w:ind w:firstLine="420"/>
      </w:pPr>
      <w:r>
        <w:rPr>
          <w:rFonts w:hint="eastAsia"/>
        </w:rPr>
        <w:t>本文件由西安市质量与标准化协会提出并归口。</w:t>
      </w:r>
    </w:p>
    <w:p w14:paraId="13021025">
      <w:pPr>
        <w:pStyle w:val="56"/>
        <w:spacing w:line="360" w:lineRule="auto"/>
        <w:ind w:firstLine="420"/>
      </w:pPr>
      <w:r>
        <w:rPr>
          <w:rFonts w:hint="eastAsia"/>
        </w:rPr>
        <w:t>本文件起草单位：内蒙古自治区特种设备检验研究院赤峰分院。</w:t>
      </w:r>
    </w:p>
    <w:p w14:paraId="784B3C9B">
      <w:pPr>
        <w:pStyle w:val="56"/>
        <w:spacing w:line="360" w:lineRule="auto"/>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start="3"/>
          <w:cols w:space="425" w:num="1"/>
          <w:formProt w:val="0"/>
          <w:docGrid w:linePitch="312" w:charSpace="0"/>
        </w:sectPr>
      </w:pPr>
      <w:r>
        <w:rPr>
          <w:rFonts w:hint="eastAsia"/>
        </w:rPr>
        <w:t>本文件主要起草人：王永武。</w:t>
      </w:r>
      <w:bookmarkStart w:id="59" w:name="_GoBack"/>
      <w:bookmarkEnd w:id="59"/>
    </w:p>
    <w:bookmarkEnd w:id="23"/>
    <w:p w14:paraId="66D0A2F3">
      <w:pPr>
        <w:pStyle w:val="89"/>
        <w:spacing w:after="360"/>
      </w:pPr>
      <w:bookmarkStart w:id="24" w:name="_Toc207024580"/>
      <w:bookmarkStart w:id="25" w:name="BookMark3"/>
      <w:r>
        <w:rPr>
          <w:spacing w:val="320"/>
        </w:rPr>
        <w:t>引</w:t>
      </w:r>
      <w:r>
        <w:t>言</w:t>
      </w:r>
      <w:bookmarkEnd w:id="24"/>
    </w:p>
    <w:p w14:paraId="0A24C11F">
      <w:pPr>
        <w:pStyle w:val="56"/>
        <w:spacing w:line="360" w:lineRule="auto"/>
        <w:ind w:firstLine="420"/>
      </w:pPr>
      <w:r>
        <w:rPr>
          <w:rFonts w:hint="eastAsia"/>
        </w:rPr>
        <w:t>压力管道作为能源、化工、冶金等行业的重要输送设施，承担着液体、气体和蒸汽等介质的长距离传输任务，其运行安全直接关系到工业生产和公共安全。然而，由于腐蚀、疲劳、焊缝缺陷、外力破坏及长期运行磨损等因素，压力管道泄漏事件时有发生，可能导致环境污染、能源浪费甚至严重事故。如何实现对压力管道泄漏的早期识别与准确定位，已成为保障管道运行安全的关键问题。</w:t>
      </w:r>
    </w:p>
    <w:p w14:paraId="196C0187">
      <w:pPr>
        <w:pStyle w:val="56"/>
        <w:spacing w:line="360" w:lineRule="auto"/>
        <w:ind w:firstLine="420"/>
      </w:pPr>
      <w:r>
        <w:rPr>
          <w:rFonts w:hint="eastAsia"/>
        </w:rPr>
        <w:t>传统的泄漏检测方法如人工巡检、压力差法和流量平衡法在一定程度上发挥了作用，但存在响应慢、检测盲区大、精度不足等局限。随着传感器技术、物联网、人工智能和大数据的发展，智能化泄漏检测技术逐渐成熟。通过布设多类型传感器、引入声学、光学、红外与流体动力学信号的综合分析，并结合机器学习与智能算法，可以实现对泄漏的实时监测、快速定位与趋势预测。</w:t>
      </w:r>
    </w:p>
    <w:p w14:paraId="3AC90217">
      <w:pPr>
        <w:pStyle w:val="56"/>
        <w:spacing w:line="360" w:lineRule="auto"/>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pgNumType w:fmt="upperRoman" w:start="5"/>
          <w:cols w:space="425" w:num="1"/>
          <w:formProt w:val="0"/>
          <w:docGrid w:linePitch="312" w:charSpace="0"/>
        </w:sectPr>
      </w:pPr>
      <w:r>
        <w:rPr>
          <w:rFonts w:hint="eastAsia"/>
        </w:rPr>
        <w:t>然而，目前在压力管道泄漏智能检测领域仍存在标准体系不完善、检测方法不统一、评价指标缺乏共识等问题，不利于行业推广与工程应用。因此，制定本文件具有重要意义。本文件旨在明确压力管道泄漏智能检测的总体原则、关键技术要求、数据融合与分析方法、运行管理与安全保障措施，为相关企业、科研机构及监管部门提供统一的技术依据，推动智能检测技术的标准化、规范化与工程化应用，提升管道全生命周期的安全性与可靠性。</w:t>
      </w:r>
    </w:p>
    <w:bookmarkEnd w:id="25"/>
    <w:p w14:paraId="7BCFE31A">
      <w:pPr>
        <w:spacing w:line="20" w:lineRule="exact"/>
        <w:jc w:val="center"/>
        <w:rPr>
          <w:rFonts w:ascii="黑体" w:hAnsi="黑体" w:eastAsia="黑体"/>
          <w:sz w:val="32"/>
          <w:szCs w:val="32"/>
        </w:rPr>
      </w:pPr>
      <w:bookmarkStart w:id="26" w:name="BookMark4"/>
    </w:p>
    <w:p w14:paraId="71484A10">
      <w:pPr>
        <w:spacing w:line="20" w:lineRule="exact"/>
        <w:jc w:val="center"/>
        <w:rPr>
          <w:rFonts w:ascii="黑体" w:hAnsi="黑体" w:eastAsia="黑体"/>
          <w:sz w:val="32"/>
          <w:szCs w:val="32"/>
        </w:rPr>
      </w:pPr>
    </w:p>
    <w:sdt>
      <w:sdtPr>
        <w:tag w:val="NEW_STAND_NAME"/>
        <w:id w:val="595910757"/>
        <w:lock w:val="sdtLocked"/>
        <w:placeholder>
          <w:docPart w:val="012FB321F5A4443D9AFC61825E0F0C38"/>
        </w:placeholder>
      </w:sdtPr>
      <w:sdtContent>
        <w:p w14:paraId="7D4E3E1F">
          <w:pPr>
            <w:pStyle w:val="177"/>
          </w:pPr>
          <w:bookmarkStart w:id="27" w:name="NEW_STAND_NAME"/>
          <w:r>
            <w:rPr>
              <w:rFonts w:hint="eastAsia"/>
            </w:rPr>
            <w:t>压力管道泄漏智能检测技术规范</w:t>
          </w:r>
        </w:p>
      </w:sdtContent>
    </w:sdt>
    <w:bookmarkEnd w:id="27"/>
    <w:p w14:paraId="3DB22445">
      <w:pPr>
        <w:pStyle w:val="104"/>
        <w:spacing w:before="240" w:after="240"/>
      </w:pPr>
      <w:bookmarkStart w:id="28" w:name="_Toc17233325"/>
      <w:bookmarkStart w:id="29" w:name="_Toc17233333"/>
      <w:bookmarkStart w:id="30" w:name="_Toc26986771"/>
      <w:bookmarkStart w:id="31" w:name="_Toc97192964"/>
      <w:bookmarkStart w:id="32" w:name="_Toc24884218"/>
      <w:bookmarkStart w:id="33" w:name="_Toc24884211"/>
      <w:bookmarkStart w:id="34" w:name="_Toc26986530"/>
      <w:bookmarkStart w:id="35" w:name="_Toc207024581"/>
      <w:bookmarkStart w:id="36" w:name="_Toc26648465"/>
      <w:bookmarkStart w:id="37" w:name="_Toc26718930"/>
      <w:r>
        <w:rPr>
          <w:rFonts w:hint="eastAsia"/>
        </w:rPr>
        <w:t>范围</w:t>
      </w:r>
      <w:bookmarkEnd w:id="28"/>
      <w:bookmarkEnd w:id="29"/>
      <w:bookmarkEnd w:id="30"/>
      <w:bookmarkEnd w:id="31"/>
      <w:bookmarkEnd w:id="32"/>
      <w:bookmarkEnd w:id="33"/>
      <w:bookmarkEnd w:id="34"/>
      <w:bookmarkEnd w:id="35"/>
      <w:bookmarkEnd w:id="36"/>
      <w:bookmarkEnd w:id="37"/>
    </w:p>
    <w:p w14:paraId="771BDA3A">
      <w:pPr>
        <w:pStyle w:val="56"/>
        <w:spacing w:line="360" w:lineRule="auto"/>
        <w:ind w:firstLine="420"/>
      </w:pPr>
      <w:bookmarkStart w:id="38" w:name="_Toc17233326"/>
      <w:bookmarkStart w:id="39" w:name="_Toc17233334"/>
      <w:bookmarkStart w:id="40" w:name="_Toc26648466"/>
      <w:bookmarkStart w:id="41" w:name="_Toc24884212"/>
      <w:bookmarkStart w:id="42" w:name="_Toc24884219"/>
      <w:r>
        <w:rPr>
          <w:rFonts w:hint="eastAsia"/>
        </w:rPr>
        <w:t>本文件规定了压力管道泄漏智能检测的总体原则、系统架构、关键技术、检测方法、运行管理、安全保障及评价改进等内容。</w:t>
      </w:r>
    </w:p>
    <w:p w14:paraId="62DE4ADB">
      <w:pPr>
        <w:pStyle w:val="56"/>
        <w:spacing w:line="360" w:lineRule="auto"/>
        <w:ind w:firstLine="420"/>
      </w:pPr>
      <w:r>
        <w:rPr>
          <w:rFonts w:hint="eastAsia"/>
        </w:rPr>
        <w:t>本文件适用于石油、天然气、化工等行业中压力管道泄漏的智能检测系统的设计、建设、运行、维护及评价。</w:t>
      </w:r>
    </w:p>
    <w:p w14:paraId="76265264">
      <w:pPr>
        <w:pStyle w:val="56"/>
        <w:spacing w:line="360" w:lineRule="auto"/>
        <w:ind w:firstLine="420"/>
      </w:pPr>
      <w:r>
        <w:rPr>
          <w:rFonts w:hint="eastAsia"/>
        </w:rPr>
        <w:t>本文件不适用于单纯依靠人工巡检或单一物理方法的传统泄漏检测方式，也不适用于非压力管道的泄漏检测。</w:t>
      </w:r>
    </w:p>
    <w:p w14:paraId="3733B2AD">
      <w:pPr>
        <w:pStyle w:val="104"/>
        <w:spacing w:before="240" w:after="240" w:line="360" w:lineRule="auto"/>
      </w:pPr>
      <w:bookmarkStart w:id="43" w:name="_Toc26986531"/>
      <w:bookmarkStart w:id="44" w:name="_Toc26718931"/>
      <w:bookmarkStart w:id="45" w:name="_Toc26986772"/>
      <w:bookmarkStart w:id="46" w:name="_Toc97192965"/>
      <w:bookmarkStart w:id="47" w:name="_Toc207024582"/>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06591A60496146309C06F8B2E11B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55A6380">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9E2099A">
      <w:pPr>
        <w:pStyle w:val="56"/>
        <w:spacing w:line="360" w:lineRule="auto"/>
        <w:ind w:firstLine="420"/>
      </w:pPr>
      <w:r>
        <w:rPr>
          <w:rFonts w:hint="eastAsia"/>
        </w:rPr>
        <w:t>GB 32167—2015 油气输送管道完整性管理规范</w:t>
      </w:r>
    </w:p>
    <w:p w14:paraId="36BE4EF0">
      <w:pPr>
        <w:pStyle w:val="56"/>
        <w:spacing w:line="360" w:lineRule="auto"/>
        <w:ind w:firstLine="420"/>
      </w:pPr>
      <w:r>
        <w:t>GB/T 4208</w:t>
      </w:r>
      <w:r>
        <w:rPr>
          <w:rFonts w:hint="eastAsia"/>
        </w:rPr>
        <w:t>—</w:t>
      </w:r>
      <w:r>
        <w:t>2017</w:t>
      </w:r>
      <w:r>
        <w:rPr>
          <w:rFonts w:hint="eastAsia"/>
        </w:rPr>
        <w:t xml:space="preserve"> 外壳防护等级(IP代码)</w:t>
      </w:r>
    </w:p>
    <w:p w14:paraId="3250DD32">
      <w:pPr>
        <w:pStyle w:val="56"/>
        <w:spacing w:line="360" w:lineRule="auto"/>
        <w:ind w:firstLine="420"/>
      </w:pPr>
      <w:r>
        <w:t>GB/T 20801.1</w:t>
      </w:r>
      <w:r>
        <w:rPr>
          <w:rFonts w:hint="eastAsia"/>
        </w:rPr>
        <w:t>—</w:t>
      </w:r>
      <w:r>
        <w:t>2020</w:t>
      </w:r>
      <w:r>
        <w:rPr>
          <w:rFonts w:hint="eastAsia"/>
        </w:rPr>
        <w:t xml:space="preserve"> 压力管道规范  工业管道  第1部分:总则</w:t>
      </w:r>
    </w:p>
    <w:p w14:paraId="545489AD">
      <w:pPr>
        <w:pStyle w:val="56"/>
        <w:spacing w:line="360" w:lineRule="auto"/>
        <w:ind w:firstLine="420"/>
      </w:pPr>
      <w:r>
        <w:t>GB/T 20801.5</w:t>
      </w:r>
      <w:r>
        <w:rPr>
          <w:rFonts w:hint="eastAsia"/>
        </w:rPr>
        <w:t>—</w:t>
      </w:r>
      <w:r>
        <w:t>2020</w:t>
      </w:r>
      <w:r>
        <w:rPr>
          <w:rFonts w:hint="eastAsia"/>
        </w:rPr>
        <w:t xml:space="preserve"> 压力管道规范  工业管道  第5部分:检验与试验</w:t>
      </w:r>
    </w:p>
    <w:p w14:paraId="7121294C">
      <w:pPr>
        <w:pStyle w:val="56"/>
        <w:spacing w:line="360" w:lineRule="auto"/>
        <w:ind w:firstLine="420"/>
      </w:pPr>
      <w:r>
        <w:t>GB/T 24259</w:t>
      </w:r>
      <w:r>
        <w:rPr>
          <w:rFonts w:hint="eastAsia"/>
        </w:rPr>
        <w:t>—</w:t>
      </w:r>
      <w:r>
        <w:t>2023</w:t>
      </w:r>
      <w:r>
        <w:rPr>
          <w:rFonts w:hint="eastAsia"/>
        </w:rPr>
        <w:t xml:space="preserve"> 石油天然气工业  管道输送系统</w:t>
      </w:r>
    </w:p>
    <w:p w14:paraId="2266CAF4">
      <w:pPr>
        <w:pStyle w:val="56"/>
        <w:spacing w:line="360" w:lineRule="auto"/>
        <w:ind w:firstLine="420"/>
      </w:pPr>
      <w:r>
        <w:t>GB/T 22239</w:t>
      </w:r>
      <w:r>
        <w:rPr>
          <w:rFonts w:hint="eastAsia"/>
        </w:rPr>
        <w:t>—</w:t>
      </w:r>
      <w:r>
        <w:t>2019</w:t>
      </w:r>
      <w:r>
        <w:rPr>
          <w:rFonts w:hint="eastAsia"/>
        </w:rPr>
        <w:t xml:space="preserve"> 信息安全技术  网络安全等级保护基本要求</w:t>
      </w:r>
    </w:p>
    <w:p w14:paraId="66AB42DE">
      <w:pPr>
        <w:pStyle w:val="56"/>
        <w:spacing w:line="360" w:lineRule="auto"/>
        <w:ind w:firstLine="420"/>
      </w:pPr>
      <w:r>
        <w:t>GB/T 42033</w:t>
      </w:r>
      <w:r>
        <w:rPr>
          <w:rFonts w:hint="eastAsia"/>
        </w:rPr>
        <w:t>—</w:t>
      </w:r>
      <w:r>
        <w:t>2022</w:t>
      </w:r>
      <w:r>
        <w:rPr>
          <w:rFonts w:hint="eastAsia"/>
        </w:rPr>
        <w:t xml:space="preserve"> 油气管道完整性评价技术规范</w:t>
      </w:r>
    </w:p>
    <w:p w14:paraId="51F02A4E">
      <w:pPr>
        <w:pStyle w:val="104"/>
        <w:spacing w:before="240" w:after="240" w:line="360" w:lineRule="auto"/>
      </w:pPr>
      <w:bookmarkStart w:id="48" w:name="_Toc97192966"/>
      <w:bookmarkStart w:id="49" w:name="_Toc207024583"/>
      <w:r>
        <w:rPr>
          <w:rFonts w:hint="eastAsia"/>
          <w:szCs w:val="21"/>
        </w:rPr>
        <w:t>术语和定义</w:t>
      </w:r>
      <w:bookmarkEnd w:id="48"/>
      <w:bookmarkEnd w:id="49"/>
    </w:p>
    <w:sdt>
      <w:sdtPr>
        <w:id w:val="-1909835108"/>
        <w:placeholder>
          <w:docPart w:val="301A11BD743F4400A8B304744630EF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93CB5B">
          <w:pPr>
            <w:pStyle w:val="56"/>
            <w:spacing w:line="360" w:lineRule="auto"/>
            <w:ind w:firstLine="420"/>
          </w:pPr>
          <w:bookmarkStart w:id="50" w:name="_Toc26986532"/>
          <w:bookmarkEnd w:id="50"/>
          <w:r>
            <w:t>下列术语和定义适用于本文件。</w:t>
          </w:r>
        </w:p>
      </w:sdtContent>
    </w:sdt>
    <w:p w14:paraId="44D31BA4">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压力管道 </w:t>
      </w:r>
      <w:r>
        <w:rPr>
          <w:rFonts w:ascii="黑体" w:hAnsi="黑体" w:eastAsia="黑体"/>
        </w:rPr>
        <w:t>pressure pipeline</w:t>
      </w:r>
    </w:p>
    <w:p w14:paraId="71D83299">
      <w:pPr>
        <w:pStyle w:val="56"/>
        <w:spacing w:line="360" w:lineRule="auto"/>
        <w:ind w:firstLine="420"/>
      </w:pPr>
      <w:r>
        <w:rPr>
          <w:rFonts w:hint="eastAsia"/>
        </w:rPr>
        <w:t>用于输送气体、液体或蒸汽等介质，并在一定压力条件下运行的管道系统，广泛应用于能源、化工和冶金等行业。</w:t>
      </w:r>
    </w:p>
    <w:p w14:paraId="6704E39A">
      <w:pPr>
        <w:pStyle w:val="223"/>
        <w:spacing w:line="360" w:lineRule="auto"/>
        <w:ind w:left="420" w:hanging="420" w:hangingChars="200"/>
      </w:pPr>
      <w:r>
        <w:rPr>
          <w:rFonts w:ascii="黑体" w:hAnsi="黑体" w:eastAsia="黑体"/>
        </w:rPr>
        <w:br w:type="textWrapping"/>
      </w:r>
      <w:r>
        <w:rPr>
          <w:rFonts w:hint="eastAsia" w:ascii="黑体" w:hAnsi="黑体" w:eastAsia="黑体"/>
        </w:rPr>
        <w:t xml:space="preserve">泄漏 </w:t>
      </w:r>
      <w:r>
        <w:t>leakage</w:t>
      </w:r>
    </w:p>
    <w:p w14:paraId="419C8B86">
      <w:pPr>
        <w:pStyle w:val="56"/>
        <w:spacing w:line="360" w:lineRule="auto"/>
        <w:ind w:firstLine="420"/>
      </w:pPr>
      <w:r>
        <w:rPr>
          <w:rFonts w:hint="eastAsia"/>
        </w:rPr>
        <w:t>由于腐蚀、裂纹、焊接缺陷或外力损伤等原因，导致压力管道中介质从管体或接口处非正常外泄的现象。</w:t>
      </w:r>
    </w:p>
    <w:p w14:paraId="56026791">
      <w:pPr>
        <w:pStyle w:val="223"/>
        <w:spacing w:line="360" w:lineRule="auto"/>
        <w:ind w:left="420" w:hanging="420" w:hangingChars="200"/>
      </w:pPr>
      <w:r>
        <w:rPr>
          <w:rFonts w:ascii="黑体" w:hAnsi="黑体" w:eastAsia="黑体"/>
        </w:rPr>
        <w:br w:type="textWrapping"/>
      </w:r>
      <w:r>
        <w:rPr>
          <w:rFonts w:hint="eastAsia" w:ascii="黑体" w:hAnsi="黑体" w:eastAsia="黑体"/>
        </w:rPr>
        <w:t xml:space="preserve">智能检测 </w:t>
      </w:r>
      <w:r>
        <w:t>intelligent detection</w:t>
      </w:r>
    </w:p>
    <w:p w14:paraId="354BFDB8">
      <w:pPr>
        <w:pStyle w:val="56"/>
        <w:spacing w:line="360" w:lineRule="auto"/>
        <w:ind w:firstLine="420"/>
      </w:pPr>
      <w:r>
        <w:rPr>
          <w:rFonts w:hint="eastAsia"/>
        </w:rPr>
        <w:t>依托传感器、物联网、大数据和人工智能等技术，实现对压力管道泄漏的自动监测、识别、定位与预警的检测方式。</w:t>
      </w:r>
    </w:p>
    <w:p w14:paraId="79014CB7">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数据融合 </w:t>
      </w:r>
      <w:r>
        <w:rPr>
          <w:rFonts w:ascii="黑体" w:hAnsi="黑体" w:eastAsia="黑体"/>
        </w:rPr>
        <w:t>data fusion</w:t>
      </w:r>
    </w:p>
    <w:p w14:paraId="41E90BD4">
      <w:pPr>
        <w:pStyle w:val="56"/>
        <w:spacing w:line="360" w:lineRule="auto"/>
        <w:ind w:firstLine="420"/>
      </w:pPr>
      <w:r>
        <w:rPr>
          <w:rFonts w:hint="eastAsia"/>
        </w:rPr>
        <w:t>通过算法和模型对多模态数据进行综合处理，获取比单一数据源更准确、全面和鲁棒的检测结果。</w:t>
      </w:r>
    </w:p>
    <w:p w14:paraId="0E40EBE5">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泄漏定位 </w:t>
      </w:r>
      <w:r>
        <w:rPr>
          <w:rFonts w:ascii="黑体" w:hAnsi="黑体" w:eastAsia="黑体"/>
        </w:rPr>
        <w:t>leakage localization</w:t>
      </w:r>
    </w:p>
    <w:p w14:paraId="6BA65E59">
      <w:pPr>
        <w:pStyle w:val="56"/>
        <w:spacing w:line="360" w:lineRule="auto"/>
        <w:ind w:firstLine="420"/>
      </w:pPr>
      <w:r>
        <w:rPr>
          <w:rFonts w:hint="eastAsia"/>
        </w:rPr>
        <w:t>通过分析检测数据，确定泄漏点在管道中的具体位置的过程。</w:t>
      </w:r>
    </w:p>
    <w:p w14:paraId="51357511">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风险预警 </w:t>
      </w:r>
      <w:r>
        <w:rPr>
          <w:rFonts w:ascii="黑体" w:hAnsi="黑体" w:eastAsia="黑体"/>
        </w:rPr>
        <w:t>risk early warning</w:t>
      </w:r>
    </w:p>
    <w:p w14:paraId="11ED0D72">
      <w:pPr>
        <w:pStyle w:val="56"/>
        <w:spacing w:line="360" w:lineRule="auto"/>
        <w:ind w:firstLine="420"/>
      </w:pPr>
      <w:r>
        <w:rPr>
          <w:rFonts w:hint="eastAsia"/>
        </w:rPr>
        <w:t>利用智能算法对管道运行状态和检测数据进行实时分析，提前识别潜在泄漏风险并发出预警信号。</w:t>
      </w:r>
    </w:p>
    <w:p w14:paraId="5D213D6B">
      <w:pPr>
        <w:pStyle w:val="104"/>
        <w:spacing w:before="240" w:after="240" w:line="360" w:lineRule="auto"/>
      </w:pPr>
      <w:bookmarkStart w:id="51" w:name="_Toc207024584"/>
      <w:r>
        <w:rPr>
          <w:rFonts w:hint="eastAsia"/>
        </w:rPr>
        <w:t>总体原则</w:t>
      </w:r>
      <w:bookmarkEnd w:id="51"/>
    </w:p>
    <w:p w14:paraId="5F3E16DF">
      <w:pPr>
        <w:pStyle w:val="105"/>
        <w:spacing w:before="120" w:after="120" w:line="360" w:lineRule="auto"/>
      </w:pPr>
      <w:r>
        <w:rPr>
          <w:rFonts w:hint="eastAsia"/>
        </w:rPr>
        <w:t>安全优先</w:t>
      </w:r>
    </w:p>
    <w:p w14:paraId="65F6BE7B">
      <w:pPr>
        <w:pStyle w:val="56"/>
        <w:spacing w:line="360" w:lineRule="auto"/>
        <w:ind w:firstLine="420"/>
      </w:pPr>
      <w:r>
        <w:rPr>
          <w:rFonts w:hint="eastAsia"/>
        </w:rPr>
        <w:t>压力管道泄漏检测应以保障人身安全、环境安全和管网运行安全为首要目标。系统设计、建设与运行过程中必须严格遵守相关安全标准和法规，确保检测过程不对管道运行造成二次风险。</w:t>
      </w:r>
    </w:p>
    <w:p w14:paraId="16153202">
      <w:pPr>
        <w:pStyle w:val="105"/>
        <w:spacing w:before="120" w:after="120" w:line="360" w:lineRule="auto"/>
      </w:pPr>
      <w:r>
        <w:rPr>
          <w:rFonts w:hint="eastAsia"/>
        </w:rPr>
        <w:t>实时监测</w:t>
      </w:r>
    </w:p>
    <w:p w14:paraId="29A08471">
      <w:pPr>
        <w:pStyle w:val="56"/>
        <w:spacing w:line="360" w:lineRule="auto"/>
        <w:ind w:firstLine="420"/>
      </w:pPr>
      <w:r>
        <w:rPr>
          <w:rFonts w:hint="eastAsia"/>
        </w:rPr>
        <w:t>泄漏检测系统应具备实时在线监测能力，对压力、流量、声学、温度及视觉信号等多源数据进行连续采集与分析，实现早期识别与快速响应。</w:t>
      </w:r>
    </w:p>
    <w:p w14:paraId="0915F794">
      <w:pPr>
        <w:pStyle w:val="105"/>
        <w:spacing w:before="120" w:after="120" w:line="360" w:lineRule="auto"/>
      </w:pPr>
      <w:r>
        <w:rPr>
          <w:rFonts w:hint="eastAsia"/>
        </w:rPr>
        <w:t>智能融合</w:t>
      </w:r>
    </w:p>
    <w:p w14:paraId="4746023F">
      <w:pPr>
        <w:pStyle w:val="56"/>
        <w:spacing w:line="360" w:lineRule="auto"/>
        <w:ind w:firstLine="420"/>
      </w:pPr>
      <w:r>
        <w:rPr>
          <w:rFonts w:hint="eastAsia"/>
        </w:rPr>
        <w:t>检测系统应充分利用多模态数据融合与人工智能算法，提高泄漏检测的灵敏度和定位精度，减少误报与漏报，提升系统的整体可靠性。</w:t>
      </w:r>
    </w:p>
    <w:p w14:paraId="64F42223">
      <w:pPr>
        <w:pStyle w:val="105"/>
        <w:spacing w:before="120" w:after="120" w:line="360" w:lineRule="auto"/>
      </w:pPr>
      <w:r>
        <w:rPr>
          <w:rFonts w:hint="eastAsia"/>
        </w:rPr>
        <w:t>系统兼容</w:t>
      </w:r>
    </w:p>
    <w:p w14:paraId="0169281A">
      <w:pPr>
        <w:pStyle w:val="56"/>
        <w:spacing w:line="360" w:lineRule="auto"/>
        <w:ind w:firstLine="420"/>
      </w:pPr>
      <w:r>
        <w:rPr>
          <w:rFonts w:hint="eastAsia"/>
        </w:rPr>
        <w:t>系统建设应考虑与现有管道监控、SCADA（数据采集与监视控制系统）及安全管理平台的兼容性，避免形成“信息孤岛”，支持多平台协同工作。</w:t>
      </w:r>
    </w:p>
    <w:p w14:paraId="7F5832F4">
      <w:pPr>
        <w:pStyle w:val="105"/>
        <w:spacing w:before="120" w:after="120" w:line="360" w:lineRule="auto"/>
      </w:pPr>
      <w:r>
        <w:rPr>
          <w:rFonts w:hint="eastAsia"/>
        </w:rPr>
        <w:t>经济合理</w:t>
      </w:r>
    </w:p>
    <w:p w14:paraId="3CBAF92F">
      <w:pPr>
        <w:pStyle w:val="56"/>
        <w:spacing w:line="360" w:lineRule="auto"/>
        <w:ind w:firstLine="420"/>
      </w:pPr>
      <w:r>
        <w:rPr>
          <w:rFonts w:hint="eastAsia"/>
        </w:rPr>
        <w:t>在满足安全性与可靠性的前提下，应综合考虑建设成本、运行维护成本和检测效果，实现技术应用的经济性与可持续性。</w:t>
      </w:r>
    </w:p>
    <w:p w14:paraId="6140E194">
      <w:pPr>
        <w:pStyle w:val="105"/>
        <w:spacing w:before="120" w:after="120" w:line="360" w:lineRule="auto"/>
      </w:pPr>
      <w:r>
        <w:rPr>
          <w:rFonts w:hint="eastAsia"/>
        </w:rPr>
        <w:t>可扩展性</w:t>
      </w:r>
    </w:p>
    <w:p w14:paraId="4F8A0B37">
      <w:pPr>
        <w:pStyle w:val="56"/>
        <w:spacing w:line="360" w:lineRule="auto"/>
        <w:ind w:firstLine="420"/>
      </w:pPr>
      <w:r>
        <w:rPr>
          <w:rFonts w:hint="eastAsia"/>
        </w:rPr>
        <w:t>系统架构应具备扩展能力，能够适应未来传感器类型、检测技术及算法模型的更新，支持不同规模和复杂程度的管道工程应用。</w:t>
      </w:r>
    </w:p>
    <w:p w14:paraId="26ACFD5C">
      <w:pPr>
        <w:pStyle w:val="105"/>
        <w:spacing w:before="120" w:after="120" w:line="360" w:lineRule="auto"/>
      </w:pPr>
      <w:r>
        <w:rPr>
          <w:rFonts w:hint="eastAsia"/>
        </w:rPr>
        <w:t>环境友好</w:t>
      </w:r>
    </w:p>
    <w:p w14:paraId="4E298868">
      <w:pPr>
        <w:pStyle w:val="56"/>
        <w:spacing w:line="360" w:lineRule="auto"/>
        <w:ind w:firstLine="420"/>
      </w:pPr>
      <w:r>
        <w:rPr>
          <w:rFonts w:hint="eastAsia"/>
        </w:rPr>
        <w:t>在检测过程中，应尽量减少对周边生态环境的干扰，优先采用低功耗、低噪声和可回收利用的设备与材料，实现绿色监测与环保目标。</w:t>
      </w:r>
    </w:p>
    <w:p w14:paraId="6CF0A369">
      <w:pPr>
        <w:pStyle w:val="104"/>
        <w:spacing w:before="240" w:after="240" w:line="360" w:lineRule="auto"/>
      </w:pPr>
      <w:bookmarkStart w:id="52" w:name="_Toc207024585"/>
      <w:r>
        <w:rPr>
          <w:rFonts w:hint="eastAsia"/>
        </w:rPr>
        <w:t>系统架构</w:t>
      </w:r>
      <w:bookmarkEnd w:id="52"/>
    </w:p>
    <w:p w14:paraId="66B9E110">
      <w:pPr>
        <w:pStyle w:val="105"/>
        <w:spacing w:before="120" w:after="120" w:line="360" w:lineRule="auto"/>
      </w:pPr>
      <w:r>
        <w:rPr>
          <w:rFonts w:hint="eastAsia"/>
        </w:rPr>
        <w:t>总体要求</w:t>
      </w:r>
    </w:p>
    <w:p w14:paraId="77CA454C">
      <w:pPr>
        <w:pStyle w:val="56"/>
        <w:spacing w:line="360" w:lineRule="auto"/>
        <w:ind w:firstLine="420"/>
      </w:pPr>
      <w:r>
        <w:rPr>
          <w:rFonts w:hint="eastAsia"/>
        </w:rPr>
        <w:t>压力管道泄漏智能检测系统应采用分层、模块化架构设计，以保证不同传感器、数据处理平台和应用系统之间能够高效协同。系统应覆盖从数据采集、传输、处理到结果应用的全过程，形成完整的监测与预警闭环。</w:t>
      </w:r>
    </w:p>
    <w:p w14:paraId="70ABD399">
      <w:pPr>
        <w:pStyle w:val="105"/>
        <w:spacing w:before="120" w:after="120" w:line="360" w:lineRule="auto"/>
      </w:pPr>
      <w:r>
        <w:rPr>
          <w:rFonts w:hint="eastAsia"/>
        </w:rPr>
        <w:t>系统分层</w:t>
      </w:r>
    </w:p>
    <w:p w14:paraId="09D6A30D">
      <w:pPr>
        <w:pStyle w:val="56"/>
        <w:spacing w:line="360" w:lineRule="auto"/>
        <w:ind w:firstLine="420"/>
      </w:pPr>
      <w:r>
        <w:rPr>
          <w:rFonts w:hint="eastAsia"/>
        </w:rPr>
        <w:t>系统整体可划分为感知层、传输层、平台层和应用层。感知层侧重于传感器与监测设备的部署，传输层保证数据安全稳定传递，平台层完成数据融合与智能分析，应用层则将检测结果转化为决策依据和运维措施。</w:t>
      </w:r>
    </w:p>
    <w:p w14:paraId="68666504">
      <w:pPr>
        <w:pStyle w:val="56"/>
        <w:spacing w:line="360" w:lineRule="auto"/>
        <w:ind w:firstLine="420"/>
      </w:pPr>
      <w:r>
        <w:rPr>
          <w:rFonts w:hint="eastAsia"/>
        </w:rPr>
        <w:t>系统架构的主要分层功能见表1。</w:t>
      </w:r>
    </w:p>
    <w:p w14:paraId="2A62EE40">
      <w:pPr>
        <w:pStyle w:val="112"/>
        <w:spacing w:before="120" w:after="120" w:line="360" w:lineRule="auto"/>
      </w:pPr>
      <w:r>
        <w:rPr>
          <w:rFonts w:hint="eastAsia"/>
        </w:rPr>
        <w:t>系统架构分层功能表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550"/>
        <w:gridCol w:w="3685"/>
        <w:gridCol w:w="4099"/>
      </w:tblGrid>
      <w:tr w14:paraId="315D7D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550" w:type="dxa"/>
            <w:tcBorders>
              <w:top w:val="single" w:color="auto" w:sz="8" w:space="0"/>
              <w:bottom w:val="single" w:color="auto" w:sz="8" w:space="0"/>
            </w:tcBorders>
          </w:tcPr>
          <w:p w14:paraId="2F768A31">
            <w:pPr>
              <w:pStyle w:val="178"/>
            </w:pPr>
            <w:r>
              <w:rPr>
                <w:rFonts w:hint="eastAsia"/>
              </w:rPr>
              <w:t>层级</w:t>
            </w:r>
          </w:p>
        </w:tc>
        <w:tc>
          <w:tcPr>
            <w:tcW w:w="3685" w:type="dxa"/>
            <w:tcBorders>
              <w:top w:val="single" w:color="auto" w:sz="8" w:space="0"/>
              <w:bottom w:val="single" w:color="auto" w:sz="8" w:space="0"/>
            </w:tcBorders>
          </w:tcPr>
          <w:p w14:paraId="71A04ACC">
            <w:pPr>
              <w:pStyle w:val="178"/>
            </w:pPr>
            <w:r>
              <w:rPr>
                <w:rFonts w:hint="eastAsia"/>
              </w:rPr>
              <w:t>主要功能</w:t>
            </w:r>
          </w:p>
        </w:tc>
        <w:tc>
          <w:tcPr>
            <w:tcW w:w="4099" w:type="dxa"/>
            <w:tcBorders>
              <w:top w:val="single" w:color="auto" w:sz="8" w:space="0"/>
              <w:bottom w:val="single" w:color="auto" w:sz="8" w:space="0"/>
            </w:tcBorders>
          </w:tcPr>
          <w:p w14:paraId="2D625B83">
            <w:pPr>
              <w:pStyle w:val="178"/>
            </w:pPr>
            <w:r>
              <w:rPr>
                <w:rFonts w:hint="eastAsia"/>
              </w:rPr>
              <w:t>技术要点</w:t>
            </w:r>
          </w:p>
        </w:tc>
      </w:tr>
      <w:tr w14:paraId="7113E1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tcBorders>
              <w:top w:val="single" w:color="auto" w:sz="8" w:space="0"/>
            </w:tcBorders>
          </w:tcPr>
          <w:p w14:paraId="6AA605E0">
            <w:pPr>
              <w:pStyle w:val="178"/>
            </w:pPr>
            <w:r>
              <w:rPr>
                <w:rFonts w:hint="eastAsia"/>
              </w:rPr>
              <w:t>感知层</w:t>
            </w:r>
          </w:p>
        </w:tc>
        <w:tc>
          <w:tcPr>
            <w:tcW w:w="3685" w:type="dxa"/>
            <w:tcBorders>
              <w:top w:val="single" w:color="auto" w:sz="8" w:space="0"/>
            </w:tcBorders>
          </w:tcPr>
          <w:p w14:paraId="7E3C4E0B">
            <w:pPr>
              <w:pStyle w:val="178"/>
            </w:pPr>
            <w:r>
              <w:rPr>
                <w:rFonts w:hint="eastAsia"/>
              </w:rPr>
              <w:t>实时采集压力、流量、声学、温度数据</w:t>
            </w:r>
          </w:p>
        </w:tc>
        <w:tc>
          <w:tcPr>
            <w:tcW w:w="4099" w:type="dxa"/>
            <w:tcBorders>
              <w:top w:val="single" w:color="auto" w:sz="8" w:space="0"/>
            </w:tcBorders>
          </w:tcPr>
          <w:p w14:paraId="6A8AFCDF">
            <w:pPr>
              <w:pStyle w:val="178"/>
            </w:pPr>
            <w:r>
              <w:rPr>
                <w:rFonts w:hint="eastAsia"/>
              </w:rPr>
              <w:t>传感器布设、数据采样精度、低功耗设计</w:t>
            </w:r>
          </w:p>
        </w:tc>
      </w:tr>
      <w:tr w14:paraId="570C12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tcPr>
          <w:p w14:paraId="22ACF0EF">
            <w:pPr>
              <w:pStyle w:val="178"/>
            </w:pPr>
            <w:r>
              <w:rPr>
                <w:rFonts w:hint="eastAsia"/>
              </w:rPr>
              <w:t>传输层</w:t>
            </w:r>
          </w:p>
        </w:tc>
        <w:tc>
          <w:tcPr>
            <w:tcW w:w="3685" w:type="dxa"/>
          </w:tcPr>
          <w:p w14:paraId="5FA3D292">
            <w:pPr>
              <w:pStyle w:val="178"/>
            </w:pPr>
            <w:r>
              <w:rPr>
                <w:rFonts w:hint="eastAsia"/>
              </w:rPr>
              <w:t>保证数据高效、安全、稳定传输</w:t>
            </w:r>
          </w:p>
        </w:tc>
        <w:tc>
          <w:tcPr>
            <w:tcW w:w="4099" w:type="dxa"/>
          </w:tcPr>
          <w:p w14:paraId="2AD20B66">
            <w:pPr>
              <w:pStyle w:val="178"/>
            </w:pPr>
            <w:r>
              <w:rPr>
                <w:rFonts w:hint="eastAsia"/>
              </w:rPr>
              <w:t>光纤/无线专网、5G、数据加密与容错机制</w:t>
            </w:r>
          </w:p>
        </w:tc>
      </w:tr>
      <w:tr w14:paraId="4A0E72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tcPr>
          <w:p w14:paraId="05217B07">
            <w:pPr>
              <w:pStyle w:val="178"/>
            </w:pPr>
            <w:r>
              <w:rPr>
                <w:rFonts w:hint="eastAsia"/>
              </w:rPr>
              <w:t>平台层</w:t>
            </w:r>
          </w:p>
        </w:tc>
        <w:tc>
          <w:tcPr>
            <w:tcW w:w="3685" w:type="dxa"/>
          </w:tcPr>
          <w:p w14:paraId="70795DA2">
            <w:pPr>
              <w:pStyle w:val="178"/>
            </w:pPr>
            <w:r>
              <w:rPr>
                <w:rFonts w:hint="eastAsia"/>
              </w:rPr>
              <w:t>完成数据清洗、融合与智能诊断</w:t>
            </w:r>
          </w:p>
        </w:tc>
        <w:tc>
          <w:tcPr>
            <w:tcW w:w="4099" w:type="dxa"/>
          </w:tcPr>
          <w:p w14:paraId="7B0A027D">
            <w:pPr>
              <w:pStyle w:val="178"/>
            </w:pPr>
            <w:r>
              <w:rPr>
                <w:rFonts w:hint="eastAsia"/>
              </w:rPr>
              <w:t>大数据平台、机器学习算法、模式识别模型</w:t>
            </w:r>
          </w:p>
        </w:tc>
      </w:tr>
      <w:tr w14:paraId="013BCA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tcPr>
          <w:p w14:paraId="27445F79">
            <w:pPr>
              <w:pStyle w:val="178"/>
            </w:pPr>
            <w:r>
              <w:rPr>
                <w:rFonts w:hint="eastAsia"/>
              </w:rPr>
              <w:t>应用层</w:t>
            </w:r>
          </w:p>
        </w:tc>
        <w:tc>
          <w:tcPr>
            <w:tcW w:w="3685" w:type="dxa"/>
          </w:tcPr>
          <w:p w14:paraId="050F7AD4">
            <w:pPr>
              <w:pStyle w:val="178"/>
            </w:pPr>
            <w:r>
              <w:rPr>
                <w:rFonts w:hint="eastAsia"/>
              </w:rPr>
              <w:t>提供泄漏定位、风险预警与决策支持</w:t>
            </w:r>
          </w:p>
        </w:tc>
        <w:tc>
          <w:tcPr>
            <w:tcW w:w="4099" w:type="dxa"/>
          </w:tcPr>
          <w:p w14:paraId="3DE7D0A3">
            <w:pPr>
              <w:pStyle w:val="178"/>
            </w:pPr>
            <w:r>
              <w:rPr>
                <w:rFonts w:hint="eastAsia"/>
              </w:rPr>
              <w:t>可视化界面、SCADA 集成、应急预案触发</w:t>
            </w:r>
          </w:p>
        </w:tc>
      </w:tr>
    </w:tbl>
    <w:p w14:paraId="2EFAC2F7">
      <w:pPr>
        <w:pStyle w:val="105"/>
        <w:spacing w:before="120" w:after="120" w:line="360" w:lineRule="auto"/>
      </w:pPr>
      <w:r>
        <w:rPr>
          <w:rFonts w:hint="eastAsia"/>
        </w:rPr>
        <w:t>模块化设计</w:t>
      </w:r>
    </w:p>
    <w:p w14:paraId="20AC8172">
      <w:pPr>
        <w:pStyle w:val="56"/>
        <w:spacing w:line="360" w:lineRule="auto"/>
        <w:ind w:firstLine="420"/>
      </w:pPr>
      <w:r>
        <w:rPr>
          <w:rFonts w:hint="eastAsia"/>
        </w:rPr>
        <w:t>在系统分层的基础上，应进一步细化为功能模块：</w:t>
      </w:r>
    </w:p>
    <w:p w14:paraId="221FB059">
      <w:pPr>
        <w:pStyle w:val="132"/>
        <w:spacing w:line="360" w:lineRule="auto"/>
      </w:pPr>
      <w:r>
        <w:rPr>
          <w:rFonts w:hint="eastAsia"/>
        </w:rPr>
        <w:t>传感器网络模块：实现压力、流量、声学与温度多点监测；</w:t>
      </w:r>
    </w:p>
    <w:p w14:paraId="52CDB497">
      <w:pPr>
        <w:pStyle w:val="132"/>
        <w:spacing w:line="360" w:lineRule="auto"/>
      </w:pPr>
      <w:r>
        <w:rPr>
          <w:rFonts w:hint="eastAsia"/>
        </w:rPr>
        <w:t>数据管理模块：负责数据预处理、存储与调用；</w:t>
      </w:r>
    </w:p>
    <w:p w14:paraId="6C4D3924">
      <w:pPr>
        <w:pStyle w:val="132"/>
        <w:spacing w:line="360" w:lineRule="auto"/>
      </w:pPr>
      <w:r>
        <w:rPr>
          <w:rFonts w:hint="eastAsia"/>
        </w:rPr>
        <w:t>智能分析模块：利用人工智能算法进行泄漏检测与定位；</w:t>
      </w:r>
    </w:p>
    <w:p w14:paraId="395C48E0">
      <w:pPr>
        <w:pStyle w:val="132"/>
        <w:spacing w:line="360" w:lineRule="auto"/>
      </w:pPr>
      <w:r>
        <w:rPr>
          <w:rFonts w:hint="eastAsia"/>
        </w:rPr>
        <w:t>预警与决策模块：在异常发生时触发告警并输出应急措施。</w:t>
      </w:r>
    </w:p>
    <w:p w14:paraId="42538C70">
      <w:pPr>
        <w:pStyle w:val="56"/>
        <w:spacing w:line="360" w:lineRule="auto"/>
        <w:ind w:firstLine="420"/>
      </w:pPr>
      <w:r>
        <w:rPr>
          <w:rFonts w:hint="eastAsia"/>
        </w:rPr>
        <w:t>模块化设计的优势在于可根据实际应用需求灵活配置，并具备良好的扩展性与可维护性。</w:t>
      </w:r>
    </w:p>
    <w:p w14:paraId="0E08D3B2">
      <w:pPr>
        <w:pStyle w:val="105"/>
        <w:spacing w:before="120" w:after="120" w:line="360" w:lineRule="auto"/>
      </w:pPr>
      <w:r>
        <w:rPr>
          <w:rFonts w:hint="eastAsia"/>
        </w:rPr>
        <w:t>系统接口与标准化</w:t>
      </w:r>
    </w:p>
    <w:p w14:paraId="48854888">
      <w:pPr>
        <w:pStyle w:val="56"/>
        <w:spacing w:line="360" w:lineRule="auto"/>
        <w:ind w:firstLine="420"/>
      </w:pPr>
      <w:r>
        <w:rPr>
          <w:rFonts w:hint="eastAsia"/>
        </w:rPr>
        <w:t>系统应支持标准化接口协议，保证与 SCADA 系统、GIS 平台及第三方安全监控系统的互联互通。数据格式应符合国家和行业标准，避免因设备差异导致的“信息孤岛”。</w:t>
      </w:r>
    </w:p>
    <w:p w14:paraId="73F496D7">
      <w:pPr>
        <w:pStyle w:val="105"/>
        <w:spacing w:before="120" w:after="120" w:line="360" w:lineRule="auto"/>
      </w:pPr>
      <w:r>
        <w:rPr>
          <w:rFonts w:hint="eastAsia"/>
        </w:rPr>
        <w:t>综合说明</w:t>
      </w:r>
    </w:p>
    <w:p w14:paraId="305AD961">
      <w:pPr>
        <w:pStyle w:val="56"/>
        <w:spacing w:line="360" w:lineRule="auto"/>
        <w:ind w:firstLine="420"/>
      </w:pPr>
      <w:r>
        <w:rPr>
          <w:rFonts w:hint="eastAsia"/>
        </w:rPr>
        <w:t>通过分层与模块化架构设计，压力管道泄漏智能检测系统能够实现从数据采集到风险预警的全流程覆盖。这种架构既保障了系统的稳定性与可扩展性，也为不同应用场景下的工程化落地提供了统一的技术框架。</w:t>
      </w:r>
    </w:p>
    <w:p w14:paraId="7DEE3B14">
      <w:pPr>
        <w:pStyle w:val="104"/>
        <w:spacing w:before="240" w:after="240" w:line="360" w:lineRule="auto"/>
      </w:pPr>
      <w:bookmarkStart w:id="53" w:name="_Toc207024586"/>
      <w:r>
        <w:rPr>
          <w:rFonts w:hint="eastAsia"/>
        </w:rPr>
        <w:t>关键技术</w:t>
      </w:r>
      <w:bookmarkEnd w:id="53"/>
    </w:p>
    <w:p w14:paraId="375D609B">
      <w:pPr>
        <w:pStyle w:val="105"/>
        <w:spacing w:before="120" w:after="120" w:line="360" w:lineRule="auto"/>
      </w:pPr>
      <w:r>
        <w:rPr>
          <w:rFonts w:hint="eastAsia"/>
        </w:rPr>
        <w:t>总体要求</w:t>
      </w:r>
    </w:p>
    <w:p w14:paraId="5B6A1B0F">
      <w:pPr>
        <w:pStyle w:val="56"/>
        <w:spacing w:line="360" w:lineRule="auto"/>
        <w:ind w:firstLine="420"/>
      </w:pPr>
      <w:r>
        <w:rPr>
          <w:rFonts w:hint="eastAsia"/>
        </w:rPr>
        <w:t>关键技术是压力管道泄漏智能检测系统有效运行的核心支撑。应在传感器部署、数据采集与传输、智能分析算法、泄漏定位及风险预警等环节提出明确的性能要求，确保系统具有高灵敏度、低误报率和良好的鲁棒性。</w:t>
      </w:r>
    </w:p>
    <w:p w14:paraId="726AC3CE">
      <w:pPr>
        <w:pStyle w:val="105"/>
        <w:spacing w:before="120" w:after="120" w:line="360" w:lineRule="auto"/>
      </w:pPr>
      <w:r>
        <w:rPr>
          <w:rFonts w:hint="eastAsia"/>
        </w:rPr>
        <w:t>传感器与监测技术</w:t>
      </w:r>
    </w:p>
    <w:p w14:paraId="20D9FB48">
      <w:pPr>
        <w:pStyle w:val="56"/>
        <w:spacing w:line="360" w:lineRule="auto"/>
        <w:ind w:firstLine="420"/>
      </w:pPr>
      <w:r>
        <w:rPr>
          <w:rFonts w:hint="eastAsia"/>
        </w:rPr>
        <w:t>传感器是泄漏检测的前端基础，应实现压力、流量、声学和温度等多模态信号的实时采集。不同类型传感器各有优势，合理组合和布设可显著提升检测效果。为了便于系统设计与实施，常见传感器及监测技术分类见表2。</w:t>
      </w:r>
    </w:p>
    <w:p w14:paraId="79F9889F">
      <w:pPr>
        <w:pStyle w:val="112"/>
        <w:spacing w:before="120" w:after="120" w:line="360" w:lineRule="auto"/>
      </w:pPr>
      <w:r>
        <w:rPr>
          <w:rFonts w:hint="eastAsia"/>
        </w:rPr>
        <w:t>常用传感器及监测技术分类</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408"/>
        <w:gridCol w:w="2693"/>
        <w:gridCol w:w="2693"/>
        <w:gridCol w:w="2540"/>
      </w:tblGrid>
      <w:tr w14:paraId="26BCE1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408" w:type="dxa"/>
            <w:tcBorders>
              <w:top w:val="single" w:color="auto" w:sz="8" w:space="0"/>
              <w:bottom w:val="single" w:color="auto" w:sz="8" w:space="0"/>
            </w:tcBorders>
          </w:tcPr>
          <w:p w14:paraId="701A0484">
            <w:pPr>
              <w:pStyle w:val="178"/>
            </w:pPr>
            <w:r>
              <w:rPr>
                <w:rFonts w:hint="eastAsia"/>
              </w:rPr>
              <w:t>技术类型</w:t>
            </w:r>
          </w:p>
        </w:tc>
        <w:tc>
          <w:tcPr>
            <w:tcW w:w="2693" w:type="dxa"/>
            <w:tcBorders>
              <w:top w:val="single" w:color="auto" w:sz="8" w:space="0"/>
              <w:bottom w:val="single" w:color="auto" w:sz="8" w:space="0"/>
            </w:tcBorders>
          </w:tcPr>
          <w:p w14:paraId="312C2A2D">
            <w:pPr>
              <w:pStyle w:val="178"/>
            </w:pPr>
            <w:r>
              <w:rPr>
                <w:rFonts w:hint="eastAsia"/>
              </w:rPr>
              <w:t>主要设备或手段</w:t>
            </w:r>
          </w:p>
        </w:tc>
        <w:tc>
          <w:tcPr>
            <w:tcW w:w="2693" w:type="dxa"/>
            <w:tcBorders>
              <w:top w:val="single" w:color="auto" w:sz="8" w:space="0"/>
              <w:bottom w:val="single" w:color="auto" w:sz="8" w:space="0"/>
            </w:tcBorders>
          </w:tcPr>
          <w:p w14:paraId="065ABB52">
            <w:pPr>
              <w:pStyle w:val="178"/>
            </w:pPr>
            <w:r>
              <w:rPr>
                <w:rFonts w:hint="eastAsia"/>
              </w:rPr>
              <w:t>特点及优势</w:t>
            </w:r>
          </w:p>
        </w:tc>
        <w:tc>
          <w:tcPr>
            <w:tcW w:w="2540" w:type="dxa"/>
            <w:tcBorders>
              <w:top w:val="single" w:color="auto" w:sz="8" w:space="0"/>
              <w:bottom w:val="single" w:color="auto" w:sz="8" w:space="0"/>
            </w:tcBorders>
          </w:tcPr>
          <w:p w14:paraId="61D0EA64">
            <w:pPr>
              <w:pStyle w:val="178"/>
            </w:pPr>
            <w:r>
              <w:rPr>
                <w:rFonts w:hint="eastAsia"/>
              </w:rPr>
              <w:t>应用场景</w:t>
            </w:r>
          </w:p>
        </w:tc>
      </w:tr>
      <w:tr w14:paraId="637E97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tcBorders>
              <w:top w:val="single" w:color="auto" w:sz="8" w:space="0"/>
            </w:tcBorders>
          </w:tcPr>
          <w:p w14:paraId="3727EB00">
            <w:pPr>
              <w:pStyle w:val="178"/>
            </w:pPr>
            <w:r>
              <w:rPr>
                <w:rFonts w:hint="eastAsia"/>
              </w:rPr>
              <w:t>压力监测</w:t>
            </w:r>
          </w:p>
        </w:tc>
        <w:tc>
          <w:tcPr>
            <w:tcW w:w="2693" w:type="dxa"/>
            <w:tcBorders>
              <w:top w:val="single" w:color="auto" w:sz="8" w:space="0"/>
            </w:tcBorders>
          </w:tcPr>
          <w:p w14:paraId="116F23DD">
            <w:pPr>
              <w:pStyle w:val="178"/>
            </w:pPr>
            <w:r>
              <w:rPr>
                <w:rFonts w:hint="eastAsia"/>
              </w:rPr>
              <w:t>压力传感器、压力波监测单元</w:t>
            </w:r>
          </w:p>
        </w:tc>
        <w:tc>
          <w:tcPr>
            <w:tcW w:w="2693" w:type="dxa"/>
            <w:tcBorders>
              <w:top w:val="single" w:color="auto" w:sz="8" w:space="0"/>
            </w:tcBorders>
          </w:tcPr>
          <w:p w14:paraId="6FBF85FC">
            <w:pPr>
              <w:pStyle w:val="178"/>
            </w:pPr>
            <w:r>
              <w:rPr>
                <w:rFonts w:hint="eastAsia"/>
              </w:rPr>
              <w:t>灵敏度高，能发现压力波动异常</w:t>
            </w:r>
          </w:p>
        </w:tc>
        <w:tc>
          <w:tcPr>
            <w:tcW w:w="2540" w:type="dxa"/>
            <w:tcBorders>
              <w:top w:val="single" w:color="auto" w:sz="8" w:space="0"/>
            </w:tcBorders>
          </w:tcPr>
          <w:p w14:paraId="2184174D">
            <w:pPr>
              <w:pStyle w:val="178"/>
            </w:pPr>
            <w:r>
              <w:rPr>
                <w:rFonts w:hint="eastAsia"/>
              </w:rPr>
              <w:t>长距离输送管道泄漏监测</w:t>
            </w:r>
          </w:p>
        </w:tc>
      </w:tr>
      <w:tr w14:paraId="2B7CD7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tcPr>
          <w:p w14:paraId="0A7787C8">
            <w:pPr>
              <w:pStyle w:val="178"/>
            </w:pPr>
            <w:r>
              <w:rPr>
                <w:rFonts w:hint="eastAsia"/>
              </w:rPr>
              <w:t>流量监测</w:t>
            </w:r>
          </w:p>
        </w:tc>
        <w:tc>
          <w:tcPr>
            <w:tcW w:w="2693" w:type="dxa"/>
          </w:tcPr>
          <w:p w14:paraId="26A0B423">
            <w:pPr>
              <w:pStyle w:val="178"/>
            </w:pPr>
            <w:r>
              <w:rPr>
                <w:rFonts w:hint="eastAsia"/>
              </w:rPr>
              <w:t>超声流量计、电磁流量计</w:t>
            </w:r>
          </w:p>
        </w:tc>
        <w:tc>
          <w:tcPr>
            <w:tcW w:w="2693" w:type="dxa"/>
          </w:tcPr>
          <w:p w14:paraId="7E2B6A31">
            <w:pPr>
              <w:pStyle w:val="178"/>
            </w:pPr>
            <w:r>
              <w:rPr>
                <w:rFonts w:hint="eastAsia"/>
              </w:rPr>
              <w:t>实时监测流量差，适合大管径</w:t>
            </w:r>
          </w:p>
        </w:tc>
        <w:tc>
          <w:tcPr>
            <w:tcW w:w="2540" w:type="dxa"/>
          </w:tcPr>
          <w:p w14:paraId="6295E4F1">
            <w:pPr>
              <w:pStyle w:val="178"/>
            </w:pPr>
            <w:r>
              <w:rPr>
                <w:rFonts w:hint="eastAsia"/>
              </w:rPr>
              <w:t>输油、输气管道流量平衡检测</w:t>
            </w:r>
          </w:p>
        </w:tc>
      </w:tr>
      <w:tr w14:paraId="049D65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tcPr>
          <w:p w14:paraId="6F59B890">
            <w:pPr>
              <w:pStyle w:val="178"/>
            </w:pPr>
            <w:r>
              <w:rPr>
                <w:rFonts w:hint="eastAsia"/>
              </w:rPr>
              <w:t>声学监测</w:t>
            </w:r>
          </w:p>
        </w:tc>
        <w:tc>
          <w:tcPr>
            <w:tcW w:w="2693" w:type="dxa"/>
          </w:tcPr>
          <w:p w14:paraId="600A6D1D">
            <w:pPr>
              <w:pStyle w:val="178"/>
            </w:pPr>
            <w:r>
              <w:rPr>
                <w:rFonts w:hint="eastAsia"/>
              </w:rPr>
              <w:t>声波传感器、声发射探头</w:t>
            </w:r>
          </w:p>
        </w:tc>
        <w:tc>
          <w:tcPr>
            <w:tcW w:w="2693" w:type="dxa"/>
          </w:tcPr>
          <w:p w14:paraId="0B08D4AB">
            <w:pPr>
              <w:pStyle w:val="178"/>
            </w:pPr>
            <w:r>
              <w:rPr>
                <w:rFonts w:hint="eastAsia"/>
              </w:rPr>
              <w:t>对泄漏产生的高频声敏感</w:t>
            </w:r>
          </w:p>
        </w:tc>
        <w:tc>
          <w:tcPr>
            <w:tcW w:w="2540" w:type="dxa"/>
          </w:tcPr>
          <w:p w14:paraId="6CD36382">
            <w:pPr>
              <w:pStyle w:val="178"/>
            </w:pPr>
            <w:r>
              <w:rPr>
                <w:rFonts w:hint="eastAsia"/>
              </w:rPr>
              <w:t>气体管道小泄漏早期识别</w:t>
            </w:r>
          </w:p>
        </w:tc>
      </w:tr>
      <w:tr w14:paraId="6AA6F5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tcPr>
          <w:p w14:paraId="25530DB2">
            <w:pPr>
              <w:pStyle w:val="178"/>
            </w:pPr>
            <w:r>
              <w:rPr>
                <w:rFonts w:hint="eastAsia"/>
              </w:rPr>
              <w:t>温度监测</w:t>
            </w:r>
          </w:p>
        </w:tc>
        <w:tc>
          <w:tcPr>
            <w:tcW w:w="2693" w:type="dxa"/>
          </w:tcPr>
          <w:p w14:paraId="7E4129B2">
            <w:pPr>
              <w:pStyle w:val="178"/>
            </w:pPr>
            <w:r>
              <w:rPr>
                <w:rFonts w:hint="eastAsia"/>
              </w:rPr>
              <w:t>红外热成像、光纤温度传感器</w:t>
            </w:r>
          </w:p>
        </w:tc>
        <w:tc>
          <w:tcPr>
            <w:tcW w:w="2693" w:type="dxa"/>
          </w:tcPr>
          <w:p w14:paraId="24E98F2C">
            <w:pPr>
              <w:pStyle w:val="178"/>
            </w:pPr>
            <w:r>
              <w:rPr>
                <w:rFonts w:hint="eastAsia"/>
              </w:rPr>
              <w:t>可监测泄漏导致的局部温度异常</w:t>
            </w:r>
          </w:p>
        </w:tc>
        <w:tc>
          <w:tcPr>
            <w:tcW w:w="2540" w:type="dxa"/>
          </w:tcPr>
          <w:p w14:paraId="2F26480D">
            <w:pPr>
              <w:pStyle w:val="178"/>
            </w:pPr>
            <w:r>
              <w:rPr>
                <w:rFonts w:hint="eastAsia"/>
              </w:rPr>
              <w:t>高温介质或地下管道泄漏监测</w:t>
            </w:r>
          </w:p>
        </w:tc>
      </w:tr>
      <w:tr w14:paraId="5EFD15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tcPr>
          <w:p w14:paraId="2237A787">
            <w:pPr>
              <w:pStyle w:val="178"/>
            </w:pPr>
            <w:r>
              <w:rPr>
                <w:rFonts w:hint="eastAsia"/>
              </w:rPr>
              <w:t>视觉监测</w:t>
            </w:r>
          </w:p>
        </w:tc>
        <w:tc>
          <w:tcPr>
            <w:tcW w:w="2693" w:type="dxa"/>
          </w:tcPr>
          <w:p w14:paraId="4C22BDDC">
            <w:pPr>
              <w:pStyle w:val="178"/>
            </w:pPr>
            <w:r>
              <w:rPr>
                <w:rFonts w:hint="eastAsia"/>
              </w:rPr>
              <w:t>工业相机、无人机巡检</w:t>
            </w:r>
          </w:p>
        </w:tc>
        <w:tc>
          <w:tcPr>
            <w:tcW w:w="2693" w:type="dxa"/>
          </w:tcPr>
          <w:p w14:paraId="6BDA7643">
            <w:pPr>
              <w:pStyle w:val="178"/>
            </w:pPr>
            <w:r>
              <w:rPr>
                <w:rFonts w:hint="eastAsia"/>
              </w:rPr>
              <w:t>非接触、覆盖范围大</w:t>
            </w:r>
          </w:p>
        </w:tc>
        <w:tc>
          <w:tcPr>
            <w:tcW w:w="2540" w:type="dxa"/>
          </w:tcPr>
          <w:p w14:paraId="36F7E446">
            <w:pPr>
              <w:pStyle w:val="178"/>
            </w:pPr>
            <w:r>
              <w:rPr>
                <w:rFonts w:hint="eastAsia"/>
              </w:rPr>
              <w:t>地面管道及阀室巡检</w:t>
            </w:r>
          </w:p>
        </w:tc>
      </w:tr>
    </w:tbl>
    <w:p w14:paraId="5545CA0D">
      <w:pPr>
        <w:pStyle w:val="56"/>
        <w:spacing w:before="120" w:beforeLines="50" w:line="360" w:lineRule="auto"/>
        <w:ind w:firstLine="420"/>
      </w:pPr>
      <w:r>
        <w:rPr>
          <w:rFonts w:hint="eastAsia"/>
        </w:rPr>
        <w:t>通过多种传感器协同布设，可形成全方位的监测网络，有效提升泄漏检测的灵敏度与准确性。</w:t>
      </w:r>
    </w:p>
    <w:p w14:paraId="53394AA7">
      <w:pPr>
        <w:pStyle w:val="105"/>
        <w:spacing w:before="120" w:after="120" w:line="360" w:lineRule="auto"/>
      </w:pPr>
      <w:r>
        <w:rPr>
          <w:rFonts w:hint="eastAsia"/>
        </w:rPr>
        <w:t>数据处理与融合</w:t>
      </w:r>
    </w:p>
    <w:p w14:paraId="74299F95">
      <w:pPr>
        <w:pStyle w:val="56"/>
        <w:spacing w:line="360" w:lineRule="auto"/>
        <w:ind w:firstLine="420"/>
      </w:pPr>
      <w:r>
        <w:rPr>
          <w:rFonts w:hint="eastAsia"/>
        </w:rPr>
        <w:t>在数据采集后，需对不同模态信号进行预处理（滤波、去噪、归一化），并通过多传感器数据融合提升检测精度。融合方式包括信号级、特征级和决策级融合。为直观展示不同方法的特点与适用性，相关内容见表3。</w:t>
      </w:r>
    </w:p>
    <w:p w14:paraId="285226B2">
      <w:pPr>
        <w:pStyle w:val="112"/>
        <w:spacing w:before="120" w:after="120" w:line="360" w:lineRule="auto"/>
      </w:pPr>
      <w:r>
        <w:rPr>
          <w:rFonts w:hint="eastAsia"/>
        </w:rPr>
        <w:t>数据融合方法与性能指标</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983"/>
        <w:gridCol w:w="2693"/>
        <w:gridCol w:w="3118"/>
        <w:gridCol w:w="2540"/>
      </w:tblGrid>
      <w:tr w14:paraId="6FDE58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83" w:type="dxa"/>
            <w:tcBorders>
              <w:top w:val="single" w:color="auto" w:sz="8" w:space="0"/>
              <w:bottom w:val="single" w:color="auto" w:sz="8" w:space="0"/>
            </w:tcBorders>
            <w:vAlign w:val="center"/>
          </w:tcPr>
          <w:p w14:paraId="58558373">
            <w:pPr>
              <w:pStyle w:val="178"/>
            </w:pPr>
            <w:r>
              <w:rPr>
                <w:rFonts w:hint="eastAsia"/>
              </w:rPr>
              <w:t>融合方法</w:t>
            </w:r>
          </w:p>
        </w:tc>
        <w:tc>
          <w:tcPr>
            <w:tcW w:w="2693" w:type="dxa"/>
            <w:tcBorders>
              <w:top w:val="single" w:color="auto" w:sz="8" w:space="0"/>
              <w:bottom w:val="single" w:color="auto" w:sz="8" w:space="0"/>
            </w:tcBorders>
            <w:vAlign w:val="center"/>
          </w:tcPr>
          <w:p w14:paraId="63A0C963">
            <w:pPr>
              <w:pStyle w:val="178"/>
            </w:pPr>
            <w:r>
              <w:rPr>
                <w:rFonts w:hint="eastAsia"/>
              </w:rPr>
              <w:t>技术特点</w:t>
            </w:r>
          </w:p>
        </w:tc>
        <w:tc>
          <w:tcPr>
            <w:tcW w:w="3118" w:type="dxa"/>
            <w:tcBorders>
              <w:top w:val="single" w:color="auto" w:sz="8" w:space="0"/>
              <w:bottom w:val="single" w:color="auto" w:sz="8" w:space="0"/>
            </w:tcBorders>
            <w:vAlign w:val="center"/>
          </w:tcPr>
          <w:p w14:paraId="2A5AC969">
            <w:pPr>
              <w:pStyle w:val="178"/>
            </w:pPr>
            <w:r>
              <w:rPr>
                <w:rFonts w:hint="eastAsia"/>
              </w:rPr>
              <w:t>性能指标要求</w:t>
            </w:r>
          </w:p>
        </w:tc>
        <w:tc>
          <w:tcPr>
            <w:tcW w:w="2540" w:type="dxa"/>
            <w:tcBorders>
              <w:top w:val="single" w:color="auto" w:sz="8" w:space="0"/>
              <w:bottom w:val="single" w:color="auto" w:sz="8" w:space="0"/>
            </w:tcBorders>
            <w:vAlign w:val="center"/>
          </w:tcPr>
          <w:p w14:paraId="77ED90F1">
            <w:pPr>
              <w:pStyle w:val="178"/>
            </w:pPr>
            <w:r>
              <w:rPr>
                <w:rFonts w:hint="eastAsia"/>
              </w:rPr>
              <w:t>适用场景</w:t>
            </w:r>
          </w:p>
        </w:tc>
      </w:tr>
      <w:tr w14:paraId="5B4FA6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tcBorders>
              <w:top w:val="single" w:color="auto" w:sz="8" w:space="0"/>
            </w:tcBorders>
            <w:vAlign w:val="center"/>
          </w:tcPr>
          <w:p w14:paraId="3FF7DB62">
            <w:pPr>
              <w:pStyle w:val="178"/>
            </w:pPr>
            <w:r>
              <w:rPr>
                <w:rFonts w:hint="eastAsia"/>
              </w:rPr>
              <w:t>信号级融合</w:t>
            </w:r>
          </w:p>
        </w:tc>
        <w:tc>
          <w:tcPr>
            <w:tcW w:w="2693" w:type="dxa"/>
            <w:tcBorders>
              <w:top w:val="single" w:color="auto" w:sz="8" w:space="0"/>
            </w:tcBorders>
            <w:vAlign w:val="center"/>
          </w:tcPr>
          <w:p w14:paraId="22A8276E">
            <w:pPr>
              <w:pStyle w:val="178"/>
            </w:pPr>
            <w:r>
              <w:rPr>
                <w:rFonts w:hint="eastAsia"/>
              </w:rPr>
              <w:t>直接对原始数据进行加权处理</w:t>
            </w:r>
          </w:p>
        </w:tc>
        <w:tc>
          <w:tcPr>
            <w:tcW w:w="3118" w:type="dxa"/>
            <w:tcBorders>
              <w:top w:val="single" w:color="auto" w:sz="8" w:space="0"/>
            </w:tcBorders>
            <w:vAlign w:val="center"/>
          </w:tcPr>
          <w:p w14:paraId="27FD5EDC">
            <w:pPr>
              <w:pStyle w:val="178"/>
            </w:pPr>
            <w:r>
              <w:rPr>
                <w:rFonts w:hint="eastAsia"/>
              </w:rPr>
              <w:t>响应时间 ≤ 1 s，误报率 ≤ 5%</w:t>
            </w:r>
          </w:p>
        </w:tc>
        <w:tc>
          <w:tcPr>
            <w:tcW w:w="2540" w:type="dxa"/>
            <w:tcBorders>
              <w:top w:val="single" w:color="auto" w:sz="8" w:space="0"/>
            </w:tcBorders>
            <w:vAlign w:val="center"/>
          </w:tcPr>
          <w:p w14:paraId="3E2CE4BB">
            <w:pPr>
              <w:pStyle w:val="178"/>
            </w:pPr>
            <w:r>
              <w:rPr>
                <w:rFonts w:hint="eastAsia"/>
              </w:rPr>
              <w:t>实时性要求高的长距离管道监测</w:t>
            </w:r>
          </w:p>
        </w:tc>
      </w:tr>
    </w:tbl>
    <w:p w14:paraId="7FEAE7F1">
      <w:pPr>
        <w:pStyle w:val="56"/>
        <w:spacing w:before="120" w:beforeLines="50" w:after="120" w:afterLines="50"/>
        <w:ind w:firstLine="0" w:firstLineChars="0"/>
        <w:jc w:val="center"/>
        <w:rPr>
          <w:rFonts w:ascii="黑体" w:hAnsi="黑体" w:eastAsia="黑体"/>
        </w:rPr>
      </w:pPr>
      <w:r>
        <w:rPr>
          <w:rFonts w:hint="eastAsia" w:ascii="黑体" w:hAnsi="黑体" w:eastAsia="黑体"/>
        </w:rPr>
        <w:t>表3  数据融合方法与性能指标</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983"/>
        <w:gridCol w:w="2693"/>
        <w:gridCol w:w="3118"/>
        <w:gridCol w:w="2540"/>
      </w:tblGrid>
      <w:tr w14:paraId="3C8C5C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83" w:type="dxa"/>
            <w:tcBorders>
              <w:top w:val="single" w:color="auto" w:sz="8" w:space="0"/>
              <w:bottom w:val="single" w:color="auto" w:sz="8" w:space="0"/>
            </w:tcBorders>
            <w:vAlign w:val="center"/>
          </w:tcPr>
          <w:p w14:paraId="71D0FD70">
            <w:pPr>
              <w:pStyle w:val="178"/>
            </w:pPr>
            <w:r>
              <w:rPr>
                <w:rFonts w:hint="eastAsia"/>
              </w:rPr>
              <w:t>融合方法</w:t>
            </w:r>
          </w:p>
        </w:tc>
        <w:tc>
          <w:tcPr>
            <w:tcW w:w="2693" w:type="dxa"/>
            <w:tcBorders>
              <w:top w:val="single" w:color="auto" w:sz="8" w:space="0"/>
              <w:bottom w:val="single" w:color="auto" w:sz="8" w:space="0"/>
            </w:tcBorders>
            <w:vAlign w:val="center"/>
          </w:tcPr>
          <w:p w14:paraId="7997994F">
            <w:pPr>
              <w:pStyle w:val="178"/>
            </w:pPr>
            <w:r>
              <w:rPr>
                <w:rFonts w:hint="eastAsia"/>
              </w:rPr>
              <w:t>技术特点</w:t>
            </w:r>
          </w:p>
        </w:tc>
        <w:tc>
          <w:tcPr>
            <w:tcW w:w="3118" w:type="dxa"/>
            <w:tcBorders>
              <w:top w:val="single" w:color="auto" w:sz="8" w:space="0"/>
              <w:bottom w:val="single" w:color="auto" w:sz="8" w:space="0"/>
            </w:tcBorders>
            <w:vAlign w:val="center"/>
          </w:tcPr>
          <w:p w14:paraId="47E173FE">
            <w:pPr>
              <w:pStyle w:val="178"/>
            </w:pPr>
            <w:r>
              <w:rPr>
                <w:rFonts w:hint="eastAsia"/>
              </w:rPr>
              <w:t>性能指标要求</w:t>
            </w:r>
          </w:p>
        </w:tc>
        <w:tc>
          <w:tcPr>
            <w:tcW w:w="2540" w:type="dxa"/>
            <w:tcBorders>
              <w:top w:val="single" w:color="auto" w:sz="8" w:space="0"/>
              <w:bottom w:val="single" w:color="auto" w:sz="8" w:space="0"/>
            </w:tcBorders>
            <w:vAlign w:val="center"/>
          </w:tcPr>
          <w:p w14:paraId="2F2BC0B3">
            <w:pPr>
              <w:pStyle w:val="178"/>
            </w:pPr>
            <w:r>
              <w:rPr>
                <w:rFonts w:hint="eastAsia"/>
              </w:rPr>
              <w:t>适用场景</w:t>
            </w:r>
          </w:p>
        </w:tc>
      </w:tr>
      <w:tr w14:paraId="7C0ED5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vAlign w:val="center"/>
          </w:tcPr>
          <w:p w14:paraId="646A27CA">
            <w:pPr>
              <w:pStyle w:val="178"/>
            </w:pPr>
            <w:r>
              <w:rPr>
                <w:rFonts w:hint="eastAsia"/>
              </w:rPr>
              <w:t>特征级融合</w:t>
            </w:r>
          </w:p>
        </w:tc>
        <w:tc>
          <w:tcPr>
            <w:tcW w:w="2693" w:type="dxa"/>
            <w:vAlign w:val="center"/>
          </w:tcPr>
          <w:p w14:paraId="5785559C">
            <w:pPr>
              <w:pStyle w:val="178"/>
            </w:pPr>
            <w:r>
              <w:rPr>
                <w:rFonts w:hint="eastAsia"/>
              </w:rPr>
              <w:t>融合不同模态的特征参数</w:t>
            </w:r>
          </w:p>
        </w:tc>
        <w:tc>
          <w:tcPr>
            <w:tcW w:w="3118" w:type="dxa"/>
            <w:vAlign w:val="center"/>
          </w:tcPr>
          <w:p w14:paraId="31322AB9">
            <w:pPr>
              <w:pStyle w:val="178"/>
            </w:pPr>
            <w:r>
              <w:rPr>
                <w:rFonts w:hint="eastAsia"/>
              </w:rPr>
              <w:t>定位精度提升 ≥ 10%，噪声容忍 5%</w:t>
            </w:r>
          </w:p>
        </w:tc>
        <w:tc>
          <w:tcPr>
            <w:tcW w:w="2540" w:type="dxa"/>
            <w:vAlign w:val="center"/>
          </w:tcPr>
          <w:p w14:paraId="6C9DC802">
            <w:pPr>
              <w:pStyle w:val="178"/>
            </w:pPr>
            <w:r>
              <w:rPr>
                <w:rFonts w:hint="eastAsia"/>
              </w:rPr>
              <w:t>多传感器协同分析</w:t>
            </w:r>
          </w:p>
        </w:tc>
      </w:tr>
      <w:tr w14:paraId="1EC44B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vAlign w:val="center"/>
          </w:tcPr>
          <w:p w14:paraId="6022B652">
            <w:pPr>
              <w:pStyle w:val="178"/>
            </w:pPr>
            <w:r>
              <w:rPr>
                <w:rFonts w:hint="eastAsia"/>
              </w:rPr>
              <w:t>决策级融合</w:t>
            </w:r>
          </w:p>
        </w:tc>
        <w:tc>
          <w:tcPr>
            <w:tcW w:w="2693" w:type="dxa"/>
            <w:vAlign w:val="center"/>
          </w:tcPr>
          <w:p w14:paraId="2EB941A1">
            <w:pPr>
              <w:pStyle w:val="178"/>
            </w:pPr>
            <w:r>
              <w:rPr>
                <w:rFonts w:hint="eastAsia"/>
              </w:rPr>
              <w:t>独立识别后进行综合判断</w:t>
            </w:r>
          </w:p>
        </w:tc>
        <w:tc>
          <w:tcPr>
            <w:tcW w:w="3118" w:type="dxa"/>
            <w:vAlign w:val="center"/>
          </w:tcPr>
          <w:p w14:paraId="14178F2A">
            <w:pPr>
              <w:pStyle w:val="178"/>
            </w:pPr>
            <w:r>
              <w:rPr>
                <w:rFonts w:hint="eastAsia"/>
              </w:rPr>
              <w:t>综合准确率 ≥ 95%</w:t>
            </w:r>
          </w:p>
        </w:tc>
        <w:tc>
          <w:tcPr>
            <w:tcW w:w="2540" w:type="dxa"/>
            <w:vAlign w:val="center"/>
          </w:tcPr>
          <w:p w14:paraId="66DBF148">
            <w:pPr>
              <w:pStyle w:val="178"/>
            </w:pPr>
            <w:r>
              <w:rPr>
                <w:rFonts w:hint="eastAsia"/>
              </w:rPr>
              <w:t>大规模网络化检测系统</w:t>
            </w:r>
          </w:p>
        </w:tc>
      </w:tr>
      <w:tr w14:paraId="4C72B6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vAlign w:val="center"/>
          </w:tcPr>
          <w:p w14:paraId="6B9AAA23">
            <w:pPr>
              <w:pStyle w:val="178"/>
            </w:pPr>
            <w:r>
              <w:rPr>
                <w:rFonts w:hint="eastAsia"/>
              </w:rPr>
              <w:t>智能算法</w:t>
            </w:r>
          </w:p>
        </w:tc>
        <w:tc>
          <w:tcPr>
            <w:tcW w:w="2693" w:type="dxa"/>
            <w:vAlign w:val="center"/>
          </w:tcPr>
          <w:p w14:paraId="277DF30F">
            <w:pPr>
              <w:pStyle w:val="178"/>
            </w:pPr>
            <w:r>
              <w:rPr>
                <w:rFonts w:hint="eastAsia"/>
              </w:rPr>
              <w:t>利用机器学习/深度学习进行融合</w:t>
            </w:r>
          </w:p>
        </w:tc>
        <w:tc>
          <w:tcPr>
            <w:tcW w:w="3118" w:type="dxa"/>
            <w:vAlign w:val="center"/>
          </w:tcPr>
          <w:p w14:paraId="25E2411F">
            <w:pPr>
              <w:pStyle w:val="178"/>
            </w:pPr>
            <w:r>
              <w:rPr>
                <w:rFonts w:hint="eastAsia"/>
              </w:rPr>
              <w:t>检测灵敏度提升 ≥ 15%，自适应能力强</w:t>
            </w:r>
          </w:p>
        </w:tc>
        <w:tc>
          <w:tcPr>
            <w:tcW w:w="2540" w:type="dxa"/>
            <w:vAlign w:val="center"/>
          </w:tcPr>
          <w:p w14:paraId="73E8FE5A">
            <w:pPr>
              <w:pStyle w:val="178"/>
            </w:pPr>
            <w:r>
              <w:rPr>
                <w:rFonts w:hint="eastAsia"/>
              </w:rPr>
              <w:t>复杂环境下的小泄漏识别与预测</w:t>
            </w:r>
          </w:p>
        </w:tc>
      </w:tr>
    </w:tbl>
    <w:p w14:paraId="6A8D9E83">
      <w:pPr>
        <w:pStyle w:val="56"/>
        <w:spacing w:before="120" w:beforeLines="50" w:line="360" w:lineRule="auto"/>
        <w:ind w:firstLine="420"/>
      </w:pPr>
      <w:r>
        <w:rPr>
          <w:rFonts w:hint="eastAsia"/>
        </w:rPr>
        <w:t>这些数据融合方法可结合实际需求灵活选择，以保证检测系统在不同运行条件下的精确性和稳定性。</w:t>
      </w:r>
    </w:p>
    <w:p w14:paraId="4605A9A7">
      <w:pPr>
        <w:pStyle w:val="104"/>
        <w:spacing w:before="240" w:after="240" w:line="360" w:lineRule="auto"/>
      </w:pPr>
      <w:bookmarkStart w:id="54" w:name="_Toc207024587"/>
      <w:r>
        <w:rPr>
          <w:rFonts w:hint="eastAsia"/>
        </w:rPr>
        <w:t>检测方法</w:t>
      </w:r>
      <w:bookmarkEnd w:id="54"/>
    </w:p>
    <w:p w14:paraId="624A4F65">
      <w:pPr>
        <w:pStyle w:val="105"/>
        <w:spacing w:before="120" w:after="120" w:line="360" w:lineRule="auto"/>
      </w:pPr>
      <w:r>
        <w:rPr>
          <w:rFonts w:hint="eastAsia"/>
        </w:rPr>
        <w:t>总则</w:t>
      </w:r>
    </w:p>
    <w:p w14:paraId="19C2B384">
      <w:pPr>
        <w:pStyle w:val="56"/>
        <w:spacing w:line="360" w:lineRule="auto"/>
        <w:ind w:firstLine="420"/>
      </w:pPr>
      <w:r>
        <w:rPr>
          <w:rFonts w:hint="eastAsia"/>
        </w:rPr>
        <w:t>压力管道泄漏检测方法应以安全性、可靠性和适用性为基本原则，优先选用成熟、可验证的技术手段。检测过程应确保对管道运行无破坏性干扰，并符合国家及行业相关标准。不同检测方法可单独使用，也可联合应用，以形成多维度的监测与验证机制。</w:t>
      </w:r>
    </w:p>
    <w:p w14:paraId="4D1D688A">
      <w:pPr>
        <w:pStyle w:val="105"/>
        <w:spacing w:before="120" w:after="120" w:line="360" w:lineRule="auto"/>
      </w:pPr>
      <w:r>
        <w:rPr>
          <w:rFonts w:hint="eastAsia"/>
        </w:rPr>
        <w:t>声学检测法</w:t>
      </w:r>
    </w:p>
    <w:p w14:paraId="48CA8654">
      <w:pPr>
        <w:pStyle w:val="56"/>
        <w:spacing w:line="360" w:lineRule="auto"/>
        <w:ind w:firstLine="420"/>
      </w:pPr>
      <w:r>
        <w:rPr>
          <w:rFonts w:hint="eastAsia"/>
        </w:rPr>
        <w:t>声学检测法通过布设声波传感器或声发射探头，监测泄漏过程中产生的高频声信号：</w:t>
      </w:r>
    </w:p>
    <w:p w14:paraId="6181885D">
      <w:pPr>
        <w:pStyle w:val="132"/>
        <w:spacing w:line="360" w:lineRule="auto"/>
      </w:pPr>
      <w:r>
        <w:rPr>
          <w:rFonts w:hint="eastAsia"/>
        </w:rPr>
        <w:t>适用范围：气体或液体管道的小规模泄漏识别；</w:t>
      </w:r>
    </w:p>
    <w:p w14:paraId="1A0A682C">
      <w:pPr>
        <w:pStyle w:val="132"/>
        <w:spacing w:line="360" w:lineRule="auto"/>
      </w:pPr>
      <w:r>
        <w:rPr>
          <w:rFonts w:hint="eastAsia"/>
        </w:rPr>
        <w:t>关键要求：检测灵敏度≥90%，定位精度≤5 m；</w:t>
      </w:r>
    </w:p>
    <w:p w14:paraId="0AA5FFF8">
      <w:pPr>
        <w:pStyle w:val="132"/>
        <w:spacing w:line="360" w:lineRule="auto"/>
      </w:pPr>
      <w:r>
        <w:rPr>
          <w:rFonts w:hint="eastAsia"/>
        </w:rPr>
        <w:t>优势：对早期微小泄漏响应快；</w:t>
      </w:r>
    </w:p>
    <w:p w14:paraId="0E52AAF4">
      <w:pPr>
        <w:pStyle w:val="132"/>
        <w:spacing w:line="360" w:lineRule="auto"/>
      </w:pPr>
      <w:r>
        <w:rPr>
          <w:rFonts w:hint="eastAsia"/>
        </w:rPr>
        <w:t>局限：易受环境噪声干扰。</w:t>
      </w:r>
    </w:p>
    <w:p w14:paraId="6B979A9E">
      <w:pPr>
        <w:pStyle w:val="105"/>
        <w:spacing w:before="120" w:after="120" w:line="360" w:lineRule="auto"/>
      </w:pPr>
      <w:r>
        <w:rPr>
          <w:rFonts w:hint="eastAsia"/>
        </w:rPr>
        <w:t>压力波检测法</w:t>
      </w:r>
    </w:p>
    <w:p w14:paraId="30D6E2A2">
      <w:pPr>
        <w:pStyle w:val="56"/>
        <w:spacing w:line="360" w:lineRule="auto"/>
        <w:ind w:firstLine="420"/>
      </w:pPr>
      <w:r>
        <w:rPr>
          <w:rFonts w:hint="eastAsia"/>
        </w:rPr>
        <w:t>利用泄漏导致的瞬态压力波动进行分析，识别泄漏点位置：</w:t>
      </w:r>
    </w:p>
    <w:p w14:paraId="11E7B8AA">
      <w:pPr>
        <w:pStyle w:val="132"/>
        <w:spacing w:line="360" w:lineRule="auto"/>
      </w:pPr>
      <w:r>
        <w:rPr>
          <w:rFonts w:hint="eastAsia"/>
        </w:rPr>
        <w:t>适用范围：长距离输油、输气管道；</w:t>
      </w:r>
    </w:p>
    <w:p w14:paraId="0B138FDD">
      <w:pPr>
        <w:pStyle w:val="132"/>
        <w:spacing w:line="360" w:lineRule="auto"/>
      </w:pPr>
      <w:r>
        <w:rPr>
          <w:rFonts w:hint="eastAsia"/>
        </w:rPr>
        <w:t>技术要求：响应时间≤1 s，误报率≤5%；</w:t>
      </w:r>
    </w:p>
    <w:p w14:paraId="1A72F926">
      <w:pPr>
        <w:pStyle w:val="132"/>
        <w:spacing w:line="360" w:lineRule="auto"/>
      </w:pPr>
      <w:r>
        <w:rPr>
          <w:rFonts w:hint="eastAsia"/>
        </w:rPr>
        <w:t>说明：宜与流量监测结合，提高准确率。</w:t>
      </w:r>
    </w:p>
    <w:p w14:paraId="188441E8">
      <w:pPr>
        <w:pStyle w:val="105"/>
        <w:spacing w:before="120" w:after="120" w:line="360" w:lineRule="auto"/>
      </w:pPr>
      <w:r>
        <w:rPr>
          <w:rFonts w:hint="eastAsia"/>
        </w:rPr>
        <w:t>流量平衡法</w:t>
      </w:r>
    </w:p>
    <w:p w14:paraId="692B508D">
      <w:pPr>
        <w:pStyle w:val="56"/>
        <w:spacing w:line="360" w:lineRule="auto"/>
        <w:ind w:firstLine="420"/>
      </w:pPr>
      <w:r>
        <w:rPr>
          <w:rFonts w:hint="eastAsia"/>
        </w:rPr>
        <w:t>基于进出口流量差异判断泄漏：</w:t>
      </w:r>
    </w:p>
    <w:p w14:paraId="444FD636">
      <w:pPr>
        <w:pStyle w:val="132"/>
        <w:spacing w:line="360" w:lineRule="auto"/>
      </w:pPr>
      <w:r>
        <w:rPr>
          <w:rFonts w:hint="eastAsia"/>
        </w:rPr>
        <w:t>适用范围：大口径、稳定输送管道；</w:t>
      </w:r>
    </w:p>
    <w:p w14:paraId="48DFA7B0">
      <w:pPr>
        <w:pStyle w:val="132"/>
        <w:spacing w:line="360" w:lineRule="auto"/>
      </w:pPr>
      <w:r>
        <w:rPr>
          <w:rFonts w:hint="eastAsia"/>
        </w:rPr>
        <w:t>关键指标：流量差异检测灵敏度不低于1%；</w:t>
      </w:r>
    </w:p>
    <w:p w14:paraId="39D3D752">
      <w:pPr>
        <w:pStyle w:val="132"/>
        <w:spacing w:line="360" w:lineRule="auto"/>
      </w:pPr>
      <w:r>
        <w:rPr>
          <w:rFonts w:hint="eastAsia"/>
        </w:rPr>
        <w:t>优势：方法直观，实施简便；</w:t>
      </w:r>
    </w:p>
    <w:p w14:paraId="615FBC80">
      <w:pPr>
        <w:pStyle w:val="132"/>
        <w:spacing w:line="360" w:lineRule="auto"/>
      </w:pPr>
      <w:r>
        <w:rPr>
          <w:rFonts w:hint="eastAsia"/>
        </w:rPr>
        <w:t>不足：难以发现小泄漏。</w:t>
      </w:r>
    </w:p>
    <w:p w14:paraId="1DE333C5">
      <w:pPr>
        <w:pStyle w:val="105"/>
        <w:spacing w:before="120" w:after="120" w:line="360" w:lineRule="auto"/>
      </w:pPr>
      <w:r>
        <w:rPr>
          <w:rFonts w:hint="eastAsia"/>
        </w:rPr>
        <w:t>温度与红外监测法</w:t>
      </w:r>
    </w:p>
    <w:p w14:paraId="015ABB5A">
      <w:pPr>
        <w:pStyle w:val="56"/>
        <w:spacing w:line="360" w:lineRule="auto"/>
        <w:ind w:firstLine="420"/>
      </w:pPr>
      <w:r>
        <w:rPr>
          <w:rFonts w:hint="eastAsia"/>
        </w:rPr>
        <w:t>利用红外热成像或光纤温度传感器监测泄漏点周围温度异常：</w:t>
      </w:r>
    </w:p>
    <w:p w14:paraId="64EC3038">
      <w:pPr>
        <w:pStyle w:val="132"/>
        <w:spacing w:line="360" w:lineRule="auto"/>
      </w:pPr>
      <w:r>
        <w:rPr>
          <w:rFonts w:hint="eastAsia"/>
        </w:rPr>
        <w:t>适用范围：高温介质管道、地下管道；</w:t>
      </w:r>
    </w:p>
    <w:p w14:paraId="0AA54BD0">
      <w:pPr>
        <w:pStyle w:val="132"/>
        <w:spacing w:line="360" w:lineRule="auto"/>
      </w:pPr>
      <w:r>
        <w:rPr>
          <w:rFonts w:hint="eastAsia"/>
        </w:rPr>
        <w:t>技术要求：温度异常响应灵敏度±0.5 ℃；</w:t>
      </w:r>
    </w:p>
    <w:p w14:paraId="57F423A5">
      <w:pPr>
        <w:pStyle w:val="132"/>
        <w:spacing w:line="360" w:lineRule="auto"/>
      </w:pPr>
      <w:r>
        <w:rPr>
          <w:rFonts w:hint="eastAsia"/>
        </w:rPr>
        <w:t>说明：适合作为声学、压力法的补充。</w:t>
      </w:r>
    </w:p>
    <w:p w14:paraId="78F5579E">
      <w:pPr>
        <w:pStyle w:val="105"/>
        <w:spacing w:before="120" w:after="120" w:line="360" w:lineRule="auto"/>
      </w:pPr>
      <w:r>
        <w:rPr>
          <w:rFonts w:hint="eastAsia"/>
        </w:rPr>
        <w:t>视觉检测法</w:t>
      </w:r>
    </w:p>
    <w:p w14:paraId="68CDD29F">
      <w:pPr>
        <w:pStyle w:val="56"/>
        <w:spacing w:line="360" w:lineRule="auto"/>
        <w:ind w:firstLine="420"/>
      </w:pPr>
      <w:r>
        <w:rPr>
          <w:rFonts w:hint="eastAsia"/>
        </w:rPr>
        <w:t>通过工业相机、无人机巡检或视频监控识别液体或气体泄漏迹象：</w:t>
      </w:r>
    </w:p>
    <w:p w14:paraId="5A5A6078">
      <w:pPr>
        <w:pStyle w:val="132"/>
        <w:spacing w:line="360" w:lineRule="auto"/>
      </w:pPr>
      <w:r>
        <w:rPr>
          <w:rFonts w:hint="eastAsia"/>
        </w:rPr>
        <w:t>适用范围：地面管道、阀室及敷设较浅的管道；</w:t>
      </w:r>
    </w:p>
    <w:p w14:paraId="56D4C62E">
      <w:pPr>
        <w:pStyle w:val="132"/>
        <w:spacing w:line="360" w:lineRule="auto"/>
      </w:pPr>
      <w:r>
        <w:rPr>
          <w:rFonts w:hint="eastAsia"/>
        </w:rPr>
        <w:t>特点：非接触、覆盖范围广；</w:t>
      </w:r>
    </w:p>
    <w:p w14:paraId="5D54E82B">
      <w:pPr>
        <w:pStyle w:val="132"/>
        <w:spacing w:line="360" w:lineRule="auto"/>
      </w:pPr>
      <w:r>
        <w:rPr>
          <w:rFonts w:hint="eastAsia"/>
        </w:rPr>
        <w:t>局限：受光照、天气条件影响明显。</w:t>
      </w:r>
    </w:p>
    <w:p w14:paraId="5F850CE5">
      <w:pPr>
        <w:pStyle w:val="105"/>
        <w:spacing w:before="120" w:after="120" w:line="360" w:lineRule="auto"/>
      </w:pPr>
      <w:r>
        <w:rPr>
          <w:rFonts w:hint="eastAsia"/>
        </w:rPr>
        <w:t>多模态融合方法</w:t>
      </w:r>
    </w:p>
    <w:p w14:paraId="2DD5D6AD">
      <w:pPr>
        <w:pStyle w:val="56"/>
        <w:spacing w:line="360" w:lineRule="auto"/>
        <w:ind w:firstLine="420"/>
      </w:pPr>
      <w:r>
        <w:rPr>
          <w:rFonts w:hint="eastAsia"/>
        </w:rPr>
        <w:t>将声学、压力、流量、温度及视觉数据进行多模态融合，利用机器学习与智能算法进行综合分析：</w:t>
      </w:r>
    </w:p>
    <w:p w14:paraId="3DEBF7F9">
      <w:pPr>
        <w:pStyle w:val="132"/>
        <w:spacing w:line="360" w:lineRule="auto"/>
      </w:pPr>
      <w:r>
        <w:rPr>
          <w:rFonts w:hint="eastAsia"/>
        </w:rPr>
        <w:t>适用范围：复杂环境或大规模管网；</w:t>
      </w:r>
    </w:p>
    <w:p w14:paraId="0C91D640">
      <w:pPr>
        <w:pStyle w:val="132"/>
        <w:spacing w:line="360" w:lineRule="auto"/>
      </w:pPr>
      <w:r>
        <w:rPr>
          <w:rFonts w:hint="eastAsia"/>
        </w:rPr>
        <w:t>要求：综合准确率≥95%，定位误差≤3 m；</w:t>
      </w:r>
    </w:p>
    <w:p w14:paraId="72D3EF3A">
      <w:pPr>
        <w:pStyle w:val="132"/>
        <w:spacing w:line="360" w:lineRule="auto"/>
      </w:pPr>
      <w:r>
        <w:rPr>
          <w:rFonts w:hint="eastAsia"/>
        </w:rPr>
        <w:t>说明：应建立模型训练与验证机制，保证算法稳定性。</w:t>
      </w:r>
    </w:p>
    <w:p w14:paraId="16C874D7">
      <w:pPr>
        <w:pStyle w:val="105"/>
        <w:spacing w:before="120" w:after="120" w:line="360" w:lineRule="auto"/>
      </w:pPr>
      <w:r>
        <w:rPr>
          <w:rFonts w:hint="eastAsia"/>
        </w:rPr>
        <w:t>方法选择与组合</w:t>
      </w:r>
    </w:p>
    <w:p w14:paraId="14C79D00">
      <w:pPr>
        <w:pStyle w:val="56"/>
        <w:spacing w:line="360" w:lineRule="auto"/>
        <w:ind w:firstLine="420"/>
      </w:pPr>
      <w:r>
        <w:rPr>
          <w:rFonts w:hint="eastAsia"/>
        </w:rPr>
        <w:t>根据管道类型、输送介质、运行环境与风险等级，合理选择单一或组合检测方法。推荐的典型方法组合示例见表4。</w:t>
      </w:r>
    </w:p>
    <w:p w14:paraId="2B772FBD">
      <w:pPr>
        <w:pStyle w:val="112"/>
        <w:spacing w:before="120" w:after="120" w:line="360" w:lineRule="auto"/>
      </w:pPr>
      <w:r>
        <w:rPr>
          <w:rFonts w:hint="eastAsia"/>
        </w:rPr>
        <w:t>检测方法选择与组合示例</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258"/>
        <w:gridCol w:w="1985"/>
        <w:gridCol w:w="2757"/>
        <w:gridCol w:w="2334"/>
      </w:tblGrid>
      <w:tr w14:paraId="525077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258" w:type="dxa"/>
            <w:tcBorders>
              <w:top w:val="single" w:color="auto" w:sz="8" w:space="0"/>
              <w:bottom w:val="single" w:color="auto" w:sz="8" w:space="0"/>
            </w:tcBorders>
          </w:tcPr>
          <w:p w14:paraId="7B824077">
            <w:pPr>
              <w:pStyle w:val="178"/>
            </w:pPr>
            <w:r>
              <w:rPr>
                <w:rFonts w:hint="eastAsia"/>
              </w:rPr>
              <w:t>管道类型</w:t>
            </w:r>
          </w:p>
        </w:tc>
        <w:tc>
          <w:tcPr>
            <w:tcW w:w="1985" w:type="dxa"/>
            <w:tcBorders>
              <w:top w:val="single" w:color="auto" w:sz="8" w:space="0"/>
              <w:bottom w:val="single" w:color="auto" w:sz="8" w:space="0"/>
            </w:tcBorders>
          </w:tcPr>
          <w:p w14:paraId="4EF00120">
            <w:pPr>
              <w:pStyle w:val="178"/>
            </w:pPr>
            <w:r>
              <w:rPr>
                <w:rFonts w:hint="eastAsia"/>
              </w:rPr>
              <w:t>输送介质</w:t>
            </w:r>
          </w:p>
        </w:tc>
        <w:tc>
          <w:tcPr>
            <w:tcW w:w="2757" w:type="dxa"/>
            <w:tcBorders>
              <w:top w:val="single" w:color="auto" w:sz="8" w:space="0"/>
              <w:bottom w:val="single" w:color="auto" w:sz="8" w:space="0"/>
            </w:tcBorders>
          </w:tcPr>
          <w:p w14:paraId="6868180B">
            <w:pPr>
              <w:pStyle w:val="178"/>
            </w:pPr>
            <w:r>
              <w:rPr>
                <w:rFonts w:hint="eastAsia"/>
              </w:rPr>
              <w:t>推荐方法</w:t>
            </w:r>
          </w:p>
        </w:tc>
        <w:tc>
          <w:tcPr>
            <w:tcW w:w="2334" w:type="dxa"/>
            <w:tcBorders>
              <w:top w:val="single" w:color="auto" w:sz="8" w:space="0"/>
              <w:bottom w:val="single" w:color="auto" w:sz="8" w:space="0"/>
            </w:tcBorders>
          </w:tcPr>
          <w:p w14:paraId="7C6F3BA7">
            <w:pPr>
              <w:pStyle w:val="178"/>
            </w:pPr>
            <w:r>
              <w:rPr>
                <w:rFonts w:hint="eastAsia"/>
              </w:rPr>
              <w:t>辅助方法</w:t>
            </w:r>
          </w:p>
        </w:tc>
      </w:tr>
      <w:tr w14:paraId="45FE7B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tcBorders>
              <w:top w:val="single" w:color="auto" w:sz="8" w:space="0"/>
            </w:tcBorders>
          </w:tcPr>
          <w:p w14:paraId="74117A65">
            <w:pPr>
              <w:pStyle w:val="178"/>
            </w:pPr>
            <w:r>
              <w:rPr>
                <w:rFonts w:hint="eastAsia"/>
              </w:rPr>
              <w:t>长距离输气管道</w:t>
            </w:r>
          </w:p>
        </w:tc>
        <w:tc>
          <w:tcPr>
            <w:tcW w:w="1985" w:type="dxa"/>
            <w:tcBorders>
              <w:top w:val="single" w:color="auto" w:sz="8" w:space="0"/>
            </w:tcBorders>
          </w:tcPr>
          <w:p w14:paraId="5D915CFD">
            <w:pPr>
              <w:pStyle w:val="178"/>
            </w:pPr>
            <w:r>
              <w:rPr>
                <w:rFonts w:hint="eastAsia"/>
              </w:rPr>
              <w:t>天然气</w:t>
            </w:r>
          </w:p>
        </w:tc>
        <w:tc>
          <w:tcPr>
            <w:tcW w:w="2757" w:type="dxa"/>
            <w:tcBorders>
              <w:top w:val="single" w:color="auto" w:sz="8" w:space="0"/>
            </w:tcBorders>
          </w:tcPr>
          <w:p w14:paraId="2CA9501F">
            <w:pPr>
              <w:pStyle w:val="178"/>
            </w:pPr>
            <w:r>
              <w:rPr>
                <w:rFonts w:hint="eastAsia"/>
              </w:rPr>
              <w:t>压力波检测+声学检测</w:t>
            </w:r>
          </w:p>
        </w:tc>
        <w:tc>
          <w:tcPr>
            <w:tcW w:w="2334" w:type="dxa"/>
            <w:tcBorders>
              <w:top w:val="single" w:color="auto" w:sz="8" w:space="0"/>
            </w:tcBorders>
          </w:tcPr>
          <w:p w14:paraId="7673728D">
            <w:pPr>
              <w:pStyle w:val="178"/>
            </w:pPr>
            <w:r>
              <w:rPr>
                <w:rFonts w:hint="eastAsia"/>
              </w:rPr>
              <w:t>流量平衡、红外监测</w:t>
            </w:r>
          </w:p>
        </w:tc>
      </w:tr>
      <w:tr w14:paraId="0AA1FE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tcPr>
          <w:p w14:paraId="4ED08205">
            <w:pPr>
              <w:pStyle w:val="178"/>
            </w:pPr>
            <w:r>
              <w:rPr>
                <w:rFonts w:hint="eastAsia"/>
              </w:rPr>
              <w:t>石化工厂管道</w:t>
            </w:r>
          </w:p>
        </w:tc>
        <w:tc>
          <w:tcPr>
            <w:tcW w:w="1985" w:type="dxa"/>
          </w:tcPr>
          <w:p w14:paraId="3018D9BA">
            <w:pPr>
              <w:pStyle w:val="178"/>
            </w:pPr>
            <w:r>
              <w:rPr>
                <w:rFonts w:hint="eastAsia"/>
              </w:rPr>
              <w:t>液体化工品</w:t>
            </w:r>
          </w:p>
        </w:tc>
        <w:tc>
          <w:tcPr>
            <w:tcW w:w="2757" w:type="dxa"/>
          </w:tcPr>
          <w:p w14:paraId="44657B3A">
            <w:pPr>
              <w:pStyle w:val="178"/>
            </w:pPr>
            <w:r>
              <w:rPr>
                <w:rFonts w:hint="eastAsia"/>
              </w:rPr>
              <w:t>流量平衡+声学检测</w:t>
            </w:r>
          </w:p>
        </w:tc>
        <w:tc>
          <w:tcPr>
            <w:tcW w:w="2334" w:type="dxa"/>
          </w:tcPr>
          <w:p w14:paraId="043544EE">
            <w:pPr>
              <w:pStyle w:val="178"/>
            </w:pPr>
            <w:r>
              <w:rPr>
                <w:rFonts w:hint="eastAsia"/>
              </w:rPr>
              <w:t>红外监测、视觉检测</w:t>
            </w:r>
          </w:p>
        </w:tc>
      </w:tr>
      <w:tr w14:paraId="430A56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tcPr>
          <w:p w14:paraId="03A5D7BF">
            <w:pPr>
              <w:pStyle w:val="178"/>
            </w:pPr>
            <w:r>
              <w:rPr>
                <w:rFonts w:hint="eastAsia"/>
              </w:rPr>
              <w:t>高温蒸汽管道</w:t>
            </w:r>
          </w:p>
        </w:tc>
        <w:tc>
          <w:tcPr>
            <w:tcW w:w="1985" w:type="dxa"/>
          </w:tcPr>
          <w:p w14:paraId="0C5272F6">
            <w:pPr>
              <w:pStyle w:val="178"/>
            </w:pPr>
            <w:r>
              <w:rPr>
                <w:rFonts w:hint="eastAsia"/>
              </w:rPr>
              <w:t>蒸汽</w:t>
            </w:r>
          </w:p>
        </w:tc>
        <w:tc>
          <w:tcPr>
            <w:tcW w:w="2757" w:type="dxa"/>
          </w:tcPr>
          <w:p w14:paraId="52110029">
            <w:pPr>
              <w:pStyle w:val="178"/>
            </w:pPr>
            <w:r>
              <w:rPr>
                <w:rFonts w:hint="eastAsia"/>
              </w:rPr>
              <w:t>温度监测+声学检测</w:t>
            </w:r>
          </w:p>
        </w:tc>
        <w:tc>
          <w:tcPr>
            <w:tcW w:w="2334" w:type="dxa"/>
          </w:tcPr>
          <w:p w14:paraId="714018F5">
            <w:pPr>
              <w:pStyle w:val="178"/>
            </w:pPr>
            <w:r>
              <w:rPr>
                <w:rFonts w:hint="eastAsia"/>
              </w:rPr>
              <w:t>视觉检测</w:t>
            </w:r>
          </w:p>
        </w:tc>
      </w:tr>
      <w:tr w14:paraId="04A332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tcPr>
          <w:p w14:paraId="7EAD2036">
            <w:pPr>
              <w:pStyle w:val="178"/>
            </w:pPr>
            <w:r>
              <w:rPr>
                <w:rFonts w:hint="eastAsia"/>
              </w:rPr>
              <w:t>城市燃气管网</w:t>
            </w:r>
          </w:p>
        </w:tc>
        <w:tc>
          <w:tcPr>
            <w:tcW w:w="1985" w:type="dxa"/>
          </w:tcPr>
          <w:p w14:paraId="52B9BC3D">
            <w:pPr>
              <w:pStyle w:val="178"/>
            </w:pPr>
            <w:r>
              <w:rPr>
                <w:rFonts w:hint="eastAsia"/>
              </w:rPr>
              <w:t>燃气</w:t>
            </w:r>
          </w:p>
        </w:tc>
        <w:tc>
          <w:tcPr>
            <w:tcW w:w="2757" w:type="dxa"/>
          </w:tcPr>
          <w:p w14:paraId="3A775D7B">
            <w:pPr>
              <w:pStyle w:val="178"/>
            </w:pPr>
            <w:r>
              <w:rPr>
                <w:rFonts w:hint="eastAsia"/>
              </w:rPr>
              <w:t>多模态融合方法</w:t>
            </w:r>
          </w:p>
        </w:tc>
        <w:tc>
          <w:tcPr>
            <w:tcW w:w="2334" w:type="dxa"/>
          </w:tcPr>
          <w:p w14:paraId="104A120D">
            <w:pPr>
              <w:pStyle w:val="178"/>
            </w:pPr>
            <w:r>
              <w:rPr>
                <w:rFonts w:hint="eastAsia"/>
              </w:rPr>
              <w:t>无人机巡检</w:t>
            </w:r>
          </w:p>
        </w:tc>
      </w:tr>
    </w:tbl>
    <w:p w14:paraId="5C2386B7">
      <w:pPr>
        <w:pStyle w:val="104"/>
        <w:spacing w:before="240" w:after="240" w:line="360" w:lineRule="auto"/>
      </w:pPr>
      <w:bookmarkStart w:id="55" w:name="_Toc207024588"/>
      <w:r>
        <w:rPr>
          <w:rFonts w:hint="eastAsia"/>
        </w:rPr>
        <w:t>运行管理</w:t>
      </w:r>
      <w:bookmarkEnd w:id="55"/>
    </w:p>
    <w:p w14:paraId="59F3F6B7">
      <w:pPr>
        <w:pStyle w:val="105"/>
        <w:spacing w:before="120" w:after="120" w:line="360" w:lineRule="auto"/>
      </w:pPr>
      <w:r>
        <w:rPr>
          <w:rFonts w:hint="eastAsia"/>
        </w:rPr>
        <w:t>总则</w:t>
      </w:r>
    </w:p>
    <w:p w14:paraId="3DBB27C2">
      <w:pPr>
        <w:pStyle w:val="56"/>
        <w:spacing w:line="360" w:lineRule="auto"/>
        <w:ind w:firstLine="420"/>
      </w:pPr>
      <w:r>
        <w:rPr>
          <w:rFonts w:hint="eastAsia"/>
        </w:rPr>
        <w:t>压力管道泄漏智能检测系统的运行管理应贯穿系统全生命周期，包括建设、调试、运行、维护和改进环节。运行管理的目标在于确保系统稳定、可靠、持续发挥作用，并与管道运行管理体系有效衔接。</w:t>
      </w:r>
    </w:p>
    <w:p w14:paraId="6F298F52">
      <w:pPr>
        <w:pStyle w:val="105"/>
        <w:spacing w:before="120" w:after="120" w:line="360" w:lineRule="auto"/>
      </w:pPr>
      <w:r>
        <w:rPr>
          <w:rFonts w:hint="eastAsia"/>
        </w:rPr>
        <w:t>运行组织与职责</w:t>
      </w:r>
    </w:p>
    <w:p w14:paraId="57A6D979">
      <w:pPr>
        <w:pStyle w:val="56"/>
        <w:spacing w:line="360" w:lineRule="auto"/>
        <w:ind w:firstLine="420"/>
      </w:pPr>
      <w:r>
        <w:rPr>
          <w:rFonts w:hint="eastAsia"/>
        </w:rPr>
        <w:t>运行管理应明确责任主体，建立由运行单位、安全管理部门、信息技术支持团队等组成的管理架构：</w:t>
      </w:r>
    </w:p>
    <w:p w14:paraId="77680252">
      <w:pPr>
        <w:pStyle w:val="132"/>
        <w:spacing w:line="360" w:lineRule="auto"/>
      </w:pPr>
      <w:r>
        <w:rPr>
          <w:rFonts w:hint="eastAsia"/>
        </w:rPr>
        <w:t>运行单位：负责系统的日常运行与巡检；</w:t>
      </w:r>
    </w:p>
    <w:p w14:paraId="3967FAF5">
      <w:pPr>
        <w:pStyle w:val="132"/>
        <w:spacing w:line="360" w:lineRule="auto"/>
      </w:pPr>
      <w:r>
        <w:rPr>
          <w:rFonts w:hint="eastAsia"/>
        </w:rPr>
        <w:t>安全管理部门：监督运行合规性，审查预警与应急响应；</w:t>
      </w:r>
    </w:p>
    <w:p w14:paraId="35283A1B">
      <w:pPr>
        <w:pStyle w:val="132"/>
        <w:spacing w:line="360" w:lineRule="auto"/>
      </w:pPr>
      <w:r>
        <w:rPr>
          <w:rFonts w:hint="eastAsia"/>
        </w:rPr>
        <w:t>信息技术支持团队：提供数据存储、网络安全和算法优化支持。</w:t>
      </w:r>
    </w:p>
    <w:p w14:paraId="25C5C2F7">
      <w:pPr>
        <w:pStyle w:val="105"/>
        <w:spacing w:before="120" w:after="120" w:line="360" w:lineRule="auto"/>
      </w:pPr>
      <w:r>
        <w:rPr>
          <w:rFonts w:hint="eastAsia"/>
        </w:rPr>
        <w:t>运行流程</w:t>
      </w:r>
    </w:p>
    <w:p w14:paraId="453D7F5F">
      <w:pPr>
        <w:pStyle w:val="56"/>
        <w:spacing w:line="360" w:lineRule="auto"/>
        <w:ind w:firstLine="420"/>
      </w:pPr>
      <w:r>
        <w:rPr>
          <w:rFonts w:hint="eastAsia"/>
        </w:rPr>
        <w:t>运行流程应涵盖数据采集、传输、处理、分析、预警及反馈六个关键环节：</w:t>
      </w:r>
    </w:p>
    <w:p w14:paraId="7F9FB396">
      <w:pPr>
        <w:pStyle w:val="132"/>
        <w:spacing w:line="360" w:lineRule="auto"/>
      </w:pPr>
      <w:r>
        <w:rPr>
          <w:rFonts w:hint="eastAsia"/>
        </w:rPr>
        <w:t>采集与传输：保证数据实时上传，建立冗余通道；</w:t>
      </w:r>
    </w:p>
    <w:p w14:paraId="6304E32B">
      <w:pPr>
        <w:pStyle w:val="132"/>
        <w:spacing w:line="360" w:lineRule="auto"/>
      </w:pPr>
      <w:r>
        <w:rPr>
          <w:rFonts w:hint="eastAsia"/>
        </w:rPr>
        <w:t>数据处理与分析：定期校准算法，确保识别准确性；</w:t>
      </w:r>
    </w:p>
    <w:p w14:paraId="093971CE">
      <w:pPr>
        <w:pStyle w:val="132"/>
        <w:spacing w:line="360" w:lineRule="auto"/>
      </w:pPr>
      <w:r>
        <w:rPr>
          <w:rFonts w:hint="eastAsia"/>
        </w:rPr>
        <w:t>预警与反馈：异常情况须在30 s内生成预警，并推送至值班人员。</w:t>
      </w:r>
    </w:p>
    <w:p w14:paraId="67FCE7C6">
      <w:pPr>
        <w:pStyle w:val="105"/>
        <w:spacing w:before="120" w:after="120" w:line="360" w:lineRule="auto"/>
      </w:pPr>
      <w:r>
        <w:rPr>
          <w:rFonts w:hint="eastAsia"/>
        </w:rPr>
        <w:t>系统维护</w:t>
      </w:r>
    </w:p>
    <w:p w14:paraId="0298D7A7">
      <w:pPr>
        <w:pStyle w:val="56"/>
        <w:spacing w:line="360" w:lineRule="auto"/>
        <w:ind w:firstLine="420"/>
      </w:pPr>
      <w:r>
        <w:rPr>
          <w:rFonts w:hint="eastAsia"/>
        </w:rPr>
        <w:t>系统维护应包括定期巡检、设备校准和功能升级：</w:t>
      </w:r>
    </w:p>
    <w:p w14:paraId="580561CF">
      <w:pPr>
        <w:pStyle w:val="132"/>
        <w:spacing w:line="360" w:lineRule="auto"/>
      </w:pPr>
      <w:r>
        <w:rPr>
          <w:rFonts w:hint="eastAsia"/>
        </w:rPr>
        <w:t>巡检周期：不少于每季度一次，特殊工况下可适当缩短周期；</w:t>
      </w:r>
    </w:p>
    <w:p w14:paraId="724A4DA7">
      <w:pPr>
        <w:pStyle w:val="132"/>
        <w:spacing w:line="360" w:lineRule="auto"/>
      </w:pPr>
      <w:r>
        <w:rPr>
          <w:rFonts w:hint="eastAsia"/>
        </w:rPr>
        <w:t>设备校准：传感器至少每年校准一次；关键节点可采用第三方检测；</w:t>
      </w:r>
    </w:p>
    <w:p w14:paraId="2703807B">
      <w:pPr>
        <w:pStyle w:val="132"/>
        <w:spacing w:line="360" w:lineRule="auto"/>
      </w:pPr>
      <w:r>
        <w:rPr>
          <w:rFonts w:hint="eastAsia"/>
        </w:rPr>
        <w:t>功能升级：应随技术发展更新算法与硬件，并做好版本管理。</w:t>
      </w:r>
    </w:p>
    <w:p w14:paraId="50C9B5B9">
      <w:pPr>
        <w:pStyle w:val="105"/>
        <w:spacing w:before="120" w:after="120" w:line="360" w:lineRule="auto"/>
      </w:pPr>
      <w:r>
        <w:rPr>
          <w:rFonts w:hint="eastAsia"/>
        </w:rPr>
        <w:t>数据管理</w:t>
      </w:r>
    </w:p>
    <w:p w14:paraId="6341FAA8">
      <w:pPr>
        <w:pStyle w:val="56"/>
        <w:spacing w:line="360" w:lineRule="auto"/>
        <w:ind w:firstLine="420"/>
      </w:pPr>
      <w:r>
        <w:rPr>
          <w:rFonts w:hint="eastAsia"/>
        </w:rPr>
        <w:t>运行过程中产生的检测数据应分类存储、加密保护，并建立备份机制：</w:t>
      </w:r>
    </w:p>
    <w:p w14:paraId="4C3B1B64">
      <w:pPr>
        <w:pStyle w:val="132"/>
        <w:spacing w:line="360" w:lineRule="auto"/>
      </w:pPr>
      <w:r>
        <w:rPr>
          <w:rFonts w:hint="eastAsia"/>
        </w:rPr>
        <w:t>存储要求：原始数据和处理结果保存期限不少于5年；</w:t>
      </w:r>
    </w:p>
    <w:p w14:paraId="3A9B59A7">
      <w:pPr>
        <w:pStyle w:val="132"/>
        <w:spacing w:line="360" w:lineRule="auto"/>
      </w:pPr>
      <w:r>
        <w:rPr>
          <w:rFonts w:hint="eastAsia"/>
        </w:rPr>
        <w:t>访问权限：应分级授权，避免越权访问；</w:t>
      </w:r>
    </w:p>
    <w:p w14:paraId="32019736">
      <w:pPr>
        <w:pStyle w:val="132"/>
        <w:spacing w:line="360" w:lineRule="auto"/>
      </w:pPr>
      <w:r>
        <w:rPr>
          <w:rFonts w:hint="eastAsia"/>
        </w:rPr>
        <w:t>数据共享：在符合网络安全与隐私保护要求的前提下，支持与行业监管平台对接。</w:t>
      </w:r>
    </w:p>
    <w:p w14:paraId="24A80849">
      <w:pPr>
        <w:pStyle w:val="105"/>
        <w:spacing w:before="120" w:after="120" w:line="360" w:lineRule="auto"/>
      </w:pPr>
      <w:r>
        <w:rPr>
          <w:rFonts w:hint="eastAsia"/>
        </w:rPr>
        <w:t>培训与考核</w:t>
      </w:r>
    </w:p>
    <w:p w14:paraId="42F9DC80">
      <w:pPr>
        <w:pStyle w:val="56"/>
        <w:spacing w:line="360" w:lineRule="auto"/>
        <w:ind w:firstLine="420"/>
      </w:pPr>
      <w:r>
        <w:rPr>
          <w:rFonts w:hint="eastAsia"/>
        </w:rPr>
        <w:t>为保证运行效果，应建立运行人员培训和考核制度：</w:t>
      </w:r>
    </w:p>
    <w:p w14:paraId="69F38EDA">
      <w:pPr>
        <w:pStyle w:val="132"/>
        <w:spacing w:line="360" w:lineRule="auto"/>
      </w:pPr>
      <w:r>
        <w:rPr>
          <w:rFonts w:hint="eastAsia"/>
        </w:rPr>
        <w:t>培训内容：包括系统操作、应急响应、数据管理与网络安全；</w:t>
      </w:r>
    </w:p>
    <w:p w14:paraId="3062C30D">
      <w:pPr>
        <w:pStyle w:val="132"/>
        <w:spacing w:line="360" w:lineRule="auto"/>
      </w:pPr>
      <w:r>
        <w:rPr>
          <w:rFonts w:hint="eastAsia"/>
        </w:rPr>
        <w:t>考核频率：每年至少一次，考核结果纳入绩效评价。</w:t>
      </w:r>
    </w:p>
    <w:p w14:paraId="06273EAB">
      <w:pPr>
        <w:pStyle w:val="105"/>
        <w:spacing w:before="120" w:after="120" w:line="360" w:lineRule="auto"/>
      </w:pPr>
      <w:r>
        <w:rPr>
          <w:rFonts w:hint="eastAsia"/>
        </w:rPr>
        <w:t>持续改进</w:t>
      </w:r>
    </w:p>
    <w:p w14:paraId="6448E8C5">
      <w:pPr>
        <w:pStyle w:val="56"/>
        <w:spacing w:line="360" w:lineRule="auto"/>
        <w:ind w:firstLine="420"/>
      </w:pPr>
      <w:r>
        <w:rPr>
          <w:rFonts w:hint="eastAsia"/>
        </w:rPr>
        <w:t>运行管理应形成闭环反馈机制，根据运行效果和事故案例不断优化管理措施与技术配置。建议每三年开展一次全面评估，并提出改进计划。</w:t>
      </w:r>
    </w:p>
    <w:p w14:paraId="15926834">
      <w:pPr>
        <w:pStyle w:val="104"/>
        <w:spacing w:before="240" w:after="240" w:line="360" w:lineRule="auto"/>
      </w:pPr>
      <w:bookmarkStart w:id="56" w:name="_Toc207024589"/>
      <w:r>
        <w:rPr>
          <w:rFonts w:hint="eastAsia"/>
        </w:rPr>
        <w:t>安全保障</w:t>
      </w:r>
      <w:bookmarkEnd w:id="56"/>
    </w:p>
    <w:p w14:paraId="2CB45C3F">
      <w:pPr>
        <w:pStyle w:val="105"/>
        <w:spacing w:before="120" w:after="120" w:line="360" w:lineRule="auto"/>
      </w:pPr>
      <w:r>
        <w:rPr>
          <w:rFonts w:hint="eastAsia"/>
        </w:rPr>
        <w:t>总则</w:t>
      </w:r>
    </w:p>
    <w:p w14:paraId="25C5FAC1">
      <w:pPr>
        <w:pStyle w:val="56"/>
        <w:spacing w:line="360" w:lineRule="auto"/>
        <w:ind w:firstLine="420"/>
      </w:pPr>
      <w:r>
        <w:rPr>
          <w:rFonts w:hint="eastAsia"/>
        </w:rPr>
        <w:t>压力管道泄漏智能检测系统的安全保障应遵循“预防为主、防控结合”的原则，确保系统在设计、建设、运行和维护全过程中不对人员、管道及环境造成额外风险。</w:t>
      </w:r>
    </w:p>
    <w:p w14:paraId="02073B31">
      <w:pPr>
        <w:pStyle w:val="105"/>
        <w:spacing w:before="120" w:after="120" w:line="360" w:lineRule="auto"/>
      </w:pPr>
      <w:r>
        <w:rPr>
          <w:rFonts w:hint="eastAsia"/>
        </w:rPr>
        <w:t>系统安全</w:t>
      </w:r>
    </w:p>
    <w:p w14:paraId="0AB5926B">
      <w:pPr>
        <w:pStyle w:val="56"/>
        <w:spacing w:line="360" w:lineRule="auto"/>
        <w:ind w:firstLine="420"/>
      </w:pPr>
      <w:r>
        <w:rPr>
          <w:rFonts w:hint="eastAsia"/>
        </w:rPr>
        <w:t>系统安全是压力管道泄漏智能检测系统可靠运行的首要条件。在设计与实施过程中，应全面考虑设备、电气及安装等方面的安全要求，确保监测系统在各种运行环境下均能稳定工作。主要包括以下内容：</w:t>
      </w:r>
    </w:p>
    <w:p w14:paraId="1AC3A1E8">
      <w:pPr>
        <w:pStyle w:val="132"/>
        <w:spacing w:line="360" w:lineRule="auto"/>
      </w:pPr>
      <w:r>
        <w:rPr>
          <w:rFonts w:hint="eastAsia"/>
        </w:rPr>
        <w:t>设备安全：传感器、监测终端和通信设备应符合国家安全标准，具备防爆、防水、防腐蚀等能力；</w:t>
      </w:r>
    </w:p>
    <w:p w14:paraId="16D0906E">
      <w:pPr>
        <w:pStyle w:val="132"/>
        <w:spacing w:line="360" w:lineRule="auto"/>
      </w:pPr>
      <w:r>
        <w:rPr>
          <w:rFonts w:hint="eastAsia"/>
        </w:rPr>
        <w:t>电气安全：供电系统应配置过载、短路保护，关键区域应使用安全电压或防爆电源；</w:t>
      </w:r>
    </w:p>
    <w:p w14:paraId="1CF9866A">
      <w:pPr>
        <w:pStyle w:val="132"/>
        <w:spacing w:line="360" w:lineRule="auto"/>
      </w:pPr>
      <w:r>
        <w:rPr>
          <w:rFonts w:hint="eastAsia"/>
        </w:rPr>
        <w:t>安装安全：设备安装应符合施工安全规定。</w:t>
      </w:r>
    </w:p>
    <w:p w14:paraId="27764A99">
      <w:pPr>
        <w:pStyle w:val="105"/>
        <w:spacing w:before="120" w:after="120" w:line="360" w:lineRule="auto"/>
      </w:pPr>
      <w:r>
        <w:rPr>
          <w:rFonts w:hint="eastAsia"/>
        </w:rPr>
        <w:t>数据与信息安全</w:t>
      </w:r>
    </w:p>
    <w:p w14:paraId="47BEE43E">
      <w:pPr>
        <w:pStyle w:val="56"/>
        <w:spacing w:line="360" w:lineRule="auto"/>
        <w:ind w:firstLine="420"/>
      </w:pPr>
      <w:r>
        <w:rPr>
          <w:rFonts w:hint="eastAsia"/>
        </w:rPr>
        <w:t>在智能检测过程中，海量监测数据和系统运行信息是保障泄漏预警准确性的核心资源。为防止数据丢失、泄露或被恶意篡改，应建立完善的数据与信息安全机制，具体要求如下：</w:t>
      </w:r>
    </w:p>
    <w:p w14:paraId="1959F69E">
      <w:pPr>
        <w:pStyle w:val="132"/>
        <w:spacing w:line="360" w:lineRule="auto"/>
      </w:pPr>
      <w:r>
        <w:rPr>
          <w:rFonts w:hint="eastAsia"/>
        </w:rPr>
        <w:t>数据保护：监测数据应进行加密存储和传输，避免被篡改或泄露；</w:t>
      </w:r>
    </w:p>
    <w:p w14:paraId="398978B0">
      <w:pPr>
        <w:pStyle w:val="132"/>
        <w:spacing w:line="360" w:lineRule="auto"/>
      </w:pPr>
      <w:r>
        <w:rPr>
          <w:rFonts w:hint="eastAsia"/>
        </w:rPr>
        <w:t>网络安全：系统接入的通信网络应符合 GB/T 22239 等网络安全等级保护要求；</w:t>
      </w:r>
    </w:p>
    <w:p w14:paraId="754A15B5">
      <w:pPr>
        <w:pStyle w:val="132"/>
        <w:spacing w:line="360" w:lineRule="auto"/>
      </w:pPr>
      <w:r>
        <w:rPr>
          <w:rFonts w:hint="eastAsia"/>
        </w:rPr>
        <w:t>访问控制：建立分级权限管理机制，敏感信息仅限授权人员访问；</w:t>
      </w:r>
    </w:p>
    <w:p w14:paraId="46E082BF">
      <w:pPr>
        <w:pStyle w:val="132"/>
        <w:spacing w:line="360" w:lineRule="auto"/>
      </w:pPr>
      <w:r>
        <w:rPr>
          <w:rFonts w:hint="eastAsia"/>
        </w:rPr>
        <w:t>监测过程安全：采集设备应保证在全生命周期内稳定运行，避免对管道造成二次破坏；</w:t>
      </w:r>
    </w:p>
    <w:p w14:paraId="04C4309A">
      <w:pPr>
        <w:pStyle w:val="132"/>
        <w:spacing w:line="360" w:lineRule="auto"/>
      </w:pPr>
      <w:r>
        <w:rPr>
          <w:rFonts w:hint="eastAsia"/>
        </w:rPr>
        <w:t>应急响应：在发生泄漏预警时，系统应自动触发应急预案，联动阀门关闭或减压措施；</w:t>
      </w:r>
    </w:p>
    <w:p w14:paraId="2A4B70FD">
      <w:pPr>
        <w:pStyle w:val="132"/>
        <w:spacing w:line="360" w:lineRule="auto"/>
      </w:pPr>
      <w:r>
        <w:rPr>
          <w:rFonts w:hint="eastAsia"/>
        </w:rPr>
        <w:t>人机交互安全：操作界面应提供明确告警信息，避免因误操作引发次生风险。</w:t>
      </w:r>
    </w:p>
    <w:p w14:paraId="79977F87">
      <w:pPr>
        <w:pStyle w:val="105"/>
        <w:spacing w:before="120" w:after="120" w:line="360" w:lineRule="auto"/>
      </w:pPr>
      <w:r>
        <w:rPr>
          <w:rFonts w:hint="eastAsia"/>
        </w:rPr>
        <w:t>环境安全</w:t>
      </w:r>
    </w:p>
    <w:p w14:paraId="3AC371DE">
      <w:pPr>
        <w:pStyle w:val="56"/>
        <w:spacing w:line="360" w:lineRule="auto"/>
        <w:ind w:firstLine="420"/>
      </w:pPr>
      <w:r>
        <w:rPr>
          <w:rFonts w:hint="eastAsia"/>
        </w:rPr>
        <w:t>在泄漏智能检测过程中，数据和信息安全是保障系统正常运行的重要基础。为防止数据丢失、泄露或被恶意篡改，应建立健全的数据与信息保护措施：</w:t>
      </w:r>
    </w:p>
    <w:p w14:paraId="0ED0BC1F">
      <w:pPr>
        <w:pStyle w:val="132"/>
        <w:spacing w:line="360" w:lineRule="auto"/>
      </w:pPr>
      <w:r>
        <w:rPr>
          <w:rFonts w:hint="eastAsia"/>
        </w:rPr>
        <w:t>数据保护：监测数据应进行加密存储和传输，避免被篡改或泄露；</w:t>
      </w:r>
    </w:p>
    <w:p w14:paraId="0601A3A5">
      <w:pPr>
        <w:pStyle w:val="132"/>
        <w:spacing w:line="360" w:lineRule="auto"/>
      </w:pPr>
      <w:r>
        <w:rPr>
          <w:rFonts w:hint="eastAsia"/>
        </w:rPr>
        <w:t>网络安全：系统接入的通信网络应符合网络安全等级保护要求；</w:t>
      </w:r>
    </w:p>
    <w:p w14:paraId="0E63FB7B">
      <w:pPr>
        <w:pStyle w:val="132"/>
        <w:spacing w:line="360" w:lineRule="auto"/>
      </w:pPr>
      <w:r>
        <w:rPr>
          <w:rFonts w:hint="eastAsia"/>
        </w:rPr>
        <w:t>访问控制：建立分级权限管理机制，敏感信息仅限授权人员访问。</w:t>
      </w:r>
    </w:p>
    <w:p w14:paraId="74B0B569">
      <w:pPr>
        <w:pStyle w:val="105"/>
        <w:spacing w:before="120" w:after="120" w:line="360" w:lineRule="auto"/>
      </w:pPr>
      <w:r>
        <w:rPr>
          <w:rFonts w:hint="eastAsia"/>
        </w:rPr>
        <w:t>运行安全</w:t>
      </w:r>
    </w:p>
    <w:p w14:paraId="56BD9D7E">
      <w:pPr>
        <w:pStyle w:val="56"/>
        <w:spacing w:line="360" w:lineRule="auto"/>
        <w:ind w:firstLine="420"/>
      </w:pPr>
      <w:r>
        <w:rPr>
          <w:rFonts w:hint="eastAsia"/>
        </w:rPr>
        <w:t>在系统运行环节，应注重保障检测过程和人机交互的安全性，避免因系统运行带来新的风险。具体要求包括：</w:t>
      </w:r>
    </w:p>
    <w:p w14:paraId="68FC8CC3">
      <w:pPr>
        <w:pStyle w:val="132"/>
        <w:spacing w:line="360" w:lineRule="auto"/>
      </w:pPr>
      <w:r>
        <w:rPr>
          <w:rFonts w:hint="eastAsia"/>
        </w:rPr>
        <w:t>监测过程安全：采集设备应保证在全生命周期内稳定运行，避免对管道造成二次破坏；</w:t>
      </w:r>
    </w:p>
    <w:p w14:paraId="105F1CC1">
      <w:pPr>
        <w:pStyle w:val="132"/>
        <w:spacing w:line="360" w:lineRule="auto"/>
      </w:pPr>
      <w:r>
        <w:rPr>
          <w:rFonts w:hint="eastAsia"/>
        </w:rPr>
        <w:t>应急响应：在发生泄漏预警时，系统应自动触发应急预案，联动阀门关闭或减压措施；</w:t>
      </w:r>
    </w:p>
    <w:p w14:paraId="1CF8D43F">
      <w:pPr>
        <w:pStyle w:val="132"/>
        <w:spacing w:line="360" w:lineRule="auto"/>
      </w:pPr>
      <w:r>
        <w:rPr>
          <w:rFonts w:hint="eastAsia"/>
        </w:rPr>
        <w:t>人机交互安全：操作界面应提供明确告警信息，避免因误操作引发次生风险。</w:t>
      </w:r>
    </w:p>
    <w:p w14:paraId="5CC7994A">
      <w:pPr>
        <w:pStyle w:val="105"/>
        <w:spacing w:before="120" w:after="120" w:line="360" w:lineRule="auto"/>
      </w:pPr>
      <w:r>
        <w:rPr>
          <w:rFonts w:hint="eastAsia"/>
        </w:rPr>
        <w:t>环境安全</w:t>
      </w:r>
    </w:p>
    <w:p w14:paraId="5F5FD6C3">
      <w:pPr>
        <w:pStyle w:val="56"/>
        <w:spacing w:line="360" w:lineRule="auto"/>
        <w:ind w:firstLine="420"/>
      </w:pPr>
      <w:r>
        <w:rPr>
          <w:rFonts w:hint="eastAsia"/>
        </w:rPr>
        <w:t>考虑到管道分布区域环境复杂，检测系统应具备良好的环境适应性，并减少运行过程中对周边环境的不良影响：</w:t>
      </w:r>
    </w:p>
    <w:p w14:paraId="06442A48">
      <w:pPr>
        <w:pStyle w:val="132"/>
        <w:spacing w:line="360" w:lineRule="auto"/>
      </w:pPr>
      <w:r>
        <w:rPr>
          <w:rFonts w:hint="eastAsia"/>
        </w:rPr>
        <w:t>环境适应性：系统应能在高温、低温、高湿度、粉尘及电磁干扰等环境下稳定运行；</w:t>
      </w:r>
    </w:p>
    <w:p w14:paraId="04CAEFA1">
      <w:pPr>
        <w:pStyle w:val="132"/>
        <w:spacing w:line="360" w:lineRule="auto"/>
      </w:pPr>
      <w:r>
        <w:rPr>
          <w:rFonts w:hint="eastAsia"/>
        </w:rPr>
        <w:t>绿色运行：应优先采用低功耗、可回收材料与环保工艺，减少对环境的不利影响。</w:t>
      </w:r>
    </w:p>
    <w:p w14:paraId="56486A13">
      <w:pPr>
        <w:pStyle w:val="105"/>
        <w:spacing w:before="120" w:after="120" w:line="360" w:lineRule="auto"/>
      </w:pPr>
      <w:r>
        <w:rPr>
          <w:rFonts w:hint="eastAsia"/>
        </w:rPr>
        <w:t>风险管理</w:t>
      </w:r>
    </w:p>
    <w:p w14:paraId="0FA56BDA">
      <w:pPr>
        <w:pStyle w:val="56"/>
        <w:spacing w:line="360" w:lineRule="auto"/>
        <w:ind w:firstLine="420"/>
      </w:pPr>
      <w:r>
        <w:rPr>
          <w:rFonts w:hint="eastAsia"/>
        </w:rPr>
        <w:t>风险管理是保障检测系统长期有效运行的关键环节，应对潜在风险进行识别、分级并实施控制措施：</w:t>
      </w:r>
    </w:p>
    <w:p w14:paraId="780D97C5">
      <w:pPr>
        <w:pStyle w:val="132"/>
        <w:spacing w:line="360" w:lineRule="auto"/>
      </w:pPr>
      <w:r>
        <w:rPr>
          <w:rFonts w:hint="eastAsia"/>
        </w:rPr>
        <w:t>风险识别：定期评估管道运行环境与系统运行状况，识别潜在风险点；</w:t>
      </w:r>
    </w:p>
    <w:p w14:paraId="3B4810EC">
      <w:pPr>
        <w:pStyle w:val="132"/>
        <w:spacing w:line="360" w:lineRule="auto"/>
      </w:pPr>
      <w:r>
        <w:rPr>
          <w:rFonts w:hint="eastAsia"/>
        </w:rPr>
        <w:t>风险分级：根据泄漏后果严重性和发生概率，将风险分为高、中、低三级；</w:t>
      </w:r>
    </w:p>
    <w:p w14:paraId="4FFC6931">
      <w:pPr>
        <w:pStyle w:val="132"/>
        <w:spacing w:line="360" w:lineRule="auto"/>
      </w:pPr>
      <w:r>
        <w:rPr>
          <w:rFonts w:hint="eastAsia"/>
        </w:rPr>
        <w:t>控制措施：对高风险区域应加密传感器布设，并建立专门监控策略。</w:t>
      </w:r>
    </w:p>
    <w:p w14:paraId="6D694F46">
      <w:pPr>
        <w:pStyle w:val="105"/>
        <w:spacing w:before="120" w:after="120" w:line="360" w:lineRule="auto"/>
      </w:pPr>
      <w:r>
        <w:rPr>
          <w:rFonts w:hint="eastAsia"/>
        </w:rPr>
        <w:t>审核与监督</w:t>
      </w:r>
    </w:p>
    <w:p w14:paraId="071DE9F3">
      <w:pPr>
        <w:pStyle w:val="56"/>
        <w:spacing w:line="360" w:lineRule="auto"/>
        <w:ind w:firstLine="420"/>
      </w:pPr>
      <w:r>
        <w:rPr>
          <w:rFonts w:hint="eastAsia"/>
        </w:rPr>
        <w:t>为确保安全保障措施得到落实，应建立多层次的监督与改进机制，具体要求如下：</w:t>
      </w:r>
    </w:p>
    <w:p w14:paraId="49CD2C67">
      <w:pPr>
        <w:pStyle w:val="132"/>
        <w:spacing w:line="360" w:lineRule="auto"/>
      </w:pPr>
      <w:r>
        <w:rPr>
          <w:rFonts w:hint="eastAsia"/>
        </w:rPr>
        <w:t>内部审核：运行单位每年至少开展一次内部安全审核；</w:t>
      </w:r>
    </w:p>
    <w:p w14:paraId="69DA6336">
      <w:pPr>
        <w:pStyle w:val="132"/>
        <w:spacing w:line="360" w:lineRule="auto"/>
      </w:pPr>
      <w:r>
        <w:rPr>
          <w:rFonts w:hint="eastAsia"/>
        </w:rPr>
        <w:t>外部监督：行业主管部门应定期开展监督检查，确保系统符合国家安全要求；</w:t>
      </w:r>
    </w:p>
    <w:p w14:paraId="44044A9D">
      <w:pPr>
        <w:pStyle w:val="132"/>
        <w:spacing w:line="360" w:lineRule="auto"/>
      </w:pPr>
      <w:r>
        <w:rPr>
          <w:rFonts w:hint="eastAsia"/>
        </w:rPr>
        <w:t>改进机制：针对审核与监督中发现的问题，应及时制定整改计划并落实。</w:t>
      </w:r>
    </w:p>
    <w:p w14:paraId="5CFF514A">
      <w:pPr>
        <w:pStyle w:val="104"/>
        <w:spacing w:before="240" w:after="240" w:line="360" w:lineRule="auto"/>
      </w:pPr>
      <w:bookmarkStart w:id="57" w:name="_Toc207024590"/>
      <w:r>
        <w:rPr>
          <w:rFonts w:hint="eastAsia"/>
        </w:rPr>
        <w:t>评价改进</w:t>
      </w:r>
      <w:bookmarkEnd w:id="57"/>
    </w:p>
    <w:p w14:paraId="49DE63A4">
      <w:pPr>
        <w:pStyle w:val="105"/>
        <w:spacing w:before="120" w:after="120" w:line="360" w:lineRule="auto"/>
      </w:pPr>
      <w:r>
        <w:rPr>
          <w:rFonts w:hint="eastAsia"/>
        </w:rPr>
        <w:t>总则</w:t>
      </w:r>
    </w:p>
    <w:p w14:paraId="125F657E">
      <w:pPr>
        <w:pStyle w:val="56"/>
        <w:spacing w:line="360" w:lineRule="auto"/>
        <w:ind w:firstLine="420"/>
      </w:pPr>
      <w:r>
        <w:rPr>
          <w:rFonts w:hint="eastAsia"/>
        </w:rPr>
        <w:t>压力管道泄漏智能检测系统应建立科学的评价与改进机制，对系统性能、运行效果和安全保障措施进行定期评估，并在此基础上不断优化。评价与改进应遵循客观性、持续性和可操作性原则。</w:t>
      </w:r>
    </w:p>
    <w:p w14:paraId="5DD6B7E2">
      <w:pPr>
        <w:pStyle w:val="105"/>
        <w:spacing w:before="120" w:after="120" w:line="360" w:lineRule="auto"/>
      </w:pPr>
      <w:r>
        <w:rPr>
          <w:rFonts w:hint="eastAsia"/>
        </w:rPr>
        <w:t>评价指标</w:t>
      </w:r>
    </w:p>
    <w:p w14:paraId="273A8B42">
      <w:pPr>
        <w:pStyle w:val="56"/>
        <w:spacing w:line="360" w:lineRule="auto"/>
        <w:ind w:firstLine="420"/>
      </w:pPr>
      <w:r>
        <w:rPr>
          <w:rFonts w:hint="eastAsia"/>
        </w:rPr>
        <w:t>评价指标应涵盖技术性能、运行管理和安全保障三个方面：</w:t>
      </w:r>
    </w:p>
    <w:p w14:paraId="098C5836">
      <w:pPr>
        <w:pStyle w:val="132"/>
        <w:spacing w:line="360" w:lineRule="auto"/>
      </w:pPr>
      <w:r>
        <w:rPr>
          <w:rFonts w:hint="eastAsia"/>
        </w:rPr>
        <w:t>技术性能指标：包括检测灵敏度、定位精度、误报率、漏报率、响应时间等；</w:t>
      </w:r>
    </w:p>
    <w:p w14:paraId="4A4B5403">
      <w:pPr>
        <w:pStyle w:val="132"/>
        <w:spacing w:line="360" w:lineRule="auto"/>
      </w:pPr>
      <w:r>
        <w:rPr>
          <w:rFonts w:hint="eastAsia"/>
        </w:rPr>
        <w:t>运行管理指标：包括系统稳定性、数据完整性、设备完好率、运行合规性；</w:t>
      </w:r>
    </w:p>
    <w:p w14:paraId="0916ADE0">
      <w:pPr>
        <w:pStyle w:val="132"/>
        <w:spacing w:line="360" w:lineRule="auto"/>
      </w:pPr>
      <w:r>
        <w:rPr>
          <w:rFonts w:hint="eastAsia"/>
        </w:rPr>
        <w:t>安全保障指标：包括系统安全事件发生率、应急响应效率、网络安全防护水平。</w:t>
      </w:r>
    </w:p>
    <w:p w14:paraId="4BC08FB2">
      <w:pPr>
        <w:pStyle w:val="56"/>
        <w:spacing w:line="360" w:lineRule="auto"/>
        <w:ind w:firstLine="420"/>
      </w:pPr>
      <w:r>
        <w:rPr>
          <w:rFonts w:hint="eastAsia"/>
        </w:rPr>
        <w:t>压力管道泄漏智能检测系统评价指标体系见表5。</w:t>
      </w:r>
    </w:p>
    <w:p w14:paraId="28E8E3CC">
      <w:pPr>
        <w:pStyle w:val="112"/>
        <w:spacing w:before="120" w:after="120" w:line="360" w:lineRule="auto"/>
      </w:pPr>
      <w:r>
        <w:rPr>
          <w:rFonts w:hint="eastAsia"/>
        </w:rPr>
        <w:t>压力管道泄漏智能检测系统评价指标体系</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10"/>
        <w:gridCol w:w="3112"/>
        <w:gridCol w:w="3112"/>
      </w:tblGrid>
      <w:tr w14:paraId="177F93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110" w:type="dxa"/>
            <w:tcBorders>
              <w:top w:val="single" w:color="auto" w:sz="8" w:space="0"/>
              <w:bottom w:val="single" w:color="auto" w:sz="8" w:space="0"/>
            </w:tcBorders>
            <w:vAlign w:val="center"/>
          </w:tcPr>
          <w:p w14:paraId="7AD7ECBD">
            <w:pPr>
              <w:pStyle w:val="178"/>
            </w:pPr>
            <w:r>
              <w:rPr>
                <w:rFonts w:hint="eastAsia"/>
              </w:rPr>
              <w:t>评价类别</w:t>
            </w:r>
          </w:p>
        </w:tc>
        <w:tc>
          <w:tcPr>
            <w:tcW w:w="3112" w:type="dxa"/>
            <w:tcBorders>
              <w:top w:val="single" w:color="auto" w:sz="8" w:space="0"/>
              <w:bottom w:val="single" w:color="auto" w:sz="8" w:space="0"/>
            </w:tcBorders>
            <w:vAlign w:val="center"/>
          </w:tcPr>
          <w:p w14:paraId="48A203D9">
            <w:pPr>
              <w:pStyle w:val="178"/>
            </w:pPr>
            <w:r>
              <w:rPr>
                <w:rFonts w:hint="eastAsia"/>
              </w:rPr>
              <w:t>指标内容</w:t>
            </w:r>
          </w:p>
        </w:tc>
        <w:tc>
          <w:tcPr>
            <w:tcW w:w="3112" w:type="dxa"/>
            <w:tcBorders>
              <w:top w:val="single" w:color="auto" w:sz="8" w:space="0"/>
              <w:bottom w:val="single" w:color="auto" w:sz="8" w:space="0"/>
            </w:tcBorders>
            <w:vAlign w:val="center"/>
          </w:tcPr>
          <w:p w14:paraId="0A7A78F9">
            <w:pPr>
              <w:pStyle w:val="178"/>
            </w:pPr>
            <w:r>
              <w:rPr>
                <w:rFonts w:hint="eastAsia"/>
              </w:rPr>
              <w:t>参考要求</w:t>
            </w:r>
          </w:p>
        </w:tc>
      </w:tr>
      <w:tr w14:paraId="17A0B5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Merge w:val="restart"/>
            <w:tcBorders>
              <w:top w:val="single" w:color="auto" w:sz="8" w:space="0"/>
            </w:tcBorders>
            <w:vAlign w:val="center"/>
          </w:tcPr>
          <w:p w14:paraId="1449201D">
            <w:pPr>
              <w:pStyle w:val="178"/>
            </w:pPr>
            <w:r>
              <w:rPr>
                <w:rFonts w:hint="eastAsia"/>
              </w:rPr>
              <w:t>技术性能</w:t>
            </w:r>
          </w:p>
        </w:tc>
        <w:tc>
          <w:tcPr>
            <w:tcW w:w="3112" w:type="dxa"/>
            <w:tcBorders>
              <w:top w:val="single" w:color="auto" w:sz="8" w:space="0"/>
            </w:tcBorders>
            <w:vAlign w:val="center"/>
          </w:tcPr>
          <w:p w14:paraId="5461B0E1">
            <w:pPr>
              <w:pStyle w:val="178"/>
            </w:pPr>
            <w:r>
              <w:rPr>
                <w:rFonts w:hint="eastAsia"/>
              </w:rPr>
              <w:t>检测灵敏度</w:t>
            </w:r>
          </w:p>
        </w:tc>
        <w:tc>
          <w:tcPr>
            <w:tcW w:w="3112" w:type="dxa"/>
            <w:tcBorders>
              <w:top w:val="single" w:color="auto" w:sz="8" w:space="0"/>
            </w:tcBorders>
            <w:vAlign w:val="center"/>
          </w:tcPr>
          <w:p w14:paraId="42CB985B">
            <w:pPr>
              <w:pStyle w:val="178"/>
            </w:pPr>
            <w:r>
              <w:rPr>
                <w:rFonts w:hint="eastAsia"/>
              </w:rPr>
              <w:t>≥90%</w:t>
            </w:r>
          </w:p>
        </w:tc>
      </w:tr>
      <w:tr w14:paraId="46F30E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Merge w:val="continue"/>
            <w:vAlign w:val="center"/>
          </w:tcPr>
          <w:p w14:paraId="0B514CD8">
            <w:pPr>
              <w:pStyle w:val="178"/>
            </w:pPr>
          </w:p>
        </w:tc>
        <w:tc>
          <w:tcPr>
            <w:tcW w:w="3112" w:type="dxa"/>
            <w:vAlign w:val="center"/>
          </w:tcPr>
          <w:p w14:paraId="48FDA122">
            <w:pPr>
              <w:pStyle w:val="178"/>
            </w:pPr>
            <w:r>
              <w:rPr>
                <w:rFonts w:hint="eastAsia"/>
              </w:rPr>
              <w:t>定位精度</w:t>
            </w:r>
          </w:p>
        </w:tc>
        <w:tc>
          <w:tcPr>
            <w:tcW w:w="3112" w:type="dxa"/>
            <w:vAlign w:val="center"/>
          </w:tcPr>
          <w:p w14:paraId="451B64B3">
            <w:pPr>
              <w:pStyle w:val="178"/>
            </w:pPr>
            <w:r>
              <w:rPr>
                <w:rFonts w:hint="eastAsia"/>
              </w:rPr>
              <w:t>≤3 m</w:t>
            </w:r>
          </w:p>
        </w:tc>
      </w:tr>
      <w:tr w14:paraId="69CB4A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Merge w:val="continue"/>
            <w:vAlign w:val="center"/>
          </w:tcPr>
          <w:p w14:paraId="75831EA7">
            <w:pPr>
              <w:pStyle w:val="178"/>
            </w:pPr>
          </w:p>
        </w:tc>
        <w:tc>
          <w:tcPr>
            <w:tcW w:w="3112" w:type="dxa"/>
            <w:vAlign w:val="center"/>
          </w:tcPr>
          <w:p w14:paraId="423BD32C">
            <w:pPr>
              <w:pStyle w:val="178"/>
            </w:pPr>
            <w:r>
              <w:rPr>
                <w:rFonts w:hint="eastAsia"/>
              </w:rPr>
              <w:t>误报率</w:t>
            </w:r>
          </w:p>
        </w:tc>
        <w:tc>
          <w:tcPr>
            <w:tcW w:w="3112" w:type="dxa"/>
            <w:vAlign w:val="center"/>
          </w:tcPr>
          <w:p w14:paraId="0C21050C">
            <w:pPr>
              <w:pStyle w:val="178"/>
            </w:pPr>
            <w:r>
              <w:rPr>
                <w:rFonts w:hint="eastAsia"/>
              </w:rPr>
              <w:t>≤5%</w:t>
            </w:r>
          </w:p>
        </w:tc>
      </w:tr>
      <w:tr w14:paraId="2F2FE5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Merge w:val="continue"/>
            <w:vAlign w:val="center"/>
          </w:tcPr>
          <w:p w14:paraId="36F49E68">
            <w:pPr>
              <w:pStyle w:val="178"/>
            </w:pPr>
          </w:p>
        </w:tc>
        <w:tc>
          <w:tcPr>
            <w:tcW w:w="3112" w:type="dxa"/>
            <w:vAlign w:val="center"/>
          </w:tcPr>
          <w:p w14:paraId="616DDA30">
            <w:pPr>
              <w:pStyle w:val="178"/>
            </w:pPr>
            <w:r>
              <w:rPr>
                <w:rFonts w:hint="eastAsia"/>
              </w:rPr>
              <w:t>响应时间</w:t>
            </w:r>
          </w:p>
        </w:tc>
        <w:tc>
          <w:tcPr>
            <w:tcW w:w="3112" w:type="dxa"/>
            <w:vAlign w:val="center"/>
          </w:tcPr>
          <w:p w14:paraId="4E585E8B">
            <w:pPr>
              <w:pStyle w:val="178"/>
            </w:pPr>
            <w:r>
              <w:rPr>
                <w:rFonts w:hint="eastAsia"/>
              </w:rPr>
              <w:t>≤30 s</w:t>
            </w:r>
          </w:p>
        </w:tc>
      </w:tr>
      <w:tr w14:paraId="70AADE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Merge w:val="restart"/>
            <w:vAlign w:val="center"/>
          </w:tcPr>
          <w:p w14:paraId="5B72BC13">
            <w:pPr>
              <w:pStyle w:val="178"/>
            </w:pPr>
            <w:r>
              <w:rPr>
                <w:rFonts w:hint="eastAsia"/>
              </w:rPr>
              <w:t>运行管理</w:t>
            </w:r>
          </w:p>
        </w:tc>
        <w:tc>
          <w:tcPr>
            <w:tcW w:w="3112" w:type="dxa"/>
            <w:vAlign w:val="center"/>
          </w:tcPr>
          <w:p w14:paraId="5BA60004">
            <w:pPr>
              <w:pStyle w:val="178"/>
            </w:pPr>
            <w:r>
              <w:rPr>
                <w:rFonts w:hint="eastAsia"/>
              </w:rPr>
              <w:t>数据完整性</w:t>
            </w:r>
          </w:p>
        </w:tc>
        <w:tc>
          <w:tcPr>
            <w:tcW w:w="3112" w:type="dxa"/>
            <w:vAlign w:val="center"/>
          </w:tcPr>
          <w:p w14:paraId="0A5B6E80">
            <w:pPr>
              <w:pStyle w:val="178"/>
            </w:pPr>
            <w:r>
              <w:rPr>
                <w:rFonts w:hint="eastAsia"/>
              </w:rPr>
              <w:t>≥99%</w:t>
            </w:r>
          </w:p>
        </w:tc>
      </w:tr>
      <w:tr w14:paraId="596075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Merge w:val="continue"/>
            <w:vAlign w:val="center"/>
          </w:tcPr>
          <w:p w14:paraId="661AF8C2">
            <w:pPr>
              <w:pStyle w:val="178"/>
            </w:pPr>
          </w:p>
        </w:tc>
        <w:tc>
          <w:tcPr>
            <w:tcW w:w="3112" w:type="dxa"/>
            <w:vAlign w:val="center"/>
          </w:tcPr>
          <w:p w14:paraId="33C6072A">
            <w:pPr>
              <w:pStyle w:val="178"/>
            </w:pPr>
            <w:r>
              <w:rPr>
                <w:rFonts w:hint="eastAsia"/>
              </w:rPr>
              <w:t>设备完好率</w:t>
            </w:r>
          </w:p>
        </w:tc>
        <w:tc>
          <w:tcPr>
            <w:tcW w:w="3112" w:type="dxa"/>
            <w:vAlign w:val="center"/>
          </w:tcPr>
          <w:p w14:paraId="4F0DA42F">
            <w:pPr>
              <w:pStyle w:val="178"/>
            </w:pPr>
            <w:r>
              <w:t>≥95%</w:t>
            </w:r>
          </w:p>
        </w:tc>
      </w:tr>
      <w:tr w14:paraId="2CD4CA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Merge w:val="continue"/>
            <w:vAlign w:val="center"/>
          </w:tcPr>
          <w:p w14:paraId="648180E3">
            <w:pPr>
              <w:pStyle w:val="178"/>
            </w:pPr>
          </w:p>
        </w:tc>
        <w:tc>
          <w:tcPr>
            <w:tcW w:w="3112" w:type="dxa"/>
            <w:vAlign w:val="center"/>
          </w:tcPr>
          <w:p w14:paraId="573A63D9">
            <w:pPr>
              <w:pStyle w:val="178"/>
            </w:pPr>
            <w:r>
              <w:rPr>
                <w:rFonts w:hint="eastAsia"/>
              </w:rPr>
              <w:t>合规性审查通过率</w:t>
            </w:r>
          </w:p>
        </w:tc>
        <w:tc>
          <w:tcPr>
            <w:tcW w:w="3112" w:type="dxa"/>
            <w:vAlign w:val="center"/>
          </w:tcPr>
          <w:p w14:paraId="76155E6F">
            <w:pPr>
              <w:pStyle w:val="178"/>
            </w:pPr>
            <w:r>
              <w:t>100%</w:t>
            </w:r>
          </w:p>
        </w:tc>
      </w:tr>
      <w:tr w14:paraId="5AFD39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Merge w:val="restart"/>
            <w:vAlign w:val="center"/>
          </w:tcPr>
          <w:p w14:paraId="7A573233">
            <w:pPr>
              <w:pStyle w:val="178"/>
            </w:pPr>
            <w:r>
              <w:rPr>
                <w:rFonts w:hint="eastAsia"/>
              </w:rPr>
              <w:t>安全保障</w:t>
            </w:r>
          </w:p>
        </w:tc>
        <w:tc>
          <w:tcPr>
            <w:tcW w:w="3112" w:type="dxa"/>
            <w:vAlign w:val="center"/>
          </w:tcPr>
          <w:p w14:paraId="7E2DCF8D">
            <w:pPr>
              <w:pStyle w:val="178"/>
            </w:pPr>
            <w:r>
              <w:rPr>
                <w:rFonts w:hint="eastAsia"/>
              </w:rPr>
              <w:t>系统安全事件发生率</w:t>
            </w:r>
          </w:p>
        </w:tc>
        <w:tc>
          <w:tcPr>
            <w:tcW w:w="3112" w:type="dxa"/>
            <w:vAlign w:val="center"/>
          </w:tcPr>
          <w:p w14:paraId="3E804C55">
            <w:pPr>
              <w:pStyle w:val="178"/>
            </w:pPr>
            <w:r>
              <w:rPr>
                <w:rFonts w:hint="eastAsia"/>
              </w:rPr>
              <w:t>≤1 次/年</w:t>
            </w:r>
          </w:p>
        </w:tc>
      </w:tr>
      <w:tr w14:paraId="02BCC7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Merge w:val="continue"/>
            <w:vAlign w:val="center"/>
          </w:tcPr>
          <w:p w14:paraId="3F8C8323">
            <w:pPr>
              <w:pStyle w:val="178"/>
            </w:pPr>
          </w:p>
        </w:tc>
        <w:tc>
          <w:tcPr>
            <w:tcW w:w="3112" w:type="dxa"/>
            <w:vAlign w:val="center"/>
          </w:tcPr>
          <w:p w14:paraId="0C8F9DB9">
            <w:pPr>
              <w:pStyle w:val="178"/>
            </w:pPr>
            <w:r>
              <w:rPr>
                <w:rFonts w:hint="eastAsia"/>
              </w:rPr>
              <w:t>应急响应效率</w:t>
            </w:r>
          </w:p>
        </w:tc>
        <w:tc>
          <w:tcPr>
            <w:tcW w:w="3112" w:type="dxa"/>
            <w:vAlign w:val="center"/>
          </w:tcPr>
          <w:p w14:paraId="7CA28B09">
            <w:pPr>
              <w:pStyle w:val="178"/>
            </w:pPr>
            <w:r>
              <w:rPr>
                <w:rFonts w:hint="eastAsia"/>
              </w:rPr>
              <w:t>≥95%</w:t>
            </w:r>
          </w:p>
        </w:tc>
      </w:tr>
      <w:tr w14:paraId="1AB8B0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Merge w:val="continue"/>
            <w:vAlign w:val="center"/>
          </w:tcPr>
          <w:p w14:paraId="1F3A0931">
            <w:pPr>
              <w:pStyle w:val="178"/>
            </w:pPr>
          </w:p>
        </w:tc>
        <w:tc>
          <w:tcPr>
            <w:tcW w:w="3112" w:type="dxa"/>
            <w:vAlign w:val="center"/>
          </w:tcPr>
          <w:p w14:paraId="107F69AF">
            <w:pPr>
              <w:pStyle w:val="178"/>
            </w:pPr>
            <w:r>
              <w:rPr>
                <w:rFonts w:hint="eastAsia"/>
              </w:rPr>
              <w:t>网络安全防护等级</w:t>
            </w:r>
          </w:p>
        </w:tc>
        <w:tc>
          <w:tcPr>
            <w:tcW w:w="3112" w:type="dxa"/>
            <w:vAlign w:val="center"/>
          </w:tcPr>
          <w:p w14:paraId="030610A1">
            <w:pPr>
              <w:pStyle w:val="178"/>
            </w:pPr>
            <w:r>
              <w:rPr>
                <w:rFonts w:hint="eastAsia"/>
              </w:rPr>
              <w:t>达到等保二级及以上</w:t>
            </w:r>
          </w:p>
        </w:tc>
      </w:tr>
    </w:tbl>
    <w:p w14:paraId="4ADE7D34">
      <w:pPr>
        <w:pStyle w:val="105"/>
        <w:spacing w:before="120" w:after="120" w:line="360" w:lineRule="auto"/>
      </w:pPr>
      <w:r>
        <w:rPr>
          <w:rFonts w:hint="eastAsia"/>
        </w:rPr>
        <w:t>评价方法</w:t>
      </w:r>
    </w:p>
    <w:p w14:paraId="50866A45">
      <w:pPr>
        <w:pStyle w:val="56"/>
        <w:spacing w:line="360" w:lineRule="auto"/>
        <w:ind w:firstLine="420"/>
      </w:pPr>
      <w:r>
        <w:rPr>
          <w:rFonts w:hint="eastAsia"/>
        </w:rPr>
        <w:t>为了保证评价结果的科学性和可操作性，应采用多种方法进行综合验证，主要包括：</w:t>
      </w:r>
    </w:p>
    <w:p w14:paraId="6DF1F230">
      <w:pPr>
        <w:pStyle w:val="132"/>
        <w:spacing w:line="360" w:lineRule="auto"/>
      </w:pPr>
      <w:r>
        <w:rPr>
          <w:rFonts w:hint="eastAsia"/>
        </w:rPr>
        <w:t>现场检测与比对：通过模拟泄漏实验或与传统方法比对，验证系统检测效果；</w:t>
      </w:r>
    </w:p>
    <w:p w14:paraId="6C68CD8A">
      <w:pPr>
        <w:pStyle w:val="132"/>
        <w:spacing w:line="360" w:lineRule="auto"/>
      </w:pPr>
      <w:r>
        <w:rPr>
          <w:rFonts w:hint="eastAsia"/>
        </w:rPr>
        <w:t>运行数据分析：利用运行日志、历史数据，对系统长期表现进行统计分析；</w:t>
      </w:r>
    </w:p>
    <w:p w14:paraId="645EFBEC">
      <w:pPr>
        <w:pStyle w:val="132"/>
        <w:spacing w:line="360" w:lineRule="auto"/>
      </w:pPr>
      <w:r>
        <w:rPr>
          <w:rFonts w:hint="eastAsia"/>
        </w:rPr>
        <w:t>第三方评估：鼓励委托具备资质的第三方机构进行独立评价；</w:t>
      </w:r>
    </w:p>
    <w:p w14:paraId="58D7EE5F">
      <w:pPr>
        <w:pStyle w:val="132"/>
        <w:spacing w:line="360" w:lineRule="auto"/>
      </w:pPr>
      <w:r>
        <w:rPr>
          <w:rFonts w:hint="eastAsia"/>
        </w:rPr>
        <w:t>用户反馈调查：收集运维人员、管理部门的反馈意见，作为改进依据。</w:t>
      </w:r>
    </w:p>
    <w:p w14:paraId="3A29EB33">
      <w:pPr>
        <w:pStyle w:val="105"/>
        <w:spacing w:before="120" w:after="120" w:line="360" w:lineRule="auto"/>
      </w:pPr>
      <w:r>
        <w:rPr>
          <w:rFonts w:hint="eastAsia"/>
        </w:rPr>
        <w:t>改进措施</w:t>
      </w:r>
    </w:p>
    <w:p w14:paraId="6F3EAA18">
      <w:pPr>
        <w:pStyle w:val="56"/>
        <w:spacing w:line="360" w:lineRule="auto"/>
        <w:ind w:firstLine="420"/>
      </w:pPr>
      <w:r>
        <w:rPr>
          <w:rFonts w:hint="eastAsia"/>
        </w:rPr>
        <w:t>在评价结果的基础上，应采取针对性的改进措施，持续优化系统运行效果。主要方向包括：</w:t>
      </w:r>
    </w:p>
    <w:p w14:paraId="551308CC">
      <w:pPr>
        <w:pStyle w:val="132"/>
        <w:spacing w:line="360" w:lineRule="auto"/>
      </w:pPr>
      <w:r>
        <w:rPr>
          <w:rFonts w:hint="eastAsia"/>
        </w:rPr>
        <w:t>技术优化：基于评价结果改进算法、优化传感器布局、升级硬件设备；</w:t>
      </w:r>
    </w:p>
    <w:p w14:paraId="3BB28E76">
      <w:pPr>
        <w:pStyle w:val="132"/>
        <w:spacing w:line="360" w:lineRule="auto"/>
      </w:pPr>
      <w:r>
        <w:rPr>
          <w:rFonts w:hint="eastAsia"/>
        </w:rPr>
        <w:t>管理提升：完善运行流程，强化数据管理与人员培训；</w:t>
      </w:r>
    </w:p>
    <w:p w14:paraId="1EDED54D">
      <w:pPr>
        <w:pStyle w:val="132"/>
        <w:spacing w:line="360" w:lineRule="auto"/>
      </w:pPr>
      <w:r>
        <w:rPr>
          <w:rFonts w:hint="eastAsia"/>
        </w:rPr>
        <w:t>应急改进：对发现的应急响应不足之处，及时修订预案并演练；</w:t>
      </w:r>
    </w:p>
    <w:p w14:paraId="3BCDDE4C">
      <w:pPr>
        <w:pStyle w:val="132"/>
        <w:spacing w:line="360" w:lineRule="auto"/>
      </w:pPr>
      <w:r>
        <w:rPr>
          <w:rFonts w:hint="eastAsia"/>
        </w:rPr>
        <w:t>持续投入：在资金和人力上保持合理投入，确保系统不断升级。</w:t>
      </w:r>
    </w:p>
    <w:p w14:paraId="1E94EF30">
      <w:pPr>
        <w:pStyle w:val="105"/>
        <w:spacing w:before="120" w:after="120" w:line="360" w:lineRule="auto"/>
      </w:pPr>
      <w:r>
        <w:rPr>
          <w:rFonts w:hint="eastAsia"/>
        </w:rPr>
        <w:t>持续改进机制</w:t>
      </w:r>
    </w:p>
    <w:p w14:paraId="2D178405">
      <w:pPr>
        <w:pStyle w:val="56"/>
        <w:spacing w:line="360" w:lineRule="auto"/>
        <w:ind w:firstLine="420"/>
      </w:pPr>
      <w:r>
        <w:rPr>
          <w:rFonts w:hint="eastAsia"/>
        </w:rPr>
        <w:t>为确保改进措施长期有效，应建立闭环的持续改进机制，将评价与优化形成循环：</w:t>
      </w:r>
    </w:p>
    <w:p w14:paraId="2F6A493C">
      <w:pPr>
        <w:pStyle w:val="132"/>
        <w:spacing w:line="360" w:lineRule="auto"/>
      </w:pPr>
      <w:r>
        <w:rPr>
          <w:rFonts w:hint="eastAsia"/>
        </w:rPr>
        <w:t>建议每年开展一次系统性能评价；</w:t>
      </w:r>
    </w:p>
    <w:p w14:paraId="5A1A2217">
      <w:pPr>
        <w:pStyle w:val="132"/>
        <w:spacing w:line="360" w:lineRule="auto"/>
      </w:pPr>
      <w:r>
        <w:rPr>
          <w:rFonts w:hint="eastAsia"/>
        </w:rPr>
        <w:t>每三年至少进行一次全面改进评估；</w:t>
      </w:r>
    </w:p>
    <w:p w14:paraId="4A324E16">
      <w:pPr>
        <w:pStyle w:val="132"/>
        <w:spacing w:line="360" w:lineRule="auto"/>
      </w:pPr>
      <w:r>
        <w:rPr>
          <w:rFonts w:hint="eastAsia"/>
        </w:rPr>
        <w:t>在技术更新、法规变化或重大事故后，应及时开展专项改进。</w:t>
      </w:r>
    </w:p>
    <w:bookmarkEnd w:id="26"/>
    <w:p w14:paraId="15B663B9">
      <w:pPr>
        <w:pStyle w:val="56"/>
        <w:ind w:firstLine="0" w:firstLineChars="0"/>
        <w:jc w:val="center"/>
      </w:pPr>
      <w:bookmarkStart w:id="58" w:name="BookMark8"/>
      <w:r>
        <w:rPr>
          <w:rFonts w:hint="eastAsia"/>
        </w:rPr>
        <w:drawing>
          <wp:inline distT="0" distB="0" distL="0" distR="0">
            <wp:extent cx="1485900" cy="317500"/>
            <wp:effectExtent l="0" t="0" r="0" b="6350"/>
            <wp:docPr id="1797073623" name="图片 3"/>
            <wp:cNvGraphicFramePr/>
            <a:graphic xmlns:a="http://schemas.openxmlformats.org/drawingml/2006/main">
              <a:graphicData uri="http://schemas.openxmlformats.org/drawingml/2006/picture">
                <pic:pic xmlns:pic="http://schemas.openxmlformats.org/drawingml/2006/picture">
                  <pic:nvPicPr>
                    <pic:cNvPr id="1797073623" name="图片 3"/>
                    <pic:cNvPicPr/>
                  </pic:nvPicPr>
                  <pic:blipFill>
                    <a:blip r:embed="rId3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8"/>
    </w:p>
    <w:sectPr>
      <w:headerReference r:id="rId23" w:type="default"/>
      <w:footerReference r:id="rId25" w:type="default"/>
      <w:headerReference r:id="rId24" w:type="even"/>
      <w:footerReference r:id="rId26"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85AA9">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49ED4">
    <w:pPr>
      <w:pStyle w:val="52"/>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C6DD6">
    <w:pPr>
      <w:pStyle w:val="51"/>
    </w:pPr>
    <w:r>
      <w:fldChar w:fldCharType="begin"/>
    </w:r>
    <w:r>
      <w:instrText xml:space="preserve"> PAGE   \* MERGEFORMAT \* MERGEFORMAT </w:instrText>
    </w:r>
    <w:r>
      <w:fldChar w:fldCharType="separate"/>
    </w:r>
    <w:r>
      <w:t>10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C22D">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337">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C18A">
    <w:pPr>
      <w:pStyle w:val="52"/>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F5FB5">
    <w:pPr>
      <w:pStyle w:val="51"/>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A603E">
    <w:pPr>
      <w:pStyle w:val="5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5E961">
    <w:pPr>
      <w:pStyle w:val="51"/>
    </w:pPr>
    <w:r>
      <w:fldChar w:fldCharType="begin"/>
    </w:r>
    <w:r>
      <w:instrText xml:space="preserve"> PAGE   \* MERGEFORMAT \* MERGEFORMAT </w:instrText>
    </w:r>
    <w:r>
      <w:fldChar w:fldCharType="separate"/>
    </w:r>
    <w: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84B8F">
    <w:pPr>
      <w:pStyle w:val="52"/>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26AA3">
    <w:pPr>
      <w:pStyle w:val="51"/>
    </w:pPr>
    <w:r>
      <w:fldChar w:fldCharType="begin"/>
    </w:r>
    <w:r>
      <w:instrText xml:space="preserve"> PAGE   \* MERGEFORMAT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85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9949D">
    <w:pPr>
      <w:pStyle w:val="61"/>
    </w:pPr>
    <w:r>
      <w:fldChar w:fldCharType="begin"/>
    </w:r>
    <w:r>
      <w:instrText xml:space="preserve"> STYLEREF  标准文件_文件编号  \* MERGEFORMAT </w:instrText>
    </w:r>
    <w:r>
      <w:fldChar w:fldCharType="separate"/>
    </w:r>
    <w:r>
      <w:t>T/XZBX 0086—2025</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1B1A9">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0086—2025</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A1121">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A31">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7098">
    <w:pPr>
      <w:pStyle w:val="61"/>
    </w:pPr>
    <w:r>
      <w:fldChar w:fldCharType="begin"/>
    </w:r>
    <w:r>
      <w:instrText xml:space="preserve"> STYLEREF  标准文件_文件编号  \* MERGEFORMAT </w:instrText>
    </w:r>
    <w:r>
      <w:fldChar w:fldCharType="separate"/>
    </w:r>
    <w:r>
      <w:t>T/XZBX 0086—2025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007A2">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T/XZBX 0086—2025</w:t>
    </w:r>
    <w:r>
      <w:rPr>
        <w:rFonts w:hint="eastAsi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09664">
    <w:pPr>
      <w:pStyle w:val="61"/>
    </w:pPr>
    <w:r>
      <w:fldChar w:fldCharType="begin"/>
    </w:r>
    <w:r>
      <w:instrText xml:space="preserve"> STYLEREF  标准文件_文件编号  \* MERGEFORMAT </w:instrText>
    </w:r>
    <w:r>
      <w:fldChar w:fldCharType="separate"/>
    </w:r>
    <w:r>
      <w:t>T/XZBX 0086—2025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45809">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0086—2025</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7E162">
    <w:pPr>
      <w:pStyle w:val="61"/>
    </w:pPr>
    <w:r>
      <w:fldChar w:fldCharType="begin"/>
    </w:r>
    <w:r>
      <w:instrText xml:space="preserve"> STYLEREF  标准文件_文件编号  \* MERGEFORMAT </w:instrText>
    </w:r>
    <w:r>
      <w:fldChar w:fldCharType="separate"/>
    </w:r>
    <w:r>
      <w:t>T/XZBX 0086—2025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876F6">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0086—2025</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SwNLYwMrIwtjS2NDNT0lEKTi0uzszPAykwqgUAi3zLlCwAAAA="/>
  </w:docVars>
  <w:rsids>
    <w:rsidRoot w:val="00EB4D3D"/>
    <w:rsid w:val="0000040A"/>
    <w:rsid w:val="00000A94"/>
    <w:rsid w:val="00001972"/>
    <w:rsid w:val="00001D9A"/>
    <w:rsid w:val="00007B3A"/>
    <w:rsid w:val="000107E0"/>
    <w:rsid w:val="00011FDE"/>
    <w:rsid w:val="00012FFD"/>
    <w:rsid w:val="00014162"/>
    <w:rsid w:val="00014340"/>
    <w:rsid w:val="00016A9C"/>
    <w:rsid w:val="0002034D"/>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98D"/>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5790"/>
    <w:rsid w:val="000D753B"/>
    <w:rsid w:val="000E4C9E"/>
    <w:rsid w:val="000E6FD7"/>
    <w:rsid w:val="000E7144"/>
    <w:rsid w:val="000F06E1"/>
    <w:rsid w:val="000F0E3C"/>
    <w:rsid w:val="000F19D5"/>
    <w:rsid w:val="000F3FFB"/>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276F"/>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295A"/>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6CD5"/>
    <w:rsid w:val="002B7332"/>
    <w:rsid w:val="002B7F51"/>
    <w:rsid w:val="002C09E7"/>
    <w:rsid w:val="002C1E06"/>
    <w:rsid w:val="002C3F07"/>
    <w:rsid w:val="002C5278"/>
    <w:rsid w:val="002C7EBB"/>
    <w:rsid w:val="002D06C1"/>
    <w:rsid w:val="002D1562"/>
    <w:rsid w:val="002D42B5"/>
    <w:rsid w:val="002D4F1A"/>
    <w:rsid w:val="002D6EC6"/>
    <w:rsid w:val="002D79AC"/>
    <w:rsid w:val="002E039D"/>
    <w:rsid w:val="002E4D5A"/>
    <w:rsid w:val="002E6326"/>
    <w:rsid w:val="002E6AD9"/>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2DA"/>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2049"/>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B08"/>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2EC"/>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22DE"/>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55CD0"/>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5F4B"/>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97E99"/>
    <w:rsid w:val="009A089C"/>
    <w:rsid w:val="009A118E"/>
    <w:rsid w:val="009A21CD"/>
    <w:rsid w:val="009A278C"/>
    <w:rsid w:val="009A2BC2"/>
    <w:rsid w:val="009A42C1"/>
    <w:rsid w:val="009A5429"/>
    <w:rsid w:val="009A72AD"/>
    <w:rsid w:val="009B09E0"/>
    <w:rsid w:val="009B0BC5"/>
    <w:rsid w:val="009B1247"/>
    <w:rsid w:val="009B496B"/>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06B2"/>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57BFB"/>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819"/>
    <w:rsid w:val="00AA6EC9"/>
    <w:rsid w:val="00AB6309"/>
    <w:rsid w:val="00AB6C5F"/>
    <w:rsid w:val="00AB7129"/>
    <w:rsid w:val="00AC27A6"/>
    <w:rsid w:val="00AC30F7"/>
    <w:rsid w:val="00AC3A5A"/>
    <w:rsid w:val="00AC4D95"/>
    <w:rsid w:val="00AC5DF4"/>
    <w:rsid w:val="00AC7387"/>
    <w:rsid w:val="00AD0AEF"/>
    <w:rsid w:val="00AD11B7"/>
    <w:rsid w:val="00AD1A94"/>
    <w:rsid w:val="00AD1C05"/>
    <w:rsid w:val="00AD4126"/>
    <w:rsid w:val="00AD421C"/>
    <w:rsid w:val="00AD44FA"/>
    <w:rsid w:val="00AE070A"/>
    <w:rsid w:val="00AE100B"/>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97DF7"/>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17804"/>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0A55"/>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B7C83"/>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0A0"/>
    <w:rsid w:val="00D2661A"/>
    <w:rsid w:val="00D27582"/>
    <w:rsid w:val="00D27EC4"/>
    <w:rsid w:val="00D32719"/>
    <w:rsid w:val="00D33333"/>
    <w:rsid w:val="00D352A2"/>
    <w:rsid w:val="00D4162B"/>
    <w:rsid w:val="00D418B5"/>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88"/>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D3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A86"/>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67671"/>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92D"/>
    <w:rsid w:val="00FE1FBE"/>
    <w:rsid w:val="00FE3901"/>
    <w:rsid w:val="00FE39D3"/>
    <w:rsid w:val="00FE4BCE"/>
    <w:rsid w:val="00FE54AE"/>
    <w:rsid w:val="00FE576A"/>
    <w:rsid w:val="00FE7E79"/>
    <w:rsid w:val="00FF3E7D"/>
    <w:rsid w:val="00FF5B99"/>
    <w:rsid w:val="00FF730C"/>
    <w:rsid w:val="00FF73F4"/>
    <w:rsid w:val="00FF7CE4"/>
    <w:rsid w:val="00FF7E39"/>
    <w:rsid w:val="706674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uiPriority w:val="0"/>
    <w:rPr>
      <w:b/>
      <w:bCs/>
      <w:kern w:val="44"/>
      <w:sz w:val="44"/>
      <w:szCs w:val="44"/>
    </w:rPr>
  </w:style>
  <w:style w:type="character" w:customStyle="1" w:styleId="35">
    <w:name w:val="标题 2 字符"/>
    <w:link w:val="3"/>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uiPriority w:val="0"/>
    <w:rPr>
      <w:rFonts w:ascii="Arial" w:hAnsi="Arial" w:eastAsia="黑体"/>
      <w:b/>
      <w:bCs/>
      <w:kern w:val="2"/>
      <w:sz w:val="28"/>
      <w:szCs w:val="28"/>
    </w:rPr>
  </w:style>
  <w:style w:type="character" w:customStyle="1" w:styleId="38">
    <w:name w:val="标题 5 字符"/>
    <w:link w:val="6"/>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uiPriority w:val="0"/>
    <w:rPr>
      <w:b/>
      <w:bCs/>
      <w:kern w:val="2"/>
      <w:sz w:val="24"/>
      <w:szCs w:val="24"/>
    </w:rPr>
  </w:style>
  <w:style w:type="character" w:customStyle="1" w:styleId="41">
    <w:name w:val="标题 8 字符"/>
    <w:link w:val="9"/>
    <w:uiPriority w:val="0"/>
    <w:rPr>
      <w:rFonts w:ascii="Arial" w:hAnsi="Arial" w:eastAsia="黑体"/>
      <w:kern w:val="2"/>
      <w:sz w:val="24"/>
      <w:szCs w:val="24"/>
    </w:rPr>
  </w:style>
  <w:style w:type="character" w:customStyle="1" w:styleId="42">
    <w:name w:val="标题 9 字符"/>
    <w:link w:val="10"/>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5" Type="http://schemas.openxmlformats.org/officeDocument/2006/relationships/glossaryDocument" Target="glossary/document.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3.jpeg"/><Relationship Id="rId3" Type="http://schemas.openxmlformats.org/officeDocument/2006/relationships/footnotes" Target="footnotes.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2FB321F5A4443D9AFC61825E0F0C38"/>
        <w:style w:val=""/>
        <w:category>
          <w:name w:val="常规"/>
          <w:gallery w:val="placeholder"/>
        </w:category>
        <w:types>
          <w:type w:val="bbPlcHdr"/>
        </w:types>
        <w:behaviors>
          <w:behavior w:val="content"/>
        </w:behaviors>
        <w:description w:val=""/>
        <w:guid w:val="{6BC8AE12-FCBB-459F-AF45-E50AEA0241F1}"/>
      </w:docPartPr>
      <w:docPartBody>
        <w:p w14:paraId="4E552AD6">
          <w:pPr>
            <w:pStyle w:val="5"/>
          </w:pPr>
          <w:r>
            <w:rPr>
              <w:rStyle w:val="4"/>
              <w:rFonts w:hint="eastAsia"/>
            </w:rPr>
            <w:t>单击或点击此处输入文字。</w:t>
          </w:r>
        </w:p>
      </w:docPartBody>
    </w:docPart>
    <w:docPart>
      <w:docPartPr>
        <w:name w:val="06591A60496146309C06F8B2E11B4B09"/>
        <w:style w:val=""/>
        <w:category>
          <w:name w:val="常规"/>
          <w:gallery w:val="placeholder"/>
        </w:category>
        <w:types>
          <w:type w:val="bbPlcHdr"/>
        </w:types>
        <w:behaviors>
          <w:behavior w:val="content"/>
        </w:behaviors>
        <w:description w:val=""/>
        <w:guid w:val="{9CA1BFD8-86DC-49E7-8A17-8C8D6D52C131}"/>
      </w:docPartPr>
      <w:docPartBody>
        <w:p w14:paraId="5F023228">
          <w:pPr>
            <w:pStyle w:val="6"/>
          </w:pPr>
          <w:r>
            <w:rPr>
              <w:rStyle w:val="4"/>
              <w:rFonts w:hint="eastAsia"/>
            </w:rPr>
            <w:t>选择一项。</w:t>
          </w:r>
        </w:p>
      </w:docPartBody>
    </w:docPart>
    <w:docPart>
      <w:docPartPr>
        <w:name w:val="301A11BD743F4400A8B304744630EFE7"/>
        <w:style w:val=""/>
        <w:category>
          <w:name w:val="常规"/>
          <w:gallery w:val="placeholder"/>
        </w:category>
        <w:types>
          <w:type w:val="bbPlcHdr"/>
        </w:types>
        <w:behaviors>
          <w:behavior w:val="content"/>
        </w:behaviors>
        <w:description w:val=""/>
        <w:guid w:val="{E52AB75A-1AE2-48D1-8CE3-EC37C4964B3D}"/>
      </w:docPartPr>
      <w:docPartBody>
        <w:p w14:paraId="26A1979B">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6"/>
    <w:rsid w:val="000F3FFB"/>
    <w:rsid w:val="002E6AD9"/>
    <w:rsid w:val="003F62CE"/>
    <w:rsid w:val="004A6324"/>
    <w:rsid w:val="006141C6"/>
    <w:rsid w:val="00655662"/>
    <w:rsid w:val="0073306D"/>
    <w:rsid w:val="0078698F"/>
    <w:rsid w:val="007F22DE"/>
    <w:rsid w:val="00866BED"/>
    <w:rsid w:val="00AE100B"/>
    <w:rsid w:val="00AE1DC6"/>
    <w:rsid w:val="00B04FA9"/>
    <w:rsid w:val="00B97DF7"/>
    <w:rsid w:val="00C22C9E"/>
    <w:rsid w:val="00CB7C83"/>
    <w:rsid w:val="00CF2BD8"/>
    <w:rsid w:val="00F06A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12FB321F5A4443D9AFC61825E0F0C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591A60496146309C06F8B2E11B4B0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1A11BD743F4400A8B304744630EFE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18</Pages>
  <Words>3412</Words>
  <Characters>3696</Characters>
  <Lines>64</Lines>
  <Paragraphs>18</Paragraphs>
  <TotalTime>156</TotalTime>
  <ScaleCrop>false</ScaleCrop>
  <LinksUpToDate>false</LinksUpToDate>
  <CharactersWithSpaces>3802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2025-08-23T08:44:00Z</dcterms:created>
  <dc:creator>Jianyi Huang</dc:creator>
  <dc:description>&lt;config cover="true" show_menu="true" version="1.0.0" doctype="SDKXY"&gt;_x000d_
&lt;/config&gt;</dc:description>
  <cp:lastModifiedBy>微信用户</cp:lastModifiedBy>
  <cp:lastPrinted>2021-02-02T08:22:00Z</cp:lastPrinted>
  <dcterms:modified xsi:type="dcterms:W3CDTF">2025-09-05T07:02:16Z</dcterms:modified>
  <dc:title>团体标准</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eyJoZGlkIjoiYjU3OWNmZWNhOTU1OGIzZjViZTdhZWJmNzZlMzNmYTYiLCJ1c2VySWQiOiIxNDE1OTEzOTEwIn0=</vt:lpwstr>
  </property>
  <property fmtid="{D5CDD505-2E9C-101B-9397-08002B2CF9AE}" pid="16" name="KSOProductBuildVer">
    <vt:lpwstr>2052-12.1.0.22529</vt:lpwstr>
  </property>
  <property fmtid="{D5CDD505-2E9C-101B-9397-08002B2CF9AE}" pid="17" name="ICV">
    <vt:lpwstr>18247C7CD21E4E5CB90DDD03BE31F503_12</vt:lpwstr>
  </property>
</Properties>
</file>