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7.10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27.100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F 2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F 20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1"/>
            </w:textInput>
          </w:ffData>
        </w:fldChar>
      </w:r>
      <w:bookmarkStart w:id="6" w:name="NSTD_CODE_F"/>
      <w:r>
        <w:instrText xml:space="preserve"> FORMTEXT </w:instrText>
      </w:r>
      <w:r>
        <w:fldChar w:fldCharType="separate"/>
      </w:r>
      <w:r>
        <w:t>0081</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4A6C3732">
      <w:pPr>
        <w:pStyle w:val="197"/>
        <w:framePr w:h="6974" w:hRule="exact" w:wrap="around" w:x="1419" w:anchorLock="1"/>
      </w:pPr>
      <w:r>
        <w:rPr>
          <w:rFonts w:hint="eastAsia"/>
        </w:rPr>
        <w:fldChar w:fldCharType="begin">
          <w:ffData>
            <w:name w:val="CSTD_NAME"/>
            <w:enabled/>
            <w:calcOnExit w:val="0"/>
            <w:textInput>
              <w:default w:val="面向智能电网的电力储能与共享能配置规程"/>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面向智能电网的电力储能与共享能</w:t>
      </w:r>
    </w:p>
    <w:p w14:paraId="73594FE6">
      <w:pPr>
        <w:pStyle w:val="197"/>
        <w:framePr w:h="6974" w:hRule="exact" w:wrap="around" w:x="1419" w:anchorLock="1"/>
      </w:pPr>
      <w:r>
        <w:rPr>
          <w:rFonts w:hint="eastAsia"/>
        </w:rPr>
        <w:t>配置规程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power storage and shared energy allocation for smart grid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Code of practice for power storage and shared energy allocation for smart grids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FC6DA88">
      <w:pPr>
        <w:pStyle w:val="91"/>
        <w:spacing w:after="360"/>
      </w:pPr>
      <w:bookmarkStart w:id="21" w:name="BookMark1"/>
      <w:r>
        <w:rPr>
          <w:rFonts w:hint="eastAsia"/>
          <w:spacing w:val="320"/>
        </w:rPr>
        <w:t>目</w:t>
      </w:r>
      <w:r>
        <w:rPr>
          <w:rFonts w:hint="eastAsia"/>
        </w:rPr>
        <w:t>次</w:t>
      </w:r>
    </w:p>
    <w:p w14:paraId="0CBF89F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"_Toc206837703"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_Toc206837703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B1D6C2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"_Toc206837704"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_Toc206837704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2C9F0D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"_Toc206837705"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_Toc206837705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28A96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"_Toc206837706"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_Toc206837706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AF739E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"_Toc206837707"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_Toc206837707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974D4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"_Toc206837708"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_Toc206837708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208B8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"_Toc206837709" </w:instrText>
      </w:r>
      <w:r>
        <w:fldChar w:fldCharType="separate"/>
      </w:r>
      <w:r>
        <w:rPr>
          <w:rStyle w:val="32"/>
          <w:rFonts w:hint="eastAsia"/>
        </w:rPr>
        <w:t>5</w:t>
      </w:r>
      <w:r>
        <w:rPr>
          <w:rStyle w:val="32"/>
        </w:rPr>
        <w:t xml:space="preserve"> </w:t>
      </w:r>
      <w:r>
        <w:rPr>
          <w:rStyle w:val="32"/>
          <w:rFonts w:hint="eastAsia"/>
        </w:rPr>
        <w:t xml:space="preserve"> 系统设计</w:t>
      </w:r>
      <w:r>
        <w:rPr>
          <w:rFonts w:hint="eastAsia"/>
        </w:rPr>
        <w:tab/>
      </w:r>
      <w:r>
        <w:rPr>
          <w:rFonts w:hint="eastAsia"/>
        </w:rPr>
        <w:fldChar w:fldCharType="begin"/>
      </w:r>
      <w:r>
        <w:rPr>
          <w:rFonts w:hint="eastAsia"/>
        </w:rPr>
        <w:instrText xml:space="preserve"> </w:instrText>
      </w:r>
      <w:r>
        <w:instrText xml:space="preserve">PAGEREF _Toc206837709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39AA7F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"_Toc206837710" </w:instrText>
      </w:r>
      <w:r>
        <w:fldChar w:fldCharType="separate"/>
      </w:r>
      <w:r>
        <w:rPr>
          <w:rStyle w:val="32"/>
          <w:rFonts w:hint="eastAsia"/>
        </w:rPr>
        <w:t>6</w:t>
      </w:r>
      <w:r>
        <w:rPr>
          <w:rStyle w:val="32"/>
        </w:rPr>
        <w:t xml:space="preserve"> </w:t>
      </w:r>
      <w:r>
        <w:rPr>
          <w:rStyle w:val="32"/>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_Toc206837710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F2B9C8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"_Toc206837711" </w:instrText>
      </w:r>
      <w:r>
        <w:fldChar w:fldCharType="separate"/>
      </w:r>
      <w:r>
        <w:rPr>
          <w:rStyle w:val="32"/>
          <w:rFonts w:hint="eastAsia"/>
        </w:rPr>
        <w:t>7</w:t>
      </w:r>
      <w:r>
        <w:rPr>
          <w:rStyle w:val="32"/>
        </w:rPr>
        <w:t xml:space="preserve"> </w:t>
      </w:r>
      <w:r>
        <w:rPr>
          <w:rStyle w:val="32"/>
          <w:rFonts w:hint="eastAsia"/>
        </w:rPr>
        <w:t xml:space="preserve"> 运行管理</w:t>
      </w:r>
      <w:r>
        <w:rPr>
          <w:rFonts w:hint="eastAsia"/>
        </w:rPr>
        <w:tab/>
      </w:r>
      <w:r>
        <w:rPr>
          <w:rFonts w:hint="eastAsia"/>
        </w:rPr>
        <w:fldChar w:fldCharType="begin"/>
      </w:r>
      <w:r>
        <w:rPr>
          <w:rFonts w:hint="eastAsia"/>
        </w:rPr>
        <w:instrText xml:space="preserve"> </w:instrText>
      </w:r>
      <w:r>
        <w:instrText xml:space="preserve">PAGEREF _Toc206837711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720DE6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"_Toc206837712" </w:instrText>
      </w:r>
      <w:r>
        <w:fldChar w:fldCharType="separate"/>
      </w:r>
      <w:r>
        <w:rPr>
          <w:rStyle w:val="32"/>
          <w:rFonts w:hint="eastAsia"/>
        </w:rPr>
        <w:t>8</w:t>
      </w:r>
      <w:r>
        <w:rPr>
          <w:rStyle w:val="32"/>
        </w:rPr>
        <w:t xml:space="preserve"> </w:t>
      </w:r>
      <w:r>
        <w:rPr>
          <w:rStyle w:val="32"/>
          <w:rFonts w:hint="eastAsia"/>
        </w:rPr>
        <w:t xml:space="preserve"> 安全保障</w:t>
      </w:r>
      <w:r>
        <w:rPr>
          <w:rFonts w:hint="eastAsia"/>
        </w:rPr>
        <w:tab/>
      </w:r>
      <w:r>
        <w:rPr>
          <w:rFonts w:hint="eastAsia"/>
        </w:rPr>
        <w:fldChar w:fldCharType="begin"/>
      </w:r>
      <w:r>
        <w:rPr>
          <w:rFonts w:hint="eastAsia"/>
        </w:rPr>
        <w:instrText xml:space="preserve"> </w:instrText>
      </w:r>
      <w:r>
        <w:instrText xml:space="preserve">PAGEREF _Toc206837712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300FCD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"_Toc206837713" </w:instrText>
      </w:r>
      <w:r>
        <w:fldChar w:fldCharType="separate"/>
      </w:r>
      <w:r>
        <w:rPr>
          <w:rStyle w:val="32"/>
          <w:rFonts w:hint="eastAsia"/>
        </w:rPr>
        <w:t>9</w:t>
      </w:r>
      <w:r>
        <w:rPr>
          <w:rStyle w:val="32"/>
        </w:rPr>
        <w:t xml:space="preserve"> </w:t>
      </w:r>
      <w:r>
        <w:rPr>
          <w:rStyle w:val="32"/>
          <w:rFonts w:hint="eastAsia"/>
        </w:rPr>
        <w:t xml:space="preserve"> 监督改进</w:t>
      </w:r>
      <w:r>
        <w:rPr>
          <w:rFonts w:hint="eastAsia"/>
        </w:rPr>
        <w:tab/>
      </w:r>
      <w:r>
        <w:rPr>
          <w:rFonts w:hint="eastAsia"/>
        </w:rPr>
        <w:fldChar w:fldCharType="begin"/>
      </w:r>
      <w:r>
        <w:rPr>
          <w:rFonts w:hint="eastAsia"/>
        </w:rPr>
        <w:instrText xml:space="preserve"> </w:instrText>
      </w:r>
      <w:r>
        <w:instrText xml:space="preserve">PAGEREF _Toc206837713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94CE00B">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83770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本文件起草单位：云南恒安电力工程有限公司。</w:t>
      </w:r>
    </w:p>
    <w:p w14:paraId="1B3EB912">
      <w:pPr>
        <w:pStyle w:val="56"/>
        <w:spacing w:line="360" w:lineRule="auto"/>
        <w:ind w:firstLine="420"/>
      </w:pPr>
      <w:r>
        <w:rPr>
          <w:rFonts w:hint="eastAsia"/>
        </w:rPr>
        <w:t>本文件主要起草人：王黎明。</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66D0A2F3">
      <w:pPr>
        <w:pStyle w:val="89"/>
        <w:spacing w:after="360"/>
      </w:pPr>
      <w:bookmarkStart w:id="24" w:name="_Toc206837704"/>
      <w:bookmarkStart w:id="25" w:name="BookMark3"/>
      <w:r>
        <w:rPr>
          <w:spacing w:val="320"/>
        </w:rPr>
        <w:t>引</w:t>
      </w:r>
      <w:r>
        <w:t>言</w:t>
      </w:r>
      <w:bookmarkEnd w:id="24"/>
    </w:p>
    <w:p w14:paraId="183BA898">
      <w:pPr>
        <w:pStyle w:val="56"/>
        <w:spacing w:line="360" w:lineRule="auto"/>
        <w:ind w:firstLine="420"/>
      </w:pPr>
      <w:r>
        <w:rPr>
          <w:rFonts w:hint="eastAsia"/>
        </w:rPr>
        <w:t>随着能源结构的不断优化和“双碳”目标的深入推进，智能电网在提高能源利用效率、促进清洁能源消纳和增强电力系统灵活性方面发挥着日益重要的作用。作为智能电网的重要组成部分，电力储能和共享能配置技术能够实现电力系统中能量的高效存储、灵活调度与跨区域共享，对于缓解电力负荷波动、保障电网安全运行具有重要意义。</w:t>
      </w:r>
    </w:p>
    <w:p w14:paraId="27AC19D1">
      <w:pPr>
        <w:pStyle w:val="56"/>
        <w:spacing w:line="360" w:lineRule="auto"/>
        <w:ind w:firstLine="420"/>
      </w:pPr>
      <w:r>
        <w:rPr>
          <w:rFonts w:hint="eastAsia"/>
        </w:rPr>
        <w:t>传统电力系统以集中式电源为主，电力调度刚性较强，难以适应分布式能源、新能源快速发展的需求。而储能技术的广泛应用，使得电能能够在发电、输电、配电与用电环节灵活转移；共享能配置模式的引入，则打破了单一主体之间的能源壁垒，实现了跨用户、跨区域的能量协同与价值共享。二者的结合不仅有助于提高能源利用效率和电网运行的柔性，还为多能互补和区域综合能源系统的构建提供了基础。</w:t>
      </w:r>
    </w:p>
    <w:p w14:paraId="6215C8EE">
      <w:pPr>
        <w:pStyle w:val="56"/>
        <w:spacing w:line="360" w:lineRule="auto"/>
        <w:ind w:firstLine="420"/>
      </w:pPr>
      <w:r>
        <w:rPr>
          <w:rFonts w:hint="eastAsia"/>
        </w:rPr>
        <w:t>近年来，我国在电化学储能、抽水蓄能、压缩空气储能等多种技术方面取得了显著进展，并在智能电网示范工程中得到广泛应用。然而，在储能与共享能配置的实际推进过程中，仍存在标准不统一、接口兼容性差、运行协调不足等问题。因此，制定一部统一的技术规程，对于规范电力储能与共享能配置的设计、建设、运行和管理具有重要意义。</w:t>
      </w:r>
    </w:p>
    <w:p w14:paraId="41C59179">
      <w:pPr>
        <w:pStyle w:val="56"/>
        <w:spacing w:line="360" w:lineRule="auto"/>
        <w:ind w:firstLine="420"/>
      </w:pPr>
      <w:r>
        <w:rPr>
          <w:rFonts w:hint="eastAsia"/>
        </w:rPr>
        <w:t>本文件旨在通过明确储能与共享能配置的基本原则、关键技术要求、运行管理和安全措施，为智能电网的发展提供系统化、可操作性的指导，推动电力储能设施的合理布局和共享能系统的高效运行，加快实现智能电网的安全、绿色与可持续发展目标。</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69DFF7F1">
          <w:pPr>
            <w:pStyle w:val="177"/>
            <w:spacing w:after="0"/>
          </w:pPr>
          <w:bookmarkStart w:id="27" w:name="NEW_STAND_NAME"/>
          <w:r>
            <w:rPr>
              <w:rFonts w:hint="eastAsia"/>
            </w:rPr>
            <w:t>面向智能电网的电力储能与共享能</w:t>
          </w:r>
        </w:p>
        <w:p w14:paraId="7D4E3E1F">
          <w:pPr>
            <w:pStyle w:val="177"/>
            <w:spacing w:before="0"/>
          </w:pPr>
          <w:r>
            <w:rPr>
              <w:rFonts w:hint="eastAsia"/>
            </w:rPr>
            <w:t>配置规程</w:t>
          </w:r>
        </w:p>
      </w:sdtContent>
    </w:sdt>
    <w:bookmarkEnd w:id="27"/>
    <w:p w14:paraId="3DB22445">
      <w:pPr>
        <w:pStyle w:val="104"/>
        <w:spacing w:before="240" w:after="240"/>
      </w:pPr>
      <w:bookmarkStart w:id="28" w:name="_Toc26986530"/>
      <w:bookmarkStart w:id="29" w:name="_Toc17233325"/>
      <w:bookmarkStart w:id="30" w:name="_Toc26986771"/>
      <w:bookmarkStart w:id="31" w:name="_Toc24884218"/>
      <w:bookmarkStart w:id="32" w:name="_Toc17233333"/>
      <w:bookmarkStart w:id="33" w:name="_Toc26648465"/>
      <w:bookmarkStart w:id="34" w:name="_Toc206837705"/>
      <w:bookmarkStart w:id="35" w:name="_Toc24884211"/>
      <w:bookmarkStart w:id="36" w:name="_Toc97192964"/>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1F9D0D47">
      <w:pPr>
        <w:pStyle w:val="56"/>
        <w:spacing w:line="360" w:lineRule="auto"/>
        <w:ind w:firstLine="420"/>
      </w:pPr>
      <w:bookmarkStart w:id="38" w:name="_Toc24884219"/>
      <w:bookmarkStart w:id="39" w:name="_Toc24884212"/>
      <w:bookmarkStart w:id="40" w:name="_Toc17233326"/>
      <w:bookmarkStart w:id="41" w:name="_Toc17233334"/>
      <w:bookmarkStart w:id="42" w:name="_Toc26648466"/>
      <w:r>
        <w:rPr>
          <w:rFonts w:hint="eastAsia"/>
        </w:rPr>
        <w:t>本文件规定了面向智能电网的电力储能与共享能配置的总体原则、系统设计、技术要求、运行管理、安全保障、监督改进等内容，适用于电力系统中储能设施与共享能平台的规划、建设、运行与评估。</w:t>
      </w:r>
    </w:p>
    <w:p w14:paraId="62D9A7ED">
      <w:pPr>
        <w:pStyle w:val="56"/>
        <w:spacing w:line="360" w:lineRule="auto"/>
        <w:ind w:firstLine="420"/>
      </w:pPr>
      <w:r>
        <w:rPr>
          <w:rFonts w:hint="eastAsia"/>
        </w:rPr>
        <w:t>本文件适用于电化学储能、抽水蓄能、压缩空气储能、飞轮储能等常见储能方式及其在智能电网中的共享应用，也可为多能互补型综合能源系统的设计与实施提供参考。</w:t>
      </w:r>
    </w:p>
    <w:p w14:paraId="76265264">
      <w:pPr>
        <w:pStyle w:val="56"/>
        <w:spacing w:line="360" w:lineRule="auto"/>
        <w:ind w:firstLine="420"/>
      </w:pPr>
      <w:r>
        <w:rPr>
          <w:rFonts w:hint="eastAsia"/>
        </w:rPr>
        <w:t>本文件不适用于独立微电网、离网型储能系统以及单一用户自用型储能设备的配置与运行。</w:t>
      </w:r>
    </w:p>
    <w:p w14:paraId="3733B2AD">
      <w:pPr>
        <w:pStyle w:val="104"/>
        <w:spacing w:before="240" w:after="240" w:line="360" w:lineRule="auto"/>
      </w:pPr>
      <w:bookmarkStart w:id="43" w:name="_Toc26986772"/>
      <w:bookmarkStart w:id="44" w:name="_Toc206837706"/>
      <w:bookmarkStart w:id="45" w:name="_Toc97192965"/>
      <w:bookmarkStart w:id="46" w:name="_Toc26718931"/>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DACC9A">
      <w:pPr>
        <w:pStyle w:val="56"/>
        <w:spacing w:line="360" w:lineRule="auto"/>
        <w:ind w:firstLine="420"/>
      </w:pPr>
      <w:r>
        <w:t>GB/T 12325</w:t>
      </w:r>
      <w:r>
        <w:rPr>
          <w:rFonts w:hint="eastAsia"/>
        </w:rPr>
        <w:t>—</w:t>
      </w:r>
      <w:r>
        <w:t>2008</w:t>
      </w:r>
      <w:r>
        <w:rPr>
          <w:rFonts w:hint="eastAsia"/>
        </w:rPr>
        <w:t xml:space="preserve"> 电能质量  供电电压偏差</w:t>
      </w:r>
    </w:p>
    <w:p w14:paraId="1E096A63">
      <w:pPr>
        <w:pStyle w:val="56"/>
        <w:spacing w:line="360" w:lineRule="auto"/>
        <w:ind w:firstLine="420"/>
      </w:pPr>
      <w:r>
        <w:t>GB/T 36548</w:t>
      </w:r>
      <w:r>
        <w:rPr>
          <w:rFonts w:hint="eastAsia"/>
        </w:rPr>
        <w:t>—</w:t>
      </w:r>
      <w:r>
        <w:t>2024</w:t>
      </w:r>
      <w:r>
        <w:rPr>
          <w:rFonts w:hint="eastAsia"/>
        </w:rPr>
        <w:t xml:space="preserve"> 电化学储能电站接入电网测试规程</w:t>
      </w:r>
    </w:p>
    <w:p w14:paraId="77B0ADBB">
      <w:pPr>
        <w:pStyle w:val="56"/>
        <w:spacing w:line="360" w:lineRule="auto"/>
        <w:ind w:firstLine="420"/>
      </w:pPr>
      <w:r>
        <w:rPr>
          <w:rFonts w:hint="eastAsia"/>
        </w:rPr>
        <w:t>GB/T 42315—2023 电化学储能电站检修规程</w:t>
      </w:r>
    </w:p>
    <w:p w14:paraId="448F6930">
      <w:pPr>
        <w:pStyle w:val="56"/>
        <w:spacing w:line="360" w:lineRule="auto"/>
        <w:ind w:firstLine="420"/>
      </w:pPr>
      <w:r>
        <w:t>GB/T 42726</w:t>
      </w:r>
      <w:r>
        <w:rPr>
          <w:rFonts w:hint="eastAsia"/>
        </w:rPr>
        <w:t>—</w:t>
      </w:r>
      <w:r>
        <w:t>2023</w:t>
      </w:r>
      <w:r>
        <w:rPr>
          <w:rFonts w:hint="eastAsia"/>
        </w:rPr>
        <w:t xml:space="preserve"> 电化学储能电站监控系统技术规范</w:t>
      </w:r>
    </w:p>
    <w:p w14:paraId="667B9746">
      <w:pPr>
        <w:pStyle w:val="56"/>
        <w:spacing w:line="360" w:lineRule="auto"/>
        <w:ind w:firstLine="420"/>
      </w:pPr>
      <w:r>
        <w:t>GB/T 42737</w:t>
      </w:r>
      <w:r>
        <w:rPr>
          <w:rFonts w:hint="eastAsia"/>
        </w:rPr>
        <w:t>—</w:t>
      </w:r>
      <w:r>
        <w:t>2023</w:t>
      </w:r>
      <w:r>
        <w:rPr>
          <w:rFonts w:hint="eastAsia"/>
        </w:rPr>
        <w:t xml:space="preserve"> 电化学储能电站调试规程</w:t>
      </w:r>
    </w:p>
    <w:p w14:paraId="2CB024A1">
      <w:pPr>
        <w:pStyle w:val="56"/>
        <w:spacing w:line="360" w:lineRule="auto"/>
        <w:ind w:firstLine="420"/>
      </w:pPr>
      <w:r>
        <w:t>GB/T 44113</w:t>
      </w:r>
      <w:r>
        <w:rPr>
          <w:rFonts w:hint="eastAsia"/>
        </w:rPr>
        <w:t>—</w:t>
      </w:r>
      <w:r>
        <w:t>2024</w:t>
      </w:r>
      <w:r>
        <w:rPr>
          <w:rFonts w:hint="eastAsia"/>
        </w:rPr>
        <w:t xml:space="preserve"> 用户侧电化学储能系统并网管理规范</w:t>
      </w:r>
    </w:p>
    <w:p w14:paraId="0EBC8BAF">
      <w:pPr>
        <w:pStyle w:val="56"/>
        <w:spacing w:line="360" w:lineRule="auto"/>
        <w:ind w:firstLine="420"/>
      </w:pPr>
      <w:r>
        <w:t>GB/T 44767</w:t>
      </w:r>
      <w:r>
        <w:rPr>
          <w:rFonts w:hint="eastAsia"/>
        </w:rPr>
        <w:t>—</w:t>
      </w:r>
      <w:r>
        <w:t>2024</w:t>
      </w:r>
      <w:r>
        <w:rPr>
          <w:rFonts w:hint="eastAsia"/>
        </w:rPr>
        <w:t xml:space="preserve"> 电化学储能电站安全监测信息系统技术导则</w:t>
      </w:r>
    </w:p>
    <w:p w14:paraId="51F02A4E">
      <w:pPr>
        <w:pStyle w:val="104"/>
        <w:spacing w:before="240" w:after="240" w:line="360" w:lineRule="auto"/>
      </w:pPr>
      <w:bookmarkStart w:id="48" w:name="_Toc206837707"/>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875205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电力储能</w:t>
      </w:r>
      <w:r>
        <w:rPr>
          <w:rFonts w:ascii="黑体" w:hAnsi="黑体" w:eastAsia="黑体"/>
        </w:rPr>
        <w:t>power storage</w:t>
      </w:r>
    </w:p>
    <w:p w14:paraId="5066DFC1">
      <w:pPr>
        <w:pStyle w:val="56"/>
        <w:spacing w:line="360" w:lineRule="auto"/>
        <w:ind w:firstLine="420"/>
      </w:pPr>
      <w:r>
        <w:rPr>
          <w:rFonts w:hint="eastAsia"/>
        </w:rPr>
        <w:t>利用物理、化学或电磁方式将电能转换为其他形式的能量并存储，在需要时再转换为电能输出的过程。</w:t>
      </w:r>
    </w:p>
    <w:p w14:paraId="4034F35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电化学储能 </w:t>
      </w:r>
      <w:r>
        <w:rPr>
          <w:rFonts w:ascii="黑体" w:hAnsi="黑体" w:eastAsia="黑体"/>
        </w:rPr>
        <w:t>electrochemical storage</w:t>
      </w:r>
    </w:p>
    <w:p w14:paraId="4A695A47">
      <w:pPr>
        <w:pStyle w:val="56"/>
        <w:spacing w:line="360" w:lineRule="auto"/>
        <w:ind w:firstLine="420"/>
      </w:pPr>
      <w:r>
        <w:rPr>
          <w:rFonts w:hint="eastAsia"/>
        </w:rPr>
        <w:t>通过电池或超级电容器等电化学装置实现电能与化学能相互转换并存储的方式。</w:t>
      </w:r>
    </w:p>
    <w:p w14:paraId="7D663D0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共享能 </w:t>
      </w:r>
      <w:r>
        <w:rPr>
          <w:rFonts w:ascii="黑体" w:hAnsi="黑体" w:eastAsia="黑体"/>
        </w:rPr>
        <w:t>shared energy</w:t>
      </w:r>
    </w:p>
    <w:p w14:paraId="5640C229">
      <w:pPr>
        <w:pStyle w:val="56"/>
        <w:spacing w:line="360" w:lineRule="auto"/>
        <w:ind w:firstLine="420"/>
      </w:pPr>
      <w:r>
        <w:rPr>
          <w:rFonts w:hint="eastAsia"/>
        </w:rPr>
        <w:t>在智能电网环境下，不同用户、区域或系统之间通过平台实现的能源互补、调剂和价值共享模式。</w:t>
      </w:r>
    </w:p>
    <w:p w14:paraId="6874EA5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共享能平台 </w:t>
      </w:r>
      <w:r>
        <w:rPr>
          <w:rFonts w:ascii="黑体" w:hAnsi="黑体" w:eastAsia="黑体"/>
        </w:rPr>
        <w:t>shared energy platform</w:t>
      </w:r>
    </w:p>
    <w:p w14:paraId="684E98DE">
      <w:pPr>
        <w:pStyle w:val="56"/>
        <w:spacing w:line="360" w:lineRule="auto"/>
        <w:ind w:firstLine="420"/>
      </w:pPr>
      <w:r>
        <w:rPr>
          <w:rFonts w:hint="eastAsia"/>
        </w:rPr>
        <w:t>支撑能源供给方和需求方交互的数字化平台，实现电力储能资源的共享调度和优化配置。</w:t>
      </w:r>
    </w:p>
    <w:p w14:paraId="1CB6E1E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储能系统 </w:t>
      </w:r>
      <w:r>
        <w:rPr>
          <w:rFonts w:ascii="黑体" w:hAnsi="黑体" w:eastAsia="黑体"/>
        </w:rPr>
        <w:t>energy storage system</w:t>
      </w:r>
      <w:r>
        <w:rPr>
          <w:rFonts w:hint="eastAsia" w:ascii="黑体" w:hAnsi="黑体" w:eastAsia="黑体"/>
        </w:rPr>
        <w:t>;</w:t>
      </w:r>
      <w:r>
        <w:rPr>
          <w:rFonts w:ascii="黑体" w:hAnsi="黑体" w:eastAsia="黑体"/>
        </w:rPr>
        <w:t xml:space="preserve"> ESS</w:t>
      </w:r>
    </w:p>
    <w:p w14:paraId="2F054372">
      <w:pPr>
        <w:pStyle w:val="56"/>
        <w:spacing w:line="360" w:lineRule="auto"/>
        <w:ind w:firstLine="420"/>
      </w:pPr>
      <w:r>
        <w:rPr>
          <w:rFonts w:hint="eastAsia"/>
        </w:rPr>
        <w:t>由储能单元、变流器、控制系统及辅助设施组成的综合系统，用于电能的存储与释放。</w:t>
      </w:r>
    </w:p>
    <w:p w14:paraId="5836334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需求响应 </w:t>
      </w:r>
      <w:r>
        <w:rPr>
          <w:rFonts w:ascii="黑体" w:hAnsi="黑体" w:eastAsia="黑体"/>
        </w:rPr>
        <w:t>demand response</w:t>
      </w:r>
    </w:p>
    <w:p w14:paraId="3259E829">
      <w:pPr>
        <w:pStyle w:val="56"/>
        <w:spacing w:line="360" w:lineRule="auto"/>
        <w:ind w:firstLine="420"/>
      </w:pPr>
      <w:r>
        <w:rPr>
          <w:rFonts w:hint="eastAsia"/>
        </w:rPr>
        <w:t>用户根据电网调度或价格信号，自主调整用电行为或负荷水平的过程，以维持电力系统平衡。</w:t>
      </w:r>
    </w:p>
    <w:p w14:paraId="322F94B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多能互补 </w:t>
      </w:r>
      <w:r>
        <w:rPr>
          <w:rFonts w:ascii="黑体" w:hAnsi="黑体" w:eastAsia="黑体"/>
        </w:rPr>
        <w:t>multi-energy complementarity</w:t>
      </w:r>
    </w:p>
    <w:p w14:paraId="6669E688">
      <w:pPr>
        <w:pStyle w:val="56"/>
        <w:spacing w:line="360" w:lineRule="auto"/>
        <w:ind w:firstLine="420"/>
      </w:pPr>
      <w:r>
        <w:rPr>
          <w:rFonts w:hint="eastAsia"/>
        </w:rPr>
        <w:t>在综合能源系统中，通过电、热、冷、气等多种能源形式的协调与互补，提高整体能源利用效率的方式。</w:t>
      </w:r>
    </w:p>
    <w:p w14:paraId="2CD34016">
      <w:pPr>
        <w:pStyle w:val="104"/>
        <w:spacing w:before="240" w:after="240" w:line="360" w:lineRule="auto"/>
      </w:pPr>
      <w:bookmarkStart w:id="51" w:name="_Toc206837708"/>
      <w:r>
        <w:rPr>
          <w:rFonts w:hint="eastAsia"/>
        </w:rPr>
        <w:t>总体原则</w:t>
      </w:r>
      <w:bookmarkEnd w:id="51"/>
    </w:p>
    <w:p w14:paraId="3F4E538D">
      <w:pPr>
        <w:pStyle w:val="105"/>
        <w:spacing w:before="120" w:after="120" w:line="360" w:lineRule="auto"/>
      </w:pPr>
      <w:r>
        <w:rPr>
          <w:rFonts w:hint="eastAsia"/>
        </w:rPr>
        <w:t>安全优先</w:t>
      </w:r>
    </w:p>
    <w:p w14:paraId="735ED4CA">
      <w:pPr>
        <w:pStyle w:val="56"/>
        <w:spacing w:line="360" w:lineRule="auto"/>
        <w:ind w:firstLine="420"/>
      </w:pPr>
      <w:r>
        <w:rPr>
          <w:rFonts w:hint="eastAsia"/>
        </w:rPr>
        <w:t>在储能与共享能配置过程中，应始终将系统和人员安全放在首位，严格执行国家和行业相关安全标准，确保设备运行的可靠性和操作的安全性。</w:t>
      </w:r>
    </w:p>
    <w:p w14:paraId="2620DE8F">
      <w:pPr>
        <w:pStyle w:val="105"/>
        <w:spacing w:before="120" w:after="120" w:line="360" w:lineRule="auto"/>
      </w:pPr>
      <w:r>
        <w:rPr>
          <w:rFonts w:hint="eastAsia"/>
        </w:rPr>
        <w:t>绿色低碳</w:t>
      </w:r>
    </w:p>
    <w:p w14:paraId="6119E45B">
      <w:pPr>
        <w:pStyle w:val="56"/>
        <w:spacing w:line="360" w:lineRule="auto"/>
        <w:ind w:firstLine="420"/>
      </w:pPr>
      <w:r>
        <w:rPr>
          <w:rFonts w:hint="eastAsia"/>
        </w:rPr>
        <w:t>应充分发挥储能与共享能在削峰填谷、促进新能源消纳方面的作用，减少化石能源消耗和碳排放，推动电力系统的绿色低碳发展。</w:t>
      </w:r>
    </w:p>
    <w:p w14:paraId="5DC680B6">
      <w:pPr>
        <w:pStyle w:val="105"/>
        <w:spacing w:before="120" w:after="120" w:line="360" w:lineRule="auto"/>
      </w:pPr>
      <w:r>
        <w:rPr>
          <w:rFonts w:hint="eastAsia"/>
        </w:rPr>
        <w:t>高效利用</w:t>
      </w:r>
    </w:p>
    <w:p w14:paraId="1AFB68B4">
      <w:pPr>
        <w:pStyle w:val="56"/>
        <w:spacing w:line="360" w:lineRule="auto"/>
        <w:ind w:firstLine="420"/>
      </w:pPr>
      <w:r>
        <w:rPr>
          <w:rFonts w:hint="eastAsia"/>
        </w:rPr>
        <w:t>系统设计与运行应注重能量的高效转换和传输，提升储能设施的利用率和共享平台的调度效率，实现电力资源的优化配置。</w:t>
      </w:r>
    </w:p>
    <w:p w14:paraId="4245F80D">
      <w:pPr>
        <w:pStyle w:val="105"/>
        <w:spacing w:before="120" w:after="120" w:line="360" w:lineRule="auto"/>
      </w:pPr>
      <w:r>
        <w:rPr>
          <w:rFonts w:hint="eastAsia"/>
        </w:rPr>
        <w:t>信息互通</w:t>
      </w:r>
    </w:p>
    <w:p w14:paraId="5811F9AB">
      <w:pPr>
        <w:pStyle w:val="56"/>
        <w:spacing w:line="360" w:lineRule="auto"/>
        <w:ind w:firstLine="420"/>
      </w:pPr>
      <w:r>
        <w:rPr>
          <w:rFonts w:hint="eastAsia"/>
        </w:rPr>
        <w:t>储能系统与共享能平台应具备良好的信息交互能力，支持数据实时采集、远程监控和智能调度，保证系统互联互通。</w:t>
      </w:r>
    </w:p>
    <w:p w14:paraId="61D670BC">
      <w:pPr>
        <w:pStyle w:val="105"/>
        <w:spacing w:before="120" w:after="120" w:line="360" w:lineRule="auto"/>
      </w:pPr>
      <w:r>
        <w:rPr>
          <w:rFonts w:hint="eastAsia"/>
        </w:rPr>
        <w:t>经济合理</w:t>
      </w:r>
    </w:p>
    <w:p w14:paraId="42A0463D">
      <w:pPr>
        <w:pStyle w:val="56"/>
        <w:spacing w:line="360" w:lineRule="auto"/>
        <w:ind w:firstLine="420"/>
      </w:pPr>
      <w:r>
        <w:rPr>
          <w:rFonts w:hint="eastAsia"/>
        </w:rPr>
        <w:t>在保证安全与可靠的前提下，应兼顾经济性，通过科学规划和合理调度降低系统全生命周期成本，实现多方共赢。</w:t>
      </w:r>
    </w:p>
    <w:p w14:paraId="148ABEEF">
      <w:pPr>
        <w:pStyle w:val="105"/>
        <w:spacing w:before="120" w:after="120" w:line="360" w:lineRule="auto"/>
      </w:pPr>
      <w:r>
        <w:rPr>
          <w:rFonts w:hint="eastAsia"/>
        </w:rPr>
        <w:t>持续改进</w:t>
      </w:r>
    </w:p>
    <w:p w14:paraId="4E298868">
      <w:pPr>
        <w:pStyle w:val="56"/>
        <w:spacing w:line="360" w:lineRule="auto"/>
        <w:ind w:firstLine="420"/>
      </w:pPr>
      <w:r>
        <w:rPr>
          <w:rFonts w:hint="eastAsia"/>
        </w:rPr>
        <w:t>应建立动态评估和反馈机制，定期对运行效果进行总结，吸收新技术和新模式，不断优化储能与共享能配置方案。</w:t>
      </w:r>
    </w:p>
    <w:p w14:paraId="31C757FE">
      <w:pPr>
        <w:pStyle w:val="104"/>
        <w:spacing w:before="240" w:after="240" w:line="360" w:lineRule="auto"/>
      </w:pPr>
      <w:bookmarkStart w:id="52" w:name="_Toc206837709"/>
      <w:r>
        <w:rPr>
          <w:rFonts w:hint="eastAsia"/>
        </w:rPr>
        <w:t>系统设计</w:t>
      </w:r>
      <w:bookmarkEnd w:id="52"/>
    </w:p>
    <w:p w14:paraId="47876F02">
      <w:pPr>
        <w:pStyle w:val="105"/>
        <w:spacing w:before="120" w:after="120" w:line="360" w:lineRule="auto"/>
      </w:pPr>
      <w:r>
        <w:rPr>
          <w:rFonts w:hint="eastAsia"/>
        </w:rPr>
        <w:t>总体要求</w:t>
      </w:r>
    </w:p>
    <w:p w14:paraId="5B0173E5">
      <w:pPr>
        <w:pStyle w:val="56"/>
        <w:spacing w:line="360" w:lineRule="auto"/>
        <w:ind w:firstLine="420"/>
      </w:pPr>
      <w:r>
        <w:rPr>
          <w:rFonts w:hint="eastAsia"/>
        </w:rPr>
        <w:t>系统设计应以智能电网运行需求为导向，兼顾安全性、可靠性、经济性和灵活性。在储能系统和共享能平台的规划中，应综合考虑电网负荷特性、区域能源结构及用户需求，确保配置科学合理。</w:t>
      </w:r>
    </w:p>
    <w:p w14:paraId="534E7885">
      <w:pPr>
        <w:pStyle w:val="105"/>
        <w:spacing w:before="120" w:after="120" w:line="360" w:lineRule="auto"/>
      </w:pPr>
      <w:r>
        <w:rPr>
          <w:rFonts w:hint="eastAsia"/>
        </w:rPr>
        <w:t>储能规模设计</w:t>
      </w:r>
    </w:p>
    <w:p w14:paraId="335E2A84">
      <w:pPr>
        <w:pStyle w:val="56"/>
        <w:spacing w:line="360" w:lineRule="auto"/>
        <w:ind w:firstLine="420"/>
      </w:pPr>
      <w:r>
        <w:rPr>
          <w:rFonts w:hint="eastAsia"/>
        </w:rPr>
        <w:t>储能规模设计应根据电网负荷曲线、新能源出力特性和需求响应潜力，科学确定储能容量与功率。容量配置应满足削峰填谷、备用调节和事故应急的多重需求。</w:t>
      </w:r>
    </w:p>
    <w:p w14:paraId="2A62EE40">
      <w:pPr>
        <w:pStyle w:val="105"/>
        <w:spacing w:before="120" w:after="120" w:line="360" w:lineRule="auto"/>
      </w:pPr>
      <w:r>
        <w:rPr>
          <w:rFonts w:hint="eastAsia"/>
        </w:rPr>
        <w:t>技术路线选择</w:t>
      </w:r>
    </w:p>
    <w:p w14:paraId="06D20867">
      <w:pPr>
        <w:pStyle w:val="56"/>
        <w:spacing w:line="360" w:lineRule="auto"/>
        <w:ind w:firstLine="420"/>
      </w:pPr>
      <w:r>
        <w:rPr>
          <w:rFonts w:hint="eastAsia"/>
        </w:rPr>
        <w:t>储能系统在设计过程中，应充分结合电网运行需求和实际应用场景，科学选择最优的技术路线，以发挥不同储能技术的优势，提高整体运行效率。常见的技术类型包括：</w:t>
      </w:r>
    </w:p>
    <w:p w14:paraId="0B0843DD">
      <w:pPr>
        <w:pStyle w:val="132"/>
        <w:spacing w:line="360" w:lineRule="auto"/>
      </w:pPr>
      <w:r>
        <w:rPr>
          <w:rFonts w:hint="eastAsia"/>
        </w:rPr>
        <w:t>电化学储能：适用于快速调节与分布式能源接入；</w:t>
      </w:r>
    </w:p>
    <w:p w14:paraId="07F3B093">
      <w:pPr>
        <w:pStyle w:val="132"/>
        <w:spacing w:line="360" w:lineRule="auto"/>
      </w:pPr>
      <w:r>
        <w:rPr>
          <w:rFonts w:hint="eastAsia"/>
        </w:rPr>
        <w:t>抽水蓄能：适用于大规模长时储能；</w:t>
      </w:r>
    </w:p>
    <w:p w14:paraId="17D81274">
      <w:pPr>
        <w:pStyle w:val="132"/>
        <w:spacing w:line="360" w:lineRule="auto"/>
      </w:pPr>
      <w:r>
        <w:rPr>
          <w:rFonts w:hint="eastAsia"/>
        </w:rPr>
        <w:t>压缩空气储能：适合区域级系统平衡；</w:t>
      </w:r>
    </w:p>
    <w:p w14:paraId="270F9475">
      <w:pPr>
        <w:pStyle w:val="132"/>
        <w:spacing w:line="360" w:lineRule="auto"/>
      </w:pPr>
      <w:r>
        <w:rPr>
          <w:rFonts w:hint="eastAsia"/>
        </w:rPr>
        <w:t>飞轮储能：适合高频次短时调节场景。</w:t>
      </w:r>
    </w:p>
    <w:p w14:paraId="5D69756B">
      <w:pPr>
        <w:pStyle w:val="105"/>
        <w:spacing w:before="120" w:after="120" w:line="360" w:lineRule="auto"/>
      </w:pPr>
      <w:r>
        <w:rPr>
          <w:rFonts w:hint="eastAsia"/>
        </w:rPr>
        <w:t>共享能平台设计</w:t>
      </w:r>
    </w:p>
    <w:p w14:paraId="3D5B9383">
      <w:pPr>
        <w:pStyle w:val="56"/>
        <w:spacing w:line="360" w:lineRule="auto"/>
        <w:ind w:firstLine="420"/>
      </w:pPr>
      <w:r>
        <w:rPr>
          <w:rFonts w:hint="eastAsia"/>
        </w:rPr>
        <w:t>共享能平台应具备能量调度、数据管理和经济结算功能。平台设计需支持多用户接入，实现跨区域、跨用户的储能资源共享，保障系统运行的公平与高效。</w:t>
      </w:r>
    </w:p>
    <w:p w14:paraId="3BC1FCD8">
      <w:pPr>
        <w:pStyle w:val="56"/>
        <w:spacing w:line="360" w:lineRule="auto"/>
        <w:ind w:firstLine="420"/>
      </w:pPr>
      <w:r>
        <w:rPr>
          <w:rFonts w:hint="eastAsia"/>
        </w:rPr>
        <w:t>为了更清晰地指导设计过程，系统设计阶段的关键要点见表1。</w:t>
      </w:r>
    </w:p>
    <w:p w14:paraId="305AD961">
      <w:pPr>
        <w:pStyle w:val="112"/>
        <w:spacing w:before="120" w:after="120" w:line="360" w:lineRule="auto"/>
      </w:pPr>
      <w:r>
        <w:rPr>
          <w:rFonts w:hint="eastAsia"/>
        </w:rPr>
        <w:t>系统设计关键要点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261"/>
        <w:gridCol w:w="4382"/>
      </w:tblGrid>
      <w:tr w14:paraId="2D2EE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5BB8A139">
            <w:pPr>
              <w:pStyle w:val="178"/>
            </w:pPr>
            <w:r>
              <w:rPr>
                <w:rFonts w:hint="eastAsia"/>
              </w:rPr>
              <w:t>设计环节</w:t>
            </w:r>
          </w:p>
        </w:tc>
        <w:tc>
          <w:tcPr>
            <w:tcW w:w="3261" w:type="dxa"/>
            <w:tcBorders>
              <w:top w:val="single" w:color="auto" w:sz="8" w:space="0"/>
              <w:bottom w:val="single" w:color="auto" w:sz="8" w:space="0"/>
            </w:tcBorders>
          </w:tcPr>
          <w:p w14:paraId="550DEE35">
            <w:pPr>
              <w:pStyle w:val="178"/>
            </w:pPr>
            <w:r>
              <w:rPr>
                <w:rFonts w:hint="eastAsia"/>
              </w:rPr>
              <w:t>主要内容</w:t>
            </w:r>
          </w:p>
        </w:tc>
        <w:tc>
          <w:tcPr>
            <w:tcW w:w="4382" w:type="dxa"/>
            <w:tcBorders>
              <w:top w:val="single" w:color="auto" w:sz="8" w:space="0"/>
              <w:bottom w:val="single" w:color="auto" w:sz="8" w:space="0"/>
            </w:tcBorders>
          </w:tcPr>
          <w:p w14:paraId="127853AE">
            <w:pPr>
              <w:pStyle w:val="178"/>
            </w:pPr>
            <w:r>
              <w:rPr>
                <w:rFonts w:hint="eastAsia"/>
              </w:rPr>
              <w:t>关键要求</w:t>
            </w:r>
          </w:p>
        </w:tc>
      </w:tr>
      <w:tr w14:paraId="3FDEA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7B6CF599">
            <w:pPr>
              <w:pStyle w:val="178"/>
            </w:pPr>
            <w:r>
              <w:rPr>
                <w:rFonts w:hint="eastAsia"/>
              </w:rPr>
              <w:t>规模设计</w:t>
            </w:r>
          </w:p>
        </w:tc>
        <w:tc>
          <w:tcPr>
            <w:tcW w:w="3261" w:type="dxa"/>
            <w:tcBorders>
              <w:top w:val="single" w:color="auto" w:sz="8" w:space="0"/>
            </w:tcBorders>
          </w:tcPr>
          <w:p w14:paraId="1E16F35B">
            <w:pPr>
              <w:pStyle w:val="178"/>
            </w:pPr>
            <w:r>
              <w:rPr>
                <w:rFonts w:hint="eastAsia"/>
              </w:rPr>
              <w:t>容量与功率匹配</w:t>
            </w:r>
          </w:p>
        </w:tc>
        <w:tc>
          <w:tcPr>
            <w:tcW w:w="4382" w:type="dxa"/>
            <w:tcBorders>
              <w:top w:val="single" w:color="auto" w:sz="8" w:space="0"/>
            </w:tcBorders>
          </w:tcPr>
          <w:p w14:paraId="7182BECD">
            <w:pPr>
              <w:pStyle w:val="178"/>
            </w:pPr>
            <w:r>
              <w:rPr>
                <w:rFonts w:hint="eastAsia"/>
              </w:rPr>
              <w:t>满足削峰填谷、应急与备用调节</w:t>
            </w:r>
          </w:p>
        </w:tc>
      </w:tr>
      <w:tr w14:paraId="530B1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C070A0B">
            <w:pPr>
              <w:pStyle w:val="178"/>
            </w:pPr>
            <w:r>
              <w:rPr>
                <w:rFonts w:hint="eastAsia"/>
              </w:rPr>
              <w:t>技术路线</w:t>
            </w:r>
          </w:p>
        </w:tc>
        <w:tc>
          <w:tcPr>
            <w:tcW w:w="3261" w:type="dxa"/>
          </w:tcPr>
          <w:p w14:paraId="1519310C">
            <w:pPr>
              <w:pStyle w:val="178"/>
            </w:pPr>
            <w:r>
              <w:rPr>
                <w:rFonts w:hint="eastAsia"/>
              </w:rPr>
              <w:t>电化学、抽水蓄能、压缩空气等</w:t>
            </w:r>
          </w:p>
        </w:tc>
        <w:tc>
          <w:tcPr>
            <w:tcW w:w="4382" w:type="dxa"/>
          </w:tcPr>
          <w:p w14:paraId="027B662A">
            <w:pPr>
              <w:pStyle w:val="178"/>
            </w:pPr>
            <w:r>
              <w:rPr>
                <w:rFonts w:hint="eastAsia"/>
              </w:rPr>
              <w:t>结合应用场景选择，突出优势互补</w:t>
            </w:r>
          </w:p>
        </w:tc>
      </w:tr>
      <w:tr w14:paraId="1ADB7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AFFADF1">
            <w:pPr>
              <w:pStyle w:val="178"/>
            </w:pPr>
            <w:r>
              <w:rPr>
                <w:rFonts w:hint="eastAsia"/>
              </w:rPr>
              <w:t>平台设计</w:t>
            </w:r>
          </w:p>
        </w:tc>
        <w:tc>
          <w:tcPr>
            <w:tcW w:w="3261" w:type="dxa"/>
          </w:tcPr>
          <w:p w14:paraId="6DC0E751">
            <w:pPr>
              <w:pStyle w:val="178"/>
            </w:pPr>
            <w:r>
              <w:rPr>
                <w:rFonts w:hint="eastAsia"/>
              </w:rPr>
              <w:t>调度、数据、结算</w:t>
            </w:r>
          </w:p>
        </w:tc>
        <w:tc>
          <w:tcPr>
            <w:tcW w:w="4382" w:type="dxa"/>
          </w:tcPr>
          <w:p w14:paraId="1C76F681">
            <w:pPr>
              <w:pStyle w:val="178"/>
            </w:pPr>
            <w:r>
              <w:rPr>
                <w:rFonts w:hint="eastAsia"/>
              </w:rPr>
              <w:t>支持多用户、多区域共享，确保公平透明</w:t>
            </w:r>
          </w:p>
        </w:tc>
      </w:tr>
      <w:tr w14:paraId="6EC44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FAC955C">
            <w:pPr>
              <w:pStyle w:val="178"/>
            </w:pPr>
            <w:r>
              <w:rPr>
                <w:rFonts w:hint="eastAsia"/>
              </w:rPr>
              <w:t>安全设计</w:t>
            </w:r>
          </w:p>
        </w:tc>
        <w:tc>
          <w:tcPr>
            <w:tcW w:w="3261" w:type="dxa"/>
          </w:tcPr>
          <w:p w14:paraId="4AEAD558">
            <w:pPr>
              <w:pStyle w:val="178"/>
            </w:pPr>
            <w:r>
              <w:rPr>
                <w:rFonts w:hint="eastAsia"/>
              </w:rPr>
              <w:t>防护措施、监测手段</w:t>
            </w:r>
          </w:p>
        </w:tc>
        <w:tc>
          <w:tcPr>
            <w:tcW w:w="4382" w:type="dxa"/>
          </w:tcPr>
          <w:p w14:paraId="2E07729A">
            <w:pPr>
              <w:pStyle w:val="178"/>
            </w:pPr>
            <w:r>
              <w:rPr>
                <w:rFonts w:hint="eastAsia"/>
              </w:rPr>
              <w:t>满足国家安全标准，风险可控</w:t>
            </w:r>
          </w:p>
        </w:tc>
      </w:tr>
    </w:tbl>
    <w:p w14:paraId="7716098B">
      <w:pPr>
        <w:pStyle w:val="105"/>
        <w:spacing w:before="120" w:after="120" w:line="360" w:lineRule="auto"/>
      </w:pPr>
      <w:r>
        <w:rPr>
          <w:rFonts w:hint="eastAsia"/>
        </w:rPr>
        <w:t>经济性与效益评估</w:t>
      </w:r>
    </w:p>
    <w:p w14:paraId="7488E00D">
      <w:pPr>
        <w:pStyle w:val="56"/>
        <w:spacing w:line="360" w:lineRule="auto"/>
        <w:ind w:firstLine="420"/>
      </w:pPr>
      <w:r>
        <w:rPr>
          <w:rFonts w:hint="eastAsia"/>
        </w:rPr>
        <w:t>系统设计应同时考虑投资成本、运行维护费用和收益预期。应建立多维度经济性分析模型，评估不同储能技术与共享模式下的经济效益和环境效益。</w:t>
      </w:r>
    </w:p>
    <w:p w14:paraId="5431421E">
      <w:pPr>
        <w:pStyle w:val="56"/>
        <w:spacing w:line="360" w:lineRule="auto"/>
        <w:ind w:firstLine="420"/>
      </w:pPr>
      <w:r>
        <w:rPr>
          <w:rFonts w:hint="eastAsia"/>
        </w:rPr>
        <w:t>为便于应用，可参考表2开展经济性与效益分析。</w:t>
      </w:r>
    </w:p>
    <w:p w14:paraId="285226B2">
      <w:pPr>
        <w:pStyle w:val="112"/>
        <w:spacing w:before="120" w:after="120" w:line="360" w:lineRule="auto"/>
      </w:pPr>
      <w:r>
        <w:rPr>
          <w:rFonts w:hint="eastAsia"/>
        </w:rPr>
        <w:t>系统经济性与效益评估要点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253"/>
        <w:gridCol w:w="3248"/>
      </w:tblGrid>
      <w:tr w14:paraId="72D57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4A3D939D">
            <w:pPr>
              <w:pStyle w:val="178"/>
            </w:pPr>
            <w:r>
              <w:rPr>
                <w:rFonts w:hint="eastAsia"/>
              </w:rPr>
              <w:t>评估维度</w:t>
            </w:r>
          </w:p>
        </w:tc>
        <w:tc>
          <w:tcPr>
            <w:tcW w:w="4253" w:type="dxa"/>
            <w:tcBorders>
              <w:top w:val="single" w:color="auto" w:sz="8" w:space="0"/>
              <w:bottom w:val="single" w:color="auto" w:sz="8" w:space="0"/>
            </w:tcBorders>
          </w:tcPr>
          <w:p w14:paraId="3754C5A1">
            <w:pPr>
              <w:pStyle w:val="178"/>
            </w:pPr>
            <w:r>
              <w:rPr>
                <w:rFonts w:hint="eastAsia"/>
              </w:rPr>
              <w:t>主要指标</w:t>
            </w:r>
          </w:p>
        </w:tc>
        <w:tc>
          <w:tcPr>
            <w:tcW w:w="3248" w:type="dxa"/>
            <w:tcBorders>
              <w:top w:val="single" w:color="auto" w:sz="8" w:space="0"/>
              <w:bottom w:val="single" w:color="auto" w:sz="8" w:space="0"/>
            </w:tcBorders>
          </w:tcPr>
          <w:p w14:paraId="4A2E71ED">
            <w:pPr>
              <w:pStyle w:val="178"/>
            </w:pPr>
            <w:r>
              <w:rPr>
                <w:rFonts w:hint="eastAsia"/>
              </w:rPr>
              <w:t>预期目标</w:t>
            </w:r>
          </w:p>
        </w:tc>
      </w:tr>
      <w:tr w14:paraId="3CFEF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01AABCE5">
            <w:pPr>
              <w:pStyle w:val="178"/>
            </w:pPr>
            <w:r>
              <w:rPr>
                <w:rFonts w:hint="eastAsia"/>
              </w:rPr>
              <w:t>投资成本</w:t>
            </w:r>
          </w:p>
        </w:tc>
        <w:tc>
          <w:tcPr>
            <w:tcW w:w="4253" w:type="dxa"/>
            <w:tcBorders>
              <w:top w:val="single" w:color="auto" w:sz="8" w:space="0"/>
            </w:tcBorders>
          </w:tcPr>
          <w:p w14:paraId="0E1D5FA8">
            <w:pPr>
              <w:pStyle w:val="178"/>
            </w:pPr>
            <w:r>
              <w:rPr>
                <w:rFonts w:hint="eastAsia"/>
              </w:rPr>
              <w:t>储能设备、平台建设、并网费用</w:t>
            </w:r>
          </w:p>
        </w:tc>
        <w:tc>
          <w:tcPr>
            <w:tcW w:w="3248" w:type="dxa"/>
            <w:tcBorders>
              <w:top w:val="single" w:color="auto" w:sz="8" w:space="0"/>
            </w:tcBorders>
          </w:tcPr>
          <w:p w14:paraId="17EB67EF">
            <w:pPr>
              <w:pStyle w:val="178"/>
            </w:pPr>
            <w:r>
              <w:rPr>
                <w:rFonts w:hint="eastAsia"/>
              </w:rPr>
              <w:t>投资合理，单位成本逐年下降</w:t>
            </w:r>
          </w:p>
        </w:tc>
      </w:tr>
      <w:tr w14:paraId="262A3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1BC787CB">
            <w:pPr>
              <w:pStyle w:val="178"/>
            </w:pPr>
            <w:r>
              <w:rPr>
                <w:rFonts w:hint="eastAsia"/>
              </w:rPr>
              <w:t>运维成本</w:t>
            </w:r>
          </w:p>
        </w:tc>
        <w:tc>
          <w:tcPr>
            <w:tcW w:w="4253" w:type="dxa"/>
          </w:tcPr>
          <w:p w14:paraId="50B13589">
            <w:pPr>
              <w:pStyle w:val="178"/>
            </w:pPr>
            <w:r>
              <w:rPr>
                <w:rFonts w:hint="eastAsia"/>
              </w:rPr>
              <w:t>日常维护、寿命周期、替换费用</w:t>
            </w:r>
          </w:p>
        </w:tc>
        <w:tc>
          <w:tcPr>
            <w:tcW w:w="3248" w:type="dxa"/>
          </w:tcPr>
          <w:p w14:paraId="395FAADA">
            <w:pPr>
              <w:pStyle w:val="178"/>
            </w:pPr>
            <w:r>
              <w:rPr>
                <w:rFonts w:hint="eastAsia"/>
              </w:rPr>
              <w:t>成本可控，保证系统稳定运行</w:t>
            </w:r>
          </w:p>
        </w:tc>
      </w:tr>
      <w:tr w14:paraId="7448C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3D9DE555">
            <w:pPr>
              <w:pStyle w:val="178"/>
            </w:pPr>
            <w:r>
              <w:rPr>
                <w:rFonts w:hint="eastAsia"/>
              </w:rPr>
              <w:t>经济收益</w:t>
            </w:r>
          </w:p>
        </w:tc>
        <w:tc>
          <w:tcPr>
            <w:tcW w:w="4253" w:type="dxa"/>
          </w:tcPr>
          <w:p w14:paraId="6D73BEF3">
            <w:pPr>
              <w:pStyle w:val="178"/>
            </w:pPr>
            <w:r>
              <w:rPr>
                <w:rFonts w:hint="eastAsia"/>
              </w:rPr>
              <w:t>削峰填谷收益、辅助服务收入</w:t>
            </w:r>
          </w:p>
        </w:tc>
        <w:tc>
          <w:tcPr>
            <w:tcW w:w="3248" w:type="dxa"/>
          </w:tcPr>
          <w:p w14:paraId="0C715EA6">
            <w:pPr>
              <w:pStyle w:val="178"/>
            </w:pPr>
            <w:r>
              <w:rPr>
                <w:rFonts w:hint="eastAsia"/>
              </w:rPr>
              <w:t>提升收益率，增强经济吸引力</w:t>
            </w:r>
          </w:p>
        </w:tc>
      </w:tr>
      <w:tr w14:paraId="17240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28421A58">
            <w:pPr>
              <w:pStyle w:val="178"/>
            </w:pPr>
            <w:r>
              <w:rPr>
                <w:rFonts w:hint="eastAsia"/>
              </w:rPr>
              <w:t>环境效益</w:t>
            </w:r>
          </w:p>
        </w:tc>
        <w:tc>
          <w:tcPr>
            <w:tcW w:w="4253" w:type="dxa"/>
          </w:tcPr>
          <w:p w14:paraId="0AF95FA3">
            <w:pPr>
              <w:pStyle w:val="178"/>
            </w:pPr>
            <w:r>
              <w:rPr>
                <w:rFonts w:hint="eastAsia"/>
              </w:rPr>
              <w:t>碳减排量、可再生能源消纳率</w:t>
            </w:r>
          </w:p>
        </w:tc>
        <w:tc>
          <w:tcPr>
            <w:tcW w:w="3248" w:type="dxa"/>
          </w:tcPr>
          <w:p w14:paraId="1BD6B680">
            <w:pPr>
              <w:pStyle w:val="178"/>
            </w:pPr>
            <w:r>
              <w:rPr>
                <w:rFonts w:hint="eastAsia"/>
              </w:rPr>
              <w:t>降低排放，提升绿色发展水平</w:t>
            </w:r>
          </w:p>
        </w:tc>
      </w:tr>
    </w:tbl>
    <w:p w14:paraId="3B4FC100">
      <w:pPr>
        <w:pStyle w:val="105"/>
        <w:spacing w:before="120" w:after="120" w:line="360" w:lineRule="auto"/>
      </w:pPr>
      <w:r>
        <w:rPr>
          <w:rFonts w:hint="eastAsia"/>
        </w:rPr>
        <w:t>综合说明</w:t>
      </w:r>
    </w:p>
    <w:p w14:paraId="282E116B">
      <w:pPr>
        <w:pStyle w:val="56"/>
        <w:spacing w:line="360" w:lineRule="auto"/>
        <w:ind w:firstLine="420"/>
      </w:pPr>
      <w:r>
        <w:rPr>
          <w:rFonts w:hint="eastAsia"/>
        </w:rPr>
        <w:t>系统设计是储能与共享能配置的起点，其科学合理性直接影响项目的运行效果与经济性。通过合理确定储能规模、选择适宜技术路线、构建高效共享平台并结合经济性评估，可以确保系统设计既符合电网运行需求，又具备长期可持续性。</w:t>
      </w:r>
    </w:p>
    <w:p w14:paraId="6924604E">
      <w:pPr>
        <w:pStyle w:val="104"/>
        <w:spacing w:before="240" w:after="240" w:line="360" w:lineRule="auto"/>
      </w:pPr>
      <w:bookmarkStart w:id="53" w:name="_Toc206837710"/>
      <w:r>
        <w:rPr>
          <w:rFonts w:hint="eastAsia"/>
        </w:rPr>
        <w:t>技术要求</w:t>
      </w:r>
      <w:bookmarkEnd w:id="53"/>
    </w:p>
    <w:p w14:paraId="338F7471">
      <w:pPr>
        <w:pStyle w:val="105"/>
        <w:spacing w:before="120" w:after="120" w:line="360" w:lineRule="auto"/>
      </w:pPr>
      <w:r>
        <w:rPr>
          <w:rFonts w:hint="eastAsia"/>
        </w:rPr>
        <w:t>总体要求</w:t>
      </w:r>
    </w:p>
    <w:p w14:paraId="4F13CE3A">
      <w:pPr>
        <w:pStyle w:val="56"/>
        <w:spacing w:line="360" w:lineRule="auto"/>
        <w:ind w:firstLine="420"/>
      </w:pPr>
      <w:r>
        <w:rPr>
          <w:rFonts w:hint="eastAsia"/>
        </w:rPr>
        <w:t>储能与共享能系统的技术要求应覆盖设备选型、系统集成、信息交互、安全运行及维护管理等方面。所有技术环节应符合国家标准和行业规范，确保系统在智能电网中长期稳定、安全和高效运行。</w:t>
      </w:r>
    </w:p>
    <w:p w14:paraId="0C5559FE">
      <w:pPr>
        <w:pStyle w:val="105"/>
        <w:spacing w:before="120" w:after="120" w:line="360" w:lineRule="auto"/>
      </w:pPr>
      <w:r>
        <w:rPr>
          <w:rFonts w:hint="eastAsia"/>
        </w:rPr>
        <w:t>储能设备</w:t>
      </w:r>
    </w:p>
    <w:p w14:paraId="1E94CBCE">
      <w:pPr>
        <w:pStyle w:val="56"/>
        <w:spacing w:line="360" w:lineRule="auto"/>
        <w:ind w:firstLine="420"/>
      </w:pPr>
      <w:r>
        <w:rPr>
          <w:rFonts w:hint="eastAsia"/>
        </w:rPr>
        <w:t>储能设备是系统的核心，其性能直接影响整体运行水平。设计与应用中应重点关注以下方面：</w:t>
      </w:r>
    </w:p>
    <w:p w14:paraId="432E7D07">
      <w:pPr>
        <w:pStyle w:val="132"/>
        <w:spacing w:line="360" w:lineRule="auto"/>
      </w:pPr>
      <w:r>
        <w:rPr>
          <w:rFonts w:hint="eastAsia"/>
        </w:rPr>
        <w:t>电池类设备需符合循环寿命、安全性能与容量保持率要求；</w:t>
      </w:r>
    </w:p>
    <w:p w14:paraId="54713022">
      <w:pPr>
        <w:pStyle w:val="132"/>
        <w:spacing w:line="360" w:lineRule="auto"/>
      </w:pPr>
      <w:r>
        <w:rPr>
          <w:rFonts w:hint="eastAsia"/>
        </w:rPr>
        <w:t>抽水蓄能、压缩空气等大型储能设施应严格把控水工和机械结构安全；</w:t>
      </w:r>
    </w:p>
    <w:p w14:paraId="4AFE5F01">
      <w:pPr>
        <w:pStyle w:val="132"/>
        <w:spacing w:line="360" w:lineRule="auto"/>
      </w:pPr>
      <w:r>
        <w:rPr>
          <w:rFonts w:hint="eastAsia"/>
        </w:rPr>
        <w:t>储能转换效率应不低于国家相关标准规定值；</w:t>
      </w:r>
    </w:p>
    <w:p w14:paraId="69E8C7BC">
      <w:pPr>
        <w:pStyle w:val="132"/>
        <w:spacing w:line="360" w:lineRule="auto"/>
      </w:pPr>
      <w:r>
        <w:rPr>
          <w:rFonts w:hint="eastAsia"/>
        </w:rPr>
        <w:t>设备应具备在线监测功能，便于远程诊断与运维。</w:t>
      </w:r>
    </w:p>
    <w:p w14:paraId="0FD68BFD">
      <w:pPr>
        <w:pStyle w:val="105"/>
        <w:spacing w:before="120" w:after="120" w:line="360" w:lineRule="auto"/>
      </w:pPr>
      <w:r>
        <w:rPr>
          <w:rFonts w:hint="eastAsia"/>
        </w:rPr>
        <w:t>系统集成</w:t>
      </w:r>
    </w:p>
    <w:p w14:paraId="0899D6BF">
      <w:pPr>
        <w:pStyle w:val="56"/>
        <w:spacing w:line="360" w:lineRule="auto"/>
        <w:ind w:firstLine="420"/>
      </w:pPr>
      <w:r>
        <w:rPr>
          <w:rFonts w:hint="eastAsia"/>
        </w:rPr>
        <w:t>储能系统需与电网及共享能平台实现有机集成。为了更好地体现关键控制点，系统集成的主要技术要求见表3。</w:t>
      </w:r>
    </w:p>
    <w:p w14:paraId="363E34F0">
      <w:pPr>
        <w:pStyle w:val="112"/>
        <w:spacing w:before="120" w:after="120" w:line="360" w:lineRule="auto"/>
      </w:pPr>
      <w:r>
        <w:rPr>
          <w:rFonts w:hint="eastAsia"/>
        </w:rPr>
        <w:t>系统集成技术要求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2F708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117" w:type="dxa"/>
            <w:tcBorders>
              <w:top w:val="single" w:color="auto" w:sz="8" w:space="0"/>
              <w:bottom w:val="single" w:color="auto" w:sz="8" w:space="0"/>
            </w:tcBorders>
          </w:tcPr>
          <w:p w14:paraId="74546630">
            <w:pPr>
              <w:pStyle w:val="178"/>
            </w:pPr>
            <w:r>
              <w:rPr>
                <w:rFonts w:hint="eastAsia"/>
              </w:rPr>
              <w:t>集成环节</w:t>
            </w:r>
          </w:p>
        </w:tc>
        <w:tc>
          <w:tcPr>
            <w:tcW w:w="4105" w:type="dxa"/>
            <w:tcBorders>
              <w:top w:val="single" w:color="auto" w:sz="8" w:space="0"/>
              <w:bottom w:val="single" w:color="auto" w:sz="8" w:space="0"/>
            </w:tcBorders>
          </w:tcPr>
          <w:p w14:paraId="64E13DD7">
            <w:pPr>
              <w:pStyle w:val="178"/>
            </w:pPr>
            <w:r>
              <w:rPr>
                <w:rFonts w:hint="eastAsia"/>
              </w:rPr>
              <w:t>技术要求</w:t>
            </w:r>
          </w:p>
        </w:tc>
        <w:tc>
          <w:tcPr>
            <w:tcW w:w="3112" w:type="dxa"/>
            <w:tcBorders>
              <w:top w:val="single" w:color="auto" w:sz="8" w:space="0"/>
              <w:bottom w:val="single" w:color="auto" w:sz="8" w:space="0"/>
            </w:tcBorders>
          </w:tcPr>
          <w:p w14:paraId="300E4B6E">
            <w:pPr>
              <w:pStyle w:val="178"/>
            </w:pPr>
            <w:r>
              <w:rPr>
                <w:rFonts w:hint="eastAsia"/>
              </w:rPr>
              <w:t>控制目标</w:t>
            </w:r>
          </w:p>
        </w:tc>
      </w:tr>
      <w:tr w14:paraId="082FB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0B967ED5">
            <w:pPr>
              <w:pStyle w:val="178"/>
            </w:pPr>
            <w:r>
              <w:rPr>
                <w:rFonts w:hint="eastAsia"/>
              </w:rPr>
              <w:t>接入系统</w:t>
            </w:r>
          </w:p>
        </w:tc>
        <w:tc>
          <w:tcPr>
            <w:tcW w:w="4105" w:type="dxa"/>
            <w:tcBorders>
              <w:top w:val="single" w:color="auto" w:sz="8" w:space="0"/>
            </w:tcBorders>
          </w:tcPr>
          <w:p w14:paraId="278C5EF0">
            <w:pPr>
              <w:pStyle w:val="178"/>
            </w:pPr>
            <w:r>
              <w:rPr>
                <w:rFonts w:hint="eastAsia"/>
              </w:rPr>
              <w:t>支持并网标准协议，具备电能质量调节能力</w:t>
            </w:r>
          </w:p>
        </w:tc>
        <w:tc>
          <w:tcPr>
            <w:tcW w:w="3112" w:type="dxa"/>
            <w:tcBorders>
              <w:top w:val="single" w:color="auto" w:sz="8" w:space="0"/>
            </w:tcBorders>
          </w:tcPr>
          <w:p w14:paraId="4F22E172">
            <w:pPr>
              <w:pStyle w:val="178"/>
            </w:pPr>
            <w:r>
              <w:rPr>
                <w:rFonts w:hint="eastAsia"/>
              </w:rPr>
              <w:t>保证安全接入，维持电网稳定</w:t>
            </w:r>
          </w:p>
        </w:tc>
      </w:tr>
      <w:tr w14:paraId="08DA8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AAA8BDC">
            <w:pPr>
              <w:pStyle w:val="178"/>
            </w:pPr>
            <w:r>
              <w:rPr>
                <w:rFonts w:hint="eastAsia"/>
              </w:rPr>
              <w:t>调度控制</w:t>
            </w:r>
          </w:p>
        </w:tc>
        <w:tc>
          <w:tcPr>
            <w:tcW w:w="4105" w:type="dxa"/>
          </w:tcPr>
          <w:p w14:paraId="6BC44C56">
            <w:pPr>
              <w:pStyle w:val="178"/>
            </w:pPr>
            <w:r>
              <w:rPr>
                <w:rFonts w:hint="eastAsia"/>
              </w:rPr>
              <w:t>与共享能平台互联，支持自动化调度与需求响应</w:t>
            </w:r>
          </w:p>
        </w:tc>
        <w:tc>
          <w:tcPr>
            <w:tcW w:w="3112" w:type="dxa"/>
          </w:tcPr>
          <w:p w14:paraId="64B18224">
            <w:pPr>
              <w:pStyle w:val="178"/>
            </w:pPr>
            <w:r>
              <w:rPr>
                <w:rFonts w:hint="eastAsia"/>
              </w:rPr>
              <w:t>提高调度灵活性与系统响应速度</w:t>
            </w:r>
          </w:p>
        </w:tc>
      </w:tr>
    </w:tbl>
    <w:p w14:paraId="5A21732E">
      <w:pPr>
        <w:pStyle w:val="56"/>
        <w:spacing w:before="120" w:beforeLines="50" w:after="120" w:afterLines="50"/>
        <w:ind w:firstLine="0" w:firstLineChars="0"/>
        <w:jc w:val="center"/>
        <w:rPr>
          <w:rFonts w:ascii="黑体" w:hAnsi="黑体" w:eastAsia="黑体"/>
        </w:rPr>
      </w:pPr>
      <w:r>
        <w:rPr>
          <w:rFonts w:hint="eastAsia" w:ascii="黑体" w:hAnsi="黑体" w:eastAsia="黑体"/>
        </w:rPr>
        <w:t>表3  系统集成技术要求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4EBB6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504C852D">
            <w:pPr>
              <w:pStyle w:val="178"/>
            </w:pPr>
            <w:r>
              <w:rPr>
                <w:rFonts w:hint="eastAsia"/>
              </w:rPr>
              <w:t>集成环节</w:t>
            </w:r>
          </w:p>
        </w:tc>
        <w:tc>
          <w:tcPr>
            <w:tcW w:w="4105" w:type="dxa"/>
            <w:tcBorders>
              <w:top w:val="single" w:color="auto" w:sz="8" w:space="0"/>
              <w:bottom w:val="single" w:color="auto" w:sz="8" w:space="0"/>
            </w:tcBorders>
          </w:tcPr>
          <w:p w14:paraId="229DE48B">
            <w:pPr>
              <w:pStyle w:val="178"/>
            </w:pPr>
            <w:r>
              <w:rPr>
                <w:rFonts w:hint="eastAsia"/>
              </w:rPr>
              <w:t>技术要求</w:t>
            </w:r>
          </w:p>
        </w:tc>
        <w:tc>
          <w:tcPr>
            <w:tcW w:w="3112" w:type="dxa"/>
            <w:tcBorders>
              <w:top w:val="single" w:color="auto" w:sz="8" w:space="0"/>
              <w:bottom w:val="single" w:color="auto" w:sz="8" w:space="0"/>
            </w:tcBorders>
          </w:tcPr>
          <w:p w14:paraId="1E557021">
            <w:pPr>
              <w:pStyle w:val="178"/>
            </w:pPr>
            <w:r>
              <w:rPr>
                <w:rFonts w:hint="eastAsia"/>
              </w:rPr>
              <w:t>控制目标</w:t>
            </w:r>
          </w:p>
        </w:tc>
      </w:tr>
      <w:tr w14:paraId="51977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65E45C4">
            <w:pPr>
              <w:pStyle w:val="178"/>
            </w:pPr>
            <w:r>
              <w:rPr>
                <w:rFonts w:hint="eastAsia"/>
              </w:rPr>
              <w:t>数据管理</w:t>
            </w:r>
          </w:p>
        </w:tc>
        <w:tc>
          <w:tcPr>
            <w:tcW w:w="4105" w:type="dxa"/>
          </w:tcPr>
          <w:p w14:paraId="09A73E35">
            <w:pPr>
              <w:pStyle w:val="178"/>
            </w:pPr>
            <w:r>
              <w:rPr>
                <w:rFonts w:hint="eastAsia"/>
              </w:rPr>
              <w:t>具备实时监测、远程通信与数据存储功能</w:t>
            </w:r>
          </w:p>
        </w:tc>
        <w:tc>
          <w:tcPr>
            <w:tcW w:w="3112" w:type="dxa"/>
          </w:tcPr>
          <w:p w14:paraId="700A2E19">
            <w:pPr>
              <w:pStyle w:val="178"/>
            </w:pPr>
            <w:r>
              <w:rPr>
                <w:rFonts w:hint="eastAsia"/>
              </w:rPr>
              <w:t>实现信息共享与智能化管理</w:t>
            </w:r>
          </w:p>
        </w:tc>
      </w:tr>
      <w:tr w14:paraId="5186E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A41C5DA">
            <w:pPr>
              <w:pStyle w:val="178"/>
            </w:pPr>
            <w:r>
              <w:rPr>
                <w:rFonts w:hint="eastAsia"/>
              </w:rPr>
              <w:t>故障保护</w:t>
            </w:r>
          </w:p>
        </w:tc>
        <w:tc>
          <w:tcPr>
            <w:tcW w:w="4105" w:type="dxa"/>
          </w:tcPr>
          <w:p w14:paraId="08502240">
            <w:pPr>
              <w:pStyle w:val="178"/>
            </w:pPr>
            <w:r>
              <w:rPr>
                <w:rFonts w:hint="eastAsia"/>
              </w:rPr>
              <w:t>完善的保护与切换机制</w:t>
            </w:r>
          </w:p>
        </w:tc>
        <w:tc>
          <w:tcPr>
            <w:tcW w:w="3112" w:type="dxa"/>
          </w:tcPr>
          <w:p w14:paraId="053EB3DD">
            <w:pPr>
              <w:pStyle w:val="178"/>
            </w:pPr>
            <w:r>
              <w:rPr>
                <w:rFonts w:hint="eastAsia"/>
              </w:rPr>
              <w:t>防止故障扩散，提升系统可靠性</w:t>
            </w:r>
          </w:p>
        </w:tc>
      </w:tr>
    </w:tbl>
    <w:p w14:paraId="3801E405">
      <w:pPr>
        <w:pStyle w:val="56"/>
        <w:spacing w:before="120" w:beforeLines="50" w:line="360" w:lineRule="auto"/>
        <w:ind w:firstLine="420"/>
      </w:pPr>
      <w:r>
        <w:rPr>
          <w:rFonts w:hint="eastAsia"/>
        </w:rPr>
        <w:t>通过上述要求，可以保证储能与共享能系统的整体集成度和运行协调性。</w:t>
      </w:r>
    </w:p>
    <w:p w14:paraId="6DAE026F">
      <w:pPr>
        <w:pStyle w:val="105"/>
        <w:spacing w:before="120" w:after="120" w:line="360" w:lineRule="auto"/>
      </w:pPr>
      <w:r>
        <w:rPr>
          <w:rFonts w:hint="eastAsia"/>
        </w:rPr>
        <w:t>信息交互</w:t>
      </w:r>
    </w:p>
    <w:p w14:paraId="6D7D9F33">
      <w:pPr>
        <w:pStyle w:val="56"/>
        <w:spacing w:line="360" w:lineRule="auto"/>
        <w:ind w:firstLine="420"/>
      </w:pPr>
      <w:r>
        <w:rPr>
          <w:rFonts w:hint="eastAsia"/>
        </w:rPr>
        <w:t>信息交互是智能电网环境下共享能的基础。平台与设备之间应采用统一的通信协议和数据接口，保证跨区域、跨设备的兼容性。数据传输应具备实时性、完整性和安全性，避免因延迟或泄漏造成调度风险。</w:t>
      </w:r>
    </w:p>
    <w:p w14:paraId="56CEFC3B">
      <w:pPr>
        <w:pStyle w:val="105"/>
        <w:spacing w:before="120" w:after="120" w:line="360" w:lineRule="auto"/>
      </w:pPr>
      <w:r>
        <w:rPr>
          <w:rFonts w:hint="eastAsia"/>
        </w:rPr>
        <w:t>安全运行</w:t>
      </w:r>
    </w:p>
    <w:p w14:paraId="29C27617">
      <w:pPr>
        <w:pStyle w:val="56"/>
        <w:spacing w:line="360" w:lineRule="auto"/>
        <w:ind w:firstLine="420"/>
      </w:pPr>
      <w:r>
        <w:rPr>
          <w:rFonts w:hint="eastAsia"/>
        </w:rPr>
        <w:t>安全运行是系统可靠性的前提。施工与运行过程中需采取多层防护措施：</w:t>
      </w:r>
    </w:p>
    <w:p w14:paraId="3E90834C">
      <w:pPr>
        <w:pStyle w:val="132"/>
        <w:spacing w:line="360" w:lineRule="auto"/>
      </w:pPr>
      <w:r>
        <w:rPr>
          <w:rFonts w:hint="eastAsia"/>
        </w:rPr>
        <w:t>电池储能应具备热管理与防火功能；</w:t>
      </w:r>
    </w:p>
    <w:p w14:paraId="1639D335">
      <w:pPr>
        <w:pStyle w:val="132"/>
        <w:spacing w:line="360" w:lineRule="auto"/>
      </w:pPr>
      <w:r>
        <w:rPr>
          <w:rFonts w:hint="eastAsia"/>
        </w:rPr>
        <w:t>抽水蓄能应设立溢洪与防渗系统；</w:t>
      </w:r>
    </w:p>
    <w:p w14:paraId="135374ED">
      <w:pPr>
        <w:pStyle w:val="132"/>
        <w:spacing w:line="360" w:lineRule="auto"/>
      </w:pPr>
      <w:r>
        <w:rPr>
          <w:rFonts w:hint="eastAsia"/>
        </w:rPr>
        <w:t>电气系统应满足过流、过压、短路等保护要求；</w:t>
      </w:r>
    </w:p>
    <w:p w14:paraId="7C61E0E3">
      <w:pPr>
        <w:pStyle w:val="132"/>
        <w:spacing w:line="360" w:lineRule="auto"/>
      </w:pPr>
      <w:r>
        <w:rPr>
          <w:rFonts w:hint="eastAsia"/>
        </w:rPr>
        <w:t>应建立安全预警与应急处理机制。</w:t>
      </w:r>
    </w:p>
    <w:p w14:paraId="7DD2CAE8">
      <w:pPr>
        <w:pStyle w:val="105"/>
        <w:spacing w:before="120" w:after="120" w:line="360" w:lineRule="auto"/>
      </w:pPr>
      <w:r>
        <w:rPr>
          <w:rFonts w:hint="eastAsia"/>
        </w:rPr>
        <w:t>运维管理</w:t>
      </w:r>
    </w:p>
    <w:p w14:paraId="3128E0E6">
      <w:pPr>
        <w:pStyle w:val="56"/>
        <w:spacing w:line="360" w:lineRule="auto"/>
        <w:ind w:firstLine="420"/>
      </w:pPr>
      <w:r>
        <w:rPr>
          <w:rFonts w:hint="eastAsia"/>
        </w:rPr>
        <w:t>储能与共享能系统的运维应实现数字化和智能化。运维平台应具备状态监测、远程控制、数据分析与故障诊断功能。运维管理要点见表4。</w:t>
      </w:r>
    </w:p>
    <w:p w14:paraId="509732F7">
      <w:pPr>
        <w:pStyle w:val="112"/>
        <w:spacing w:before="120" w:after="120" w:line="360" w:lineRule="auto"/>
      </w:pPr>
      <w:r>
        <w:rPr>
          <w:rFonts w:hint="eastAsia"/>
        </w:rPr>
        <w:t>运维管理要点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544"/>
        <w:gridCol w:w="3815"/>
      </w:tblGrid>
      <w:tr w14:paraId="0309B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2531A8DC">
            <w:pPr>
              <w:pStyle w:val="178"/>
            </w:pPr>
            <w:r>
              <w:rPr>
                <w:rFonts w:hint="eastAsia"/>
              </w:rPr>
              <w:t>运维环节</w:t>
            </w:r>
          </w:p>
        </w:tc>
        <w:tc>
          <w:tcPr>
            <w:tcW w:w="3544" w:type="dxa"/>
            <w:tcBorders>
              <w:top w:val="single" w:color="auto" w:sz="8" w:space="0"/>
              <w:bottom w:val="single" w:color="auto" w:sz="8" w:space="0"/>
            </w:tcBorders>
          </w:tcPr>
          <w:p w14:paraId="7D27C60D">
            <w:pPr>
              <w:pStyle w:val="178"/>
            </w:pPr>
            <w:r>
              <w:rPr>
                <w:rFonts w:hint="eastAsia"/>
              </w:rPr>
              <w:t>主要内容</w:t>
            </w:r>
          </w:p>
        </w:tc>
        <w:tc>
          <w:tcPr>
            <w:tcW w:w="3815" w:type="dxa"/>
            <w:tcBorders>
              <w:top w:val="single" w:color="auto" w:sz="8" w:space="0"/>
              <w:bottom w:val="single" w:color="auto" w:sz="8" w:space="0"/>
            </w:tcBorders>
          </w:tcPr>
          <w:p w14:paraId="79E5E185">
            <w:pPr>
              <w:pStyle w:val="178"/>
            </w:pPr>
            <w:r>
              <w:rPr>
                <w:rFonts w:hint="eastAsia"/>
              </w:rPr>
              <w:t>管理目标</w:t>
            </w:r>
          </w:p>
        </w:tc>
      </w:tr>
      <w:tr w14:paraId="6702F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266A4F07">
            <w:pPr>
              <w:pStyle w:val="178"/>
            </w:pPr>
            <w:r>
              <w:rPr>
                <w:rFonts w:hint="eastAsia"/>
              </w:rPr>
              <w:t>状态监测</w:t>
            </w:r>
          </w:p>
        </w:tc>
        <w:tc>
          <w:tcPr>
            <w:tcW w:w="3544" w:type="dxa"/>
            <w:tcBorders>
              <w:top w:val="single" w:color="auto" w:sz="8" w:space="0"/>
            </w:tcBorders>
          </w:tcPr>
          <w:p w14:paraId="5766939D">
            <w:pPr>
              <w:pStyle w:val="178"/>
            </w:pPr>
            <w:r>
              <w:rPr>
                <w:rFonts w:hint="eastAsia"/>
              </w:rPr>
              <w:t>实时采集设备运行参数</w:t>
            </w:r>
          </w:p>
        </w:tc>
        <w:tc>
          <w:tcPr>
            <w:tcW w:w="3815" w:type="dxa"/>
            <w:tcBorders>
              <w:top w:val="single" w:color="auto" w:sz="8" w:space="0"/>
            </w:tcBorders>
          </w:tcPr>
          <w:p w14:paraId="1539D73D">
            <w:pPr>
              <w:pStyle w:val="178"/>
            </w:pPr>
            <w:r>
              <w:rPr>
                <w:rFonts w:hint="eastAsia"/>
              </w:rPr>
              <w:t>及时发现异常，防止事故</w:t>
            </w:r>
          </w:p>
        </w:tc>
      </w:tr>
      <w:tr w14:paraId="26C8F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745A755">
            <w:pPr>
              <w:pStyle w:val="178"/>
            </w:pPr>
            <w:r>
              <w:rPr>
                <w:rFonts w:hint="eastAsia"/>
              </w:rPr>
              <w:t>远程控制</w:t>
            </w:r>
          </w:p>
        </w:tc>
        <w:tc>
          <w:tcPr>
            <w:tcW w:w="3544" w:type="dxa"/>
          </w:tcPr>
          <w:p w14:paraId="46315C8B">
            <w:pPr>
              <w:pStyle w:val="178"/>
            </w:pPr>
            <w:r>
              <w:rPr>
                <w:rFonts w:hint="eastAsia"/>
              </w:rPr>
              <w:t>平台远程启停与调度</w:t>
            </w:r>
          </w:p>
        </w:tc>
        <w:tc>
          <w:tcPr>
            <w:tcW w:w="3815" w:type="dxa"/>
          </w:tcPr>
          <w:p w14:paraId="6EB8134A">
            <w:pPr>
              <w:pStyle w:val="178"/>
            </w:pPr>
            <w:r>
              <w:rPr>
                <w:rFonts w:hint="eastAsia"/>
              </w:rPr>
              <w:t>提高响应速度，降低人工依赖</w:t>
            </w:r>
          </w:p>
        </w:tc>
      </w:tr>
      <w:tr w14:paraId="380AE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621D6AE">
            <w:pPr>
              <w:pStyle w:val="178"/>
            </w:pPr>
            <w:r>
              <w:rPr>
                <w:rFonts w:hint="eastAsia"/>
              </w:rPr>
              <w:t>数据分析</w:t>
            </w:r>
          </w:p>
        </w:tc>
        <w:tc>
          <w:tcPr>
            <w:tcW w:w="3544" w:type="dxa"/>
          </w:tcPr>
          <w:p w14:paraId="5B357C38">
            <w:pPr>
              <w:pStyle w:val="178"/>
            </w:pPr>
            <w:r>
              <w:rPr>
                <w:rFonts w:hint="eastAsia"/>
              </w:rPr>
              <w:t>运行数据建模与寿命预测</w:t>
            </w:r>
          </w:p>
        </w:tc>
        <w:tc>
          <w:tcPr>
            <w:tcW w:w="3815" w:type="dxa"/>
          </w:tcPr>
          <w:p w14:paraId="2DEB5439">
            <w:pPr>
              <w:pStyle w:val="178"/>
            </w:pPr>
            <w:r>
              <w:rPr>
                <w:rFonts w:hint="eastAsia"/>
              </w:rPr>
              <w:t>优化运行策略，延长设备寿命</w:t>
            </w:r>
          </w:p>
        </w:tc>
      </w:tr>
      <w:tr w14:paraId="6B232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642EC21">
            <w:pPr>
              <w:pStyle w:val="178"/>
            </w:pPr>
            <w:r>
              <w:rPr>
                <w:rFonts w:hint="eastAsia"/>
              </w:rPr>
              <w:t>故障诊断</w:t>
            </w:r>
          </w:p>
        </w:tc>
        <w:tc>
          <w:tcPr>
            <w:tcW w:w="3544" w:type="dxa"/>
          </w:tcPr>
          <w:p w14:paraId="206961B1">
            <w:pPr>
              <w:pStyle w:val="178"/>
            </w:pPr>
            <w:r>
              <w:rPr>
                <w:rFonts w:hint="eastAsia"/>
              </w:rPr>
              <w:t>自动报警与定位</w:t>
            </w:r>
          </w:p>
        </w:tc>
        <w:tc>
          <w:tcPr>
            <w:tcW w:w="3815" w:type="dxa"/>
          </w:tcPr>
          <w:p w14:paraId="05D58385">
            <w:pPr>
              <w:pStyle w:val="178"/>
            </w:pPr>
            <w:r>
              <w:rPr>
                <w:rFonts w:hint="eastAsia"/>
              </w:rPr>
              <w:t>缩短排障时间，提高可靠性</w:t>
            </w:r>
          </w:p>
        </w:tc>
      </w:tr>
    </w:tbl>
    <w:p w14:paraId="550D91B0">
      <w:pPr>
        <w:pStyle w:val="105"/>
        <w:spacing w:before="120" w:after="120" w:line="360" w:lineRule="auto"/>
      </w:pPr>
      <w:r>
        <w:rPr>
          <w:rFonts w:hint="eastAsia"/>
        </w:rPr>
        <w:t>综合说明</w:t>
      </w:r>
    </w:p>
    <w:p w14:paraId="73986A02">
      <w:pPr>
        <w:pStyle w:val="56"/>
        <w:spacing w:line="360" w:lineRule="auto"/>
        <w:ind w:firstLine="420"/>
      </w:pPr>
      <w:r>
        <w:rPr>
          <w:rFonts w:hint="eastAsia"/>
        </w:rPr>
        <w:t>技术要求是储能与共享能配置的核心基础，涵盖设备、集成、信息、安全与运维各个方面。通过严格执行技术规范，可以确保系统的高效、安全和绿色运行，为智能电网的稳定与可持续发展提供坚实支撑。</w:t>
      </w:r>
    </w:p>
    <w:p w14:paraId="47104110">
      <w:pPr>
        <w:pStyle w:val="104"/>
        <w:spacing w:before="240" w:after="240" w:line="360" w:lineRule="auto"/>
      </w:pPr>
      <w:bookmarkStart w:id="54" w:name="_Toc206837711"/>
      <w:r>
        <w:rPr>
          <w:rFonts w:hint="eastAsia"/>
        </w:rPr>
        <w:t>运行管理</w:t>
      </w:r>
      <w:bookmarkEnd w:id="54"/>
    </w:p>
    <w:p w14:paraId="559CEDBC">
      <w:pPr>
        <w:pStyle w:val="105"/>
        <w:spacing w:before="120" w:after="120" w:line="360" w:lineRule="auto"/>
      </w:pPr>
      <w:r>
        <w:rPr>
          <w:rFonts w:hint="eastAsia"/>
        </w:rPr>
        <w:t>总体要求</w:t>
      </w:r>
    </w:p>
    <w:p w14:paraId="77346610">
      <w:pPr>
        <w:pStyle w:val="56"/>
        <w:spacing w:line="360" w:lineRule="auto"/>
        <w:ind w:firstLine="420"/>
      </w:pPr>
      <w:r>
        <w:rPr>
          <w:rFonts w:hint="eastAsia"/>
        </w:rPr>
        <w:t>运行管理应坚持安全、经济与高效并重的原则。应通过科学调度和实时监控，实现储能系统与共享能平台的协同运行，确保电网稳定性、用户经济性和环境友好性。</w:t>
      </w:r>
    </w:p>
    <w:p w14:paraId="19CB828F">
      <w:pPr>
        <w:pStyle w:val="105"/>
        <w:spacing w:before="120" w:after="120" w:line="360" w:lineRule="auto"/>
      </w:pPr>
      <w:r>
        <w:rPr>
          <w:rFonts w:hint="eastAsia"/>
        </w:rPr>
        <w:t>调度与控制</w:t>
      </w:r>
    </w:p>
    <w:p w14:paraId="0579D2C8">
      <w:pPr>
        <w:pStyle w:val="56"/>
        <w:spacing w:line="360" w:lineRule="auto"/>
        <w:ind w:firstLine="420"/>
      </w:pPr>
      <w:r>
        <w:rPr>
          <w:rFonts w:hint="eastAsia"/>
        </w:rPr>
        <w:t>储能与共享能系统的运行调度应结合电网负荷、新能源出力和需求响应信号，实行分层分级调度。调度平台需具备自动化与智能化能力，实现实时调控。</w:t>
      </w:r>
    </w:p>
    <w:p w14:paraId="3A4BA234">
      <w:pPr>
        <w:pStyle w:val="56"/>
        <w:spacing w:line="360" w:lineRule="auto"/>
        <w:ind w:firstLine="420"/>
      </w:pPr>
      <w:r>
        <w:rPr>
          <w:rFonts w:hint="eastAsia"/>
        </w:rPr>
        <w:t>运行调度与控制的主要要点见表5。</w:t>
      </w:r>
    </w:p>
    <w:p w14:paraId="4B85B673">
      <w:pPr>
        <w:pStyle w:val="112"/>
        <w:spacing w:before="120" w:after="120" w:line="360" w:lineRule="auto"/>
      </w:pPr>
      <w:r>
        <w:rPr>
          <w:rFonts w:hint="eastAsia"/>
        </w:rPr>
        <w:t>调度与控制要点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08C9A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975" w:type="dxa"/>
            <w:tcBorders>
              <w:top w:val="single" w:color="auto" w:sz="8" w:space="0"/>
              <w:bottom w:val="single" w:color="auto" w:sz="8" w:space="0"/>
            </w:tcBorders>
          </w:tcPr>
          <w:p w14:paraId="3C99B0B1">
            <w:pPr>
              <w:pStyle w:val="178"/>
            </w:pPr>
            <w:r>
              <w:rPr>
                <w:rFonts w:hint="eastAsia"/>
              </w:rPr>
              <w:t>调度环节</w:t>
            </w:r>
          </w:p>
        </w:tc>
        <w:tc>
          <w:tcPr>
            <w:tcW w:w="4247" w:type="dxa"/>
            <w:tcBorders>
              <w:top w:val="single" w:color="auto" w:sz="8" w:space="0"/>
              <w:bottom w:val="single" w:color="auto" w:sz="8" w:space="0"/>
            </w:tcBorders>
          </w:tcPr>
          <w:p w14:paraId="6F1C523C">
            <w:pPr>
              <w:pStyle w:val="178"/>
            </w:pPr>
            <w:r>
              <w:rPr>
                <w:rFonts w:hint="eastAsia"/>
              </w:rPr>
              <w:t>主要内容</w:t>
            </w:r>
          </w:p>
        </w:tc>
        <w:tc>
          <w:tcPr>
            <w:tcW w:w="3112" w:type="dxa"/>
            <w:tcBorders>
              <w:top w:val="single" w:color="auto" w:sz="8" w:space="0"/>
              <w:bottom w:val="single" w:color="auto" w:sz="8" w:space="0"/>
            </w:tcBorders>
          </w:tcPr>
          <w:p w14:paraId="2C8BC321">
            <w:pPr>
              <w:pStyle w:val="178"/>
            </w:pPr>
            <w:r>
              <w:rPr>
                <w:rFonts w:hint="eastAsia"/>
              </w:rPr>
              <w:t>管理要求</w:t>
            </w:r>
          </w:p>
        </w:tc>
      </w:tr>
      <w:tr w14:paraId="5CEEC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3A6171B9">
            <w:pPr>
              <w:pStyle w:val="178"/>
            </w:pPr>
            <w:r>
              <w:rPr>
                <w:rFonts w:hint="eastAsia"/>
              </w:rPr>
              <w:t>日常调度</w:t>
            </w:r>
          </w:p>
        </w:tc>
        <w:tc>
          <w:tcPr>
            <w:tcW w:w="4247" w:type="dxa"/>
            <w:tcBorders>
              <w:top w:val="single" w:color="auto" w:sz="8" w:space="0"/>
            </w:tcBorders>
          </w:tcPr>
          <w:p w14:paraId="47549A34">
            <w:pPr>
              <w:pStyle w:val="178"/>
            </w:pPr>
            <w:r>
              <w:rPr>
                <w:rFonts w:hint="eastAsia"/>
              </w:rPr>
              <w:t>根据负荷曲线安排储能充放电</w:t>
            </w:r>
          </w:p>
        </w:tc>
        <w:tc>
          <w:tcPr>
            <w:tcW w:w="3112" w:type="dxa"/>
            <w:tcBorders>
              <w:top w:val="single" w:color="auto" w:sz="8" w:space="0"/>
            </w:tcBorders>
          </w:tcPr>
          <w:p w14:paraId="13AC881F">
            <w:pPr>
              <w:pStyle w:val="178"/>
            </w:pPr>
            <w:r>
              <w:rPr>
                <w:rFonts w:hint="eastAsia"/>
              </w:rPr>
              <w:t>削峰填谷，保证电网平稳运行</w:t>
            </w:r>
          </w:p>
        </w:tc>
      </w:tr>
      <w:tr w14:paraId="1B09D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0814C05">
            <w:pPr>
              <w:pStyle w:val="178"/>
            </w:pPr>
            <w:r>
              <w:rPr>
                <w:rFonts w:hint="eastAsia"/>
              </w:rPr>
              <w:t>实时调度</w:t>
            </w:r>
          </w:p>
        </w:tc>
        <w:tc>
          <w:tcPr>
            <w:tcW w:w="4247" w:type="dxa"/>
          </w:tcPr>
          <w:p w14:paraId="0B4E2DB7">
            <w:pPr>
              <w:pStyle w:val="178"/>
            </w:pPr>
            <w:r>
              <w:rPr>
                <w:rFonts w:hint="eastAsia"/>
              </w:rPr>
              <w:t>响应新能源出力波动与电价信号</w:t>
            </w:r>
          </w:p>
        </w:tc>
        <w:tc>
          <w:tcPr>
            <w:tcW w:w="3112" w:type="dxa"/>
          </w:tcPr>
          <w:p w14:paraId="513C8D69">
            <w:pPr>
              <w:pStyle w:val="178"/>
            </w:pPr>
            <w:r>
              <w:rPr>
                <w:rFonts w:hint="eastAsia"/>
              </w:rPr>
              <w:t>提高系统灵活性与经济性</w:t>
            </w:r>
          </w:p>
        </w:tc>
      </w:tr>
      <w:tr w14:paraId="1BBF3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47E5263">
            <w:pPr>
              <w:pStyle w:val="178"/>
            </w:pPr>
            <w:r>
              <w:rPr>
                <w:rFonts w:hint="eastAsia"/>
              </w:rPr>
              <w:t>分级控制</w:t>
            </w:r>
          </w:p>
        </w:tc>
        <w:tc>
          <w:tcPr>
            <w:tcW w:w="4247" w:type="dxa"/>
          </w:tcPr>
          <w:p w14:paraId="5D2B87BD">
            <w:pPr>
              <w:pStyle w:val="178"/>
            </w:pPr>
            <w:r>
              <w:rPr>
                <w:rFonts w:hint="eastAsia"/>
              </w:rPr>
              <w:t>中央调度与地方平台分级协同</w:t>
            </w:r>
          </w:p>
        </w:tc>
        <w:tc>
          <w:tcPr>
            <w:tcW w:w="3112" w:type="dxa"/>
          </w:tcPr>
          <w:p w14:paraId="6A034D73">
            <w:pPr>
              <w:pStyle w:val="178"/>
            </w:pPr>
            <w:r>
              <w:rPr>
                <w:rFonts w:hint="eastAsia"/>
              </w:rPr>
              <w:t>确保调度统一性与区域差异兼顾</w:t>
            </w:r>
          </w:p>
        </w:tc>
      </w:tr>
      <w:tr w14:paraId="7522E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16BD257">
            <w:pPr>
              <w:pStyle w:val="178"/>
            </w:pPr>
            <w:r>
              <w:rPr>
                <w:rFonts w:hint="eastAsia"/>
              </w:rPr>
              <w:t>紧急控制</w:t>
            </w:r>
          </w:p>
        </w:tc>
        <w:tc>
          <w:tcPr>
            <w:tcW w:w="4247" w:type="dxa"/>
          </w:tcPr>
          <w:p w14:paraId="70711C82">
            <w:pPr>
              <w:pStyle w:val="178"/>
            </w:pPr>
            <w:r>
              <w:rPr>
                <w:rFonts w:hint="eastAsia"/>
              </w:rPr>
              <w:t>系统故障或突发事件下的紧急调度</w:t>
            </w:r>
          </w:p>
        </w:tc>
        <w:tc>
          <w:tcPr>
            <w:tcW w:w="3112" w:type="dxa"/>
          </w:tcPr>
          <w:p w14:paraId="3E5F9D50">
            <w:pPr>
              <w:pStyle w:val="178"/>
            </w:pPr>
            <w:r>
              <w:rPr>
                <w:rFonts w:hint="eastAsia"/>
              </w:rPr>
              <w:t>保证供电连续性与电网安全</w:t>
            </w:r>
          </w:p>
        </w:tc>
      </w:tr>
    </w:tbl>
    <w:p w14:paraId="7540D355">
      <w:pPr>
        <w:pStyle w:val="105"/>
        <w:spacing w:before="120" w:after="120" w:line="360" w:lineRule="auto"/>
      </w:pPr>
      <w:r>
        <w:rPr>
          <w:rFonts w:hint="eastAsia"/>
        </w:rPr>
        <w:t>经济运行</w:t>
      </w:r>
    </w:p>
    <w:p w14:paraId="1E974634">
      <w:pPr>
        <w:pStyle w:val="56"/>
        <w:spacing w:line="360" w:lineRule="auto"/>
        <w:ind w:firstLine="420"/>
      </w:pPr>
      <w:r>
        <w:rPr>
          <w:rFonts w:hint="eastAsia"/>
        </w:rPr>
        <w:t>在运行过程中，应综合考虑电力市场电价、用户需求和系统成本，优化储能与共享能的经济运行模式。常见方式包括峰谷套利、辅助服务和区域共享收益分配等。</w:t>
      </w:r>
    </w:p>
    <w:p w14:paraId="6EB98A02">
      <w:pPr>
        <w:pStyle w:val="56"/>
        <w:spacing w:line="360" w:lineRule="auto"/>
        <w:ind w:firstLine="420"/>
      </w:pPr>
      <w:r>
        <w:rPr>
          <w:rFonts w:hint="eastAsia"/>
        </w:rPr>
        <w:t>为提升可操作性，经济运行的主要分析维度见表6。</w:t>
      </w:r>
    </w:p>
    <w:p w14:paraId="5659800D">
      <w:pPr>
        <w:pStyle w:val="112"/>
        <w:spacing w:before="120" w:after="120" w:line="360" w:lineRule="auto"/>
      </w:pPr>
      <w:r>
        <w:rPr>
          <w:rFonts w:hint="eastAsia"/>
        </w:rPr>
        <w:t>经济运行分析维度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111"/>
        <w:gridCol w:w="3248"/>
      </w:tblGrid>
      <w:tr w14:paraId="063AB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56B10107">
            <w:pPr>
              <w:pStyle w:val="178"/>
            </w:pPr>
            <w:r>
              <w:rPr>
                <w:rFonts w:hint="eastAsia"/>
              </w:rPr>
              <w:t>分析维度</w:t>
            </w:r>
          </w:p>
        </w:tc>
        <w:tc>
          <w:tcPr>
            <w:tcW w:w="4111" w:type="dxa"/>
            <w:tcBorders>
              <w:top w:val="single" w:color="auto" w:sz="8" w:space="0"/>
              <w:bottom w:val="single" w:color="auto" w:sz="8" w:space="0"/>
            </w:tcBorders>
          </w:tcPr>
          <w:p w14:paraId="5F815C2F">
            <w:pPr>
              <w:pStyle w:val="178"/>
            </w:pPr>
            <w:r>
              <w:rPr>
                <w:rFonts w:hint="eastAsia"/>
              </w:rPr>
              <w:t>主要指标</w:t>
            </w:r>
          </w:p>
        </w:tc>
        <w:tc>
          <w:tcPr>
            <w:tcW w:w="3248" w:type="dxa"/>
            <w:tcBorders>
              <w:top w:val="single" w:color="auto" w:sz="8" w:space="0"/>
              <w:bottom w:val="single" w:color="auto" w:sz="8" w:space="0"/>
            </w:tcBorders>
          </w:tcPr>
          <w:p w14:paraId="00BA4D79">
            <w:pPr>
              <w:pStyle w:val="178"/>
            </w:pPr>
            <w:r>
              <w:rPr>
                <w:rFonts w:hint="eastAsia"/>
              </w:rPr>
              <w:t>目标要求</w:t>
            </w:r>
          </w:p>
        </w:tc>
      </w:tr>
      <w:tr w14:paraId="5C44F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15C9CFA2">
            <w:pPr>
              <w:pStyle w:val="178"/>
            </w:pPr>
            <w:r>
              <w:rPr>
                <w:rFonts w:hint="eastAsia"/>
              </w:rPr>
              <w:t>电价因素</w:t>
            </w:r>
          </w:p>
        </w:tc>
        <w:tc>
          <w:tcPr>
            <w:tcW w:w="4111" w:type="dxa"/>
            <w:tcBorders>
              <w:top w:val="single" w:color="auto" w:sz="8" w:space="0"/>
            </w:tcBorders>
          </w:tcPr>
          <w:p w14:paraId="7A2F4256">
            <w:pPr>
              <w:pStyle w:val="178"/>
            </w:pPr>
            <w:r>
              <w:rPr>
                <w:rFonts w:hint="eastAsia"/>
              </w:rPr>
              <w:t>峰谷价差、尖峰电价</w:t>
            </w:r>
          </w:p>
        </w:tc>
        <w:tc>
          <w:tcPr>
            <w:tcW w:w="3248" w:type="dxa"/>
            <w:tcBorders>
              <w:top w:val="single" w:color="auto" w:sz="8" w:space="0"/>
            </w:tcBorders>
          </w:tcPr>
          <w:p w14:paraId="0210DEEE">
            <w:pPr>
              <w:pStyle w:val="178"/>
            </w:pPr>
            <w:r>
              <w:rPr>
                <w:rFonts w:hint="eastAsia"/>
              </w:rPr>
              <w:t>提高储能收益，优化充放电策略</w:t>
            </w:r>
          </w:p>
        </w:tc>
      </w:tr>
      <w:tr w14:paraId="75118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C8CF8B1">
            <w:pPr>
              <w:pStyle w:val="178"/>
            </w:pPr>
            <w:r>
              <w:rPr>
                <w:rFonts w:hint="eastAsia"/>
              </w:rPr>
              <w:t>成本因素</w:t>
            </w:r>
          </w:p>
        </w:tc>
        <w:tc>
          <w:tcPr>
            <w:tcW w:w="4111" w:type="dxa"/>
          </w:tcPr>
          <w:p w14:paraId="272D804F">
            <w:pPr>
              <w:pStyle w:val="178"/>
            </w:pPr>
            <w:r>
              <w:rPr>
                <w:rFonts w:hint="eastAsia"/>
              </w:rPr>
              <w:t>运维费用、折旧成本、寿命周期</w:t>
            </w:r>
          </w:p>
        </w:tc>
        <w:tc>
          <w:tcPr>
            <w:tcW w:w="3248" w:type="dxa"/>
          </w:tcPr>
          <w:p w14:paraId="17A020A8">
            <w:pPr>
              <w:pStyle w:val="178"/>
            </w:pPr>
            <w:r>
              <w:rPr>
                <w:rFonts w:hint="eastAsia"/>
              </w:rPr>
              <w:t>控制成本，提升经济可持续性</w:t>
            </w:r>
          </w:p>
        </w:tc>
      </w:tr>
      <w:tr w14:paraId="61B13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D16DA68">
            <w:pPr>
              <w:pStyle w:val="178"/>
            </w:pPr>
            <w:r>
              <w:rPr>
                <w:rFonts w:hint="eastAsia"/>
              </w:rPr>
              <w:t>收益因素</w:t>
            </w:r>
          </w:p>
        </w:tc>
        <w:tc>
          <w:tcPr>
            <w:tcW w:w="4111" w:type="dxa"/>
          </w:tcPr>
          <w:p w14:paraId="30C59363">
            <w:pPr>
              <w:pStyle w:val="178"/>
            </w:pPr>
            <w:r>
              <w:rPr>
                <w:rFonts w:hint="eastAsia"/>
              </w:rPr>
              <w:t>削峰填谷、辅助服务、共享结算</w:t>
            </w:r>
          </w:p>
        </w:tc>
        <w:tc>
          <w:tcPr>
            <w:tcW w:w="3248" w:type="dxa"/>
          </w:tcPr>
          <w:p w14:paraId="26B3FB02">
            <w:pPr>
              <w:pStyle w:val="178"/>
            </w:pPr>
            <w:r>
              <w:rPr>
                <w:rFonts w:hint="eastAsia"/>
              </w:rPr>
              <w:t>增加收益渠道，确保公平合理</w:t>
            </w:r>
          </w:p>
        </w:tc>
      </w:tr>
      <w:tr w14:paraId="54A56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7B7152E">
            <w:pPr>
              <w:pStyle w:val="178"/>
            </w:pPr>
            <w:r>
              <w:rPr>
                <w:rFonts w:hint="eastAsia"/>
              </w:rPr>
              <w:t>市场因素</w:t>
            </w:r>
          </w:p>
        </w:tc>
        <w:tc>
          <w:tcPr>
            <w:tcW w:w="4111" w:type="dxa"/>
          </w:tcPr>
          <w:p w14:paraId="75B46265">
            <w:pPr>
              <w:pStyle w:val="178"/>
            </w:pPr>
            <w:r>
              <w:rPr>
                <w:rFonts w:hint="eastAsia"/>
              </w:rPr>
              <w:t>电力交易机制、用户参与度</w:t>
            </w:r>
          </w:p>
        </w:tc>
        <w:tc>
          <w:tcPr>
            <w:tcW w:w="3248" w:type="dxa"/>
          </w:tcPr>
          <w:p w14:paraId="242FB0FB">
            <w:pPr>
              <w:pStyle w:val="178"/>
            </w:pPr>
            <w:r>
              <w:rPr>
                <w:rFonts w:hint="eastAsia"/>
              </w:rPr>
              <w:t>提升市场适应性与灵活性</w:t>
            </w:r>
          </w:p>
        </w:tc>
      </w:tr>
    </w:tbl>
    <w:p w14:paraId="6DDD02EE">
      <w:pPr>
        <w:pStyle w:val="105"/>
        <w:spacing w:before="120" w:after="120" w:line="360" w:lineRule="auto"/>
      </w:pPr>
      <w:r>
        <w:rPr>
          <w:rFonts w:hint="eastAsia"/>
        </w:rPr>
        <w:t>安全运行</w:t>
      </w:r>
    </w:p>
    <w:p w14:paraId="1BC0D12B">
      <w:pPr>
        <w:pStyle w:val="56"/>
        <w:spacing w:line="360" w:lineRule="auto"/>
        <w:ind w:firstLine="420"/>
      </w:pPr>
      <w:r>
        <w:rPr>
          <w:rFonts w:hint="eastAsia"/>
        </w:rPr>
        <w:t>运行管理应始终以安全为前提。储能系统必须严格监测电池状态、设备温度与电网运行指标，建立分级告警和应急处理机制，防止热失控、短路、过载等事故。</w:t>
      </w:r>
    </w:p>
    <w:p w14:paraId="5E9E1EF3">
      <w:pPr>
        <w:pStyle w:val="105"/>
        <w:spacing w:before="120" w:after="120" w:line="360" w:lineRule="auto"/>
      </w:pPr>
      <w:r>
        <w:rPr>
          <w:rFonts w:hint="eastAsia"/>
        </w:rPr>
        <w:t>综合说明</w:t>
      </w:r>
    </w:p>
    <w:p w14:paraId="5BCEDC83">
      <w:pPr>
        <w:pStyle w:val="56"/>
        <w:spacing w:line="360" w:lineRule="auto"/>
        <w:ind w:firstLine="420"/>
      </w:pPr>
      <w:r>
        <w:rPr>
          <w:rFonts w:hint="eastAsia"/>
        </w:rPr>
        <w:t>运行管理是储能与共享能系统实现价值的关键环节。通过科学调度、优化经济运行和强化安全管理，可以充分发挥储能削峰填谷、辅助服务和绿色发展的作用，保障智能电网的安全、经济与高效运行。</w:t>
      </w:r>
    </w:p>
    <w:p w14:paraId="0DF40D3C">
      <w:pPr>
        <w:pStyle w:val="104"/>
        <w:spacing w:before="240" w:after="240" w:line="360" w:lineRule="auto"/>
      </w:pPr>
      <w:bookmarkStart w:id="55" w:name="_Toc206837712"/>
      <w:r>
        <w:rPr>
          <w:rFonts w:hint="eastAsia"/>
        </w:rPr>
        <w:t>安全保障</w:t>
      </w:r>
      <w:bookmarkEnd w:id="55"/>
    </w:p>
    <w:p w14:paraId="66AC6853">
      <w:pPr>
        <w:pStyle w:val="105"/>
        <w:spacing w:before="120" w:after="120" w:line="360" w:lineRule="auto"/>
      </w:pPr>
      <w:r>
        <w:rPr>
          <w:rFonts w:hint="eastAsia"/>
        </w:rPr>
        <w:t>总体要求</w:t>
      </w:r>
    </w:p>
    <w:p w14:paraId="32BCEAAE">
      <w:pPr>
        <w:pStyle w:val="56"/>
        <w:spacing w:line="360" w:lineRule="auto"/>
        <w:ind w:firstLine="420"/>
      </w:pPr>
      <w:r>
        <w:rPr>
          <w:rFonts w:hint="eastAsia"/>
        </w:rPr>
        <w:t>安全保障是储能与共享能系统长期可靠运行的前提。应在设计、建设、运行和维护的各个阶段建立全方位、多层次的安全防护体系，涵盖设备安全、网络安全、人员安全和应急管理等方面。</w:t>
      </w:r>
    </w:p>
    <w:p w14:paraId="21463C20">
      <w:pPr>
        <w:pStyle w:val="105"/>
        <w:spacing w:before="120" w:after="120" w:line="360" w:lineRule="auto"/>
      </w:pPr>
      <w:r>
        <w:rPr>
          <w:rFonts w:hint="eastAsia"/>
        </w:rPr>
        <w:t>设备安全</w:t>
      </w:r>
    </w:p>
    <w:p w14:paraId="4A911545">
      <w:pPr>
        <w:pStyle w:val="56"/>
        <w:spacing w:line="360" w:lineRule="auto"/>
        <w:ind w:firstLine="420"/>
      </w:pPr>
      <w:r>
        <w:rPr>
          <w:rFonts w:hint="eastAsia"/>
        </w:rPr>
        <w:t>储能设备应具备完善的电气与机械防护措施。电池储能系统需配置过充、过放、过温等保护功能，大型储能装置需配备防爆、防火和紧急切断装置。</w:t>
      </w:r>
    </w:p>
    <w:p w14:paraId="3571969D">
      <w:pPr>
        <w:pStyle w:val="105"/>
        <w:spacing w:before="120" w:after="120" w:line="360" w:lineRule="auto"/>
      </w:pPr>
      <w:r>
        <w:rPr>
          <w:rFonts w:hint="eastAsia"/>
        </w:rPr>
        <w:t>网络与信息安全</w:t>
      </w:r>
    </w:p>
    <w:p w14:paraId="15A3F650">
      <w:pPr>
        <w:pStyle w:val="56"/>
        <w:spacing w:line="360" w:lineRule="auto"/>
        <w:ind w:firstLine="420"/>
      </w:pPr>
      <w:r>
        <w:rPr>
          <w:rFonts w:hint="eastAsia"/>
        </w:rPr>
        <w:t>在共享能平台的运行中，网络与信息安全是不可或缺的。平台应采取加密传输、身份认证、访问控制和防护隔离等措施，确保数据在传输和存储中的完整性与保密性，防止恶意攻击与非法入侵。</w:t>
      </w:r>
    </w:p>
    <w:p w14:paraId="34F1EF02">
      <w:pPr>
        <w:pStyle w:val="105"/>
        <w:spacing w:before="120" w:after="120" w:line="360" w:lineRule="auto"/>
      </w:pPr>
      <w:r>
        <w:rPr>
          <w:rFonts w:hint="eastAsia"/>
        </w:rPr>
        <w:t>人员安全</w:t>
      </w:r>
    </w:p>
    <w:p w14:paraId="61965120">
      <w:pPr>
        <w:pStyle w:val="56"/>
        <w:spacing w:line="360" w:lineRule="auto"/>
        <w:ind w:firstLine="420"/>
      </w:pPr>
      <w:r>
        <w:rPr>
          <w:rFonts w:hint="eastAsia"/>
        </w:rPr>
        <w:t>施工与运维人员应具备相关资质，严格遵守安全操作规程。必须定期开展安全培训与应急演练，确保人员在发生事故时具备自我防护和正确处置能力。</w:t>
      </w:r>
    </w:p>
    <w:p w14:paraId="17622AB3">
      <w:pPr>
        <w:pStyle w:val="56"/>
        <w:spacing w:line="360" w:lineRule="auto"/>
        <w:ind w:firstLine="420"/>
      </w:pPr>
      <w:r>
        <w:rPr>
          <w:rFonts w:hint="eastAsia"/>
        </w:rPr>
        <w:t>为了更直观体现安全管理的重点，主要环节和要求见表7。</w:t>
      </w:r>
    </w:p>
    <w:p w14:paraId="64FFDEAE">
      <w:pPr>
        <w:pStyle w:val="112"/>
        <w:spacing w:before="120" w:after="120" w:line="360" w:lineRule="auto"/>
      </w:pPr>
      <w:r>
        <w:rPr>
          <w:rFonts w:hint="eastAsia"/>
        </w:rPr>
        <w:t>安全管理要点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7C816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6055BF56">
            <w:pPr>
              <w:pStyle w:val="178"/>
            </w:pPr>
            <w:r>
              <w:rPr>
                <w:rFonts w:hint="eastAsia"/>
              </w:rPr>
              <w:t>安全环节</w:t>
            </w:r>
          </w:p>
        </w:tc>
        <w:tc>
          <w:tcPr>
            <w:tcW w:w="4531" w:type="dxa"/>
            <w:tcBorders>
              <w:top w:val="single" w:color="auto" w:sz="8" w:space="0"/>
              <w:bottom w:val="single" w:color="auto" w:sz="8" w:space="0"/>
            </w:tcBorders>
          </w:tcPr>
          <w:p w14:paraId="549A2CF8">
            <w:pPr>
              <w:pStyle w:val="178"/>
            </w:pPr>
            <w:r>
              <w:rPr>
                <w:rFonts w:hint="eastAsia"/>
              </w:rPr>
              <w:t>主要措施</w:t>
            </w:r>
          </w:p>
        </w:tc>
        <w:tc>
          <w:tcPr>
            <w:tcW w:w="3112" w:type="dxa"/>
            <w:tcBorders>
              <w:top w:val="single" w:color="auto" w:sz="8" w:space="0"/>
              <w:bottom w:val="single" w:color="auto" w:sz="8" w:space="0"/>
            </w:tcBorders>
          </w:tcPr>
          <w:p w14:paraId="39BC010F">
            <w:pPr>
              <w:pStyle w:val="178"/>
            </w:pPr>
            <w:r>
              <w:rPr>
                <w:rFonts w:hint="eastAsia"/>
              </w:rPr>
              <w:t>控制要求</w:t>
            </w:r>
          </w:p>
        </w:tc>
      </w:tr>
      <w:tr w14:paraId="41CB5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0AD526E4">
            <w:pPr>
              <w:pStyle w:val="178"/>
            </w:pPr>
            <w:r>
              <w:rPr>
                <w:rFonts w:hint="eastAsia"/>
              </w:rPr>
              <w:t>设备安全</w:t>
            </w:r>
          </w:p>
        </w:tc>
        <w:tc>
          <w:tcPr>
            <w:tcW w:w="4531" w:type="dxa"/>
            <w:tcBorders>
              <w:top w:val="single" w:color="auto" w:sz="8" w:space="0"/>
            </w:tcBorders>
          </w:tcPr>
          <w:p w14:paraId="2E41A650">
            <w:pPr>
              <w:pStyle w:val="178"/>
            </w:pPr>
            <w:r>
              <w:rPr>
                <w:rFonts w:hint="eastAsia"/>
              </w:rPr>
              <w:t>配置多级保护功能，安装防爆装置</w:t>
            </w:r>
          </w:p>
        </w:tc>
        <w:tc>
          <w:tcPr>
            <w:tcW w:w="3112" w:type="dxa"/>
            <w:tcBorders>
              <w:top w:val="single" w:color="auto" w:sz="8" w:space="0"/>
            </w:tcBorders>
          </w:tcPr>
          <w:p w14:paraId="2796085B">
            <w:pPr>
              <w:pStyle w:val="178"/>
            </w:pPr>
            <w:r>
              <w:rPr>
                <w:rFonts w:hint="eastAsia"/>
              </w:rPr>
              <w:t>符合国家安全规范，运行可控</w:t>
            </w:r>
          </w:p>
        </w:tc>
      </w:tr>
      <w:tr w14:paraId="42462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08378E7">
            <w:pPr>
              <w:pStyle w:val="178"/>
            </w:pPr>
            <w:r>
              <w:rPr>
                <w:rFonts w:hint="eastAsia"/>
              </w:rPr>
              <w:t>网络安全</w:t>
            </w:r>
          </w:p>
        </w:tc>
        <w:tc>
          <w:tcPr>
            <w:tcW w:w="4531" w:type="dxa"/>
          </w:tcPr>
          <w:p w14:paraId="3EC20EDC">
            <w:pPr>
              <w:pStyle w:val="178"/>
            </w:pPr>
            <w:r>
              <w:rPr>
                <w:rFonts w:hint="eastAsia"/>
              </w:rPr>
              <w:t>加密传输、访问控制、防火墙隔离</w:t>
            </w:r>
          </w:p>
        </w:tc>
        <w:tc>
          <w:tcPr>
            <w:tcW w:w="3112" w:type="dxa"/>
          </w:tcPr>
          <w:p w14:paraId="35C0D8B4">
            <w:pPr>
              <w:pStyle w:val="178"/>
            </w:pPr>
            <w:r>
              <w:rPr>
                <w:rFonts w:hint="eastAsia"/>
              </w:rPr>
              <w:t>保证信息安全，防止黑客攻击</w:t>
            </w:r>
          </w:p>
        </w:tc>
      </w:tr>
      <w:tr w14:paraId="7C653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99957F5">
            <w:pPr>
              <w:pStyle w:val="178"/>
            </w:pPr>
            <w:r>
              <w:rPr>
                <w:rFonts w:hint="eastAsia"/>
              </w:rPr>
              <w:t>人员安全</w:t>
            </w:r>
          </w:p>
        </w:tc>
        <w:tc>
          <w:tcPr>
            <w:tcW w:w="4531" w:type="dxa"/>
          </w:tcPr>
          <w:p w14:paraId="2AD021A8">
            <w:pPr>
              <w:pStyle w:val="178"/>
            </w:pPr>
            <w:r>
              <w:rPr>
                <w:rFonts w:hint="eastAsia"/>
              </w:rPr>
              <w:t>上岗培训、安全操作、防护装备</w:t>
            </w:r>
          </w:p>
        </w:tc>
        <w:tc>
          <w:tcPr>
            <w:tcW w:w="3112" w:type="dxa"/>
          </w:tcPr>
          <w:p w14:paraId="0DA7E0BB">
            <w:pPr>
              <w:pStyle w:val="178"/>
            </w:pPr>
            <w:r>
              <w:rPr>
                <w:rFonts w:hint="eastAsia"/>
              </w:rPr>
              <w:t>全员持证上岗，演练覆盖100%</w:t>
            </w:r>
          </w:p>
        </w:tc>
      </w:tr>
      <w:tr w14:paraId="01F8B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0FC3B3E">
            <w:pPr>
              <w:pStyle w:val="178"/>
            </w:pPr>
            <w:r>
              <w:rPr>
                <w:rFonts w:hint="eastAsia"/>
              </w:rPr>
              <w:t>应急管理</w:t>
            </w:r>
          </w:p>
        </w:tc>
        <w:tc>
          <w:tcPr>
            <w:tcW w:w="4531" w:type="dxa"/>
          </w:tcPr>
          <w:p w14:paraId="777997DB">
            <w:pPr>
              <w:pStyle w:val="178"/>
            </w:pPr>
            <w:r>
              <w:rPr>
                <w:rFonts w:hint="eastAsia"/>
              </w:rPr>
              <w:t>制定预案，开展演练，配备应急物资</w:t>
            </w:r>
          </w:p>
        </w:tc>
        <w:tc>
          <w:tcPr>
            <w:tcW w:w="3112" w:type="dxa"/>
          </w:tcPr>
          <w:p w14:paraId="0EC3A0B3">
            <w:pPr>
              <w:pStyle w:val="178"/>
            </w:pPr>
            <w:r>
              <w:rPr>
                <w:rFonts w:hint="eastAsia"/>
              </w:rPr>
              <w:t>响应及时，处置有效</w:t>
            </w:r>
          </w:p>
        </w:tc>
      </w:tr>
    </w:tbl>
    <w:p w14:paraId="6B8B9CFA">
      <w:pPr>
        <w:pStyle w:val="105"/>
        <w:spacing w:before="120" w:after="120" w:line="360" w:lineRule="auto"/>
      </w:pPr>
      <w:r>
        <w:rPr>
          <w:rFonts w:hint="eastAsia"/>
        </w:rPr>
        <w:t>应急管理</w:t>
      </w:r>
    </w:p>
    <w:p w14:paraId="5E442C9E">
      <w:pPr>
        <w:pStyle w:val="56"/>
        <w:spacing w:line="360" w:lineRule="auto"/>
        <w:ind w:firstLine="420"/>
      </w:pPr>
      <w:r>
        <w:rPr>
          <w:rFonts w:hint="eastAsia"/>
        </w:rPr>
        <w:t>应急管理是安全保障体系的重要组成部分。应制定涵盖火灾、爆炸、系统故障、网络攻击等场景的应急预案，并定期开展演练，检验应急响应的可操作性和有效性。</w:t>
      </w:r>
    </w:p>
    <w:p w14:paraId="0F1FB012">
      <w:pPr>
        <w:pStyle w:val="56"/>
        <w:spacing w:line="360" w:lineRule="auto"/>
        <w:ind w:firstLine="420"/>
      </w:pPr>
      <w:r>
        <w:rPr>
          <w:rFonts w:hint="eastAsia"/>
        </w:rPr>
        <w:t>常见事故类型与应急措施见表8。</w:t>
      </w:r>
    </w:p>
    <w:p w14:paraId="13E954F5">
      <w:pPr>
        <w:pStyle w:val="112"/>
        <w:spacing w:before="120" w:after="120" w:line="360" w:lineRule="auto"/>
      </w:pPr>
      <w:r>
        <w:rPr>
          <w:rFonts w:hint="eastAsia"/>
        </w:rPr>
        <w:t>常见事故类型与应急措施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402"/>
        <w:gridCol w:w="4099"/>
      </w:tblGrid>
      <w:tr w14:paraId="4218C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31F04A3A">
            <w:pPr>
              <w:pStyle w:val="178"/>
            </w:pPr>
            <w:r>
              <w:rPr>
                <w:rFonts w:hint="eastAsia"/>
              </w:rPr>
              <w:t>事故类型</w:t>
            </w:r>
          </w:p>
        </w:tc>
        <w:tc>
          <w:tcPr>
            <w:tcW w:w="3402" w:type="dxa"/>
            <w:tcBorders>
              <w:top w:val="single" w:color="auto" w:sz="8" w:space="0"/>
              <w:bottom w:val="single" w:color="auto" w:sz="8" w:space="0"/>
            </w:tcBorders>
          </w:tcPr>
          <w:p w14:paraId="6A5C6FC1">
            <w:pPr>
              <w:pStyle w:val="178"/>
            </w:pPr>
            <w:r>
              <w:rPr>
                <w:rFonts w:hint="eastAsia"/>
              </w:rPr>
              <w:t>主要风险</w:t>
            </w:r>
          </w:p>
        </w:tc>
        <w:tc>
          <w:tcPr>
            <w:tcW w:w="4099" w:type="dxa"/>
            <w:tcBorders>
              <w:top w:val="single" w:color="auto" w:sz="8" w:space="0"/>
              <w:bottom w:val="single" w:color="auto" w:sz="8" w:space="0"/>
            </w:tcBorders>
          </w:tcPr>
          <w:p w14:paraId="77383366">
            <w:pPr>
              <w:pStyle w:val="178"/>
            </w:pPr>
            <w:r>
              <w:rPr>
                <w:rFonts w:hint="eastAsia"/>
              </w:rPr>
              <w:t>应急措施</w:t>
            </w:r>
          </w:p>
        </w:tc>
      </w:tr>
      <w:tr w14:paraId="30C4D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4C704BEE">
            <w:pPr>
              <w:pStyle w:val="178"/>
            </w:pPr>
            <w:r>
              <w:rPr>
                <w:rFonts w:hint="eastAsia"/>
              </w:rPr>
              <w:t>火灾</w:t>
            </w:r>
          </w:p>
        </w:tc>
        <w:tc>
          <w:tcPr>
            <w:tcW w:w="3402" w:type="dxa"/>
            <w:tcBorders>
              <w:top w:val="single" w:color="auto" w:sz="8" w:space="0"/>
            </w:tcBorders>
          </w:tcPr>
          <w:p w14:paraId="0B1DCFD1">
            <w:pPr>
              <w:pStyle w:val="178"/>
            </w:pPr>
            <w:r>
              <w:rPr>
                <w:rFonts w:hint="eastAsia"/>
              </w:rPr>
              <w:t>电池热失控、线路短路</w:t>
            </w:r>
          </w:p>
        </w:tc>
        <w:tc>
          <w:tcPr>
            <w:tcW w:w="4099" w:type="dxa"/>
            <w:tcBorders>
              <w:top w:val="single" w:color="auto" w:sz="8" w:space="0"/>
            </w:tcBorders>
          </w:tcPr>
          <w:p w14:paraId="11BA3D0D">
            <w:pPr>
              <w:pStyle w:val="178"/>
            </w:pPr>
            <w:r>
              <w:rPr>
                <w:rFonts w:hint="eastAsia"/>
              </w:rPr>
              <w:t>启动灭火系统，切断电源，疏散人员</w:t>
            </w:r>
          </w:p>
        </w:tc>
      </w:tr>
      <w:tr w14:paraId="0DF40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099585F8">
            <w:pPr>
              <w:pStyle w:val="178"/>
            </w:pPr>
            <w:r>
              <w:rPr>
                <w:rFonts w:hint="eastAsia"/>
              </w:rPr>
              <w:t>爆炸</w:t>
            </w:r>
          </w:p>
        </w:tc>
        <w:tc>
          <w:tcPr>
            <w:tcW w:w="3402" w:type="dxa"/>
          </w:tcPr>
          <w:p w14:paraId="48413A2F">
            <w:pPr>
              <w:pStyle w:val="178"/>
            </w:pPr>
            <w:r>
              <w:rPr>
                <w:rFonts w:hint="eastAsia"/>
              </w:rPr>
              <w:t>气体泄漏、设备故障</w:t>
            </w:r>
          </w:p>
        </w:tc>
        <w:tc>
          <w:tcPr>
            <w:tcW w:w="4099" w:type="dxa"/>
          </w:tcPr>
          <w:p w14:paraId="0961F4AB">
            <w:pPr>
              <w:pStyle w:val="178"/>
            </w:pPr>
            <w:r>
              <w:rPr>
                <w:rFonts w:hint="eastAsia"/>
              </w:rPr>
              <w:t>启用防爆装置，封锁现场，启动排气</w:t>
            </w:r>
          </w:p>
        </w:tc>
      </w:tr>
      <w:tr w14:paraId="3F718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655FC3E1">
            <w:pPr>
              <w:pStyle w:val="178"/>
            </w:pPr>
            <w:r>
              <w:rPr>
                <w:rFonts w:hint="eastAsia"/>
              </w:rPr>
              <w:t>系统故障</w:t>
            </w:r>
          </w:p>
        </w:tc>
        <w:tc>
          <w:tcPr>
            <w:tcW w:w="3402" w:type="dxa"/>
          </w:tcPr>
          <w:p w14:paraId="25EA7817">
            <w:pPr>
              <w:pStyle w:val="178"/>
            </w:pPr>
            <w:r>
              <w:rPr>
                <w:rFonts w:hint="eastAsia"/>
              </w:rPr>
              <w:t>设备停运、电压波动</w:t>
            </w:r>
          </w:p>
        </w:tc>
        <w:tc>
          <w:tcPr>
            <w:tcW w:w="4099" w:type="dxa"/>
          </w:tcPr>
          <w:p w14:paraId="2F0DCCAB">
            <w:pPr>
              <w:pStyle w:val="178"/>
            </w:pPr>
            <w:r>
              <w:rPr>
                <w:rFonts w:hint="eastAsia"/>
              </w:rPr>
              <w:t>启动备用系统，逐步恢复运行</w:t>
            </w:r>
          </w:p>
        </w:tc>
      </w:tr>
      <w:tr w14:paraId="1F5AF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0225C078">
            <w:pPr>
              <w:pStyle w:val="178"/>
            </w:pPr>
            <w:r>
              <w:rPr>
                <w:rFonts w:hint="eastAsia"/>
              </w:rPr>
              <w:t>网络攻击</w:t>
            </w:r>
          </w:p>
        </w:tc>
        <w:tc>
          <w:tcPr>
            <w:tcW w:w="3402" w:type="dxa"/>
          </w:tcPr>
          <w:p w14:paraId="7D5560E8">
            <w:pPr>
              <w:pStyle w:val="178"/>
            </w:pPr>
            <w:r>
              <w:rPr>
                <w:rFonts w:hint="eastAsia"/>
              </w:rPr>
              <w:t>平台瘫痪、数据篡改</w:t>
            </w:r>
          </w:p>
        </w:tc>
        <w:tc>
          <w:tcPr>
            <w:tcW w:w="4099" w:type="dxa"/>
          </w:tcPr>
          <w:p w14:paraId="4F738FA8">
            <w:pPr>
              <w:pStyle w:val="178"/>
            </w:pPr>
            <w:r>
              <w:rPr>
                <w:rFonts w:hint="eastAsia"/>
              </w:rPr>
              <w:t>启动应急隔离，切换备份系统</w:t>
            </w:r>
          </w:p>
        </w:tc>
      </w:tr>
    </w:tbl>
    <w:p w14:paraId="1C716207">
      <w:pPr>
        <w:pStyle w:val="105"/>
        <w:spacing w:before="120" w:after="120" w:line="360" w:lineRule="auto"/>
      </w:pPr>
      <w:r>
        <w:rPr>
          <w:rFonts w:hint="eastAsia"/>
        </w:rPr>
        <w:t>综合说明</w:t>
      </w:r>
    </w:p>
    <w:p w14:paraId="29697D7F">
      <w:pPr>
        <w:pStyle w:val="56"/>
        <w:spacing w:line="360" w:lineRule="auto"/>
        <w:ind w:firstLine="420"/>
      </w:pPr>
      <w:r>
        <w:rPr>
          <w:rFonts w:hint="eastAsia"/>
        </w:rPr>
        <w:t>安全保障是一个系统性工程，涵盖设备、信息、人员与应急各个环节。通过多层次的安全措施和有效的应急响应机制，可以显著提升储能与共享能系统的抗风险能力，确保智能电网的安全稳定运行。</w:t>
      </w:r>
    </w:p>
    <w:p w14:paraId="6B942FD5">
      <w:pPr>
        <w:pStyle w:val="104"/>
        <w:spacing w:before="240" w:after="240" w:line="360" w:lineRule="auto"/>
      </w:pPr>
      <w:bookmarkStart w:id="56" w:name="_Toc206837713"/>
      <w:r>
        <w:rPr>
          <w:rFonts w:hint="eastAsia"/>
        </w:rPr>
        <w:t>监督改进</w:t>
      </w:r>
      <w:bookmarkEnd w:id="56"/>
    </w:p>
    <w:p w14:paraId="2EFBFDAF">
      <w:pPr>
        <w:pStyle w:val="105"/>
        <w:spacing w:before="120" w:after="120" w:line="360" w:lineRule="auto"/>
      </w:pPr>
      <w:r>
        <w:rPr>
          <w:rFonts w:hint="eastAsia"/>
        </w:rPr>
        <w:t>总体要求</w:t>
      </w:r>
    </w:p>
    <w:p w14:paraId="73845A0B">
      <w:pPr>
        <w:pStyle w:val="56"/>
        <w:spacing w:line="360" w:lineRule="auto"/>
        <w:ind w:firstLine="420"/>
      </w:pPr>
      <w:r>
        <w:rPr>
          <w:rFonts w:hint="eastAsia"/>
        </w:rPr>
        <w:t>监督与改进是确保储能与共享能系统运行规范、持续优化和高效发展的重要机制。应通过建立健全的监督体系、开展动态监测与评估、落实问题整改与持续改进措施，推动系统管理与技术水平不断提升。</w:t>
      </w:r>
    </w:p>
    <w:p w14:paraId="285F5132">
      <w:pPr>
        <w:pStyle w:val="105"/>
        <w:spacing w:before="120" w:after="120" w:line="360" w:lineRule="auto"/>
      </w:pPr>
      <w:r>
        <w:rPr>
          <w:rFonts w:hint="eastAsia"/>
        </w:rPr>
        <w:t>监督机制</w:t>
      </w:r>
    </w:p>
    <w:p w14:paraId="72649FBD">
      <w:pPr>
        <w:pStyle w:val="56"/>
        <w:spacing w:line="360" w:lineRule="auto"/>
        <w:ind w:firstLine="420"/>
      </w:pPr>
      <w:r>
        <w:rPr>
          <w:rFonts w:hint="eastAsia"/>
        </w:rPr>
        <w:t>监督机制应包含内部监督和外部监督两个层面。内部监督由运维单位负责日常检查，外部监督则由监管部门、第三方机构或用户委员会参与，确保监督的客观性和公正性。监督机制要点见表9。</w:t>
      </w:r>
    </w:p>
    <w:p w14:paraId="12A5D2C0">
      <w:pPr>
        <w:pStyle w:val="112"/>
        <w:spacing w:before="120" w:after="120" w:line="360" w:lineRule="auto"/>
      </w:pPr>
      <w:r>
        <w:rPr>
          <w:rFonts w:hint="eastAsia"/>
        </w:rPr>
        <w:t>监督机制要点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2692"/>
        <w:gridCol w:w="2553"/>
        <w:gridCol w:w="2114"/>
      </w:tblGrid>
      <w:tr w14:paraId="41A6F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28001A52">
            <w:pPr>
              <w:pStyle w:val="178"/>
            </w:pPr>
            <w:r>
              <w:rPr>
                <w:rFonts w:hint="eastAsia"/>
              </w:rPr>
              <w:t>监督类型</w:t>
            </w:r>
          </w:p>
        </w:tc>
        <w:tc>
          <w:tcPr>
            <w:tcW w:w="2692" w:type="dxa"/>
            <w:tcBorders>
              <w:top w:val="single" w:color="auto" w:sz="8" w:space="0"/>
              <w:bottom w:val="single" w:color="auto" w:sz="8" w:space="0"/>
            </w:tcBorders>
          </w:tcPr>
          <w:p w14:paraId="26FE7DBA">
            <w:pPr>
              <w:pStyle w:val="178"/>
            </w:pPr>
            <w:r>
              <w:rPr>
                <w:rFonts w:hint="eastAsia"/>
              </w:rPr>
              <w:t>实施主体</w:t>
            </w:r>
          </w:p>
        </w:tc>
        <w:tc>
          <w:tcPr>
            <w:tcW w:w="2553" w:type="dxa"/>
            <w:tcBorders>
              <w:top w:val="single" w:color="auto" w:sz="8" w:space="0"/>
              <w:bottom w:val="single" w:color="auto" w:sz="8" w:space="0"/>
            </w:tcBorders>
          </w:tcPr>
          <w:p w14:paraId="0C2A1C6B">
            <w:pPr>
              <w:pStyle w:val="178"/>
            </w:pPr>
            <w:r>
              <w:rPr>
                <w:rFonts w:hint="eastAsia"/>
              </w:rPr>
              <w:t>监督内容</w:t>
            </w:r>
          </w:p>
        </w:tc>
        <w:tc>
          <w:tcPr>
            <w:tcW w:w="2114" w:type="dxa"/>
            <w:tcBorders>
              <w:top w:val="single" w:color="auto" w:sz="8" w:space="0"/>
              <w:bottom w:val="single" w:color="auto" w:sz="8" w:space="0"/>
            </w:tcBorders>
          </w:tcPr>
          <w:p w14:paraId="4690F22A">
            <w:pPr>
              <w:pStyle w:val="178"/>
            </w:pPr>
            <w:r>
              <w:rPr>
                <w:rFonts w:hint="eastAsia"/>
              </w:rPr>
              <w:t>执行频次</w:t>
            </w:r>
          </w:p>
        </w:tc>
      </w:tr>
      <w:tr w14:paraId="6A9D5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3E93DF6E">
            <w:pPr>
              <w:pStyle w:val="178"/>
            </w:pPr>
            <w:r>
              <w:rPr>
                <w:rFonts w:hint="eastAsia"/>
              </w:rPr>
              <w:t>内部监督</w:t>
            </w:r>
          </w:p>
        </w:tc>
        <w:tc>
          <w:tcPr>
            <w:tcW w:w="2692" w:type="dxa"/>
            <w:tcBorders>
              <w:top w:val="single" w:color="auto" w:sz="8" w:space="0"/>
            </w:tcBorders>
          </w:tcPr>
          <w:p w14:paraId="49EF57E7">
            <w:pPr>
              <w:pStyle w:val="178"/>
            </w:pPr>
            <w:r>
              <w:rPr>
                <w:rFonts w:hint="eastAsia"/>
              </w:rPr>
              <w:t>运维单位</w:t>
            </w:r>
          </w:p>
        </w:tc>
        <w:tc>
          <w:tcPr>
            <w:tcW w:w="2553" w:type="dxa"/>
            <w:tcBorders>
              <w:top w:val="single" w:color="auto" w:sz="8" w:space="0"/>
            </w:tcBorders>
          </w:tcPr>
          <w:p w14:paraId="7E0C03B1">
            <w:pPr>
              <w:pStyle w:val="178"/>
            </w:pPr>
            <w:r>
              <w:rPr>
                <w:rFonts w:hint="eastAsia"/>
              </w:rPr>
              <w:t>日常运行记录、设备巡检</w:t>
            </w:r>
          </w:p>
        </w:tc>
        <w:tc>
          <w:tcPr>
            <w:tcW w:w="2114" w:type="dxa"/>
            <w:tcBorders>
              <w:top w:val="single" w:color="auto" w:sz="8" w:space="0"/>
            </w:tcBorders>
          </w:tcPr>
          <w:p w14:paraId="2DF6A825">
            <w:pPr>
              <w:pStyle w:val="178"/>
            </w:pPr>
            <w:r>
              <w:rPr>
                <w:rFonts w:hint="eastAsia"/>
              </w:rPr>
              <w:t>日常+月度检查</w:t>
            </w:r>
          </w:p>
        </w:tc>
      </w:tr>
      <w:tr w14:paraId="36CF1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20F1081">
            <w:pPr>
              <w:pStyle w:val="178"/>
            </w:pPr>
            <w:r>
              <w:rPr>
                <w:rFonts w:hint="eastAsia"/>
              </w:rPr>
              <w:t>外部监督</w:t>
            </w:r>
          </w:p>
        </w:tc>
        <w:tc>
          <w:tcPr>
            <w:tcW w:w="2692" w:type="dxa"/>
          </w:tcPr>
          <w:p w14:paraId="06F8FDCF">
            <w:pPr>
              <w:pStyle w:val="178"/>
            </w:pPr>
            <w:r>
              <w:rPr>
                <w:rFonts w:hint="eastAsia"/>
              </w:rPr>
              <w:t>监管部门/第三方机构</w:t>
            </w:r>
          </w:p>
        </w:tc>
        <w:tc>
          <w:tcPr>
            <w:tcW w:w="2553" w:type="dxa"/>
          </w:tcPr>
          <w:p w14:paraId="192D929E">
            <w:pPr>
              <w:pStyle w:val="178"/>
            </w:pPr>
            <w:r>
              <w:rPr>
                <w:rFonts w:hint="eastAsia"/>
              </w:rPr>
              <w:t>安全、环保、数据合规性</w:t>
            </w:r>
          </w:p>
        </w:tc>
        <w:tc>
          <w:tcPr>
            <w:tcW w:w="2114" w:type="dxa"/>
          </w:tcPr>
          <w:p w14:paraId="045E7585">
            <w:pPr>
              <w:pStyle w:val="178"/>
            </w:pPr>
            <w:r>
              <w:rPr>
                <w:rFonts w:hint="eastAsia"/>
              </w:rPr>
              <w:t>阶段验收/年度抽查</w:t>
            </w:r>
          </w:p>
        </w:tc>
      </w:tr>
      <w:tr w14:paraId="1BC40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10C9339">
            <w:pPr>
              <w:pStyle w:val="178"/>
            </w:pPr>
            <w:r>
              <w:rPr>
                <w:rFonts w:hint="eastAsia"/>
              </w:rPr>
              <w:t>用户监督</w:t>
            </w:r>
          </w:p>
        </w:tc>
        <w:tc>
          <w:tcPr>
            <w:tcW w:w="2692" w:type="dxa"/>
          </w:tcPr>
          <w:p w14:paraId="1A78CEC5">
            <w:pPr>
              <w:pStyle w:val="178"/>
            </w:pPr>
            <w:r>
              <w:rPr>
                <w:rFonts w:hint="eastAsia"/>
              </w:rPr>
              <w:t>用户委员会/平台用户</w:t>
            </w:r>
          </w:p>
        </w:tc>
        <w:tc>
          <w:tcPr>
            <w:tcW w:w="2553" w:type="dxa"/>
          </w:tcPr>
          <w:p w14:paraId="27A125F9">
            <w:pPr>
              <w:pStyle w:val="178"/>
            </w:pPr>
            <w:r>
              <w:rPr>
                <w:rFonts w:hint="eastAsia"/>
              </w:rPr>
              <w:t>服务质量、数据公开性</w:t>
            </w:r>
          </w:p>
        </w:tc>
        <w:tc>
          <w:tcPr>
            <w:tcW w:w="2114" w:type="dxa"/>
          </w:tcPr>
          <w:p w14:paraId="6C3A8318">
            <w:pPr>
              <w:pStyle w:val="178"/>
            </w:pPr>
            <w:r>
              <w:rPr>
                <w:rFonts w:hint="eastAsia"/>
              </w:rPr>
              <w:t>定期反馈</w:t>
            </w:r>
          </w:p>
        </w:tc>
      </w:tr>
    </w:tbl>
    <w:p w14:paraId="52D7089B">
      <w:pPr>
        <w:pStyle w:val="56"/>
        <w:spacing w:before="120" w:beforeLines="50" w:line="360" w:lineRule="auto"/>
        <w:ind w:firstLine="420"/>
      </w:pPr>
      <w:r>
        <w:rPr>
          <w:rFonts w:hint="eastAsia"/>
        </w:rPr>
        <w:t>通过三重监督机制，可以形成纵横结合的闭环管理，提升监督的有效性和覆盖面。</w:t>
      </w:r>
    </w:p>
    <w:p w14:paraId="18E56CD2">
      <w:pPr>
        <w:pStyle w:val="105"/>
        <w:spacing w:before="120" w:after="120" w:line="360" w:lineRule="auto"/>
      </w:pPr>
      <w:r>
        <w:rPr>
          <w:rFonts w:hint="eastAsia"/>
        </w:rPr>
        <w:t>动态监测</w:t>
      </w:r>
    </w:p>
    <w:p w14:paraId="0A9ACEB0">
      <w:pPr>
        <w:pStyle w:val="56"/>
        <w:spacing w:line="360" w:lineRule="auto"/>
        <w:ind w:firstLine="420"/>
      </w:pPr>
      <w:r>
        <w:rPr>
          <w:rFonts w:hint="eastAsia"/>
        </w:rPr>
        <w:t>动态监测是监督体系的重要组成部分。应依托智能传感器、无人机巡检和大数据平台，对储能运行状态、能量共享效率和环境影响进行实时监控，并建立异常报警机制。监测数据应纳入信息平台，实现可追溯与可视化管理。</w:t>
      </w:r>
    </w:p>
    <w:p w14:paraId="14F0571D">
      <w:pPr>
        <w:pStyle w:val="105"/>
        <w:spacing w:before="120" w:after="120" w:line="360" w:lineRule="auto"/>
      </w:pPr>
      <w:r>
        <w:rPr>
          <w:rFonts w:hint="eastAsia"/>
        </w:rPr>
        <w:t>改进措施</w:t>
      </w:r>
    </w:p>
    <w:p w14:paraId="43885DA8">
      <w:pPr>
        <w:pStyle w:val="56"/>
        <w:spacing w:line="360" w:lineRule="auto"/>
        <w:ind w:firstLine="420"/>
      </w:pPr>
      <w:r>
        <w:rPr>
          <w:rFonts w:hint="eastAsia"/>
        </w:rPr>
        <w:t>改进措施应基于监督与监测结果，针对问题制定整改方案，明确责任人和完成时限。同时应总结典型经验，形成标准化操作流程，推广先进做法。改进措施分类与目标见表10。</w:t>
      </w:r>
    </w:p>
    <w:p w14:paraId="5504E015">
      <w:pPr>
        <w:pStyle w:val="112"/>
        <w:spacing w:before="120" w:after="120" w:line="360" w:lineRule="auto"/>
      </w:pPr>
      <w:r>
        <w:rPr>
          <w:rFonts w:hint="eastAsia"/>
        </w:rPr>
        <w:t>改进措施分类与目标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57C54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5A1BE75C">
            <w:pPr>
              <w:pStyle w:val="178"/>
            </w:pPr>
            <w:r>
              <w:rPr>
                <w:rFonts w:hint="eastAsia"/>
              </w:rPr>
              <w:t>改进方向</w:t>
            </w:r>
          </w:p>
        </w:tc>
        <w:tc>
          <w:tcPr>
            <w:tcW w:w="4247" w:type="dxa"/>
            <w:tcBorders>
              <w:top w:val="single" w:color="auto" w:sz="8" w:space="0"/>
              <w:bottom w:val="single" w:color="auto" w:sz="8" w:space="0"/>
            </w:tcBorders>
          </w:tcPr>
          <w:p w14:paraId="7B87A3E9">
            <w:pPr>
              <w:pStyle w:val="178"/>
            </w:pPr>
            <w:r>
              <w:rPr>
                <w:rFonts w:hint="eastAsia"/>
              </w:rPr>
              <w:t>主要措施</w:t>
            </w:r>
          </w:p>
        </w:tc>
        <w:tc>
          <w:tcPr>
            <w:tcW w:w="3112" w:type="dxa"/>
            <w:tcBorders>
              <w:top w:val="single" w:color="auto" w:sz="8" w:space="0"/>
              <w:bottom w:val="single" w:color="auto" w:sz="8" w:space="0"/>
            </w:tcBorders>
          </w:tcPr>
          <w:p w14:paraId="1DA82CA4">
            <w:pPr>
              <w:pStyle w:val="178"/>
            </w:pPr>
            <w:r>
              <w:rPr>
                <w:rFonts w:hint="eastAsia"/>
              </w:rPr>
              <w:t>目标效果</w:t>
            </w:r>
          </w:p>
        </w:tc>
      </w:tr>
      <w:tr w14:paraId="25832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4559C561">
            <w:pPr>
              <w:pStyle w:val="178"/>
            </w:pPr>
            <w:r>
              <w:rPr>
                <w:rFonts w:hint="eastAsia"/>
              </w:rPr>
              <w:t>技术优化</w:t>
            </w:r>
          </w:p>
        </w:tc>
        <w:tc>
          <w:tcPr>
            <w:tcW w:w="4247" w:type="dxa"/>
            <w:tcBorders>
              <w:top w:val="single" w:color="auto" w:sz="8" w:space="0"/>
            </w:tcBorders>
          </w:tcPr>
          <w:p w14:paraId="1FF5F3EE">
            <w:pPr>
              <w:pStyle w:val="178"/>
            </w:pPr>
            <w:r>
              <w:rPr>
                <w:rFonts w:hint="eastAsia"/>
              </w:rPr>
              <w:t>引入先进设备、升级控制系统</w:t>
            </w:r>
          </w:p>
        </w:tc>
        <w:tc>
          <w:tcPr>
            <w:tcW w:w="3112" w:type="dxa"/>
            <w:tcBorders>
              <w:top w:val="single" w:color="auto" w:sz="8" w:space="0"/>
            </w:tcBorders>
          </w:tcPr>
          <w:p w14:paraId="399BB532">
            <w:pPr>
              <w:pStyle w:val="178"/>
            </w:pPr>
            <w:r>
              <w:rPr>
                <w:rFonts w:hint="eastAsia"/>
              </w:rPr>
              <w:t>提升运行效率与安全性</w:t>
            </w:r>
          </w:p>
        </w:tc>
      </w:tr>
      <w:tr w14:paraId="69629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28DFF96">
            <w:pPr>
              <w:pStyle w:val="178"/>
            </w:pPr>
            <w:r>
              <w:rPr>
                <w:rFonts w:hint="eastAsia"/>
              </w:rPr>
              <w:t>管理提升</w:t>
            </w:r>
          </w:p>
        </w:tc>
        <w:tc>
          <w:tcPr>
            <w:tcW w:w="4247" w:type="dxa"/>
          </w:tcPr>
          <w:p w14:paraId="0C92F04B">
            <w:pPr>
              <w:pStyle w:val="178"/>
            </w:pPr>
            <w:r>
              <w:rPr>
                <w:rFonts w:hint="eastAsia"/>
              </w:rPr>
              <w:t>完善规章制度、优化运维流程</w:t>
            </w:r>
          </w:p>
        </w:tc>
        <w:tc>
          <w:tcPr>
            <w:tcW w:w="3112" w:type="dxa"/>
          </w:tcPr>
          <w:p w14:paraId="7C1915B4">
            <w:pPr>
              <w:pStyle w:val="178"/>
            </w:pPr>
            <w:r>
              <w:rPr>
                <w:rFonts w:hint="eastAsia"/>
              </w:rPr>
              <w:t>增强执行力与规范性</w:t>
            </w:r>
          </w:p>
        </w:tc>
      </w:tr>
      <w:tr w14:paraId="5BF90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7500547">
            <w:pPr>
              <w:pStyle w:val="178"/>
            </w:pPr>
            <w:r>
              <w:rPr>
                <w:rFonts w:hint="eastAsia"/>
              </w:rPr>
              <w:t>安全环保</w:t>
            </w:r>
          </w:p>
        </w:tc>
        <w:tc>
          <w:tcPr>
            <w:tcW w:w="4247" w:type="dxa"/>
          </w:tcPr>
          <w:p w14:paraId="23E73948">
            <w:pPr>
              <w:pStyle w:val="178"/>
            </w:pPr>
            <w:r>
              <w:rPr>
                <w:rFonts w:hint="eastAsia"/>
              </w:rPr>
              <w:t>增设监测设施、改进应急预案</w:t>
            </w:r>
          </w:p>
        </w:tc>
        <w:tc>
          <w:tcPr>
            <w:tcW w:w="3112" w:type="dxa"/>
          </w:tcPr>
          <w:p w14:paraId="788D3361">
            <w:pPr>
              <w:pStyle w:val="178"/>
            </w:pPr>
            <w:r>
              <w:rPr>
                <w:rFonts w:hint="eastAsia"/>
              </w:rPr>
              <w:t>降低风险，提升环境友好性</w:t>
            </w:r>
          </w:p>
        </w:tc>
      </w:tr>
      <w:tr w14:paraId="09632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AB10AF9">
            <w:pPr>
              <w:pStyle w:val="178"/>
            </w:pPr>
            <w:r>
              <w:rPr>
                <w:rFonts w:hint="eastAsia"/>
              </w:rPr>
              <w:t>用户体验</w:t>
            </w:r>
          </w:p>
        </w:tc>
        <w:tc>
          <w:tcPr>
            <w:tcW w:w="4247" w:type="dxa"/>
          </w:tcPr>
          <w:p w14:paraId="74FEEACA">
            <w:pPr>
              <w:pStyle w:val="178"/>
            </w:pPr>
            <w:r>
              <w:rPr>
                <w:rFonts w:hint="eastAsia"/>
              </w:rPr>
              <w:t>优化共享机制、提升服务透明度</w:t>
            </w:r>
          </w:p>
        </w:tc>
        <w:tc>
          <w:tcPr>
            <w:tcW w:w="3112" w:type="dxa"/>
          </w:tcPr>
          <w:p w14:paraId="72823CCB">
            <w:pPr>
              <w:pStyle w:val="178"/>
            </w:pPr>
            <w:r>
              <w:rPr>
                <w:rFonts w:hint="eastAsia"/>
              </w:rPr>
              <w:t>增强用户参与度与满意度</w:t>
            </w:r>
          </w:p>
        </w:tc>
      </w:tr>
    </w:tbl>
    <w:p w14:paraId="12C22A2D">
      <w:pPr>
        <w:pStyle w:val="105"/>
        <w:spacing w:before="120" w:after="120" w:line="360" w:lineRule="auto"/>
      </w:pPr>
      <w:r>
        <w:rPr>
          <w:rFonts w:hint="eastAsia"/>
        </w:rPr>
        <w:t>绩效评估</w:t>
      </w:r>
    </w:p>
    <w:p w14:paraId="3C49A4E7">
      <w:pPr>
        <w:pStyle w:val="56"/>
        <w:spacing w:line="360" w:lineRule="auto"/>
        <w:ind w:firstLine="420"/>
      </w:pPr>
      <w:r>
        <w:rPr>
          <w:rFonts w:hint="eastAsia"/>
        </w:rPr>
        <w:t>应建立覆盖安全性、经济性、环境效益和用户满意度的绩效评估指标体系。评估结果应与资金支持、资质认定和政策激励挂钩，形成正向激励机制，推动持续改进。</w:t>
      </w:r>
    </w:p>
    <w:p w14:paraId="1881B16F">
      <w:pPr>
        <w:pStyle w:val="105"/>
        <w:spacing w:before="120" w:after="120" w:line="360" w:lineRule="auto"/>
      </w:pPr>
      <w:r>
        <w:rPr>
          <w:rFonts w:hint="eastAsia"/>
        </w:rPr>
        <w:t>综合说明</w:t>
      </w:r>
    </w:p>
    <w:p w14:paraId="70D0462E">
      <w:pPr>
        <w:pStyle w:val="56"/>
        <w:spacing w:line="360" w:lineRule="auto"/>
        <w:ind w:firstLine="420"/>
      </w:pPr>
      <w:r>
        <w:rPr>
          <w:rFonts w:hint="eastAsia"/>
        </w:rPr>
        <w:t>监督与改进是一个循环迭代的过程。通过监督发现问题，以监测作为支撑，落实改进措施并辅以绩效评估，可以不断推动储能与共享能系统运行质量提升，实现安全、绿色与高效的长远目标。</w:t>
      </w:r>
    </w:p>
    <w:bookmarkEnd w:id="26"/>
    <w:p w14:paraId="53577F41">
      <w:pPr>
        <w:pStyle w:val="56"/>
        <w:ind w:firstLine="0" w:firstLineChars="0"/>
        <w:jc w:val="center"/>
      </w:pPr>
      <w:bookmarkStart w:id="57" w:name="BookMark8"/>
      <w:r>
        <w:rPr>
          <w:rFonts w:hint="eastAsia"/>
        </w:rPr>
        <w:drawing>
          <wp:inline distT="0" distB="0" distL="0" distR="0">
            <wp:extent cx="1485900" cy="317500"/>
            <wp:effectExtent l="0" t="0" r="0" b="6350"/>
            <wp:docPr id="820123318" name="图片 3"/>
            <wp:cNvGraphicFramePr/>
            <a:graphic xmlns:a="http://schemas.openxmlformats.org/drawingml/2006/main">
              <a:graphicData uri="http://schemas.openxmlformats.org/drawingml/2006/picture">
                <pic:pic xmlns:pic="http://schemas.openxmlformats.org/drawingml/2006/picture">
                  <pic:nvPicPr>
                    <pic:cNvPr id="820123318"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F52A">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5FDF">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515E">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D834">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F6F7">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FD5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8E4E">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E69F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6AB7">
    <w:pPr>
      <w:pStyle w:val="61"/>
    </w:pPr>
    <w:r>
      <w:fldChar w:fldCharType="begin"/>
    </w:r>
    <w:r>
      <w:instrText xml:space="preserve"> STYLEREF  标准文件_文件编号  \* MERGEFORMAT </w:instrText>
    </w:r>
    <w:r>
      <w:fldChar w:fldCharType="separate"/>
    </w:r>
    <w:r>
      <w:t>T/XZBX 0081—2025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AF32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0081—2025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43F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0081—2025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E87C1">
    <w:pPr>
      <w:pStyle w:val="61"/>
    </w:pPr>
    <w:r>
      <w:fldChar w:fldCharType="begin"/>
    </w:r>
    <w:r>
      <w:instrText xml:space="preserve"> STYLEREF  标准文件_文件编号  \* MERGEFORMAT </w:instrText>
    </w:r>
    <w:r>
      <w:fldChar w:fldCharType="separate"/>
    </w:r>
    <w:r>
      <w:t>T/XZBX 0081—2025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903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0081—2025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89EC">
    <w:pPr>
      <w:pStyle w:val="61"/>
    </w:pPr>
    <w:r>
      <w:fldChar w:fldCharType="begin"/>
    </w:r>
    <w:r>
      <w:instrText xml:space="preserve"> STYLEREF  标准文件_文件编号  \* MERGEFORMAT </w:instrText>
    </w:r>
    <w:r>
      <w:fldChar w:fldCharType="separate"/>
    </w:r>
    <w:r>
      <w:t>T/XZBX 0081—2025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16E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0081—2025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4C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A88"/>
    <w:rsid w:val="000A7311"/>
    <w:rsid w:val="000B060F"/>
    <w:rsid w:val="000B1592"/>
    <w:rsid w:val="000B1FF2"/>
    <w:rsid w:val="000B3CDA"/>
    <w:rsid w:val="000B6A0B"/>
    <w:rsid w:val="000C0F6C"/>
    <w:rsid w:val="000C11DB"/>
    <w:rsid w:val="000C1492"/>
    <w:rsid w:val="000C2D57"/>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94E"/>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9B6"/>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D60"/>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0DC6"/>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52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0CB1"/>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3DD1"/>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5D6"/>
    <w:rsid w:val="00C35A3E"/>
    <w:rsid w:val="00C35B6B"/>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96DC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42F"/>
    <w:rsid w:val="00EF7E72"/>
    <w:rsid w:val="00F06D37"/>
    <w:rsid w:val="00F07B9D"/>
    <w:rsid w:val="00F11586"/>
    <w:rsid w:val="00F1183B"/>
    <w:rsid w:val="00F11C9F"/>
    <w:rsid w:val="00F12263"/>
    <w:rsid w:val="00F1409D"/>
    <w:rsid w:val="00F14214"/>
    <w:rsid w:val="00F157A9"/>
    <w:rsid w:val="00F16F00"/>
    <w:rsid w:val="00F171F7"/>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3A04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FB0F5E8">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FA8B7AB">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5855C9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154405"/>
    <w:rsid w:val="001C79B6"/>
    <w:rsid w:val="002E6AD9"/>
    <w:rsid w:val="00345850"/>
    <w:rsid w:val="003F62CE"/>
    <w:rsid w:val="004A6324"/>
    <w:rsid w:val="006141C6"/>
    <w:rsid w:val="00682FFB"/>
    <w:rsid w:val="00AE100B"/>
    <w:rsid w:val="00AE1DC6"/>
    <w:rsid w:val="00C35B6B"/>
    <w:rsid w:val="00C96DC5"/>
    <w:rsid w:val="00FB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3466</Words>
  <Characters>3756</Characters>
  <Lines>57</Lines>
  <Paragraphs>16</Paragraphs>
  <TotalTime>44</TotalTime>
  <ScaleCrop>false</ScaleCrop>
  <LinksUpToDate>false</LinksUpToDate>
  <CharactersWithSpaces>3850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2025-08-23T01:59:00Z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2025-09-05T06:40:25Z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4404ADF5AFE745DFA3E65B0B1E20B35D_12</vt:lpwstr>
  </property>
</Properties>
</file>