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03.12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03.120.10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B 02"/>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B 02</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76"/>
            </w:textInput>
          </w:ffData>
        </w:fldChar>
      </w:r>
      <w:bookmarkStart w:id="6" w:name="NSTD_CODE_F"/>
      <w:r>
        <w:instrText xml:space="preserve"> FORMTEXT </w:instrText>
      </w:r>
      <w:r>
        <w:fldChar w:fldCharType="separate"/>
      </w:r>
      <w:r>
        <w:t>0076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269DCFC6">
      <w:pPr>
        <w:pStyle w:val="197"/>
        <w:framePr w:h="6974" w:hRule="exact" w:wrap="around" w:x="1419" w:anchorLock="1"/>
      </w:pPr>
      <w:r>
        <w:rPr>
          <w:rFonts w:hint="eastAsia"/>
        </w:rPr>
        <w:fldChar w:fldCharType="begin">
          <w:ffData>
            <w:name w:val="CSTD_NAME"/>
            <w:enabled/>
            <w:calcOnExit w:val="0"/>
            <w:textInput>
              <w:default w:val="农业经济管理中农村集体经济组织运营效率评价规范"/>
            </w:textInput>
          </w:ffData>
        </w:fldChar>
      </w:r>
      <w:bookmarkStart w:id="9" w:name="CSTD_NAME"/>
      <w:r>
        <w:rPr>
          <w:rFonts w:hint="eastAsia"/>
        </w:rPr>
        <w:instrText xml:space="preserve"> FORMTEXT </w:instrText>
      </w:r>
      <w:r>
        <w:rPr>
          <w:rFonts w:hint="eastAsia"/>
        </w:rPr>
        <w:fldChar w:fldCharType="separate"/>
      </w:r>
      <w:r>
        <w:rPr>
          <w:rFonts w:hint="eastAsia"/>
        </w:rPr>
        <w:t>农业经济管理中农村集体经济组织</w:t>
      </w:r>
    </w:p>
    <w:p w14:paraId="73594FE6">
      <w:pPr>
        <w:pStyle w:val="197"/>
        <w:framePr w:h="6974" w:hRule="exact" w:wrap="around" w:x="1419" w:anchorLock="1"/>
      </w:pPr>
      <w:r>
        <w:rPr>
          <w:rFonts w:hint="eastAsia"/>
        </w:rPr>
        <w:t>运营效率评价规范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evaluation of operational efficiency of rural collective economic organizations in agricultural economic management"/>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evaluation of operational efficiency of rural collective economic organizations in agricultural economic management</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05D6D29">
      <w:pPr>
        <w:pStyle w:val="91"/>
        <w:spacing w:after="360"/>
      </w:pPr>
      <w:bookmarkStart w:id="21" w:name="BookMark1"/>
      <w:r>
        <w:rPr>
          <w:rFonts w:hint="eastAsia"/>
          <w:spacing w:val="320"/>
        </w:rPr>
        <w:t>目</w:t>
      </w:r>
      <w:r>
        <w:rPr>
          <w:rFonts w:hint="eastAsia"/>
        </w:rPr>
        <w:t>次</w:t>
      </w:r>
    </w:p>
    <w:p w14:paraId="11185A9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"_Toc206187191"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_Toc206187191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E58CC3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"_Toc206187192"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_Toc206187192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F9EEB0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"_Toc206187193"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_Toc206187193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EAB3EA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"_Toc206187194"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_Toc206187194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A8EDDE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"_Toc206187195"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_Toc206187195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5E426A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"_Toc206187196"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_Toc206187196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CABF44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"_Toc206187197" </w:instrText>
      </w:r>
      <w:r>
        <w:fldChar w:fldCharType="separate"/>
      </w:r>
      <w:r>
        <w:rPr>
          <w:rStyle w:val="32"/>
          <w:rFonts w:hint="eastAsia"/>
        </w:rPr>
        <w:t>5</w:t>
      </w:r>
      <w:r>
        <w:rPr>
          <w:rStyle w:val="32"/>
        </w:rPr>
        <w:t xml:space="preserve"> </w:t>
      </w:r>
      <w:r>
        <w:rPr>
          <w:rStyle w:val="32"/>
          <w:rFonts w:hint="eastAsia"/>
        </w:rPr>
        <w:t xml:space="preserve"> 评价准备</w:t>
      </w:r>
      <w:r>
        <w:rPr>
          <w:rFonts w:hint="eastAsia"/>
        </w:rPr>
        <w:tab/>
      </w:r>
      <w:r>
        <w:rPr>
          <w:rFonts w:hint="eastAsia"/>
        </w:rPr>
        <w:fldChar w:fldCharType="begin"/>
      </w:r>
      <w:r>
        <w:rPr>
          <w:rFonts w:hint="eastAsia"/>
        </w:rPr>
        <w:instrText xml:space="preserve"> </w:instrText>
      </w:r>
      <w:r>
        <w:instrText xml:space="preserve">PAGEREF _Toc206187197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BC6AA8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"_Toc206187198" </w:instrText>
      </w:r>
      <w:r>
        <w:fldChar w:fldCharType="separate"/>
      </w:r>
      <w:r>
        <w:rPr>
          <w:rStyle w:val="32"/>
          <w:rFonts w:hint="eastAsia"/>
        </w:rPr>
        <w:t>6</w:t>
      </w:r>
      <w:r>
        <w:rPr>
          <w:rStyle w:val="32"/>
        </w:rPr>
        <w:t xml:space="preserve"> </w:t>
      </w:r>
      <w:r>
        <w:rPr>
          <w:rStyle w:val="32"/>
          <w:rFonts w:hint="eastAsia"/>
        </w:rPr>
        <w:t xml:space="preserve"> 数据收集与处理</w:t>
      </w:r>
      <w:r>
        <w:rPr>
          <w:rFonts w:hint="eastAsia"/>
        </w:rPr>
        <w:tab/>
      </w:r>
      <w:r>
        <w:rPr>
          <w:rFonts w:hint="eastAsia"/>
        </w:rPr>
        <w:fldChar w:fldCharType="begin"/>
      </w:r>
      <w:r>
        <w:rPr>
          <w:rFonts w:hint="eastAsia"/>
        </w:rPr>
        <w:instrText xml:space="preserve"> </w:instrText>
      </w:r>
      <w:r>
        <w:instrText xml:space="preserve">PAGEREF _Toc206187198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F87A33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"_Toc206187199" </w:instrText>
      </w:r>
      <w:r>
        <w:fldChar w:fldCharType="separate"/>
      </w:r>
      <w:r>
        <w:rPr>
          <w:rStyle w:val="32"/>
          <w:rFonts w:hint="eastAsia"/>
        </w:rPr>
        <w:t>7</w:t>
      </w:r>
      <w:r>
        <w:rPr>
          <w:rStyle w:val="32"/>
        </w:rPr>
        <w:t xml:space="preserve"> </w:t>
      </w:r>
      <w:r>
        <w:rPr>
          <w:rStyle w:val="32"/>
          <w:rFonts w:hint="eastAsia"/>
        </w:rPr>
        <w:t xml:space="preserve"> 评价指标体系与方法</w:t>
      </w:r>
      <w:r>
        <w:rPr>
          <w:rFonts w:hint="eastAsia"/>
        </w:rPr>
        <w:tab/>
      </w:r>
      <w:r>
        <w:rPr>
          <w:rFonts w:hint="eastAsia"/>
        </w:rPr>
        <w:fldChar w:fldCharType="begin"/>
      </w:r>
      <w:r>
        <w:rPr>
          <w:rFonts w:hint="eastAsia"/>
        </w:rPr>
        <w:instrText xml:space="preserve"> </w:instrText>
      </w:r>
      <w:r>
        <w:instrText xml:space="preserve">PAGEREF _Toc206187199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18DC0C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"_Toc206187200" </w:instrText>
      </w:r>
      <w:r>
        <w:fldChar w:fldCharType="separate"/>
      </w:r>
      <w:r>
        <w:rPr>
          <w:rStyle w:val="32"/>
          <w:rFonts w:hint="eastAsia"/>
        </w:rPr>
        <w:t>8</w:t>
      </w:r>
      <w:r>
        <w:rPr>
          <w:rStyle w:val="32"/>
        </w:rPr>
        <w:t xml:space="preserve"> </w:t>
      </w:r>
      <w:r>
        <w:rPr>
          <w:rStyle w:val="32"/>
          <w:rFonts w:hint="eastAsia"/>
        </w:rPr>
        <w:t xml:space="preserve"> 评价实施</w:t>
      </w:r>
      <w:r>
        <w:rPr>
          <w:rFonts w:hint="eastAsia"/>
        </w:rPr>
        <w:tab/>
      </w:r>
      <w:r>
        <w:rPr>
          <w:rFonts w:hint="eastAsia"/>
        </w:rPr>
        <w:fldChar w:fldCharType="begin"/>
      </w:r>
      <w:r>
        <w:rPr>
          <w:rFonts w:hint="eastAsia"/>
        </w:rPr>
        <w:instrText xml:space="preserve"> </w:instrText>
      </w:r>
      <w:r>
        <w:instrText xml:space="preserve">PAGEREF _Toc206187200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629BB4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"_Toc206187201" </w:instrText>
      </w:r>
      <w:r>
        <w:fldChar w:fldCharType="separate"/>
      </w:r>
      <w:r>
        <w:rPr>
          <w:rStyle w:val="32"/>
          <w:rFonts w:hint="eastAsia"/>
        </w:rPr>
        <w:t>9</w:t>
      </w:r>
      <w:r>
        <w:rPr>
          <w:rStyle w:val="32"/>
        </w:rPr>
        <w:t xml:space="preserve"> </w:t>
      </w:r>
      <w:r>
        <w:rPr>
          <w:rStyle w:val="32"/>
          <w:rFonts w:hint="eastAsia"/>
        </w:rPr>
        <w:t xml:space="preserve"> 结果分析与应用</w:t>
      </w:r>
      <w:r>
        <w:rPr>
          <w:rFonts w:hint="eastAsia"/>
        </w:rPr>
        <w:tab/>
      </w:r>
      <w:r>
        <w:rPr>
          <w:rFonts w:hint="eastAsia"/>
        </w:rPr>
        <w:fldChar w:fldCharType="begin"/>
      </w:r>
      <w:r>
        <w:rPr>
          <w:rFonts w:hint="eastAsia"/>
        </w:rPr>
        <w:instrText xml:space="preserve"> </w:instrText>
      </w:r>
      <w:r>
        <w:instrText xml:space="preserve">PAGEREF _Toc206187201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96AB1D8">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18719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本文件起草单位：日照市东港区农业农村局。</w:t>
      </w:r>
    </w:p>
    <w:p w14:paraId="1B3EB912">
      <w:pPr>
        <w:pStyle w:val="56"/>
        <w:spacing w:line="360" w:lineRule="auto"/>
        <w:ind w:firstLine="420"/>
      </w:pPr>
      <w:r>
        <w:rPr>
          <w:rFonts w:hint="eastAsia"/>
        </w:rPr>
        <w:t>本文件主要起草人：陈 曦。</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06187192"/>
      <w:bookmarkStart w:id="25" w:name="BookMark3"/>
      <w:r>
        <w:rPr>
          <w:spacing w:val="320"/>
        </w:rPr>
        <w:t>引</w:t>
      </w:r>
      <w:r>
        <w:t>言</w:t>
      </w:r>
      <w:bookmarkEnd w:id="24"/>
    </w:p>
    <w:p w14:paraId="4D510C49">
      <w:pPr>
        <w:pStyle w:val="56"/>
        <w:spacing w:line="360" w:lineRule="auto"/>
        <w:ind w:firstLine="420"/>
      </w:pPr>
      <w:r>
        <w:rPr>
          <w:rFonts w:hint="eastAsia"/>
        </w:rPr>
        <w:t>农村集体经济组织是我国农村经济社会发展的重要基础力量，在推动农业现代化、促进农民增收、优化农村资源配置等方面发挥着关键作用。随着乡村振兴战略的深入实施，农村集体经济组织的运营效率直接关系到资源利用效益、产业发展质量以及农民获得感与满意度。</w:t>
      </w:r>
    </w:p>
    <w:p w14:paraId="7A0B3FA6">
      <w:pPr>
        <w:pStyle w:val="56"/>
        <w:spacing w:line="360" w:lineRule="auto"/>
        <w:ind w:firstLine="420"/>
      </w:pPr>
      <w:r>
        <w:rPr>
          <w:rFonts w:hint="eastAsia"/>
        </w:rPr>
        <w:t>在实践中，不同地区、不同类型的农村集体经济组织在组织结构、经营模式、资源禀赋等方面差异较大，导致其运营效率存在明显差异。科学、系统地开展运营效率评价，有助于发现制约组织发展的瓶颈，促进管理优化、资源配置合理化和可持续发展能力提升。同时，统一的评价规范有助于评价方法的标准化、数据的可比性以及评价结果的公信力。</w:t>
      </w:r>
    </w:p>
    <w:p w14:paraId="41C59179">
      <w:pPr>
        <w:pStyle w:val="56"/>
        <w:spacing w:line="360" w:lineRule="auto"/>
        <w:ind w:firstLine="420"/>
      </w:pPr>
      <w:r>
        <w:rPr>
          <w:rFonts w:hint="eastAsia"/>
        </w:rPr>
        <w:t>本文件结合农业经济管理理论与农村集体经济组织运行实践，构建了涵盖经济效益、资源利用效率、社会效益和可持续发展能力等多维度的评价体系，旨在为各级管理部门、研究机构、第三方评价机构及农村集体经济组织自身提供统一、科学、可操作的运营效率评价依据。</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0587AF27">
          <w:pPr>
            <w:pStyle w:val="177"/>
            <w:spacing w:after="0"/>
          </w:pPr>
          <w:bookmarkStart w:id="27" w:name="NEW_STAND_NAME"/>
          <w:r>
            <w:rPr>
              <w:rFonts w:hint="eastAsia"/>
            </w:rPr>
            <w:t>农业经济管理中农村集体经济组织</w:t>
          </w:r>
        </w:p>
        <w:p w14:paraId="7D4E3E1F">
          <w:pPr>
            <w:pStyle w:val="177"/>
            <w:spacing w:before="0"/>
          </w:pPr>
          <w:r>
            <w:rPr>
              <w:rFonts w:hint="eastAsia"/>
            </w:rPr>
            <w:t>运营效率评价规范</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06187193"/>
      <w:bookmarkStart w:id="36" w:name="_Toc97192964"/>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6882E395">
      <w:pPr>
        <w:pStyle w:val="56"/>
        <w:spacing w:line="360" w:lineRule="auto"/>
        <w:ind w:firstLine="420"/>
      </w:pPr>
      <w:bookmarkStart w:id="38" w:name="_Toc24884219"/>
      <w:bookmarkStart w:id="39" w:name="_Toc26648466"/>
      <w:bookmarkStart w:id="40" w:name="_Toc17233326"/>
      <w:bookmarkStart w:id="41" w:name="_Toc24884212"/>
      <w:bookmarkStart w:id="42" w:name="_Toc17233334"/>
      <w:r>
        <w:rPr>
          <w:rFonts w:hint="eastAsia"/>
        </w:rPr>
        <w:t>本文件规定了农村集体经济组织运营效率评价的评价准备、数据收集与处理、评价指标体系与方法、评价实施、结果分析与应用等内容。</w:t>
      </w:r>
    </w:p>
    <w:p w14:paraId="76265264">
      <w:pPr>
        <w:pStyle w:val="56"/>
        <w:spacing w:line="360" w:lineRule="auto"/>
        <w:ind w:firstLine="420"/>
      </w:pPr>
      <w:r>
        <w:rPr>
          <w:rFonts w:hint="eastAsia"/>
        </w:rPr>
        <w:t>本文件适用于农业经济管理中对农村集体经济组织运营效率的评价工作，包括日常管理性评价、专项调查性评价和第三方独立评价。其他类型的农村经济组织可参照执行。</w:t>
      </w:r>
    </w:p>
    <w:p w14:paraId="3733B2AD">
      <w:pPr>
        <w:pStyle w:val="104"/>
        <w:spacing w:before="240" w:after="240" w:line="360" w:lineRule="auto"/>
      </w:pPr>
      <w:bookmarkStart w:id="43" w:name="_Toc26986531"/>
      <w:bookmarkStart w:id="44" w:name="_Toc26986772"/>
      <w:bookmarkStart w:id="45" w:name="_Toc206187194"/>
      <w:bookmarkStart w:id="46" w:name="_Toc97192965"/>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t>GB/T 3533.1</w:t>
      </w:r>
      <w:r>
        <w:rPr>
          <w:rFonts w:hint="eastAsia"/>
        </w:rPr>
        <w:t>—</w:t>
      </w:r>
      <w:r>
        <w:t>2017</w:t>
      </w:r>
      <w:r>
        <w:rPr>
          <w:rFonts w:hint="eastAsia"/>
        </w:rPr>
        <w:t xml:space="preserve"> 标准化效益评价  第1部分：经济效益评价通则</w:t>
      </w:r>
    </w:p>
    <w:p w14:paraId="1374C96E">
      <w:pPr>
        <w:pStyle w:val="56"/>
        <w:spacing w:line="360" w:lineRule="auto"/>
        <w:ind w:firstLine="420"/>
      </w:pPr>
      <w:r>
        <w:rPr>
          <w:rFonts w:hint="eastAsia"/>
        </w:rPr>
        <w:t>GB/T 19000—2016 质量管理体系  基础和术语</w:t>
      </w:r>
    </w:p>
    <w:p w14:paraId="1800A744">
      <w:pPr>
        <w:pStyle w:val="56"/>
        <w:spacing w:line="360" w:lineRule="auto"/>
        <w:ind w:firstLine="420"/>
      </w:pPr>
      <w:r>
        <w:rPr>
          <w:rFonts w:hint="eastAsia"/>
        </w:rPr>
        <w:t>GB/T 19001—2016 质量管理体系  要求</w:t>
      </w:r>
    </w:p>
    <w:p w14:paraId="1F9190E0">
      <w:pPr>
        <w:pStyle w:val="56"/>
        <w:spacing w:line="360" w:lineRule="auto"/>
        <w:ind w:firstLine="420"/>
      </w:pPr>
      <w:r>
        <w:rPr>
          <w:rFonts w:hint="eastAsia"/>
        </w:rPr>
        <w:t>GB/T 19024—2025 质量管理体系  面向质量结果的组织管理  实现财务和经济效益的指南</w:t>
      </w:r>
    </w:p>
    <w:p w14:paraId="2EB68A0A">
      <w:pPr>
        <w:pStyle w:val="56"/>
        <w:spacing w:line="360" w:lineRule="auto"/>
        <w:ind w:firstLine="420"/>
      </w:pPr>
      <w:r>
        <w:rPr>
          <w:rFonts w:hint="eastAsia"/>
        </w:rPr>
        <w:t>GB/T 24040—2008 环境管理  生命周期评价  原则与框架</w:t>
      </w:r>
    </w:p>
    <w:p w14:paraId="47B24944">
      <w:pPr>
        <w:pStyle w:val="56"/>
        <w:spacing w:line="360" w:lineRule="auto"/>
        <w:ind w:firstLine="420"/>
      </w:pPr>
      <w:r>
        <w:rPr>
          <w:rFonts w:hint="eastAsia"/>
        </w:rPr>
        <w:t>GB/T 34803—2017 农业社会化服务  分类</w:t>
      </w:r>
    </w:p>
    <w:p w14:paraId="4B17B0B4">
      <w:pPr>
        <w:pStyle w:val="56"/>
        <w:spacing w:line="360" w:lineRule="auto"/>
        <w:ind w:firstLine="420"/>
      </w:pPr>
      <w:r>
        <w:rPr>
          <w:rFonts w:hint="eastAsia"/>
        </w:rPr>
        <w:t>GB/T 45889—2025 农业社会化服务  土地托管服务评价准则</w:t>
      </w:r>
    </w:p>
    <w:p w14:paraId="51F02A4E">
      <w:pPr>
        <w:pStyle w:val="104"/>
        <w:spacing w:before="240" w:after="240" w:line="360" w:lineRule="auto"/>
      </w:pPr>
      <w:bookmarkStart w:id="48" w:name="_Toc97192966"/>
      <w:bookmarkStart w:id="49" w:name="_Toc206187195"/>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20453F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农村集体经济组织 rural collective economic organization</w:t>
      </w:r>
    </w:p>
    <w:p w14:paraId="4B14D350">
      <w:pPr>
        <w:pStyle w:val="56"/>
        <w:spacing w:line="360" w:lineRule="auto"/>
        <w:ind w:firstLine="420"/>
      </w:pPr>
      <w:r>
        <w:rPr>
          <w:rFonts w:hint="eastAsia"/>
        </w:rPr>
        <w:t>由农村集体成员共同投资、共同经营、共同收益并依法登记成立的经济实体。</w:t>
      </w:r>
    </w:p>
    <w:p w14:paraId="210F087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运营效率 operation efficiency</w:t>
      </w:r>
    </w:p>
    <w:p w14:paraId="679C7572">
      <w:pPr>
        <w:pStyle w:val="56"/>
        <w:spacing w:line="360" w:lineRule="auto"/>
        <w:ind w:firstLine="420"/>
      </w:pPr>
      <w:r>
        <w:rPr>
          <w:rFonts w:hint="eastAsia"/>
        </w:rPr>
        <w:t>在一定资源投入条件下，农村集体经济组织实现经济、社会和生态综合效益的能力。</w:t>
      </w:r>
    </w:p>
    <w:p w14:paraId="78528A06">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经济效益 economic benefit</w:t>
      </w:r>
    </w:p>
    <w:p w14:paraId="118612CD">
      <w:pPr>
        <w:pStyle w:val="56"/>
        <w:spacing w:line="360" w:lineRule="auto"/>
        <w:ind w:firstLine="420"/>
      </w:pPr>
      <w:r>
        <w:rPr>
          <w:rFonts w:hint="eastAsia"/>
        </w:rPr>
        <w:t>农村集体经济组织在一定时期内生产经营活动所获得的经济收益与投入资源的比值。</w:t>
      </w:r>
    </w:p>
    <w:p w14:paraId="0C1A557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资源利用效率 resource utilization efficiency</w:t>
      </w:r>
    </w:p>
    <w:p w14:paraId="694E2566">
      <w:pPr>
        <w:pStyle w:val="56"/>
        <w:spacing w:line="360" w:lineRule="auto"/>
        <w:ind w:firstLine="420"/>
      </w:pPr>
      <w:r>
        <w:rPr>
          <w:rFonts w:hint="eastAsia"/>
        </w:rPr>
        <w:t>农村集体经济组织在生产经营过程中对土地、资金、劳动力等资源的利用程度和产出水平。</w:t>
      </w:r>
    </w:p>
    <w:p w14:paraId="4131803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可持续发展能力 sustainable development capacity</w:t>
      </w:r>
    </w:p>
    <w:p w14:paraId="11ED0D72">
      <w:pPr>
        <w:pStyle w:val="56"/>
        <w:spacing w:line="360" w:lineRule="auto"/>
        <w:ind w:firstLine="420"/>
      </w:pPr>
      <w:r>
        <w:rPr>
          <w:rFonts w:hint="eastAsia"/>
        </w:rPr>
        <w:t>农村集体经济组织在保持经济稳定增长的同时，合理利用资源、保护生态环境、提升社会效益的综合能力。</w:t>
      </w:r>
    </w:p>
    <w:p w14:paraId="4DB67EC3">
      <w:pPr>
        <w:pStyle w:val="104"/>
        <w:spacing w:before="240" w:after="240" w:line="360" w:lineRule="auto"/>
      </w:pPr>
      <w:bookmarkStart w:id="51" w:name="_Toc206187196"/>
      <w:r>
        <w:rPr>
          <w:rFonts w:hint="eastAsia"/>
        </w:rPr>
        <w:t>总体原则</w:t>
      </w:r>
      <w:bookmarkEnd w:id="51"/>
    </w:p>
    <w:p w14:paraId="50D484D3">
      <w:pPr>
        <w:pStyle w:val="105"/>
        <w:spacing w:before="120" w:after="120" w:line="360" w:lineRule="auto"/>
      </w:pPr>
      <w:r>
        <w:rPr>
          <w:rFonts w:hint="eastAsia"/>
        </w:rPr>
        <w:t>经济效益优先原则</w:t>
      </w:r>
    </w:p>
    <w:p w14:paraId="03F86D05">
      <w:pPr>
        <w:pStyle w:val="56"/>
        <w:spacing w:line="360" w:lineRule="auto"/>
        <w:ind w:firstLine="420"/>
      </w:pPr>
      <w:r>
        <w:rPr>
          <w:rFonts w:hint="eastAsia"/>
        </w:rPr>
        <w:t>在评价中，应重点关注农村集体经济组织的经济收益与投入资源的匹配程度，以经济效益作为衡量运营水平的重要基础。</w:t>
      </w:r>
    </w:p>
    <w:p w14:paraId="6C7B0E8A">
      <w:pPr>
        <w:pStyle w:val="56"/>
        <w:spacing w:line="360" w:lineRule="auto"/>
        <w:ind w:firstLine="420"/>
      </w:pPr>
      <w:r>
        <w:rPr>
          <w:rFonts w:hint="eastAsia"/>
        </w:rPr>
        <w:t>评价过程中，应结合产值增长率、利润总额、资产回报率等指标，全面反映组织的经济发展状况和盈利能力，同时考虑地区经济差异，确保评价结果客观合理。</w:t>
      </w:r>
    </w:p>
    <w:p w14:paraId="69B9FB7A">
      <w:pPr>
        <w:pStyle w:val="105"/>
        <w:spacing w:before="120" w:after="120" w:line="360" w:lineRule="auto"/>
      </w:pPr>
      <w:r>
        <w:rPr>
          <w:rFonts w:hint="eastAsia"/>
        </w:rPr>
        <w:t>资源高效利用原则</w:t>
      </w:r>
    </w:p>
    <w:p w14:paraId="3074C200">
      <w:pPr>
        <w:pStyle w:val="56"/>
        <w:spacing w:line="360" w:lineRule="auto"/>
        <w:ind w:firstLine="420"/>
      </w:pPr>
      <w:r>
        <w:rPr>
          <w:rFonts w:hint="eastAsia"/>
        </w:rPr>
        <w:t>农村集体经济组织的运营效率不仅取决于经济产出，还取决于资源的投入与利用效率。在评价中，应重点考察土地、资金、劳动力等核心资源的使用状况，推动组织通过科学管理、技术创新和制度优化，实现资源的高效配置和可持续利用。</w:t>
      </w:r>
    </w:p>
    <w:p w14:paraId="5139B034">
      <w:pPr>
        <w:pStyle w:val="105"/>
        <w:spacing w:before="120" w:after="120" w:line="360" w:lineRule="auto"/>
      </w:pPr>
      <w:r>
        <w:rPr>
          <w:rFonts w:hint="eastAsia"/>
        </w:rPr>
        <w:t>社会效益兼顾原则</w:t>
      </w:r>
    </w:p>
    <w:p w14:paraId="2FC2B587">
      <w:pPr>
        <w:pStyle w:val="56"/>
        <w:spacing w:line="360" w:lineRule="auto"/>
        <w:ind w:firstLine="420"/>
      </w:pPr>
      <w:r>
        <w:rPr>
          <w:rFonts w:hint="eastAsia"/>
        </w:rPr>
        <w:t>运营效率评价应在关注经济指标的同时，兼顾组织对农村社会发展的贡献，包括促进就业、改善基础设施、提升农民收入和生活质量等方面。评价应体现集体经济组织在推动乡村公共服务、社会稳定与农民幸福感方面的作用。</w:t>
      </w:r>
    </w:p>
    <w:p w14:paraId="2952F4C9">
      <w:pPr>
        <w:pStyle w:val="105"/>
        <w:spacing w:before="120" w:after="120" w:line="360" w:lineRule="auto"/>
      </w:pPr>
      <w:r>
        <w:rPr>
          <w:rFonts w:hint="eastAsia"/>
        </w:rPr>
        <w:t>可持续发展原则</w:t>
      </w:r>
    </w:p>
    <w:p w14:paraId="12F442BB">
      <w:pPr>
        <w:pStyle w:val="56"/>
        <w:spacing w:line="360" w:lineRule="auto"/>
        <w:ind w:firstLine="420"/>
      </w:pPr>
      <w:r>
        <w:rPr>
          <w:rFonts w:hint="eastAsia"/>
        </w:rPr>
        <w:t>应将可持续发展的理念贯穿于评价全过程，综合考察经济、社会和生态三方面的协调性。评价应关注组织在资源节约、生态保护、产业升级等方面的能力与成效，鼓励建立长期发展战略，提升应对市场变化和风险的能力。</w:t>
      </w:r>
    </w:p>
    <w:p w14:paraId="7BA2B500">
      <w:pPr>
        <w:pStyle w:val="105"/>
        <w:spacing w:before="120" w:after="120" w:line="360" w:lineRule="auto"/>
      </w:pPr>
      <w:r>
        <w:rPr>
          <w:rFonts w:hint="eastAsia"/>
        </w:rPr>
        <w:t>数据真实与方法科学原则</w:t>
      </w:r>
    </w:p>
    <w:p w14:paraId="4E298868">
      <w:pPr>
        <w:pStyle w:val="56"/>
        <w:spacing w:line="360" w:lineRule="auto"/>
        <w:ind w:firstLine="420"/>
      </w:pPr>
      <w:r>
        <w:rPr>
          <w:rFonts w:hint="eastAsia"/>
        </w:rPr>
        <w:t>评价过程应以真实、完整、可验证的数据为基础，选取科学、合理的评价方法和模型，确保评价结果的准确性与可重复性。评价机构应严格遵守数据保密制度，保护被评价组织的商业秘密和敏感信息。</w:t>
      </w:r>
    </w:p>
    <w:p w14:paraId="2DE69413">
      <w:pPr>
        <w:pStyle w:val="104"/>
        <w:spacing w:before="240" w:after="240" w:line="360" w:lineRule="auto"/>
      </w:pPr>
      <w:bookmarkStart w:id="52" w:name="_Toc206187197"/>
      <w:r>
        <w:rPr>
          <w:rFonts w:hint="eastAsia"/>
        </w:rPr>
        <w:t>评价准备</w:t>
      </w:r>
      <w:bookmarkEnd w:id="52"/>
    </w:p>
    <w:p w14:paraId="6BE3B24E">
      <w:pPr>
        <w:pStyle w:val="105"/>
        <w:spacing w:before="120" w:after="120" w:line="360" w:lineRule="auto"/>
      </w:pPr>
      <w:r>
        <w:rPr>
          <w:rFonts w:hint="eastAsia"/>
        </w:rPr>
        <w:t>评价方案制定</w:t>
      </w:r>
    </w:p>
    <w:p w14:paraId="193C3DD8">
      <w:pPr>
        <w:pStyle w:val="56"/>
        <w:spacing w:line="360" w:lineRule="auto"/>
        <w:ind w:firstLine="420"/>
      </w:pPr>
      <w:r>
        <w:rPr>
          <w:rFonts w:hint="eastAsia"/>
        </w:rPr>
        <w:t>在开展评价前，应由评价机构或组织委托方制定详细的评价方案。评价方案应明确评价目的、适用范围、主要指标、数据来源、评价方法、时间安排和人员分工等内容。</w:t>
      </w:r>
    </w:p>
    <w:p w14:paraId="371D4356">
      <w:pPr>
        <w:pStyle w:val="56"/>
        <w:spacing w:line="360" w:lineRule="auto"/>
        <w:ind w:firstLine="420"/>
      </w:pPr>
      <w:r>
        <w:rPr>
          <w:rFonts w:hint="eastAsia"/>
        </w:rPr>
        <w:t>必要时可包括以下要点：</w:t>
      </w:r>
    </w:p>
    <w:p w14:paraId="78AD1919">
      <w:pPr>
        <w:pStyle w:val="132"/>
        <w:spacing w:line="360" w:lineRule="auto"/>
      </w:pPr>
      <w:r>
        <w:rPr>
          <w:rFonts w:hint="eastAsia"/>
        </w:rPr>
        <w:t>确定评价目标和重点，例如经济效益、资源利用效率、社会效益等权重分配；</w:t>
      </w:r>
    </w:p>
    <w:p w14:paraId="23A8D2A3">
      <w:pPr>
        <w:pStyle w:val="132"/>
        <w:spacing w:line="360" w:lineRule="auto"/>
      </w:pPr>
      <w:r>
        <w:rPr>
          <w:rFonts w:hint="eastAsia"/>
        </w:rPr>
        <w:t>明确评价对象的类型与数量，确保样本具有代表性；</w:t>
      </w:r>
    </w:p>
    <w:p w14:paraId="1EA5891D">
      <w:pPr>
        <w:pStyle w:val="132"/>
        <w:spacing w:line="360" w:lineRule="auto"/>
      </w:pPr>
      <w:r>
        <w:rPr>
          <w:rFonts w:hint="eastAsia"/>
        </w:rPr>
        <w:t>制定数据收集计划，包括数据种类、收集方法和时间节点；</w:t>
      </w:r>
    </w:p>
    <w:p w14:paraId="4F89E577">
      <w:pPr>
        <w:pStyle w:val="132"/>
        <w:spacing w:line="360" w:lineRule="auto"/>
      </w:pPr>
      <w:r>
        <w:rPr>
          <w:rFonts w:hint="eastAsia"/>
        </w:rPr>
        <w:t>选定科学的评价方法和模型，并进行适用性论证。</w:t>
      </w:r>
    </w:p>
    <w:p w14:paraId="21ACCB62">
      <w:pPr>
        <w:pStyle w:val="105"/>
        <w:spacing w:before="120" w:after="120" w:line="360" w:lineRule="auto"/>
      </w:pPr>
      <w:r>
        <w:rPr>
          <w:rFonts w:hint="eastAsia"/>
        </w:rPr>
        <w:t>评价组织与人员分工</w:t>
      </w:r>
    </w:p>
    <w:p w14:paraId="7D033029">
      <w:pPr>
        <w:pStyle w:val="56"/>
        <w:spacing w:line="360" w:lineRule="auto"/>
        <w:ind w:firstLine="420"/>
      </w:pPr>
      <w:r>
        <w:rPr>
          <w:rFonts w:hint="eastAsia"/>
        </w:rPr>
        <w:t>应建立由评价专家、数据采集人员、统计分析人员及质量控制人员组成的评价工作组。工作组应明确职责分工，确保各环节高效衔接和信息顺畅传递。评价人员应具备相应的专业背景和实践经验，并在正式工作前接受必要的培训。</w:t>
      </w:r>
    </w:p>
    <w:p w14:paraId="1A14D62D">
      <w:pPr>
        <w:pStyle w:val="105"/>
        <w:spacing w:before="120" w:after="120" w:line="360" w:lineRule="auto"/>
      </w:pPr>
      <w:r>
        <w:rPr>
          <w:rFonts w:hint="eastAsia"/>
        </w:rPr>
        <w:t>数据采集准备</w:t>
      </w:r>
    </w:p>
    <w:p w14:paraId="2C692BEE">
      <w:pPr>
        <w:pStyle w:val="56"/>
        <w:spacing w:line="360" w:lineRule="auto"/>
        <w:ind w:firstLine="420"/>
      </w:pPr>
      <w:r>
        <w:rPr>
          <w:rFonts w:hint="eastAsia"/>
        </w:rPr>
        <w:t>在数据采集前，应完成评价对象的基本信息核实、联系协调和数据采集工具（如调查问卷、访谈提纲、数据记录表等）的设计与测试。对于涉及财务、经营等敏感信息的，应与评价对象签署保密协议。</w:t>
      </w:r>
    </w:p>
    <w:p w14:paraId="43D95E3A">
      <w:pPr>
        <w:pStyle w:val="105"/>
        <w:spacing w:before="120" w:after="120" w:line="360" w:lineRule="auto"/>
      </w:pPr>
      <w:r>
        <w:rPr>
          <w:rFonts w:hint="eastAsia"/>
        </w:rPr>
        <w:t>资料准备</w:t>
      </w:r>
    </w:p>
    <w:p w14:paraId="0500B82E">
      <w:pPr>
        <w:pStyle w:val="56"/>
        <w:spacing w:line="360" w:lineRule="auto"/>
        <w:ind w:firstLine="420"/>
      </w:pPr>
      <w:r>
        <w:rPr>
          <w:rFonts w:hint="eastAsia"/>
        </w:rPr>
        <w:t>应收集和整理评价所需的基础资料，包括农村集体经济组织的章程、年度财务报表、经营计划、项目实施情况记录、土地和资产登记信息等。这些资料应按照统一格式分类整理，以便数据录入和分析。</w:t>
      </w:r>
    </w:p>
    <w:p w14:paraId="19809836">
      <w:pPr>
        <w:pStyle w:val="56"/>
        <w:spacing w:line="360" w:lineRule="auto"/>
        <w:ind w:firstLine="420"/>
      </w:pPr>
      <w:r>
        <w:rPr>
          <w:rFonts w:hint="eastAsia"/>
        </w:rPr>
        <w:t>评价准备阶段主要任务与控制要点见表1。</w:t>
      </w:r>
    </w:p>
    <w:p w14:paraId="2A62EE40">
      <w:pPr>
        <w:pStyle w:val="112"/>
        <w:spacing w:before="120" w:after="120" w:line="360" w:lineRule="auto"/>
      </w:pPr>
      <w:r>
        <w:rPr>
          <w:rFonts w:hint="eastAsia"/>
        </w:rPr>
        <w:t>评价准备阶段主要任务与控制要点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3402"/>
        <w:gridCol w:w="2551"/>
        <w:gridCol w:w="1831"/>
      </w:tblGrid>
      <w:tr w14:paraId="30965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3744D65E">
            <w:pPr>
              <w:pStyle w:val="178"/>
            </w:pPr>
            <w:r>
              <w:rPr>
                <w:rFonts w:hint="eastAsia"/>
              </w:rPr>
              <w:t>类别</w:t>
            </w:r>
          </w:p>
        </w:tc>
        <w:tc>
          <w:tcPr>
            <w:tcW w:w="3402" w:type="dxa"/>
            <w:tcBorders>
              <w:top w:val="single" w:color="auto" w:sz="8" w:space="0"/>
              <w:bottom w:val="single" w:color="auto" w:sz="8" w:space="0"/>
            </w:tcBorders>
          </w:tcPr>
          <w:p w14:paraId="66E0AB5D">
            <w:pPr>
              <w:pStyle w:val="178"/>
            </w:pPr>
            <w:r>
              <w:rPr>
                <w:rFonts w:hint="eastAsia"/>
              </w:rPr>
              <w:t>控制要点</w:t>
            </w:r>
          </w:p>
        </w:tc>
        <w:tc>
          <w:tcPr>
            <w:tcW w:w="2551" w:type="dxa"/>
            <w:tcBorders>
              <w:top w:val="single" w:color="auto" w:sz="8" w:space="0"/>
              <w:bottom w:val="single" w:color="auto" w:sz="8" w:space="0"/>
            </w:tcBorders>
          </w:tcPr>
          <w:p w14:paraId="541AF91C">
            <w:pPr>
              <w:pStyle w:val="178"/>
            </w:pPr>
            <w:r>
              <w:rPr>
                <w:rFonts w:hint="eastAsia"/>
              </w:rPr>
              <w:t>检查方法</w:t>
            </w:r>
          </w:p>
        </w:tc>
        <w:tc>
          <w:tcPr>
            <w:tcW w:w="1831" w:type="dxa"/>
            <w:tcBorders>
              <w:top w:val="single" w:color="auto" w:sz="8" w:space="0"/>
              <w:bottom w:val="single" w:color="auto" w:sz="8" w:space="0"/>
            </w:tcBorders>
          </w:tcPr>
          <w:p w14:paraId="29D37759">
            <w:pPr>
              <w:pStyle w:val="178"/>
            </w:pPr>
            <w:r>
              <w:rPr>
                <w:rFonts w:hint="eastAsia"/>
              </w:rPr>
              <w:t>责任部门</w:t>
            </w:r>
          </w:p>
        </w:tc>
      </w:tr>
      <w:tr w14:paraId="7F673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11E5B356">
            <w:pPr>
              <w:pStyle w:val="178"/>
            </w:pPr>
            <w:r>
              <w:rPr>
                <w:rFonts w:hint="eastAsia"/>
              </w:rPr>
              <w:t>评价方案</w:t>
            </w:r>
          </w:p>
        </w:tc>
        <w:tc>
          <w:tcPr>
            <w:tcW w:w="3402" w:type="dxa"/>
            <w:tcBorders>
              <w:top w:val="single" w:color="auto" w:sz="8" w:space="0"/>
            </w:tcBorders>
          </w:tcPr>
          <w:p w14:paraId="341DAE81">
            <w:pPr>
              <w:pStyle w:val="178"/>
            </w:pPr>
            <w:r>
              <w:rPr>
                <w:rFonts w:hint="eastAsia"/>
              </w:rPr>
              <w:t>评价目标明确、方法科学、范围合理</w:t>
            </w:r>
          </w:p>
        </w:tc>
        <w:tc>
          <w:tcPr>
            <w:tcW w:w="2551" w:type="dxa"/>
            <w:tcBorders>
              <w:top w:val="single" w:color="auto" w:sz="8" w:space="0"/>
            </w:tcBorders>
          </w:tcPr>
          <w:p w14:paraId="71BC508B">
            <w:pPr>
              <w:pStyle w:val="178"/>
            </w:pPr>
            <w:r>
              <w:rPr>
                <w:rFonts w:hint="eastAsia"/>
              </w:rPr>
              <w:t>查阅评价方案文本</w:t>
            </w:r>
          </w:p>
        </w:tc>
        <w:tc>
          <w:tcPr>
            <w:tcW w:w="1831" w:type="dxa"/>
            <w:tcBorders>
              <w:top w:val="single" w:color="auto" w:sz="8" w:space="0"/>
            </w:tcBorders>
          </w:tcPr>
          <w:p w14:paraId="606AE1D9">
            <w:pPr>
              <w:pStyle w:val="178"/>
            </w:pPr>
            <w:r>
              <w:rPr>
                <w:rFonts w:hint="eastAsia"/>
              </w:rPr>
              <w:t>项目管理组</w:t>
            </w:r>
          </w:p>
        </w:tc>
      </w:tr>
      <w:tr w14:paraId="68658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6B66C71">
            <w:pPr>
              <w:pStyle w:val="178"/>
            </w:pPr>
            <w:r>
              <w:rPr>
                <w:rFonts w:hint="eastAsia"/>
              </w:rPr>
              <w:t>人员分工</w:t>
            </w:r>
          </w:p>
        </w:tc>
        <w:tc>
          <w:tcPr>
            <w:tcW w:w="3402" w:type="dxa"/>
          </w:tcPr>
          <w:p w14:paraId="0F6B0D49">
            <w:pPr>
              <w:pStyle w:val="178"/>
            </w:pPr>
            <w:r>
              <w:rPr>
                <w:rFonts w:hint="eastAsia"/>
              </w:rPr>
              <w:t>工作组组建完成，职责分工明确</w:t>
            </w:r>
          </w:p>
        </w:tc>
        <w:tc>
          <w:tcPr>
            <w:tcW w:w="2551" w:type="dxa"/>
          </w:tcPr>
          <w:p w14:paraId="18E96205">
            <w:pPr>
              <w:pStyle w:val="178"/>
            </w:pPr>
            <w:r>
              <w:rPr>
                <w:rFonts w:hint="eastAsia"/>
              </w:rPr>
              <w:t>查阅工作分工表</w:t>
            </w:r>
          </w:p>
        </w:tc>
        <w:tc>
          <w:tcPr>
            <w:tcW w:w="1831" w:type="dxa"/>
          </w:tcPr>
          <w:p w14:paraId="4C620BA5">
            <w:pPr>
              <w:pStyle w:val="178"/>
            </w:pPr>
            <w:r>
              <w:rPr>
                <w:rFonts w:hint="eastAsia"/>
              </w:rPr>
              <w:t>评价组织单位</w:t>
            </w:r>
          </w:p>
        </w:tc>
      </w:tr>
      <w:tr w14:paraId="6461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1A89422B">
            <w:pPr>
              <w:pStyle w:val="178"/>
            </w:pPr>
            <w:r>
              <w:rPr>
                <w:rFonts w:hint="eastAsia"/>
              </w:rPr>
              <w:t>数据准备</w:t>
            </w:r>
          </w:p>
        </w:tc>
        <w:tc>
          <w:tcPr>
            <w:tcW w:w="3402" w:type="dxa"/>
          </w:tcPr>
          <w:p w14:paraId="1EBC319B">
            <w:pPr>
              <w:pStyle w:val="178"/>
            </w:pPr>
            <w:r>
              <w:rPr>
                <w:rFonts w:hint="eastAsia"/>
              </w:rPr>
              <w:t>样本代表性强、数据采集工具设计科学</w:t>
            </w:r>
          </w:p>
        </w:tc>
        <w:tc>
          <w:tcPr>
            <w:tcW w:w="2551" w:type="dxa"/>
          </w:tcPr>
          <w:p w14:paraId="34C7D3D0">
            <w:pPr>
              <w:pStyle w:val="178"/>
            </w:pPr>
            <w:r>
              <w:rPr>
                <w:rFonts w:hint="eastAsia"/>
              </w:rPr>
              <w:t>检查问卷、访谈提纲</w:t>
            </w:r>
          </w:p>
        </w:tc>
        <w:tc>
          <w:tcPr>
            <w:tcW w:w="1831" w:type="dxa"/>
          </w:tcPr>
          <w:p w14:paraId="7115977E">
            <w:pPr>
              <w:pStyle w:val="178"/>
            </w:pPr>
            <w:r>
              <w:rPr>
                <w:rFonts w:hint="eastAsia"/>
              </w:rPr>
              <w:t>数据采集组</w:t>
            </w:r>
          </w:p>
        </w:tc>
      </w:tr>
      <w:tr w14:paraId="5B8AF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153C8D54">
            <w:pPr>
              <w:pStyle w:val="178"/>
            </w:pPr>
            <w:r>
              <w:rPr>
                <w:rFonts w:hint="eastAsia"/>
              </w:rPr>
              <w:t>资料收集</w:t>
            </w:r>
          </w:p>
        </w:tc>
        <w:tc>
          <w:tcPr>
            <w:tcW w:w="3402" w:type="dxa"/>
          </w:tcPr>
          <w:p w14:paraId="4F0688E9">
            <w:pPr>
              <w:pStyle w:val="178"/>
            </w:pPr>
            <w:r>
              <w:rPr>
                <w:rFonts w:hint="eastAsia"/>
              </w:rPr>
              <w:t>基础资料齐全、格式统一</w:t>
            </w:r>
          </w:p>
        </w:tc>
        <w:tc>
          <w:tcPr>
            <w:tcW w:w="2551" w:type="dxa"/>
          </w:tcPr>
          <w:p w14:paraId="48BF31BA">
            <w:pPr>
              <w:pStyle w:val="178"/>
            </w:pPr>
            <w:r>
              <w:rPr>
                <w:rFonts w:hint="eastAsia"/>
              </w:rPr>
              <w:t>检查资料清单与样本文件</w:t>
            </w:r>
          </w:p>
        </w:tc>
        <w:tc>
          <w:tcPr>
            <w:tcW w:w="1831" w:type="dxa"/>
          </w:tcPr>
          <w:p w14:paraId="69E399AA">
            <w:pPr>
              <w:pStyle w:val="178"/>
            </w:pPr>
            <w:r>
              <w:rPr>
                <w:rFonts w:hint="eastAsia"/>
              </w:rPr>
              <w:t>档案管理组</w:t>
            </w:r>
          </w:p>
        </w:tc>
      </w:tr>
      <w:tr w14:paraId="5EE8C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DBBE836">
            <w:pPr>
              <w:pStyle w:val="178"/>
            </w:pPr>
            <w:r>
              <w:rPr>
                <w:rFonts w:hint="eastAsia"/>
              </w:rPr>
              <w:t>保密措施</w:t>
            </w:r>
          </w:p>
        </w:tc>
        <w:tc>
          <w:tcPr>
            <w:tcW w:w="3402" w:type="dxa"/>
          </w:tcPr>
          <w:p w14:paraId="2CC867C3">
            <w:pPr>
              <w:pStyle w:val="178"/>
            </w:pPr>
            <w:r>
              <w:rPr>
                <w:rFonts w:hint="eastAsia"/>
              </w:rPr>
              <w:t>签订保密协议，落实信息保护</w:t>
            </w:r>
          </w:p>
        </w:tc>
        <w:tc>
          <w:tcPr>
            <w:tcW w:w="2551" w:type="dxa"/>
          </w:tcPr>
          <w:p w14:paraId="1F417F54">
            <w:pPr>
              <w:pStyle w:val="178"/>
            </w:pPr>
            <w:r>
              <w:rPr>
                <w:rFonts w:hint="eastAsia"/>
              </w:rPr>
              <w:t>查阅保密协议与实施记录</w:t>
            </w:r>
          </w:p>
        </w:tc>
        <w:tc>
          <w:tcPr>
            <w:tcW w:w="1831" w:type="dxa"/>
          </w:tcPr>
          <w:p w14:paraId="2EBE8B0A">
            <w:pPr>
              <w:pStyle w:val="178"/>
            </w:pPr>
            <w:r>
              <w:rPr>
                <w:rFonts w:hint="eastAsia"/>
              </w:rPr>
              <w:t>法务与数据安全组</w:t>
            </w:r>
          </w:p>
        </w:tc>
      </w:tr>
    </w:tbl>
    <w:p w14:paraId="3D7E6F80">
      <w:pPr>
        <w:pStyle w:val="104"/>
        <w:spacing w:before="240" w:after="240" w:line="360" w:lineRule="auto"/>
      </w:pPr>
      <w:bookmarkStart w:id="53" w:name="_Toc206187198"/>
      <w:r>
        <w:rPr>
          <w:rFonts w:hint="eastAsia"/>
        </w:rPr>
        <w:t>数据收集与处理</w:t>
      </w:r>
      <w:bookmarkEnd w:id="53"/>
    </w:p>
    <w:p w14:paraId="11C171B4">
      <w:pPr>
        <w:pStyle w:val="105"/>
        <w:spacing w:before="120" w:after="120" w:line="360" w:lineRule="auto"/>
      </w:pPr>
      <w:r>
        <w:rPr>
          <w:rFonts w:hint="eastAsia"/>
        </w:rPr>
        <w:t>数据收集原则</w:t>
      </w:r>
    </w:p>
    <w:p w14:paraId="4533C016">
      <w:pPr>
        <w:pStyle w:val="56"/>
        <w:spacing w:line="360" w:lineRule="auto"/>
        <w:ind w:firstLine="420"/>
      </w:pPr>
      <w:r>
        <w:rPr>
          <w:rFonts w:hint="eastAsia"/>
        </w:rPr>
        <w:t>数据收集应遵循真实性、完整性、及时性和可比性原则。在确保评价对象积极配合的前提下，通过多渠道、多方法获取所需数据，避免单一来源导致的偏差。对于涉及隐私或商业秘密的数据，应严格保密。</w:t>
      </w:r>
    </w:p>
    <w:p w14:paraId="1F20B71B">
      <w:pPr>
        <w:pStyle w:val="105"/>
        <w:spacing w:before="120" w:after="120" w:line="360" w:lineRule="auto"/>
      </w:pPr>
      <w:r>
        <w:rPr>
          <w:rFonts w:hint="eastAsia"/>
        </w:rPr>
        <w:t>数据类型与来源</w:t>
      </w:r>
    </w:p>
    <w:p w14:paraId="451D4DC4">
      <w:pPr>
        <w:pStyle w:val="56"/>
        <w:spacing w:line="360" w:lineRule="auto"/>
        <w:ind w:firstLine="420"/>
      </w:pPr>
      <w:r>
        <w:rPr>
          <w:rFonts w:hint="eastAsia"/>
        </w:rPr>
        <w:t>根据农村集体经济组织运营效率评价的需要，收集的数据主要包括以下三类：</w:t>
      </w:r>
    </w:p>
    <w:p w14:paraId="103D3292">
      <w:pPr>
        <w:pStyle w:val="132"/>
        <w:spacing w:line="360" w:lineRule="auto"/>
      </w:pPr>
      <w:r>
        <w:rPr>
          <w:rFonts w:hint="eastAsia"/>
        </w:rPr>
        <w:t>经济数据：包括营业收入、利润总额、资产总额、负债总额、投资收益、成本费用等；</w:t>
      </w:r>
    </w:p>
    <w:p w14:paraId="16C9C0C4">
      <w:pPr>
        <w:pStyle w:val="132"/>
        <w:spacing w:line="360" w:lineRule="auto"/>
      </w:pPr>
      <w:r>
        <w:rPr>
          <w:rFonts w:hint="eastAsia"/>
        </w:rPr>
        <w:t>社会数据：包括就业人数、成员收入、公共服务投入、社会贡献度等；</w:t>
      </w:r>
    </w:p>
    <w:p w14:paraId="54F4DBBF">
      <w:pPr>
        <w:pStyle w:val="132"/>
        <w:spacing w:line="360" w:lineRule="auto"/>
      </w:pPr>
      <w:r>
        <w:rPr>
          <w:rFonts w:hint="eastAsia"/>
        </w:rPr>
        <w:t>生态与资源数据：包括土地利用情况、能源消耗、水资源利用、生态保护投入与成效等。</w:t>
      </w:r>
    </w:p>
    <w:p w14:paraId="509EFF3C">
      <w:pPr>
        <w:pStyle w:val="56"/>
        <w:spacing w:line="360" w:lineRule="auto"/>
        <w:ind w:firstLine="420"/>
      </w:pPr>
      <w:r>
        <w:rPr>
          <w:rFonts w:hint="eastAsia"/>
        </w:rPr>
        <w:t>数据来源可包括组织提供的年度报告、财务报表、统计台账，地方农业经济管理部门的数据库，以及实地调查与访谈。</w:t>
      </w:r>
    </w:p>
    <w:p w14:paraId="20093189">
      <w:pPr>
        <w:pStyle w:val="105"/>
        <w:spacing w:before="120" w:after="120" w:line="360" w:lineRule="auto"/>
      </w:pPr>
      <w:r>
        <w:rPr>
          <w:rFonts w:hint="eastAsia"/>
        </w:rPr>
        <w:t>数据收集方法</w:t>
      </w:r>
    </w:p>
    <w:p w14:paraId="1BBE1C7A">
      <w:pPr>
        <w:pStyle w:val="56"/>
        <w:spacing w:line="360" w:lineRule="auto"/>
        <w:ind w:firstLine="420"/>
      </w:pPr>
      <w:r>
        <w:rPr>
          <w:rFonts w:hint="eastAsia"/>
        </w:rPr>
        <w:t>应综合运用文献查阅、问卷调查、访谈调研、现场观察和数据接口导出等方法，确保数据的全面性和准确性。对于不同类型数据，应选择最合适的方法收集，并记录数据来源及收集过程。</w:t>
      </w:r>
    </w:p>
    <w:p w14:paraId="1A6437D2">
      <w:pPr>
        <w:pStyle w:val="105"/>
        <w:spacing w:before="120" w:after="120" w:line="360" w:lineRule="auto"/>
      </w:pPr>
      <w:r>
        <w:rPr>
          <w:rFonts w:hint="eastAsia"/>
        </w:rPr>
        <w:t>数据审核与处理</w:t>
      </w:r>
    </w:p>
    <w:p w14:paraId="11BE3395">
      <w:pPr>
        <w:pStyle w:val="56"/>
        <w:spacing w:line="360" w:lineRule="auto"/>
        <w:ind w:firstLine="420"/>
      </w:pPr>
      <w:r>
        <w:rPr>
          <w:rFonts w:hint="eastAsia"/>
        </w:rPr>
        <w:t>数据收集完成后，应由数据审核小组进行初审和复审，核查数据的一致性、合理性和完整性。对于缺失数据，应记录缺失原因，并采用科学方法进行补充或剔除；对于异常数据，应结合背景调查进行修正。数据处理应包括单位统一、口径调整、时间序列平滑化和必要的标准化转换。</w:t>
      </w:r>
    </w:p>
    <w:p w14:paraId="10046C12">
      <w:pPr>
        <w:pStyle w:val="105"/>
        <w:spacing w:before="120" w:after="120" w:line="360" w:lineRule="auto"/>
      </w:pPr>
      <w:r>
        <w:rPr>
          <w:rFonts w:hint="eastAsia"/>
        </w:rPr>
        <w:t>数据存档与安全管理</w:t>
      </w:r>
    </w:p>
    <w:p w14:paraId="14B2B01B">
      <w:pPr>
        <w:pStyle w:val="56"/>
        <w:spacing w:line="360" w:lineRule="auto"/>
        <w:ind w:firstLine="420"/>
      </w:pPr>
      <w:r>
        <w:rPr>
          <w:rFonts w:hint="eastAsia"/>
        </w:rPr>
        <w:t>所有原始数据、处理过程记录和分析结果应分类存档，并建立备份机制。应采用加密存储和权限控制措施，防止数据泄露与篡改。</w:t>
      </w:r>
    </w:p>
    <w:p w14:paraId="68647975">
      <w:pPr>
        <w:pStyle w:val="56"/>
        <w:spacing w:line="360" w:lineRule="auto"/>
        <w:ind w:firstLine="420"/>
      </w:pPr>
      <w:r>
        <w:rPr>
          <w:rFonts w:hint="eastAsia"/>
        </w:rPr>
        <w:t>数据收集与处理阶段控制要点见表2。</w:t>
      </w:r>
    </w:p>
    <w:p w14:paraId="305AD961">
      <w:pPr>
        <w:pStyle w:val="112"/>
        <w:spacing w:before="120" w:after="120" w:line="360" w:lineRule="auto"/>
      </w:pPr>
      <w:r>
        <w:rPr>
          <w:rFonts w:hint="eastAsia"/>
        </w:rPr>
        <w:t>数据收集与处理阶段控制要点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3402"/>
        <w:gridCol w:w="2693"/>
        <w:gridCol w:w="1689"/>
      </w:tblGrid>
      <w:tr w14:paraId="2BDB1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1EE82CD9">
            <w:pPr>
              <w:pStyle w:val="178"/>
            </w:pPr>
            <w:r>
              <w:rPr>
                <w:rFonts w:hint="eastAsia"/>
              </w:rPr>
              <w:t>类别</w:t>
            </w:r>
          </w:p>
        </w:tc>
        <w:tc>
          <w:tcPr>
            <w:tcW w:w="3402" w:type="dxa"/>
            <w:tcBorders>
              <w:top w:val="single" w:color="auto" w:sz="8" w:space="0"/>
              <w:bottom w:val="single" w:color="auto" w:sz="8" w:space="0"/>
            </w:tcBorders>
          </w:tcPr>
          <w:p w14:paraId="4C0D32A9">
            <w:pPr>
              <w:pStyle w:val="178"/>
            </w:pPr>
            <w:r>
              <w:rPr>
                <w:rFonts w:hint="eastAsia"/>
              </w:rPr>
              <w:t>控制要点</w:t>
            </w:r>
          </w:p>
        </w:tc>
        <w:tc>
          <w:tcPr>
            <w:tcW w:w="2693" w:type="dxa"/>
            <w:tcBorders>
              <w:top w:val="single" w:color="auto" w:sz="8" w:space="0"/>
              <w:bottom w:val="single" w:color="auto" w:sz="8" w:space="0"/>
            </w:tcBorders>
          </w:tcPr>
          <w:p w14:paraId="315D4F38">
            <w:pPr>
              <w:pStyle w:val="178"/>
            </w:pPr>
            <w:r>
              <w:rPr>
                <w:rFonts w:hint="eastAsia"/>
              </w:rPr>
              <w:t>检查方法</w:t>
            </w:r>
          </w:p>
        </w:tc>
        <w:tc>
          <w:tcPr>
            <w:tcW w:w="1689" w:type="dxa"/>
            <w:tcBorders>
              <w:top w:val="single" w:color="auto" w:sz="8" w:space="0"/>
              <w:bottom w:val="single" w:color="auto" w:sz="8" w:space="0"/>
            </w:tcBorders>
          </w:tcPr>
          <w:p w14:paraId="63B4D84E">
            <w:pPr>
              <w:pStyle w:val="178"/>
            </w:pPr>
            <w:r>
              <w:rPr>
                <w:rFonts w:hint="eastAsia"/>
              </w:rPr>
              <w:t>责任部门</w:t>
            </w:r>
          </w:p>
        </w:tc>
      </w:tr>
      <w:tr w14:paraId="0EF69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0EB54A14">
            <w:pPr>
              <w:pStyle w:val="178"/>
            </w:pPr>
            <w:r>
              <w:rPr>
                <w:rFonts w:hint="eastAsia"/>
              </w:rPr>
              <w:t>数据收集</w:t>
            </w:r>
          </w:p>
        </w:tc>
        <w:tc>
          <w:tcPr>
            <w:tcW w:w="3402" w:type="dxa"/>
            <w:tcBorders>
              <w:top w:val="single" w:color="auto" w:sz="8" w:space="0"/>
            </w:tcBorders>
          </w:tcPr>
          <w:p w14:paraId="5BE7A633">
            <w:pPr>
              <w:pStyle w:val="178"/>
            </w:pPr>
            <w:r>
              <w:rPr>
                <w:rFonts w:hint="eastAsia"/>
              </w:rPr>
              <w:t>遵循真实性、完整性、可比性原则</w:t>
            </w:r>
          </w:p>
        </w:tc>
        <w:tc>
          <w:tcPr>
            <w:tcW w:w="2693" w:type="dxa"/>
            <w:tcBorders>
              <w:top w:val="single" w:color="auto" w:sz="8" w:space="0"/>
            </w:tcBorders>
          </w:tcPr>
          <w:p w14:paraId="60DFD090">
            <w:pPr>
              <w:pStyle w:val="178"/>
            </w:pPr>
            <w:r>
              <w:rPr>
                <w:rFonts w:hint="eastAsia"/>
              </w:rPr>
              <w:t>查阅数据收集记录</w:t>
            </w:r>
          </w:p>
        </w:tc>
        <w:tc>
          <w:tcPr>
            <w:tcW w:w="1689" w:type="dxa"/>
            <w:tcBorders>
              <w:top w:val="single" w:color="auto" w:sz="8" w:space="0"/>
            </w:tcBorders>
          </w:tcPr>
          <w:p w14:paraId="0550FC95">
            <w:pPr>
              <w:pStyle w:val="178"/>
            </w:pPr>
            <w:r>
              <w:rPr>
                <w:rFonts w:hint="eastAsia"/>
              </w:rPr>
              <w:t>数据采集组</w:t>
            </w:r>
          </w:p>
        </w:tc>
      </w:tr>
      <w:tr w14:paraId="04CAC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246134CB">
            <w:pPr>
              <w:pStyle w:val="178"/>
            </w:pPr>
            <w:r>
              <w:rPr>
                <w:rFonts w:hint="eastAsia"/>
              </w:rPr>
              <w:t>数据类型</w:t>
            </w:r>
          </w:p>
        </w:tc>
        <w:tc>
          <w:tcPr>
            <w:tcW w:w="3402" w:type="dxa"/>
          </w:tcPr>
          <w:p w14:paraId="4033161B">
            <w:pPr>
              <w:pStyle w:val="178"/>
            </w:pPr>
            <w:r>
              <w:rPr>
                <w:rFonts w:hint="eastAsia"/>
              </w:rPr>
              <w:t>经济、社会、生态与资源三类数据齐全</w:t>
            </w:r>
          </w:p>
        </w:tc>
        <w:tc>
          <w:tcPr>
            <w:tcW w:w="2693" w:type="dxa"/>
          </w:tcPr>
          <w:p w14:paraId="02E3D2CB">
            <w:pPr>
              <w:pStyle w:val="178"/>
            </w:pPr>
            <w:r>
              <w:rPr>
                <w:rFonts w:hint="eastAsia"/>
              </w:rPr>
              <w:t>检查数据清单</w:t>
            </w:r>
          </w:p>
        </w:tc>
        <w:tc>
          <w:tcPr>
            <w:tcW w:w="1689" w:type="dxa"/>
          </w:tcPr>
          <w:p w14:paraId="791A6612">
            <w:pPr>
              <w:pStyle w:val="178"/>
            </w:pPr>
            <w:r>
              <w:rPr>
                <w:rFonts w:hint="eastAsia"/>
              </w:rPr>
              <w:t>数据审核组</w:t>
            </w:r>
          </w:p>
        </w:tc>
      </w:tr>
      <w:tr w14:paraId="302B0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239F74C">
            <w:pPr>
              <w:pStyle w:val="178"/>
            </w:pPr>
            <w:r>
              <w:rPr>
                <w:rFonts w:hint="eastAsia"/>
              </w:rPr>
              <w:t>收集方法</w:t>
            </w:r>
          </w:p>
        </w:tc>
        <w:tc>
          <w:tcPr>
            <w:tcW w:w="3402" w:type="dxa"/>
          </w:tcPr>
          <w:p w14:paraId="34D1015E">
            <w:pPr>
              <w:pStyle w:val="178"/>
            </w:pPr>
            <w:r>
              <w:rPr>
                <w:rFonts w:hint="eastAsia"/>
              </w:rPr>
              <w:t>方法多样化，确保适配性与准确性</w:t>
            </w:r>
          </w:p>
        </w:tc>
        <w:tc>
          <w:tcPr>
            <w:tcW w:w="2693" w:type="dxa"/>
          </w:tcPr>
          <w:p w14:paraId="512E3635">
            <w:pPr>
              <w:pStyle w:val="178"/>
            </w:pPr>
            <w:r>
              <w:rPr>
                <w:rFonts w:hint="eastAsia"/>
              </w:rPr>
              <w:t>查阅调查方案与记录</w:t>
            </w:r>
          </w:p>
        </w:tc>
        <w:tc>
          <w:tcPr>
            <w:tcW w:w="1689" w:type="dxa"/>
          </w:tcPr>
          <w:p w14:paraId="74E27EE5">
            <w:pPr>
              <w:pStyle w:val="178"/>
            </w:pPr>
            <w:r>
              <w:rPr>
                <w:rFonts w:hint="eastAsia"/>
              </w:rPr>
              <w:t>数据采集组</w:t>
            </w:r>
          </w:p>
        </w:tc>
      </w:tr>
      <w:tr w14:paraId="3404E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E2226F9">
            <w:pPr>
              <w:pStyle w:val="178"/>
            </w:pPr>
            <w:r>
              <w:rPr>
                <w:rFonts w:hint="eastAsia"/>
              </w:rPr>
              <w:t>数据审核</w:t>
            </w:r>
          </w:p>
        </w:tc>
        <w:tc>
          <w:tcPr>
            <w:tcW w:w="3402" w:type="dxa"/>
          </w:tcPr>
          <w:p w14:paraId="7F3E13F1">
            <w:pPr>
              <w:pStyle w:val="178"/>
            </w:pPr>
            <w:r>
              <w:rPr>
                <w:rFonts w:hint="eastAsia"/>
              </w:rPr>
              <w:t>初审、复审机制健全，异常数据处理规范</w:t>
            </w:r>
          </w:p>
        </w:tc>
        <w:tc>
          <w:tcPr>
            <w:tcW w:w="2693" w:type="dxa"/>
          </w:tcPr>
          <w:p w14:paraId="0B8FFD90">
            <w:pPr>
              <w:pStyle w:val="178"/>
            </w:pPr>
            <w:r>
              <w:rPr>
                <w:rFonts w:hint="eastAsia"/>
              </w:rPr>
              <w:t>检查审核记录与修正说明</w:t>
            </w:r>
          </w:p>
        </w:tc>
        <w:tc>
          <w:tcPr>
            <w:tcW w:w="1689" w:type="dxa"/>
          </w:tcPr>
          <w:p w14:paraId="2DFF3E47">
            <w:pPr>
              <w:pStyle w:val="178"/>
            </w:pPr>
            <w:r>
              <w:rPr>
                <w:rFonts w:hint="eastAsia"/>
              </w:rPr>
              <w:t>数据审核组</w:t>
            </w:r>
          </w:p>
        </w:tc>
      </w:tr>
      <w:tr w14:paraId="5CEC0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C6F71CC">
            <w:pPr>
              <w:pStyle w:val="178"/>
            </w:pPr>
            <w:r>
              <w:rPr>
                <w:rFonts w:hint="eastAsia"/>
              </w:rPr>
              <w:t>数据安全</w:t>
            </w:r>
          </w:p>
        </w:tc>
        <w:tc>
          <w:tcPr>
            <w:tcW w:w="3402" w:type="dxa"/>
          </w:tcPr>
          <w:p w14:paraId="1A6D640C">
            <w:pPr>
              <w:pStyle w:val="178"/>
            </w:pPr>
            <w:r>
              <w:rPr>
                <w:rFonts w:hint="eastAsia"/>
              </w:rPr>
              <w:t>分类存档、加密存储、权限管理</w:t>
            </w:r>
          </w:p>
        </w:tc>
        <w:tc>
          <w:tcPr>
            <w:tcW w:w="2693" w:type="dxa"/>
          </w:tcPr>
          <w:p w14:paraId="71A3D807">
            <w:pPr>
              <w:pStyle w:val="178"/>
            </w:pPr>
            <w:r>
              <w:rPr>
                <w:rFonts w:hint="eastAsia"/>
              </w:rPr>
              <w:t>检查数据管理系统与安全日志</w:t>
            </w:r>
          </w:p>
        </w:tc>
        <w:tc>
          <w:tcPr>
            <w:tcW w:w="1689" w:type="dxa"/>
          </w:tcPr>
          <w:p w14:paraId="35A3832C">
            <w:pPr>
              <w:pStyle w:val="178"/>
            </w:pPr>
            <w:r>
              <w:rPr>
                <w:rFonts w:hint="eastAsia"/>
              </w:rPr>
              <w:t>数据安全组</w:t>
            </w:r>
          </w:p>
        </w:tc>
      </w:tr>
    </w:tbl>
    <w:p w14:paraId="10A06416">
      <w:pPr>
        <w:pStyle w:val="104"/>
        <w:spacing w:before="240" w:after="240" w:line="360" w:lineRule="auto"/>
      </w:pPr>
      <w:bookmarkStart w:id="54" w:name="_Toc206187199"/>
      <w:r>
        <w:rPr>
          <w:rFonts w:hint="eastAsia"/>
        </w:rPr>
        <w:t>评价指标体系与方法</w:t>
      </w:r>
      <w:bookmarkEnd w:id="54"/>
    </w:p>
    <w:p w14:paraId="2CB83CD6">
      <w:pPr>
        <w:pStyle w:val="105"/>
        <w:spacing w:before="120" w:after="120" w:line="360" w:lineRule="auto"/>
      </w:pPr>
      <w:r>
        <w:rPr>
          <w:rFonts w:hint="eastAsia"/>
        </w:rPr>
        <w:t>指标体系构建原则</w:t>
      </w:r>
    </w:p>
    <w:p w14:paraId="33029BB6">
      <w:pPr>
        <w:pStyle w:val="56"/>
        <w:spacing w:line="360" w:lineRule="auto"/>
        <w:ind w:firstLine="420"/>
      </w:pPr>
      <w:r>
        <w:rPr>
          <w:rFonts w:hint="eastAsia"/>
        </w:rPr>
        <w:t>评价指标体系的构建应遵循以下原则：</w:t>
      </w:r>
    </w:p>
    <w:p w14:paraId="061C50EA">
      <w:pPr>
        <w:pStyle w:val="132"/>
        <w:spacing w:line="360" w:lineRule="auto"/>
      </w:pPr>
      <w:r>
        <w:rPr>
          <w:rFonts w:hint="eastAsia"/>
        </w:rPr>
        <w:t>系统性：指标应全面涵盖经济、社会和资源生态维度，反映组织整体运营水平；</w:t>
      </w:r>
    </w:p>
    <w:p w14:paraId="0758D28A">
      <w:pPr>
        <w:pStyle w:val="132"/>
        <w:spacing w:line="360" w:lineRule="auto"/>
      </w:pPr>
      <w:r>
        <w:rPr>
          <w:rFonts w:hint="eastAsia"/>
        </w:rPr>
        <w:t>可操作性：指标应易于理解、易于量化，且数据来源可靠；</w:t>
      </w:r>
    </w:p>
    <w:p w14:paraId="7591AE14">
      <w:pPr>
        <w:pStyle w:val="132"/>
        <w:spacing w:line="360" w:lineRule="auto"/>
      </w:pPr>
      <w:r>
        <w:rPr>
          <w:rFonts w:hint="eastAsia"/>
        </w:rPr>
        <w:t>可比性：指标口径一致，便于不同时间、不同地区的横向和纵向比较；</w:t>
      </w:r>
    </w:p>
    <w:p w14:paraId="70D02D13">
      <w:pPr>
        <w:pStyle w:val="132"/>
        <w:spacing w:line="360" w:lineRule="auto"/>
      </w:pPr>
      <w:r>
        <w:rPr>
          <w:rFonts w:hint="eastAsia"/>
        </w:rPr>
        <w:t>动态性：指标体系应可根据政策导向、行业变化和技术进步进行适时调整。</w:t>
      </w:r>
    </w:p>
    <w:p w14:paraId="1E84AC49">
      <w:pPr>
        <w:pStyle w:val="105"/>
        <w:spacing w:before="120" w:after="120" w:line="360" w:lineRule="auto"/>
      </w:pPr>
      <w:r>
        <w:rPr>
          <w:rFonts w:hint="eastAsia"/>
        </w:rPr>
        <w:t>评价指标体系</w:t>
      </w:r>
    </w:p>
    <w:p w14:paraId="62D23A12">
      <w:pPr>
        <w:pStyle w:val="56"/>
        <w:spacing w:line="360" w:lineRule="auto"/>
        <w:ind w:firstLine="420"/>
      </w:pPr>
      <w:r>
        <w:rPr>
          <w:rFonts w:hint="eastAsia"/>
        </w:rPr>
        <w:t>在构建指标体系时，应注意不同地区的经济发展水平、产业结构和资源禀赋差异，在统一框架下可进行适度调整。为了便于实施，建议采用三级指标结构，包括一级指标、二级指标和具体测量指标。农村集体经济组织运营效率评价指标体系见表3。</w:t>
      </w:r>
    </w:p>
    <w:p w14:paraId="3BCFEE2B">
      <w:pPr>
        <w:pStyle w:val="112"/>
        <w:spacing w:before="120" w:after="120" w:line="360" w:lineRule="auto"/>
      </w:pPr>
      <w:r>
        <w:rPr>
          <w:rFonts w:hint="eastAsia"/>
        </w:rPr>
        <w:t>农村集体经济组织运营效率评价指标体系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1842"/>
        <w:gridCol w:w="4678"/>
        <w:gridCol w:w="1264"/>
      </w:tblGrid>
      <w:tr w14:paraId="50A3F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65B0E7CB">
            <w:pPr>
              <w:pStyle w:val="178"/>
            </w:pPr>
            <w:r>
              <w:rPr>
                <w:rFonts w:hint="eastAsia"/>
              </w:rPr>
              <w:t>一级指标</w:t>
            </w:r>
          </w:p>
        </w:tc>
        <w:tc>
          <w:tcPr>
            <w:tcW w:w="1842" w:type="dxa"/>
            <w:tcBorders>
              <w:top w:val="single" w:color="auto" w:sz="8" w:space="0"/>
              <w:bottom w:val="single" w:color="auto" w:sz="8" w:space="0"/>
            </w:tcBorders>
            <w:vAlign w:val="center"/>
          </w:tcPr>
          <w:p w14:paraId="4EB94604">
            <w:pPr>
              <w:pStyle w:val="178"/>
            </w:pPr>
            <w:r>
              <w:rPr>
                <w:rFonts w:hint="eastAsia"/>
              </w:rPr>
              <w:t>二级指标</w:t>
            </w:r>
          </w:p>
        </w:tc>
        <w:tc>
          <w:tcPr>
            <w:tcW w:w="4678" w:type="dxa"/>
            <w:tcBorders>
              <w:top w:val="single" w:color="auto" w:sz="8" w:space="0"/>
              <w:bottom w:val="single" w:color="auto" w:sz="8" w:space="0"/>
            </w:tcBorders>
            <w:vAlign w:val="center"/>
          </w:tcPr>
          <w:p w14:paraId="34BFD72E">
            <w:pPr>
              <w:pStyle w:val="178"/>
            </w:pPr>
            <w:r>
              <w:rPr>
                <w:rFonts w:hint="eastAsia"/>
              </w:rPr>
              <w:t>测量指标（示例）</w:t>
            </w:r>
          </w:p>
        </w:tc>
        <w:tc>
          <w:tcPr>
            <w:tcW w:w="1264" w:type="dxa"/>
            <w:tcBorders>
              <w:top w:val="single" w:color="auto" w:sz="8" w:space="0"/>
              <w:bottom w:val="single" w:color="auto" w:sz="8" w:space="0"/>
            </w:tcBorders>
            <w:vAlign w:val="center"/>
          </w:tcPr>
          <w:p w14:paraId="3EAEBD61">
            <w:pPr>
              <w:pStyle w:val="178"/>
            </w:pPr>
            <w:r>
              <w:rPr>
                <w:rFonts w:hint="eastAsia"/>
              </w:rPr>
              <w:t>指标性质</w:t>
            </w:r>
          </w:p>
        </w:tc>
      </w:tr>
      <w:tr w14:paraId="776F9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restart"/>
            <w:tcBorders>
              <w:top w:val="single" w:color="auto" w:sz="8" w:space="0"/>
            </w:tcBorders>
            <w:vAlign w:val="center"/>
          </w:tcPr>
          <w:p w14:paraId="3D81EEB1">
            <w:pPr>
              <w:pStyle w:val="178"/>
            </w:pPr>
            <w:r>
              <w:rPr>
                <w:rFonts w:hint="eastAsia"/>
              </w:rPr>
              <w:t>经济效益</w:t>
            </w:r>
          </w:p>
        </w:tc>
        <w:tc>
          <w:tcPr>
            <w:tcW w:w="1842" w:type="dxa"/>
            <w:tcBorders>
              <w:top w:val="single" w:color="auto" w:sz="8" w:space="0"/>
            </w:tcBorders>
            <w:vAlign w:val="center"/>
          </w:tcPr>
          <w:p w14:paraId="3CAED71D">
            <w:pPr>
              <w:pStyle w:val="178"/>
            </w:pPr>
            <w:r>
              <w:rPr>
                <w:rFonts w:hint="eastAsia"/>
              </w:rPr>
              <w:t>收入水平</w:t>
            </w:r>
          </w:p>
        </w:tc>
        <w:tc>
          <w:tcPr>
            <w:tcW w:w="4678" w:type="dxa"/>
            <w:tcBorders>
              <w:top w:val="single" w:color="auto" w:sz="8" w:space="0"/>
            </w:tcBorders>
            <w:vAlign w:val="center"/>
          </w:tcPr>
          <w:p w14:paraId="1A7F5312">
            <w:pPr>
              <w:pStyle w:val="178"/>
            </w:pPr>
            <w:r>
              <w:rPr>
                <w:rFonts w:hint="eastAsia"/>
              </w:rPr>
              <w:t>营业收入增长率、经营性收入占比</w:t>
            </w:r>
          </w:p>
        </w:tc>
        <w:tc>
          <w:tcPr>
            <w:tcW w:w="1264" w:type="dxa"/>
            <w:tcBorders>
              <w:top w:val="single" w:color="auto" w:sz="8" w:space="0"/>
            </w:tcBorders>
            <w:vAlign w:val="center"/>
          </w:tcPr>
          <w:p w14:paraId="21A2A3B8">
            <w:pPr>
              <w:pStyle w:val="178"/>
            </w:pPr>
            <w:r>
              <w:rPr>
                <w:rFonts w:hint="eastAsia"/>
              </w:rPr>
              <w:t>定量</w:t>
            </w:r>
          </w:p>
        </w:tc>
      </w:tr>
      <w:tr w14:paraId="27E97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continue"/>
            <w:vAlign w:val="center"/>
          </w:tcPr>
          <w:p w14:paraId="0FE48DE3">
            <w:pPr>
              <w:pStyle w:val="178"/>
            </w:pPr>
          </w:p>
        </w:tc>
        <w:tc>
          <w:tcPr>
            <w:tcW w:w="1842" w:type="dxa"/>
            <w:vAlign w:val="center"/>
          </w:tcPr>
          <w:p w14:paraId="4E240A1E">
            <w:pPr>
              <w:pStyle w:val="178"/>
            </w:pPr>
            <w:r>
              <w:rPr>
                <w:rFonts w:hint="eastAsia"/>
              </w:rPr>
              <w:t>盈利能力</w:t>
            </w:r>
          </w:p>
        </w:tc>
        <w:tc>
          <w:tcPr>
            <w:tcW w:w="4678" w:type="dxa"/>
            <w:vAlign w:val="center"/>
          </w:tcPr>
          <w:p w14:paraId="57A4F3C5">
            <w:pPr>
              <w:pStyle w:val="178"/>
            </w:pPr>
            <w:r>
              <w:rPr>
                <w:rFonts w:hint="eastAsia"/>
              </w:rPr>
              <w:t>资产收益率、利润总额、成本收益比</w:t>
            </w:r>
          </w:p>
        </w:tc>
        <w:tc>
          <w:tcPr>
            <w:tcW w:w="1264" w:type="dxa"/>
            <w:vAlign w:val="center"/>
          </w:tcPr>
          <w:p w14:paraId="6E28A25B">
            <w:pPr>
              <w:pStyle w:val="178"/>
            </w:pPr>
            <w:r>
              <w:rPr>
                <w:rFonts w:hint="eastAsia"/>
              </w:rPr>
              <w:t>定量</w:t>
            </w:r>
          </w:p>
        </w:tc>
      </w:tr>
      <w:tr w14:paraId="52A74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continue"/>
            <w:vAlign w:val="center"/>
          </w:tcPr>
          <w:p w14:paraId="4357A66F">
            <w:pPr>
              <w:pStyle w:val="178"/>
            </w:pPr>
          </w:p>
        </w:tc>
        <w:tc>
          <w:tcPr>
            <w:tcW w:w="1842" w:type="dxa"/>
            <w:vAlign w:val="center"/>
          </w:tcPr>
          <w:p w14:paraId="1498D0AF">
            <w:pPr>
              <w:pStyle w:val="178"/>
            </w:pPr>
            <w:r>
              <w:rPr>
                <w:rFonts w:hint="eastAsia"/>
              </w:rPr>
              <w:t>资产管理效率</w:t>
            </w:r>
          </w:p>
        </w:tc>
        <w:tc>
          <w:tcPr>
            <w:tcW w:w="4678" w:type="dxa"/>
            <w:vAlign w:val="center"/>
          </w:tcPr>
          <w:p w14:paraId="458A93AE">
            <w:pPr>
              <w:pStyle w:val="178"/>
            </w:pPr>
            <w:r>
              <w:rPr>
                <w:rFonts w:hint="eastAsia"/>
              </w:rPr>
              <w:t>流动资产周转率、固定资产利用率</w:t>
            </w:r>
          </w:p>
        </w:tc>
        <w:tc>
          <w:tcPr>
            <w:tcW w:w="1264" w:type="dxa"/>
            <w:vAlign w:val="center"/>
          </w:tcPr>
          <w:p w14:paraId="70504656">
            <w:pPr>
              <w:pStyle w:val="178"/>
            </w:pPr>
            <w:r>
              <w:rPr>
                <w:rFonts w:hint="eastAsia"/>
              </w:rPr>
              <w:t>定量</w:t>
            </w:r>
          </w:p>
        </w:tc>
      </w:tr>
      <w:tr w14:paraId="560F1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restart"/>
            <w:vAlign w:val="center"/>
          </w:tcPr>
          <w:p w14:paraId="75517229">
            <w:pPr>
              <w:pStyle w:val="178"/>
            </w:pPr>
            <w:r>
              <w:rPr>
                <w:rFonts w:hint="eastAsia"/>
              </w:rPr>
              <w:t>社会效益</w:t>
            </w:r>
          </w:p>
        </w:tc>
        <w:tc>
          <w:tcPr>
            <w:tcW w:w="1842" w:type="dxa"/>
            <w:vAlign w:val="center"/>
          </w:tcPr>
          <w:p w14:paraId="5095929E">
            <w:pPr>
              <w:pStyle w:val="178"/>
            </w:pPr>
            <w:r>
              <w:rPr>
                <w:rFonts w:hint="eastAsia"/>
              </w:rPr>
              <w:t>就业贡献</w:t>
            </w:r>
          </w:p>
        </w:tc>
        <w:tc>
          <w:tcPr>
            <w:tcW w:w="4678" w:type="dxa"/>
            <w:vAlign w:val="center"/>
          </w:tcPr>
          <w:p w14:paraId="15269DD4">
            <w:pPr>
              <w:pStyle w:val="178"/>
            </w:pPr>
            <w:r>
              <w:rPr>
                <w:rFonts w:hint="eastAsia"/>
              </w:rPr>
              <w:t>提供就业岗位数、成员人均收入增长率</w:t>
            </w:r>
          </w:p>
        </w:tc>
        <w:tc>
          <w:tcPr>
            <w:tcW w:w="1264" w:type="dxa"/>
            <w:vAlign w:val="center"/>
          </w:tcPr>
          <w:p w14:paraId="05818D1C">
            <w:pPr>
              <w:pStyle w:val="178"/>
            </w:pPr>
            <w:r>
              <w:rPr>
                <w:rFonts w:hint="eastAsia"/>
              </w:rPr>
              <w:t>定量/定性</w:t>
            </w:r>
          </w:p>
        </w:tc>
      </w:tr>
      <w:tr w14:paraId="22B56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continue"/>
            <w:vAlign w:val="center"/>
          </w:tcPr>
          <w:p w14:paraId="1CC15BDC">
            <w:pPr>
              <w:pStyle w:val="178"/>
            </w:pPr>
          </w:p>
        </w:tc>
        <w:tc>
          <w:tcPr>
            <w:tcW w:w="1842" w:type="dxa"/>
            <w:vAlign w:val="center"/>
          </w:tcPr>
          <w:p w14:paraId="40EDC27D">
            <w:pPr>
              <w:pStyle w:val="178"/>
            </w:pPr>
            <w:r>
              <w:rPr>
                <w:rFonts w:hint="eastAsia"/>
              </w:rPr>
              <w:t>公共服务投入</w:t>
            </w:r>
          </w:p>
        </w:tc>
        <w:tc>
          <w:tcPr>
            <w:tcW w:w="4678" w:type="dxa"/>
            <w:vAlign w:val="center"/>
          </w:tcPr>
          <w:p w14:paraId="7C4B1EC2">
            <w:pPr>
              <w:pStyle w:val="178"/>
            </w:pPr>
            <w:r>
              <w:rPr>
                <w:rFonts w:hint="eastAsia"/>
              </w:rPr>
              <w:t>基础设施建设投入占总收入比、社会公益项目数量</w:t>
            </w:r>
          </w:p>
        </w:tc>
        <w:tc>
          <w:tcPr>
            <w:tcW w:w="1264" w:type="dxa"/>
            <w:vAlign w:val="center"/>
          </w:tcPr>
          <w:p w14:paraId="68E7E126">
            <w:pPr>
              <w:pStyle w:val="178"/>
            </w:pPr>
            <w:r>
              <w:rPr>
                <w:rFonts w:hint="eastAsia"/>
              </w:rPr>
              <w:t>定量/定性</w:t>
            </w:r>
          </w:p>
        </w:tc>
      </w:tr>
      <w:tr w14:paraId="0FE04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continue"/>
            <w:vAlign w:val="center"/>
          </w:tcPr>
          <w:p w14:paraId="240641B2">
            <w:pPr>
              <w:pStyle w:val="178"/>
            </w:pPr>
          </w:p>
        </w:tc>
        <w:tc>
          <w:tcPr>
            <w:tcW w:w="1842" w:type="dxa"/>
            <w:vAlign w:val="center"/>
          </w:tcPr>
          <w:p w14:paraId="1F131139">
            <w:pPr>
              <w:pStyle w:val="178"/>
            </w:pPr>
            <w:r>
              <w:rPr>
                <w:rFonts w:hint="eastAsia"/>
              </w:rPr>
              <w:t>社会满意度</w:t>
            </w:r>
          </w:p>
        </w:tc>
        <w:tc>
          <w:tcPr>
            <w:tcW w:w="4678" w:type="dxa"/>
            <w:vAlign w:val="center"/>
          </w:tcPr>
          <w:p w14:paraId="39887D17">
            <w:pPr>
              <w:pStyle w:val="178"/>
            </w:pPr>
            <w:r>
              <w:rPr>
                <w:rFonts w:hint="eastAsia"/>
              </w:rPr>
              <w:t>成员满意度调查得分</w:t>
            </w:r>
          </w:p>
        </w:tc>
        <w:tc>
          <w:tcPr>
            <w:tcW w:w="1264" w:type="dxa"/>
            <w:vAlign w:val="center"/>
          </w:tcPr>
          <w:p w14:paraId="4433BCD6">
            <w:pPr>
              <w:pStyle w:val="178"/>
            </w:pPr>
            <w:r>
              <w:rPr>
                <w:rFonts w:hint="eastAsia"/>
              </w:rPr>
              <w:t>定性</w:t>
            </w:r>
          </w:p>
        </w:tc>
      </w:tr>
      <w:tr w14:paraId="5D56E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restart"/>
            <w:vAlign w:val="center"/>
          </w:tcPr>
          <w:p w14:paraId="298FEBFB">
            <w:pPr>
              <w:pStyle w:val="178"/>
            </w:pPr>
            <w:r>
              <w:rPr>
                <w:rFonts w:hint="eastAsia"/>
              </w:rPr>
              <w:t>资源与生态效率</w:t>
            </w:r>
          </w:p>
        </w:tc>
        <w:tc>
          <w:tcPr>
            <w:tcW w:w="1842" w:type="dxa"/>
            <w:vAlign w:val="center"/>
          </w:tcPr>
          <w:p w14:paraId="115CCA43">
            <w:pPr>
              <w:pStyle w:val="178"/>
            </w:pPr>
            <w:r>
              <w:rPr>
                <w:rFonts w:hint="eastAsia"/>
              </w:rPr>
              <w:t>土地利用效率</w:t>
            </w:r>
          </w:p>
        </w:tc>
        <w:tc>
          <w:tcPr>
            <w:tcW w:w="4678" w:type="dxa"/>
            <w:vAlign w:val="center"/>
          </w:tcPr>
          <w:p w14:paraId="2FC82A28">
            <w:pPr>
              <w:pStyle w:val="178"/>
            </w:pPr>
            <w:r>
              <w:rPr>
                <w:rFonts w:hint="eastAsia"/>
              </w:rPr>
              <w:t>单位面积产值、土地利用率</w:t>
            </w:r>
          </w:p>
        </w:tc>
        <w:tc>
          <w:tcPr>
            <w:tcW w:w="1264" w:type="dxa"/>
            <w:vAlign w:val="center"/>
          </w:tcPr>
          <w:p w14:paraId="2D0614C1">
            <w:pPr>
              <w:pStyle w:val="178"/>
            </w:pPr>
            <w:r>
              <w:rPr>
                <w:rFonts w:hint="eastAsia"/>
              </w:rPr>
              <w:t>定性</w:t>
            </w:r>
          </w:p>
        </w:tc>
      </w:tr>
      <w:tr w14:paraId="5F1F7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continue"/>
            <w:vAlign w:val="center"/>
          </w:tcPr>
          <w:p w14:paraId="6A575EA9">
            <w:pPr>
              <w:pStyle w:val="178"/>
            </w:pPr>
          </w:p>
        </w:tc>
        <w:tc>
          <w:tcPr>
            <w:tcW w:w="1842" w:type="dxa"/>
            <w:vAlign w:val="center"/>
          </w:tcPr>
          <w:p w14:paraId="34D77840">
            <w:pPr>
              <w:pStyle w:val="178"/>
            </w:pPr>
            <w:r>
              <w:rPr>
                <w:rFonts w:hint="eastAsia"/>
              </w:rPr>
              <w:t>能源与水利用效率</w:t>
            </w:r>
          </w:p>
        </w:tc>
        <w:tc>
          <w:tcPr>
            <w:tcW w:w="4678" w:type="dxa"/>
            <w:vAlign w:val="center"/>
          </w:tcPr>
          <w:p w14:paraId="492CF695">
            <w:pPr>
              <w:pStyle w:val="178"/>
            </w:pPr>
            <w:r>
              <w:rPr>
                <w:rFonts w:hint="eastAsia"/>
              </w:rPr>
              <w:t>单位产值能耗、水耗</w:t>
            </w:r>
          </w:p>
        </w:tc>
        <w:tc>
          <w:tcPr>
            <w:tcW w:w="1264" w:type="dxa"/>
            <w:vAlign w:val="center"/>
          </w:tcPr>
          <w:p w14:paraId="5CFC88F8">
            <w:pPr>
              <w:pStyle w:val="178"/>
            </w:pPr>
            <w:r>
              <w:rPr>
                <w:rFonts w:hint="eastAsia"/>
              </w:rPr>
              <w:t>定性</w:t>
            </w:r>
          </w:p>
        </w:tc>
      </w:tr>
      <w:tr w14:paraId="0ED30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Merge w:val="continue"/>
            <w:vAlign w:val="center"/>
          </w:tcPr>
          <w:p w14:paraId="567BFEF7">
            <w:pPr>
              <w:pStyle w:val="178"/>
            </w:pPr>
          </w:p>
        </w:tc>
        <w:tc>
          <w:tcPr>
            <w:tcW w:w="1842" w:type="dxa"/>
            <w:vAlign w:val="center"/>
          </w:tcPr>
          <w:p w14:paraId="6DF12F55">
            <w:pPr>
              <w:pStyle w:val="178"/>
            </w:pPr>
            <w:r>
              <w:rPr>
                <w:rFonts w:hint="eastAsia"/>
              </w:rPr>
              <w:t>生态保护成效</w:t>
            </w:r>
          </w:p>
        </w:tc>
        <w:tc>
          <w:tcPr>
            <w:tcW w:w="4678" w:type="dxa"/>
            <w:vAlign w:val="center"/>
          </w:tcPr>
          <w:p w14:paraId="58B1B568">
            <w:pPr>
              <w:pStyle w:val="178"/>
            </w:pPr>
            <w:r>
              <w:rPr>
                <w:rFonts w:hint="eastAsia"/>
              </w:rPr>
              <w:t>生态投资占比、生态修复面积、绿色认证项目数量</w:t>
            </w:r>
          </w:p>
        </w:tc>
        <w:tc>
          <w:tcPr>
            <w:tcW w:w="1264" w:type="dxa"/>
            <w:vAlign w:val="center"/>
          </w:tcPr>
          <w:p w14:paraId="3489356B">
            <w:pPr>
              <w:pStyle w:val="178"/>
            </w:pPr>
            <w:r>
              <w:rPr>
                <w:rFonts w:hint="eastAsia"/>
              </w:rPr>
              <w:t>定量/定性</w:t>
            </w:r>
          </w:p>
        </w:tc>
      </w:tr>
    </w:tbl>
    <w:p w14:paraId="0C8E4B35">
      <w:pPr>
        <w:pStyle w:val="105"/>
        <w:spacing w:before="120" w:after="120" w:line="360" w:lineRule="auto"/>
      </w:pPr>
      <w:r>
        <w:rPr>
          <w:rFonts w:hint="eastAsia"/>
        </w:rPr>
        <w:t>评价方法选择</w:t>
      </w:r>
    </w:p>
    <w:p w14:paraId="49E7F7A9">
      <w:pPr>
        <w:pStyle w:val="56"/>
        <w:spacing w:line="360" w:lineRule="auto"/>
        <w:ind w:firstLine="420"/>
      </w:pPr>
      <w:r>
        <w:rPr>
          <w:rFonts w:hint="eastAsia"/>
        </w:rPr>
        <w:t>评价方法应根据数据可得性、评价目的和评价对象规模选择，常用方法包括：</w:t>
      </w:r>
    </w:p>
    <w:p w14:paraId="6314EC34">
      <w:pPr>
        <w:pStyle w:val="132"/>
        <w:spacing w:line="360" w:lineRule="auto"/>
      </w:pPr>
      <w:r>
        <w:rPr>
          <w:rFonts w:hint="eastAsia"/>
        </w:rPr>
        <w:t>数据包络分析法（DEA）：适用于多投入、多产出的效率测算，能综合反映相对效率水平；</w:t>
      </w:r>
    </w:p>
    <w:p w14:paraId="34B6709E">
      <w:pPr>
        <w:pStyle w:val="132"/>
        <w:spacing w:line="360" w:lineRule="auto"/>
      </w:pPr>
      <w:r>
        <w:rPr>
          <w:rFonts w:hint="eastAsia"/>
        </w:rPr>
        <w:t>熵权法：适用于通过客观赋权确定各指标权重，减少主观因素影响；</w:t>
      </w:r>
    </w:p>
    <w:p w14:paraId="560B1C30">
      <w:pPr>
        <w:pStyle w:val="132"/>
        <w:spacing w:line="360" w:lineRule="auto"/>
      </w:pPr>
      <w:r>
        <w:rPr>
          <w:rFonts w:hint="eastAsia"/>
        </w:rPr>
        <w:t>层次分析法（AHP）：适用于指标较多且涉及专家判断的综合评价；</w:t>
      </w:r>
    </w:p>
    <w:p w14:paraId="03453F86">
      <w:pPr>
        <w:pStyle w:val="132"/>
        <w:spacing w:line="360" w:lineRule="auto"/>
      </w:pPr>
      <w:r>
        <w:rPr>
          <w:rFonts w:hint="eastAsia"/>
        </w:rPr>
        <w:t>综合指数法：适用于各类指标标准化处理后进行加权求和，直观反映综合效率水平。</w:t>
      </w:r>
    </w:p>
    <w:p w14:paraId="0436DE99">
      <w:pPr>
        <w:pStyle w:val="105"/>
        <w:spacing w:before="120" w:after="120" w:line="360" w:lineRule="auto"/>
      </w:pPr>
      <w:r>
        <w:rPr>
          <w:rFonts w:hint="eastAsia"/>
        </w:rPr>
        <w:t>指标权重确定</w:t>
      </w:r>
    </w:p>
    <w:p w14:paraId="4806554B">
      <w:pPr>
        <w:pStyle w:val="56"/>
        <w:spacing w:line="360" w:lineRule="auto"/>
        <w:ind w:firstLine="420"/>
      </w:pPr>
      <w:r>
        <w:rPr>
          <w:rFonts w:hint="eastAsia"/>
        </w:rPr>
        <w:t>指标权重可根据评价目的采用主观赋权、客观赋权或二者结合的方式确定。主观赋权可通过专家咨询、德尔菲法等方式获得，客观赋权可采用熵权法、方差法等统计方法。综合赋权法则可将两种方式的结果加权融合，提高权重分配的科学性。</w:t>
      </w:r>
    </w:p>
    <w:p w14:paraId="2CAC01E1">
      <w:pPr>
        <w:pStyle w:val="105"/>
        <w:spacing w:before="120" w:after="120" w:line="360" w:lineRule="auto"/>
      </w:pPr>
      <w:r>
        <w:rPr>
          <w:rFonts w:hint="eastAsia"/>
        </w:rPr>
        <w:t>结果标准化与可比性处理</w:t>
      </w:r>
    </w:p>
    <w:p w14:paraId="3EFC8911">
      <w:pPr>
        <w:pStyle w:val="56"/>
        <w:spacing w:line="360" w:lineRule="auto"/>
        <w:ind w:firstLine="420"/>
      </w:pPr>
      <w:r>
        <w:rPr>
          <w:rFonts w:hint="eastAsia"/>
        </w:rPr>
        <w:t>在进行不同类型指标的综合分析时，应先对原始数据进行标准化处理，消除量纲和量级差异。常用方法包括极差标准化、标准差标准化等。对于不同时间或不同地区的数据，应保持口径一致，并根据价格指数或其他修正系数进行可比性调整。</w:t>
      </w:r>
    </w:p>
    <w:p w14:paraId="4E714A72">
      <w:pPr>
        <w:pStyle w:val="104"/>
        <w:spacing w:before="240" w:after="240" w:line="360" w:lineRule="auto"/>
      </w:pPr>
      <w:bookmarkStart w:id="55" w:name="_Toc206187200"/>
      <w:r>
        <w:rPr>
          <w:rFonts w:hint="eastAsia"/>
        </w:rPr>
        <w:t>评价实施</w:t>
      </w:r>
      <w:bookmarkEnd w:id="55"/>
    </w:p>
    <w:p w14:paraId="7D19952F">
      <w:pPr>
        <w:pStyle w:val="105"/>
        <w:spacing w:before="120" w:after="120" w:line="360" w:lineRule="auto"/>
      </w:pPr>
      <w:r>
        <w:rPr>
          <w:rFonts w:hint="eastAsia"/>
        </w:rPr>
        <w:t>实施流程</w:t>
      </w:r>
    </w:p>
    <w:p w14:paraId="597D283B">
      <w:pPr>
        <w:pStyle w:val="56"/>
        <w:spacing w:line="360" w:lineRule="auto"/>
        <w:ind w:firstLine="420"/>
      </w:pPr>
      <w:r>
        <w:rPr>
          <w:rFonts w:hint="eastAsia"/>
        </w:rPr>
        <w:t>评价实施应按既定计划推进，确保各环节紧密衔接。典型流程包括：</w:t>
      </w:r>
    </w:p>
    <w:p w14:paraId="2BEE4565">
      <w:pPr>
        <w:pStyle w:val="174"/>
        <w:spacing w:line="360" w:lineRule="auto"/>
      </w:pPr>
      <w:r>
        <w:rPr>
          <w:rFonts w:hint="eastAsia"/>
        </w:rPr>
        <w:t>前期准备：确认评价对象、收集基础信息、完善数据采集工具；</w:t>
      </w:r>
    </w:p>
    <w:p w14:paraId="7E14E7F0">
      <w:pPr>
        <w:pStyle w:val="174"/>
        <w:spacing w:line="360" w:lineRule="auto"/>
      </w:pPr>
      <w:r>
        <w:rPr>
          <w:rFonts w:hint="eastAsia"/>
        </w:rPr>
        <w:t>数据采集：按照统一标准和方法收集经济、社会、资源生态等相关数据；</w:t>
      </w:r>
    </w:p>
    <w:p w14:paraId="03F48591">
      <w:pPr>
        <w:pStyle w:val="174"/>
        <w:spacing w:line="360" w:lineRule="auto"/>
      </w:pPr>
      <w:r>
        <w:rPr>
          <w:rFonts w:hint="eastAsia"/>
        </w:rPr>
        <w:t>数据审核：由专门小组进行数据初审、复审，确保数据真实、完整；</w:t>
      </w:r>
    </w:p>
    <w:p w14:paraId="6D24DA34">
      <w:pPr>
        <w:pStyle w:val="174"/>
        <w:spacing w:line="360" w:lineRule="auto"/>
      </w:pPr>
      <w:r>
        <w:rPr>
          <w:rFonts w:hint="eastAsia"/>
        </w:rPr>
        <w:t>数据处理：对原始数据进行标准化、可比性调整和必要的缺失值处理；</w:t>
      </w:r>
    </w:p>
    <w:p w14:paraId="1445579B">
      <w:pPr>
        <w:pStyle w:val="174"/>
        <w:spacing w:line="360" w:lineRule="auto"/>
      </w:pPr>
      <w:r>
        <w:rPr>
          <w:rFonts w:hint="eastAsia"/>
        </w:rPr>
        <w:t>指标计算：依据选定的评价方法和权重体系计算各类指标得分；</w:t>
      </w:r>
    </w:p>
    <w:p w14:paraId="54905078">
      <w:pPr>
        <w:pStyle w:val="174"/>
        <w:spacing w:line="360" w:lineRule="auto"/>
      </w:pPr>
      <w:r>
        <w:rPr>
          <w:rFonts w:hint="eastAsia"/>
        </w:rPr>
        <w:t>结果汇总：形成综合得分和分项得分，准备分析与报告。</w:t>
      </w:r>
    </w:p>
    <w:p w14:paraId="2CA35E96">
      <w:pPr>
        <w:pStyle w:val="105"/>
        <w:spacing w:before="120" w:after="120" w:line="360" w:lineRule="auto"/>
      </w:pPr>
      <w:r>
        <w:rPr>
          <w:rFonts w:hint="eastAsia"/>
        </w:rPr>
        <w:t>实施保障</w:t>
      </w:r>
    </w:p>
    <w:p w14:paraId="09368512">
      <w:pPr>
        <w:pStyle w:val="56"/>
        <w:spacing w:line="360" w:lineRule="auto"/>
        <w:ind w:firstLine="420"/>
      </w:pPr>
      <w:r>
        <w:rPr>
          <w:rFonts w:hint="eastAsia"/>
        </w:rPr>
        <w:t>监督工作不仅可以及时发现和纠正实施过程中的偏差，还能通过反馈机制推动评价质量的持续提升。监督应具有如下保障：</w:t>
      </w:r>
    </w:p>
    <w:p w14:paraId="008D7AFE">
      <w:pPr>
        <w:pStyle w:val="132"/>
        <w:spacing w:line="360" w:lineRule="auto"/>
      </w:pPr>
      <w:r>
        <w:rPr>
          <w:rFonts w:hint="eastAsia"/>
        </w:rPr>
        <w:t>人员保障：确保各环节有具备专业能力的人员负责；</w:t>
      </w:r>
    </w:p>
    <w:p w14:paraId="6FD27FFA">
      <w:pPr>
        <w:pStyle w:val="132"/>
        <w:spacing w:line="360" w:lineRule="auto"/>
      </w:pPr>
      <w:r>
        <w:rPr>
          <w:rFonts w:hint="eastAsia"/>
        </w:rPr>
        <w:t>技术保障：配备必要的统计分析软件与数据管理平台；</w:t>
      </w:r>
    </w:p>
    <w:p w14:paraId="6EFEAAF5">
      <w:pPr>
        <w:pStyle w:val="132"/>
        <w:spacing w:line="360" w:lineRule="auto"/>
      </w:pPr>
      <w:r>
        <w:rPr>
          <w:rFonts w:hint="eastAsia"/>
        </w:rPr>
        <w:t>制度保障：建立质量控制制度与应急处理预案。</w:t>
      </w:r>
    </w:p>
    <w:p w14:paraId="7BCA45F9">
      <w:pPr>
        <w:pStyle w:val="56"/>
        <w:spacing w:line="360" w:lineRule="auto"/>
        <w:ind w:firstLine="420"/>
      </w:pPr>
      <w:r>
        <w:rPr>
          <w:rFonts w:hint="eastAsia"/>
        </w:rPr>
        <w:t>在具备了人员、技术和制度等方面的充分保障后，评价实施还需要配套的监督机制来确保各项措施得到有效落实。</w:t>
      </w:r>
    </w:p>
    <w:p w14:paraId="5CF1B5EE">
      <w:pPr>
        <w:pStyle w:val="105"/>
        <w:spacing w:before="120" w:after="120" w:line="360" w:lineRule="auto"/>
      </w:pPr>
      <w:r>
        <w:rPr>
          <w:rFonts w:hint="eastAsia"/>
        </w:rPr>
        <w:t>实施监督</w:t>
      </w:r>
    </w:p>
    <w:p w14:paraId="3FDD569C">
      <w:pPr>
        <w:pStyle w:val="56"/>
        <w:spacing w:line="360" w:lineRule="auto"/>
        <w:ind w:firstLine="420"/>
      </w:pPr>
      <w:r>
        <w:rPr>
          <w:rFonts w:hint="eastAsia"/>
        </w:rPr>
        <w:t>评价实施过程应接受内部监督和必要的外部监督，确保评价工作符合要求并具有公信力。</w:t>
      </w:r>
    </w:p>
    <w:p w14:paraId="29506EC6">
      <w:pPr>
        <w:pStyle w:val="56"/>
        <w:spacing w:line="360" w:lineRule="auto"/>
        <w:ind w:firstLine="420"/>
      </w:pPr>
      <w:r>
        <w:rPr>
          <w:rFonts w:hint="eastAsia"/>
        </w:rPr>
        <w:t>评价实施阶段关键控制点见表4。</w:t>
      </w:r>
    </w:p>
    <w:p w14:paraId="285226B2">
      <w:pPr>
        <w:pStyle w:val="112"/>
        <w:spacing w:before="120" w:after="120" w:line="360" w:lineRule="auto"/>
      </w:pPr>
      <w:r>
        <w:rPr>
          <w:rFonts w:hint="eastAsia"/>
        </w:rPr>
        <w:t>评价实施阶段关键控制点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3402"/>
        <w:gridCol w:w="2048"/>
        <w:gridCol w:w="2334"/>
      </w:tblGrid>
      <w:tr w14:paraId="12AB5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03471106">
            <w:pPr>
              <w:pStyle w:val="178"/>
            </w:pPr>
            <w:r>
              <w:rPr>
                <w:rFonts w:hint="eastAsia"/>
              </w:rPr>
              <w:t>环节</w:t>
            </w:r>
          </w:p>
        </w:tc>
        <w:tc>
          <w:tcPr>
            <w:tcW w:w="3402" w:type="dxa"/>
            <w:tcBorders>
              <w:top w:val="single" w:color="auto" w:sz="8" w:space="0"/>
              <w:bottom w:val="single" w:color="auto" w:sz="8" w:space="0"/>
            </w:tcBorders>
          </w:tcPr>
          <w:p w14:paraId="5864D617">
            <w:pPr>
              <w:pStyle w:val="178"/>
            </w:pPr>
            <w:r>
              <w:rPr>
                <w:rFonts w:hint="eastAsia"/>
              </w:rPr>
              <w:t>关键控制点</w:t>
            </w:r>
          </w:p>
        </w:tc>
        <w:tc>
          <w:tcPr>
            <w:tcW w:w="2048" w:type="dxa"/>
            <w:tcBorders>
              <w:top w:val="single" w:color="auto" w:sz="8" w:space="0"/>
              <w:bottom w:val="single" w:color="auto" w:sz="8" w:space="0"/>
            </w:tcBorders>
          </w:tcPr>
          <w:p w14:paraId="2F761211">
            <w:pPr>
              <w:pStyle w:val="178"/>
            </w:pPr>
            <w:r>
              <w:rPr>
                <w:rFonts w:hint="eastAsia"/>
              </w:rPr>
              <w:t>检查方法</w:t>
            </w:r>
          </w:p>
        </w:tc>
        <w:tc>
          <w:tcPr>
            <w:tcW w:w="2334" w:type="dxa"/>
            <w:tcBorders>
              <w:top w:val="single" w:color="auto" w:sz="8" w:space="0"/>
              <w:bottom w:val="single" w:color="auto" w:sz="8" w:space="0"/>
            </w:tcBorders>
          </w:tcPr>
          <w:p w14:paraId="5F9FDB42">
            <w:pPr>
              <w:pStyle w:val="178"/>
            </w:pPr>
            <w:r>
              <w:rPr>
                <w:rFonts w:hint="eastAsia"/>
              </w:rPr>
              <w:t>责任部门</w:t>
            </w:r>
          </w:p>
        </w:tc>
      </w:tr>
      <w:tr w14:paraId="2A14C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5366604D">
            <w:pPr>
              <w:pStyle w:val="178"/>
            </w:pPr>
            <w:r>
              <w:rPr>
                <w:rFonts w:hint="eastAsia"/>
              </w:rPr>
              <w:t>数据采集</w:t>
            </w:r>
          </w:p>
        </w:tc>
        <w:tc>
          <w:tcPr>
            <w:tcW w:w="3402" w:type="dxa"/>
            <w:tcBorders>
              <w:top w:val="single" w:color="auto" w:sz="8" w:space="0"/>
            </w:tcBorders>
          </w:tcPr>
          <w:p w14:paraId="19894384">
            <w:pPr>
              <w:pStyle w:val="178"/>
            </w:pPr>
            <w:r>
              <w:rPr>
                <w:rFonts w:hint="eastAsia"/>
              </w:rPr>
              <w:t>按标准方法、标准口径采集数据</w:t>
            </w:r>
          </w:p>
        </w:tc>
        <w:tc>
          <w:tcPr>
            <w:tcW w:w="2048" w:type="dxa"/>
            <w:tcBorders>
              <w:top w:val="single" w:color="auto" w:sz="8" w:space="0"/>
            </w:tcBorders>
          </w:tcPr>
          <w:p w14:paraId="41EFD4C0">
            <w:pPr>
              <w:pStyle w:val="178"/>
            </w:pPr>
            <w:r>
              <w:rPr>
                <w:rFonts w:hint="eastAsia"/>
              </w:rPr>
              <w:t>查阅采集记录</w:t>
            </w:r>
          </w:p>
        </w:tc>
        <w:tc>
          <w:tcPr>
            <w:tcW w:w="2334" w:type="dxa"/>
            <w:tcBorders>
              <w:top w:val="single" w:color="auto" w:sz="8" w:space="0"/>
            </w:tcBorders>
          </w:tcPr>
          <w:p w14:paraId="28C1B3A0">
            <w:pPr>
              <w:pStyle w:val="178"/>
            </w:pPr>
            <w:r>
              <w:rPr>
                <w:rFonts w:hint="eastAsia"/>
              </w:rPr>
              <w:t>数据采集组</w:t>
            </w:r>
          </w:p>
        </w:tc>
      </w:tr>
      <w:tr w14:paraId="0CFF2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B29FE08">
            <w:pPr>
              <w:pStyle w:val="178"/>
            </w:pPr>
            <w:r>
              <w:rPr>
                <w:rFonts w:hint="eastAsia"/>
              </w:rPr>
              <w:t>数据审核</w:t>
            </w:r>
          </w:p>
        </w:tc>
        <w:tc>
          <w:tcPr>
            <w:tcW w:w="3402" w:type="dxa"/>
          </w:tcPr>
          <w:p w14:paraId="150370F2">
            <w:pPr>
              <w:pStyle w:val="178"/>
            </w:pPr>
            <w:r>
              <w:rPr>
                <w:rFonts w:hint="eastAsia"/>
              </w:rPr>
              <w:t>初审、复审制度落实</w:t>
            </w:r>
          </w:p>
        </w:tc>
        <w:tc>
          <w:tcPr>
            <w:tcW w:w="2048" w:type="dxa"/>
          </w:tcPr>
          <w:p w14:paraId="4010A717">
            <w:pPr>
              <w:pStyle w:val="178"/>
            </w:pPr>
            <w:r>
              <w:rPr>
                <w:rFonts w:hint="eastAsia"/>
              </w:rPr>
              <w:t>检查审核表</w:t>
            </w:r>
          </w:p>
        </w:tc>
        <w:tc>
          <w:tcPr>
            <w:tcW w:w="2334" w:type="dxa"/>
          </w:tcPr>
          <w:p w14:paraId="59E6F984">
            <w:pPr>
              <w:pStyle w:val="178"/>
            </w:pPr>
            <w:r>
              <w:rPr>
                <w:rFonts w:hint="eastAsia"/>
              </w:rPr>
              <w:t>数据审核组</w:t>
            </w:r>
          </w:p>
        </w:tc>
      </w:tr>
      <w:tr w14:paraId="48B71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3815FBE">
            <w:pPr>
              <w:pStyle w:val="178"/>
            </w:pPr>
            <w:r>
              <w:rPr>
                <w:rFonts w:hint="eastAsia"/>
              </w:rPr>
              <w:t>数据处理</w:t>
            </w:r>
          </w:p>
        </w:tc>
        <w:tc>
          <w:tcPr>
            <w:tcW w:w="3402" w:type="dxa"/>
          </w:tcPr>
          <w:p w14:paraId="0542D5DE">
            <w:pPr>
              <w:pStyle w:val="178"/>
            </w:pPr>
            <w:r>
              <w:rPr>
                <w:rFonts w:hint="eastAsia"/>
              </w:rPr>
              <w:t>标准化、可比性调整符合规范</w:t>
            </w:r>
          </w:p>
        </w:tc>
        <w:tc>
          <w:tcPr>
            <w:tcW w:w="2048" w:type="dxa"/>
          </w:tcPr>
          <w:p w14:paraId="701350F4">
            <w:pPr>
              <w:pStyle w:val="178"/>
            </w:pPr>
            <w:r>
              <w:rPr>
                <w:rFonts w:hint="eastAsia"/>
              </w:rPr>
              <w:t>查阅处理说明</w:t>
            </w:r>
          </w:p>
        </w:tc>
        <w:tc>
          <w:tcPr>
            <w:tcW w:w="2334" w:type="dxa"/>
          </w:tcPr>
          <w:p w14:paraId="3015A065">
            <w:pPr>
              <w:pStyle w:val="178"/>
            </w:pPr>
            <w:r>
              <w:rPr>
                <w:rFonts w:hint="eastAsia"/>
              </w:rPr>
              <w:t>数据分析组</w:t>
            </w:r>
          </w:p>
        </w:tc>
      </w:tr>
      <w:tr w14:paraId="06C0F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213B2FF">
            <w:pPr>
              <w:pStyle w:val="178"/>
            </w:pPr>
            <w:r>
              <w:rPr>
                <w:rFonts w:hint="eastAsia"/>
              </w:rPr>
              <w:t>指标计算</w:t>
            </w:r>
          </w:p>
        </w:tc>
        <w:tc>
          <w:tcPr>
            <w:tcW w:w="3402" w:type="dxa"/>
          </w:tcPr>
          <w:p w14:paraId="38C6A87E">
            <w:pPr>
              <w:pStyle w:val="178"/>
            </w:pPr>
            <w:r>
              <w:rPr>
                <w:rFonts w:hint="eastAsia"/>
              </w:rPr>
              <w:t>权重正确、公式准确</w:t>
            </w:r>
          </w:p>
        </w:tc>
        <w:tc>
          <w:tcPr>
            <w:tcW w:w="2048" w:type="dxa"/>
          </w:tcPr>
          <w:p w14:paraId="383ACB08">
            <w:pPr>
              <w:pStyle w:val="178"/>
            </w:pPr>
            <w:r>
              <w:rPr>
                <w:rFonts w:hint="eastAsia"/>
              </w:rPr>
              <w:t>核对计算表</w:t>
            </w:r>
          </w:p>
        </w:tc>
        <w:tc>
          <w:tcPr>
            <w:tcW w:w="2334" w:type="dxa"/>
          </w:tcPr>
          <w:p w14:paraId="428BC2E7">
            <w:pPr>
              <w:pStyle w:val="178"/>
            </w:pPr>
            <w:r>
              <w:rPr>
                <w:rFonts w:hint="eastAsia"/>
              </w:rPr>
              <w:t>数据分析组</w:t>
            </w:r>
          </w:p>
        </w:tc>
      </w:tr>
      <w:tr w14:paraId="13AF8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50FB9BE">
            <w:pPr>
              <w:pStyle w:val="178"/>
            </w:pPr>
            <w:r>
              <w:rPr>
                <w:rFonts w:hint="eastAsia"/>
              </w:rPr>
              <w:t>结果汇总</w:t>
            </w:r>
          </w:p>
        </w:tc>
        <w:tc>
          <w:tcPr>
            <w:tcW w:w="3402" w:type="dxa"/>
          </w:tcPr>
          <w:p w14:paraId="37557668">
            <w:pPr>
              <w:pStyle w:val="178"/>
            </w:pPr>
            <w:r>
              <w:rPr>
                <w:rFonts w:hint="eastAsia"/>
              </w:rPr>
              <w:t>综合得分与分项得分正确</w:t>
            </w:r>
          </w:p>
        </w:tc>
        <w:tc>
          <w:tcPr>
            <w:tcW w:w="2048" w:type="dxa"/>
          </w:tcPr>
          <w:p w14:paraId="64AC3917">
            <w:pPr>
              <w:pStyle w:val="178"/>
            </w:pPr>
            <w:r>
              <w:rPr>
                <w:rFonts w:hint="eastAsia"/>
              </w:rPr>
              <w:t>审核结果报告</w:t>
            </w:r>
          </w:p>
        </w:tc>
        <w:tc>
          <w:tcPr>
            <w:tcW w:w="2334" w:type="dxa"/>
          </w:tcPr>
          <w:p w14:paraId="3E1701DF">
            <w:pPr>
              <w:pStyle w:val="178"/>
            </w:pPr>
            <w:r>
              <w:rPr>
                <w:rFonts w:hint="eastAsia"/>
              </w:rPr>
              <w:t>项目管理组</w:t>
            </w:r>
          </w:p>
        </w:tc>
      </w:tr>
    </w:tbl>
    <w:p w14:paraId="5F86E789">
      <w:pPr>
        <w:pStyle w:val="104"/>
        <w:spacing w:before="240" w:after="240" w:line="360" w:lineRule="auto"/>
      </w:pPr>
      <w:bookmarkStart w:id="56" w:name="_Toc206187201"/>
      <w:r>
        <w:rPr>
          <w:rFonts w:hint="eastAsia"/>
        </w:rPr>
        <w:t>结果分析与应用</w:t>
      </w:r>
      <w:bookmarkEnd w:id="56"/>
    </w:p>
    <w:p w14:paraId="49B0D982">
      <w:pPr>
        <w:pStyle w:val="105"/>
        <w:spacing w:before="120" w:after="120" w:line="360" w:lineRule="auto"/>
      </w:pPr>
      <w:r>
        <w:rPr>
          <w:rFonts w:hint="eastAsia"/>
        </w:rPr>
        <w:t>结果分析方法</w:t>
      </w:r>
    </w:p>
    <w:p w14:paraId="20952B31">
      <w:pPr>
        <w:pStyle w:val="56"/>
        <w:spacing w:line="360" w:lineRule="auto"/>
        <w:ind w:firstLine="420"/>
      </w:pPr>
      <w:r>
        <w:rPr>
          <w:rFonts w:hint="eastAsia"/>
        </w:rPr>
        <w:t>评价结果应结合多维度指标进行综合分析，避免仅凭单一得分作出结论。分析过程可从以下方面入手：</w:t>
      </w:r>
    </w:p>
    <w:p w14:paraId="15A6BDE9">
      <w:pPr>
        <w:pStyle w:val="132"/>
        <w:spacing w:line="360" w:lineRule="auto"/>
      </w:pPr>
      <w:r>
        <w:rPr>
          <w:rFonts w:hint="eastAsia"/>
        </w:rPr>
        <w:t>纵向分析：将本次评价结果与历史数据进行对比，判断运营效率的变化趋势；</w:t>
      </w:r>
    </w:p>
    <w:p w14:paraId="38D05595">
      <w:pPr>
        <w:pStyle w:val="132"/>
        <w:spacing w:line="360" w:lineRule="auto"/>
      </w:pPr>
      <w:r>
        <w:rPr>
          <w:rFonts w:hint="eastAsia"/>
        </w:rPr>
        <w:t>横向分析：与同类地区、同类规模或同类产业的集体经济组织进行对比，确定相对优势和劣势；</w:t>
      </w:r>
    </w:p>
    <w:p w14:paraId="2B7008FA">
      <w:pPr>
        <w:pStyle w:val="132"/>
        <w:spacing w:line="360" w:lineRule="auto"/>
      </w:pPr>
      <w:r>
        <w:rPr>
          <w:rFonts w:hint="eastAsia"/>
        </w:rPr>
        <w:t>结构分析：分解综合得分，分析经济效益、社会效益、资源与生态效率等维度的贡献度和短板；</w:t>
      </w:r>
    </w:p>
    <w:p w14:paraId="04151C1E">
      <w:pPr>
        <w:pStyle w:val="132"/>
        <w:spacing w:line="360" w:lineRule="auto"/>
      </w:pPr>
      <w:r>
        <w:rPr>
          <w:rFonts w:hint="eastAsia"/>
        </w:rPr>
        <w:t>因果分析：结合定性访谈与背景数据，探讨影响指标表现的内外部因素。</w:t>
      </w:r>
    </w:p>
    <w:p w14:paraId="299E3639">
      <w:pPr>
        <w:pStyle w:val="105"/>
        <w:spacing w:before="120" w:after="120" w:line="360" w:lineRule="auto"/>
      </w:pPr>
      <w:r>
        <w:rPr>
          <w:rFonts w:hint="eastAsia"/>
        </w:rPr>
        <w:t>问题诊断与关键瓶颈识别</w:t>
      </w:r>
    </w:p>
    <w:p w14:paraId="359301A6">
      <w:pPr>
        <w:pStyle w:val="56"/>
        <w:spacing w:line="360" w:lineRule="auto"/>
        <w:ind w:firstLine="420"/>
      </w:pPr>
      <w:r>
        <w:rPr>
          <w:rFonts w:hint="eastAsia"/>
        </w:rPr>
        <w:t>通过结构性分析，可以找出制约运营效率提升的关键因素。例如：</w:t>
      </w:r>
    </w:p>
    <w:p w14:paraId="6649F21B">
      <w:pPr>
        <w:pStyle w:val="132"/>
        <w:spacing w:line="360" w:lineRule="auto"/>
      </w:pPr>
      <w:r>
        <w:rPr>
          <w:rFonts w:hint="eastAsia"/>
        </w:rPr>
        <w:t>盈利能力较弱，可能源于经营模式单一或市场拓展不足；</w:t>
      </w:r>
    </w:p>
    <w:p w14:paraId="6B559E90">
      <w:pPr>
        <w:pStyle w:val="132"/>
        <w:spacing w:line="360" w:lineRule="auto"/>
      </w:pPr>
      <w:r>
        <w:rPr>
          <w:rFonts w:hint="eastAsia"/>
        </w:rPr>
        <w:t>社会贡献度偏低，可能与公共服务投入不足有关；</w:t>
      </w:r>
    </w:p>
    <w:p w14:paraId="77030636">
      <w:pPr>
        <w:pStyle w:val="132"/>
        <w:spacing w:line="360" w:lineRule="auto"/>
      </w:pPr>
      <w:r>
        <w:rPr>
          <w:rFonts w:hint="eastAsia"/>
        </w:rPr>
        <w:t>资源利用率低，可能由于技术水平不足或资源配置不合理。</w:t>
      </w:r>
    </w:p>
    <w:p w14:paraId="4A123B8E">
      <w:pPr>
        <w:pStyle w:val="56"/>
        <w:spacing w:line="360" w:lineRule="auto"/>
        <w:ind w:firstLine="420"/>
      </w:pPr>
      <w:r>
        <w:rPr>
          <w:rFonts w:hint="eastAsia"/>
        </w:rPr>
        <w:t>在诊断时，应结合当地政策环境、产业基础和组织治理水平综合判断。</w:t>
      </w:r>
    </w:p>
    <w:p w14:paraId="29BE7D7B">
      <w:pPr>
        <w:pStyle w:val="105"/>
        <w:spacing w:before="120" w:after="120" w:line="360" w:lineRule="auto"/>
      </w:pPr>
      <w:r>
        <w:rPr>
          <w:rFonts w:hint="eastAsia"/>
        </w:rPr>
        <w:t>改进与提升建议</w:t>
      </w:r>
    </w:p>
    <w:p w14:paraId="0BE090B5">
      <w:pPr>
        <w:pStyle w:val="56"/>
        <w:spacing w:line="360" w:lineRule="auto"/>
        <w:ind w:firstLine="420"/>
      </w:pPr>
      <w:r>
        <w:rPr>
          <w:rFonts w:hint="eastAsia"/>
        </w:rPr>
        <w:t>基于问题诊断结果，应提出具有针对性、可操作性和可量化目标的改进建议，确保农村集体经济组织能够在短期内解决主要问题，并在中长期形成持续提升的能力。建议可从以下方面展开：</w:t>
      </w:r>
    </w:p>
    <w:p w14:paraId="70D0B0F9">
      <w:pPr>
        <w:pStyle w:val="132"/>
        <w:spacing w:line="360" w:lineRule="auto"/>
      </w:pPr>
      <w:r>
        <w:rPr>
          <w:rFonts w:hint="eastAsia"/>
        </w:rPr>
        <w:t>经济效益方面：优化产品结构，拓展多元化经营渠道，提升资产利用率；</w:t>
      </w:r>
    </w:p>
    <w:p w14:paraId="66C1ABA0">
      <w:pPr>
        <w:pStyle w:val="132"/>
        <w:spacing w:line="360" w:lineRule="auto"/>
      </w:pPr>
      <w:r>
        <w:rPr>
          <w:rFonts w:hint="eastAsia"/>
        </w:rPr>
        <w:t>社会效益方面：加大在就业岗位创造、公共服务投入等方面的资源投入，提高成员参与感与满意度；</w:t>
      </w:r>
    </w:p>
    <w:p w14:paraId="2EAB4E76">
      <w:pPr>
        <w:pStyle w:val="132"/>
        <w:spacing w:line="360" w:lineRule="auto"/>
      </w:pPr>
      <w:r>
        <w:rPr>
          <w:rFonts w:hint="eastAsia"/>
        </w:rPr>
        <w:t>资源与生态方面：推广节能节水技术，加强生态修复与保护，提高绿色生产水平。</w:t>
      </w:r>
    </w:p>
    <w:p w14:paraId="4C09FCFD">
      <w:pPr>
        <w:pStyle w:val="105"/>
        <w:spacing w:before="120" w:after="120" w:line="360" w:lineRule="auto"/>
      </w:pPr>
      <w:r>
        <w:rPr>
          <w:rFonts w:hint="eastAsia"/>
        </w:rPr>
        <w:t>结果应用场景</w:t>
      </w:r>
    </w:p>
    <w:p w14:paraId="363B40C4">
      <w:pPr>
        <w:pStyle w:val="56"/>
        <w:spacing w:line="360" w:lineRule="auto"/>
        <w:ind w:firstLine="420"/>
      </w:pPr>
      <w:r>
        <w:rPr>
          <w:rFonts w:hint="eastAsia"/>
        </w:rPr>
        <w:t>评价结果可在多种场景中应用：</w:t>
      </w:r>
    </w:p>
    <w:p w14:paraId="4D84307E">
      <w:pPr>
        <w:pStyle w:val="132"/>
        <w:spacing w:line="360" w:lineRule="auto"/>
      </w:pPr>
      <w:r>
        <w:rPr>
          <w:rFonts w:hint="eastAsia"/>
        </w:rPr>
        <w:t>政策制定参考：政府部门可将结果用于制定扶持政策、财政补贴方案及产业引导规划；</w:t>
      </w:r>
    </w:p>
    <w:p w14:paraId="6E2E68A5">
      <w:pPr>
        <w:pStyle w:val="132"/>
        <w:spacing w:line="360" w:lineRule="auto"/>
      </w:pPr>
      <w:r>
        <w:rPr>
          <w:rFonts w:hint="eastAsia"/>
        </w:rPr>
        <w:t>组织内部改进：农村集体经济组织可据此优化内部管理，改进决策机制；</w:t>
      </w:r>
    </w:p>
    <w:p w14:paraId="6EF3B340">
      <w:pPr>
        <w:pStyle w:val="132"/>
        <w:spacing w:line="360" w:lineRule="auto"/>
      </w:pPr>
      <w:r>
        <w:rPr>
          <w:rFonts w:hint="eastAsia"/>
        </w:rPr>
        <w:t>投资与融资依据：金融机构、投资方可将结果作为信用评估和风险判断的重要参考；</w:t>
      </w:r>
    </w:p>
    <w:p w14:paraId="625B388A">
      <w:pPr>
        <w:pStyle w:val="132"/>
        <w:spacing w:line="360" w:lineRule="auto"/>
      </w:pPr>
      <w:r>
        <w:rPr>
          <w:rFonts w:hint="eastAsia"/>
        </w:rPr>
        <w:t>绩效考核与激励：可作为集体经济组织领导班子和管理团队绩效考核的依据。</w:t>
      </w:r>
    </w:p>
    <w:p w14:paraId="4B5B39E1">
      <w:pPr>
        <w:pStyle w:val="105"/>
        <w:spacing w:before="120" w:after="120" w:line="360" w:lineRule="auto"/>
      </w:pPr>
      <w:r>
        <w:rPr>
          <w:rFonts w:hint="eastAsia"/>
        </w:rPr>
        <w:t>结果公示与反馈机制</w:t>
      </w:r>
    </w:p>
    <w:p w14:paraId="5CD23481">
      <w:pPr>
        <w:pStyle w:val="56"/>
        <w:spacing w:line="360" w:lineRule="auto"/>
        <w:ind w:firstLine="420"/>
      </w:pPr>
      <w:r>
        <w:rPr>
          <w:rFonts w:hint="eastAsia"/>
        </w:rPr>
        <w:t>在不违反保密规定的前提下，评价结果可通过简报、会议或信息平台向利益相关方公示，以提升透明度和公信力。应建立结果反馈机制，收集被评价组织、主管部门、第三方机构等的意见和建议，持续优化评价体系与实施方法。化评价体系与方法。</w:t>
      </w:r>
    </w:p>
    <w:p w14:paraId="44E94246">
      <w:pPr>
        <w:pStyle w:val="56"/>
        <w:spacing w:line="360" w:lineRule="auto"/>
        <w:ind w:firstLine="420"/>
      </w:pPr>
      <w:r>
        <w:rPr>
          <w:rFonts w:hint="eastAsia"/>
        </w:rPr>
        <w:t>为了便于管理部门和组织内部在应用结果时对照执行，可将结果应用的关键环节总结如表5所示。</w:t>
      </w:r>
    </w:p>
    <w:p w14:paraId="655F2693">
      <w:pPr>
        <w:pStyle w:val="112"/>
        <w:spacing w:before="120" w:after="120" w:line="360" w:lineRule="auto"/>
      </w:pPr>
      <w:r>
        <w:rPr>
          <w:rFonts w:hint="eastAsia"/>
        </w:rPr>
        <w:t>评价结果应用关键环节与控制要点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402"/>
        <w:gridCol w:w="2410"/>
        <w:gridCol w:w="1831"/>
      </w:tblGrid>
      <w:tr w14:paraId="6307A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4183C6C9">
            <w:pPr>
              <w:pStyle w:val="178"/>
            </w:pPr>
            <w:r>
              <w:rPr>
                <w:rFonts w:hint="eastAsia"/>
              </w:rPr>
              <w:t>应用环节</w:t>
            </w:r>
          </w:p>
        </w:tc>
        <w:tc>
          <w:tcPr>
            <w:tcW w:w="3402" w:type="dxa"/>
            <w:tcBorders>
              <w:top w:val="single" w:color="auto" w:sz="8" w:space="0"/>
              <w:bottom w:val="single" w:color="auto" w:sz="8" w:space="0"/>
            </w:tcBorders>
          </w:tcPr>
          <w:p w14:paraId="776DE296">
            <w:pPr>
              <w:pStyle w:val="178"/>
            </w:pPr>
            <w:r>
              <w:rPr>
                <w:rFonts w:hint="eastAsia"/>
              </w:rPr>
              <w:t>控制要点</w:t>
            </w:r>
          </w:p>
        </w:tc>
        <w:tc>
          <w:tcPr>
            <w:tcW w:w="2410" w:type="dxa"/>
            <w:tcBorders>
              <w:top w:val="single" w:color="auto" w:sz="8" w:space="0"/>
              <w:bottom w:val="single" w:color="auto" w:sz="8" w:space="0"/>
            </w:tcBorders>
          </w:tcPr>
          <w:p w14:paraId="4D9A7EF7">
            <w:pPr>
              <w:pStyle w:val="178"/>
            </w:pPr>
            <w:r>
              <w:rPr>
                <w:rFonts w:hint="eastAsia"/>
              </w:rPr>
              <w:t>检查方法</w:t>
            </w:r>
          </w:p>
        </w:tc>
        <w:tc>
          <w:tcPr>
            <w:tcW w:w="1831" w:type="dxa"/>
            <w:tcBorders>
              <w:top w:val="single" w:color="auto" w:sz="8" w:space="0"/>
              <w:bottom w:val="single" w:color="auto" w:sz="8" w:space="0"/>
            </w:tcBorders>
          </w:tcPr>
          <w:p w14:paraId="3B05A7EA">
            <w:pPr>
              <w:pStyle w:val="178"/>
            </w:pPr>
            <w:r>
              <w:rPr>
                <w:rFonts w:hint="eastAsia"/>
              </w:rPr>
              <w:t>责任部门</w:t>
            </w:r>
          </w:p>
        </w:tc>
      </w:tr>
      <w:tr w14:paraId="39D42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36E6C22A">
            <w:pPr>
              <w:pStyle w:val="178"/>
            </w:pPr>
            <w:r>
              <w:rPr>
                <w:rFonts w:hint="eastAsia"/>
              </w:rPr>
              <w:t>政策制定参考</w:t>
            </w:r>
          </w:p>
        </w:tc>
        <w:tc>
          <w:tcPr>
            <w:tcW w:w="3402" w:type="dxa"/>
            <w:tcBorders>
              <w:top w:val="single" w:color="auto" w:sz="8" w:space="0"/>
            </w:tcBorders>
          </w:tcPr>
          <w:p w14:paraId="4DB3A936">
            <w:pPr>
              <w:pStyle w:val="178"/>
            </w:pPr>
            <w:r>
              <w:rPr>
                <w:rFonts w:hint="eastAsia"/>
              </w:rPr>
              <w:t>结果纳入政策研究与制定过程</w:t>
            </w:r>
          </w:p>
        </w:tc>
        <w:tc>
          <w:tcPr>
            <w:tcW w:w="2410" w:type="dxa"/>
            <w:tcBorders>
              <w:top w:val="single" w:color="auto" w:sz="8" w:space="0"/>
            </w:tcBorders>
          </w:tcPr>
          <w:p w14:paraId="006F624D">
            <w:pPr>
              <w:pStyle w:val="178"/>
            </w:pPr>
            <w:r>
              <w:rPr>
                <w:rFonts w:hint="eastAsia"/>
              </w:rPr>
              <w:t>查阅政策文件、会议记录</w:t>
            </w:r>
          </w:p>
        </w:tc>
        <w:tc>
          <w:tcPr>
            <w:tcW w:w="1831" w:type="dxa"/>
            <w:tcBorders>
              <w:top w:val="single" w:color="auto" w:sz="8" w:space="0"/>
            </w:tcBorders>
          </w:tcPr>
          <w:p w14:paraId="4C1AC3BE">
            <w:pPr>
              <w:pStyle w:val="178"/>
            </w:pPr>
            <w:r>
              <w:rPr>
                <w:rFonts w:hint="eastAsia"/>
              </w:rPr>
              <w:t>政府主管部门</w:t>
            </w:r>
          </w:p>
        </w:tc>
      </w:tr>
      <w:tr w14:paraId="000DD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B6DDF64">
            <w:pPr>
              <w:pStyle w:val="178"/>
            </w:pPr>
            <w:r>
              <w:rPr>
                <w:rFonts w:hint="eastAsia"/>
              </w:rPr>
              <w:t>内部管理改进</w:t>
            </w:r>
          </w:p>
        </w:tc>
        <w:tc>
          <w:tcPr>
            <w:tcW w:w="3402" w:type="dxa"/>
          </w:tcPr>
          <w:p w14:paraId="611FAFBB">
            <w:pPr>
              <w:pStyle w:val="178"/>
            </w:pPr>
            <w:r>
              <w:rPr>
                <w:rFonts w:hint="eastAsia"/>
              </w:rPr>
              <w:t>制定改进计划并跟踪落实</w:t>
            </w:r>
          </w:p>
        </w:tc>
        <w:tc>
          <w:tcPr>
            <w:tcW w:w="2410" w:type="dxa"/>
          </w:tcPr>
          <w:p w14:paraId="17A57FD0">
            <w:pPr>
              <w:pStyle w:val="178"/>
            </w:pPr>
            <w:r>
              <w:rPr>
                <w:rFonts w:hint="eastAsia"/>
              </w:rPr>
              <w:t>检查改进方案、实施进度</w:t>
            </w:r>
          </w:p>
        </w:tc>
        <w:tc>
          <w:tcPr>
            <w:tcW w:w="1831" w:type="dxa"/>
          </w:tcPr>
          <w:p w14:paraId="43251119">
            <w:pPr>
              <w:pStyle w:val="178"/>
            </w:pPr>
            <w:r>
              <w:rPr>
                <w:rFonts w:hint="eastAsia"/>
              </w:rPr>
              <w:t>集体经济组织管理层</w:t>
            </w:r>
          </w:p>
        </w:tc>
      </w:tr>
      <w:tr w14:paraId="5CA48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D23ACC0">
            <w:pPr>
              <w:pStyle w:val="178"/>
            </w:pPr>
            <w:r>
              <w:rPr>
                <w:rFonts w:hint="eastAsia"/>
              </w:rPr>
              <w:t>投资融资依据</w:t>
            </w:r>
          </w:p>
        </w:tc>
        <w:tc>
          <w:tcPr>
            <w:tcW w:w="3402" w:type="dxa"/>
          </w:tcPr>
          <w:p w14:paraId="4CA70E8D">
            <w:pPr>
              <w:pStyle w:val="178"/>
            </w:pPr>
            <w:r>
              <w:rPr>
                <w:rFonts w:hint="eastAsia"/>
              </w:rPr>
              <w:t>结果用于信用评估与风险分析</w:t>
            </w:r>
          </w:p>
        </w:tc>
        <w:tc>
          <w:tcPr>
            <w:tcW w:w="2410" w:type="dxa"/>
          </w:tcPr>
          <w:p w14:paraId="3FE625AB">
            <w:pPr>
              <w:pStyle w:val="178"/>
            </w:pPr>
            <w:r>
              <w:rPr>
                <w:rFonts w:hint="eastAsia"/>
              </w:rPr>
              <w:t>查阅金融评估报告</w:t>
            </w:r>
          </w:p>
        </w:tc>
        <w:tc>
          <w:tcPr>
            <w:tcW w:w="1831" w:type="dxa"/>
          </w:tcPr>
          <w:p w14:paraId="7B3FE0EB">
            <w:pPr>
              <w:pStyle w:val="178"/>
            </w:pPr>
            <w:r>
              <w:rPr>
                <w:rFonts w:hint="eastAsia"/>
              </w:rPr>
              <w:t>金融机构</w:t>
            </w:r>
          </w:p>
        </w:tc>
      </w:tr>
      <w:tr w14:paraId="50EA4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E2A38AD">
            <w:pPr>
              <w:pStyle w:val="178"/>
            </w:pPr>
            <w:r>
              <w:rPr>
                <w:rFonts w:hint="eastAsia"/>
              </w:rPr>
              <w:t>绩效考核与激励</w:t>
            </w:r>
          </w:p>
        </w:tc>
        <w:tc>
          <w:tcPr>
            <w:tcW w:w="3402" w:type="dxa"/>
          </w:tcPr>
          <w:p w14:paraId="24CD073C">
            <w:pPr>
              <w:pStyle w:val="178"/>
            </w:pPr>
            <w:r>
              <w:rPr>
                <w:rFonts w:hint="eastAsia"/>
              </w:rPr>
              <w:t>将结果纳入管理层绩效考核体系</w:t>
            </w:r>
          </w:p>
        </w:tc>
        <w:tc>
          <w:tcPr>
            <w:tcW w:w="2410" w:type="dxa"/>
          </w:tcPr>
          <w:p w14:paraId="689B6016">
            <w:pPr>
              <w:pStyle w:val="178"/>
            </w:pPr>
            <w:r>
              <w:rPr>
                <w:rFonts w:hint="eastAsia"/>
              </w:rPr>
              <w:t>查阅考核方案、评分记录</w:t>
            </w:r>
          </w:p>
        </w:tc>
        <w:tc>
          <w:tcPr>
            <w:tcW w:w="1831" w:type="dxa"/>
          </w:tcPr>
          <w:p w14:paraId="2BC21D49">
            <w:pPr>
              <w:pStyle w:val="178"/>
            </w:pPr>
            <w:r>
              <w:rPr>
                <w:rFonts w:hint="eastAsia"/>
              </w:rPr>
              <w:t>组织人力资源部</w:t>
            </w:r>
          </w:p>
        </w:tc>
      </w:tr>
      <w:tr w14:paraId="568A9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67BD9E4">
            <w:pPr>
              <w:pStyle w:val="178"/>
            </w:pPr>
            <w:r>
              <w:rPr>
                <w:rFonts w:hint="eastAsia"/>
              </w:rPr>
              <w:t>结果反馈机制</w:t>
            </w:r>
          </w:p>
        </w:tc>
        <w:tc>
          <w:tcPr>
            <w:tcW w:w="3402" w:type="dxa"/>
          </w:tcPr>
          <w:p w14:paraId="1862D03B">
            <w:pPr>
              <w:pStyle w:val="178"/>
            </w:pPr>
            <w:r>
              <w:rPr>
                <w:rFonts w:hint="eastAsia"/>
              </w:rPr>
              <w:t>收集并处理反馈意见，定期优化评价体系</w:t>
            </w:r>
          </w:p>
        </w:tc>
        <w:tc>
          <w:tcPr>
            <w:tcW w:w="2410" w:type="dxa"/>
          </w:tcPr>
          <w:p w14:paraId="21DB1717">
            <w:pPr>
              <w:pStyle w:val="178"/>
            </w:pPr>
            <w:r>
              <w:rPr>
                <w:rFonts w:hint="eastAsia"/>
              </w:rPr>
              <w:t>查阅反馈记录、改进方案</w:t>
            </w:r>
          </w:p>
        </w:tc>
        <w:tc>
          <w:tcPr>
            <w:tcW w:w="1831" w:type="dxa"/>
          </w:tcPr>
          <w:p w14:paraId="6D1194E9">
            <w:pPr>
              <w:pStyle w:val="178"/>
            </w:pPr>
            <w:r>
              <w:rPr>
                <w:rFonts w:hint="eastAsia"/>
              </w:rPr>
              <w:t>评价实施机构</w:t>
            </w:r>
          </w:p>
        </w:tc>
      </w:tr>
      <w:bookmarkEnd w:id="26"/>
    </w:tbl>
    <w:p w14:paraId="6D4EFAED">
      <w:pPr>
        <w:pStyle w:val="56"/>
        <w:ind w:firstLine="0" w:firstLineChars="0"/>
        <w:jc w:val="center"/>
      </w:pPr>
      <w:bookmarkStart w:id="57" w:name="BookMark8"/>
      <w:bookmarkStart w:id="58" w:name="_GoBack"/>
      <w:bookmarkEnd w:id="58"/>
      <w:r>
        <w:rPr>
          <w:rFonts w:hint="eastAsia"/>
        </w:rPr>
        <w:drawing>
          <wp:inline distT="0" distB="0" distL="0" distR="0">
            <wp:extent cx="1485900" cy="317500"/>
            <wp:effectExtent l="0" t="0" r="0" b="6350"/>
            <wp:docPr id="1121557082" name="图片 3"/>
            <wp:cNvGraphicFramePr/>
            <a:graphic xmlns:a="http://schemas.openxmlformats.org/drawingml/2006/main">
              <a:graphicData uri="http://schemas.openxmlformats.org/drawingml/2006/picture">
                <pic:pic xmlns:pic="http://schemas.openxmlformats.org/drawingml/2006/picture">
                  <pic:nvPicPr>
                    <pic:cNvPr id="1121557082"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B0A0">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8D22">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4BE9">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52B4">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936A">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43DF">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C616">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9461">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05092">
    <w:pPr>
      <w:pStyle w:val="61"/>
    </w:pPr>
    <w:r>
      <w:fldChar w:fldCharType="begin"/>
    </w:r>
    <w:r>
      <w:instrText xml:space="preserve"> STYLEREF  标准文件_文件编号  \* MERGEFORMAT </w:instrText>
    </w:r>
    <w:r>
      <w:fldChar w:fldCharType="separate"/>
    </w:r>
    <w:r>
      <w:t>T/XZBX 0076—2025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C0DF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0076—2025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77E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0076—2025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0076—2025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2EA5">
    <w:pPr>
      <w:pStyle w:val="61"/>
    </w:pPr>
    <w:r>
      <w:fldChar w:fldCharType="begin"/>
    </w:r>
    <w:r>
      <w:instrText xml:space="preserve"> STYLEREF  标准文件_文件编号  \* MERGEFORMAT </w:instrText>
    </w:r>
    <w:r>
      <w:fldChar w:fldCharType="separate"/>
    </w:r>
    <w:r>
      <w:t>T/XZBX 0076—2025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450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0076—2025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309A">
    <w:pPr>
      <w:pStyle w:val="61"/>
    </w:pPr>
    <w:r>
      <w:fldChar w:fldCharType="begin"/>
    </w:r>
    <w:r>
      <w:instrText xml:space="preserve"> STYLEREF  标准文件_文件编号  \* MERGEFORMAT </w:instrText>
    </w:r>
    <w:r>
      <w:fldChar w:fldCharType="separate"/>
    </w:r>
    <w:r>
      <w:t>T/XZBX 0076—2025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8F51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0076—2025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4FA6"/>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E6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F2B"/>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56D0"/>
    <w:rsid w:val="000F67E9"/>
    <w:rsid w:val="001036E2"/>
    <w:rsid w:val="00104926"/>
    <w:rsid w:val="00113B1E"/>
    <w:rsid w:val="0011711C"/>
    <w:rsid w:val="00121CF0"/>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787"/>
    <w:rsid w:val="00292D60"/>
    <w:rsid w:val="00293B30"/>
    <w:rsid w:val="00294D34"/>
    <w:rsid w:val="00294E3B"/>
    <w:rsid w:val="00296193"/>
    <w:rsid w:val="00296C66"/>
    <w:rsid w:val="00296EBE"/>
    <w:rsid w:val="002974E3"/>
    <w:rsid w:val="002A084B"/>
    <w:rsid w:val="002A1260"/>
    <w:rsid w:val="002A1589"/>
    <w:rsid w:val="002A1608"/>
    <w:rsid w:val="002A17D0"/>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752"/>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6BF"/>
    <w:rsid w:val="0043741A"/>
    <w:rsid w:val="0044083F"/>
    <w:rsid w:val="00441AE7"/>
    <w:rsid w:val="0044484B"/>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4D3"/>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F67"/>
    <w:rsid w:val="00704387"/>
    <w:rsid w:val="007051A5"/>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2BE"/>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2ED"/>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746"/>
    <w:rsid w:val="0095496B"/>
    <w:rsid w:val="00960F1E"/>
    <w:rsid w:val="009610DC"/>
    <w:rsid w:val="00961490"/>
    <w:rsid w:val="0096381A"/>
    <w:rsid w:val="00964929"/>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1198"/>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3943"/>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4FBF"/>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2A15"/>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0C1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07CC"/>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7FE"/>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1"/>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DAD"/>
    <w:rsid w:val="00E831C1"/>
    <w:rsid w:val="00E846C8"/>
    <w:rsid w:val="00E84957"/>
    <w:rsid w:val="00E84A55"/>
    <w:rsid w:val="00E85BFF"/>
    <w:rsid w:val="00E90391"/>
    <w:rsid w:val="00E906C2"/>
    <w:rsid w:val="00E9311F"/>
    <w:rsid w:val="00E934D1"/>
    <w:rsid w:val="00E94AF0"/>
    <w:rsid w:val="00E95D13"/>
    <w:rsid w:val="00E95DD3"/>
    <w:rsid w:val="00E96986"/>
    <w:rsid w:val="00E969D5"/>
    <w:rsid w:val="00EA58D1"/>
    <w:rsid w:val="00EA61BC"/>
    <w:rsid w:val="00EA681A"/>
    <w:rsid w:val="00EA735B"/>
    <w:rsid w:val="00EB0846"/>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3C4"/>
    <w:rsid w:val="00F25BB6"/>
    <w:rsid w:val="00F26B7E"/>
    <w:rsid w:val="00F27A3B"/>
    <w:rsid w:val="00F32780"/>
    <w:rsid w:val="00F33817"/>
    <w:rsid w:val="00F420D5"/>
    <w:rsid w:val="00F4284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A32425"/>
    <w:rsid w:val="1E5E4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ED5821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7AF6654">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E18F41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4FA6"/>
    <w:rsid w:val="000F56D0"/>
    <w:rsid w:val="001036E2"/>
    <w:rsid w:val="002E6AD9"/>
    <w:rsid w:val="003F62CE"/>
    <w:rsid w:val="004A6324"/>
    <w:rsid w:val="004B7077"/>
    <w:rsid w:val="006141C6"/>
    <w:rsid w:val="008E33D2"/>
    <w:rsid w:val="00924612"/>
    <w:rsid w:val="00953746"/>
    <w:rsid w:val="00A10904"/>
    <w:rsid w:val="00A97E78"/>
    <w:rsid w:val="00AE100B"/>
    <w:rsid w:val="00AE1DC6"/>
    <w:rsid w:val="00BE0C1E"/>
    <w:rsid w:val="00BE0F52"/>
    <w:rsid w:val="00C507CC"/>
    <w:rsid w:val="00C57F4F"/>
    <w:rsid w:val="00DD17FE"/>
    <w:rsid w:val="00ED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3809</Words>
  <Characters>4154</Characters>
  <Lines>56</Lines>
  <Paragraphs>15</Paragraphs>
  <TotalTime>0</TotalTime>
  <ScaleCrop>false</ScaleCrop>
  <LinksUpToDate>false</LinksUpToDate>
  <CharactersWithSpaces>4264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2025-08-15T13:00:00Z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2025-09-05T06:35:51Z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729168B8AAF14287B9852A281F3EB9B4_12</vt:lpwstr>
  </property>
</Properties>
</file>