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19" w:rsidRDefault="001A75DA">
      <w:pPr>
        <w:spacing w:line="540" w:lineRule="exact"/>
        <w:ind w:firstLineChars="0" w:firstLine="0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sz w:val="40"/>
          <w:szCs w:val="40"/>
        </w:rPr>
        <w:t>团体</w:t>
      </w:r>
      <w:r>
        <w:rPr>
          <w:rFonts w:ascii="Times New Roman" w:eastAsia="宋体" w:hAnsi="Times New Roman" w:cs="Times New Roman"/>
          <w:b/>
          <w:sz w:val="40"/>
          <w:szCs w:val="40"/>
        </w:rPr>
        <w:t>标准《</w:t>
      </w:r>
      <w:r>
        <w:rPr>
          <w:rFonts w:ascii="Times New Roman" w:eastAsia="宋体" w:hAnsi="Times New Roman" w:cs="Times New Roman" w:hint="eastAsia"/>
          <w:b/>
          <w:sz w:val="40"/>
          <w:szCs w:val="40"/>
        </w:rPr>
        <w:t>老挝木薯良好农业规范</w:t>
      </w:r>
      <w:r>
        <w:rPr>
          <w:rFonts w:ascii="Times New Roman" w:eastAsia="宋体" w:hAnsi="Times New Roman" w:cs="Times New Roman"/>
          <w:b/>
          <w:sz w:val="40"/>
          <w:szCs w:val="40"/>
        </w:rPr>
        <w:t>》编制说明</w:t>
      </w:r>
    </w:p>
    <w:p w:rsidR="00E01C19" w:rsidRDefault="001A75DA" w:rsidP="009373E4">
      <w:pPr>
        <w:ind w:firstLine="643"/>
        <w:jc w:val="center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（</w:t>
      </w:r>
      <w:r w:rsidR="009373E4"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征求意见</w:t>
      </w: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稿）</w:t>
      </w:r>
    </w:p>
    <w:p w:rsidR="00E01C19" w:rsidRDefault="00E01C19" w:rsidP="009373E4">
      <w:pPr>
        <w:ind w:firstLine="643"/>
        <w:jc w:val="center"/>
        <w:rPr>
          <w:rFonts w:ascii="方正楷体简体" w:eastAsia="方正楷体简体" w:hAnsi="方正楷体简体" w:cs="方正楷体简体"/>
          <w:b/>
          <w:sz w:val="32"/>
          <w:szCs w:val="32"/>
        </w:rPr>
      </w:pP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工作简介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Times New Roman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Times New Roman" w:hint="eastAsia"/>
          <w:sz w:val="32"/>
          <w:szCs w:val="32"/>
        </w:rPr>
        <w:t>)</w:t>
      </w:r>
      <w:r>
        <w:rPr>
          <w:rFonts w:ascii="楷体" w:eastAsia="楷体" w:hAnsi="楷体" w:cs="Times New Roman" w:hint="eastAsia"/>
          <w:sz w:val="32"/>
          <w:szCs w:val="32"/>
        </w:rPr>
        <w:t>任务来源</w:t>
      </w:r>
    </w:p>
    <w:p w:rsidR="00E01C19" w:rsidRDefault="001A75DA">
      <w:pPr>
        <w:spacing w:line="56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本标准是由</w:t>
      </w:r>
      <w:r>
        <w:rPr>
          <w:rFonts w:ascii="仿宋" w:hAnsi="仿宋" w:hint="eastAsia"/>
          <w:sz w:val="32"/>
          <w:szCs w:val="32"/>
        </w:rPr>
        <w:t>广西物品编码与标准化促进会《广西物品编码与标准化促进会关于下达</w:t>
      </w:r>
      <w:r>
        <w:rPr>
          <w:rFonts w:ascii="仿宋" w:hAnsi="仿宋" w:hint="eastAsia"/>
          <w:sz w:val="32"/>
          <w:szCs w:val="32"/>
        </w:rPr>
        <w:t>2025</w:t>
      </w:r>
      <w:r>
        <w:rPr>
          <w:rFonts w:ascii="仿宋" w:hAnsi="仿宋" w:hint="eastAsia"/>
          <w:sz w:val="32"/>
          <w:szCs w:val="32"/>
        </w:rPr>
        <w:t>年第</w:t>
      </w:r>
      <w:r>
        <w:rPr>
          <w:rFonts w:ascii="仿宋" w:hAnsi="仿宋" w:hint="eastAsia"/>
          <w:sz w:val="32"/>
          <w:szCs w:val="32"/>
        </w:rPr>
        <w:t>十七</w:t>
      </w:r>
      <w:r>
        <w:rPr>
          <w:rFonts w:ascii="仿宋" w:hAnsi="仿宋" w:hint="eastAsia"/>
          <w:sz w:val="32"/>
          <w:szCs w:val="32"/>
        </w:rPr>
        <w:t>批（共</w:t>
      </w:r>
      <w:r>
        <w:rPr>
          <w:rFonts w:ascii="仿宋" w:hAnsi="仿宋" w:hint="eastAsia"/>
          <w:sz w:val="32"/>
          <w:szCs w:val="32"/>
        </w:rPr>
        <w:t>15</w:t>
      </w:r>
      <w:r>
        <w:rPr>
          <w:rFonts w:ascii="仿宋" w:hAnsi="仿宋" w:hint="eastAsia"/>
          <w:sz w:val="32"/>
          <w:szCs w:val="32"/>
        </w:rPr>
        <w:t>项）团体标准制修订项目计划的通知》（</w:t>
      </w:r>
      <w:proofErr w:type="gramStart"/>
      <w:r>
        <w:rPr>
          <w:rFonts w:ascii="仿宋" w:hAnsi="仿宋" w:hint="eastAsia"/>
          <w:sz w:val="32"/>
          <w:szCs w:val="32"/>
        </w:rPr>
        <w:t>桂标促〔</w:t>
      </w:r>
      <w:r>
        <w:rPr>
          <w:rFonts w:ascii="仿宋" w:hAnsi="仿宋" w:hint="eastAsia"/>
          <w:sz w:val="32"/>
          <w:szCs w:val="32"/>
        </w:rPr>
        <w:t>2025</w:t>
      </w:r>
      <w:r>
        <w:rPr>
          <w:rFonts w:ascii="仿宋" w:hAnsi="仿宋" w:hint="eastAsia"/>
          <w:sz w:val="32"/>
          <w:szCs w:val="32"/>
        </w:rPr>
        <w:t>〕</w:t>
      </w:r>
      <w:proofErr w:type="gramEnd"/>
      <w:r>
        <w:rPr>
          <w:rFonts w:ascii="仿宋" w:hAnsi="仿宋" w:hint="eastAsia"/>
          <w:sz w:val="32"/>
          <w:szCs w:val="32"/>
        </w:rPr>
        <w:t>76</w:t>
      </w:r>
      <w:r>
        <w:rPr>
          <w:rFonts w:ascii="仿宋" w:hAnsi="仿宋" w:hint="eastAsia"/>
          <w:sz w:val="32"/>
          <w:szCs w:val="32"/>
        </w:rPr>
        <w:t>号）</w:t>
      </w:r>
      <w:r>
        <w:rPr>
          <w:rFonts w:ascii="仿宋" w:hAnsi="仿宋"/>
          <w:sz w:val="32"/>
          <w:szCs w:val="32"/>
        </w:rPr>
        <w:t>下达的项目，项目编号：</w:t>
      </w:r>
      <w:r>
        <w:rPr>
          <w:rFonts w:ascii="仿宋" w:hAnsi="仿宋"/>
          <w:sz w:val="32"/>
          <w:szCs w:val="32"/>
        </w:rPr>
        <w:t>202</w:t>
      </w:r>
      <w:r>
        <w:rPr>
          <w:rFonts w:ascii="仿宋" w:hAnsi="仿宋" w:hint="eastAsia"/>
          <w:sz w:val="32"/>
          <w:szCs w:val="32"/>
        </w:rPr>
        <w:t>5</w:t>
      </w:r>
      <w:r>
        <w:rPr>
          <w:rFonts w:ascii="仿宋" w:hAnsi="仿宋"/>
          <w:sz w:val="32"/>
          <w:szCs w:val="32"/>
        </w:rPr>
        <w:t>-</w:t>
      </w:r>
      <w:r>
        <w:rPr>
          <w:rFonts w:ascii="仿宋" w:hAnsi="仿宋" w:hint="eastAsia"/>
          <w:sz w:val="32"/>
          <w:szCs w:val="32"/>
        </w:rPr>
        <w:t>60</w:t>
      </w:r>
      <w:r>
        <w:rPr>
          <w:rFonts w:ascii="仿宋" w:hAnsi="仿宋" w:hint="eastAsia"/>
          <w:sz w:val="32"/>
          <w:szCs w:val="32"/>
        </w:rPr>
        <w:t>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（二）起草单位、主要起草人（姓名、单位、职务</w:t>
      </w:r>
      <w:r>
        <w:rPr>
          <w:rFonts w:ascii="楷体" w:eastAsia="楷体" w:hAnsi="楷体" w:cs="Times New Roman" w:hint="eastAsia"/>
          <w:sz w:val="32"/>
          <w:szCs w:val="32"/>
        </w:rPr>
        <w:t>/</w:t>
      </w:r>
      <w:r>
        <w:rPr>
          <w:rFonts w:ascii="楷体" w:eastAsia="楷体" w:hAnsi="楷体" w:cs="Times New Roman" w:hint="eastAsia"/>
          <w:sz w:val="32"/>
          <w:szCs w:val="32"/>
        </w:rPr>
        <w:t>职称、参与编制标准分工情况）等</w:t>
      </w:r>
    </w:p>
    <w:p w:rsidR="00E01C19" w:rsidRDefault="001A75DA">
      <w:pPr>
        <w:spacing w:line="560" w:lineRule="exact"/>
        <w:ind w:firstLine="640"/>
        <w:jc w:val="left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本文件由</w:t>
      </w:r>
      <w:r>
        <w:rPr>
          <w:rFonts w:ascii="仿宋" w:hAnsi="仿宋" w:hint="eastAsia"/>
          <w:sz w:val="32"/>
          <w:szCs w:val="32"/>
        </w:rPr>
        <w:t>广</w:t>
      </w:r>
      <w:r>
        <w:rPr>
          <w:rFonts w:ascii="仿宋" w:hAnsi="仿宋" w:hint="eastAsia"/>
          <w:sz w:val="32"/>
          <w:szCs w:val="32"/>
        </w:rPr>
        <w:t>西壮族自治区标准技术研究院、老挝广西商会提出，广西壮族自治区标准技术研究院、老挝广西商会、万象市恒</w:t>
      </w:r>
      <w:proofErr w:type="gramStart"/>
      <w:r>
        <w:rPr>
          <w:rFonts w:ascii="仿宋" w:hAnsi="仿宋" w:hint="eastAsia"/>
          <w:sz w:val="32"/>
          <w:szCs w:val="32"/>
        </w:rPr>
        <w:t>鑫</w:t>
      </w:r>
      <w:proofErr w:type="gramEnd"/>
      <w:r>
        <w:rPr>
          <w:rFonts w:ascii="仿宋" w:hAnsi="仿宋" w:hint="eastAsia"/>
          <w:sz w:val="32"/>
          <w:szCs w:val="32"/>
        </w:rPr>
        <w:t>建材有限公司共同起草。主要起草人见表</w:t>
      </w:r>
      <w:r>
        <w:rPr>
          <w:rFonts w:ascii="仿宋" w:hAnsi="仿宋" w:hint="eastAsia"/>
          <w:sz w:val="32"/>
          <w:szCs w:val="32"/>
        </w:rPr>
        <w:t>1</w:t>
      </w:r>
      <w:r>
        <w:rPr>
          <w:rFonts w:ascii="仿宋" w:hAnsi="仿宋" w:hint="eastAsia"/>
          <w:sz w:val="32"/>
          <w:szCs w:val="32"/>
        </w:rPr>
        <w:t>。</w:t>
      </w:r>
    </w:p>
    <w:p w:rsidR="00E01C19" w:rsidRDefault="001A75DA">
      <w:pPr>
        <w:ind w:firstLine="640"/>
        <w:jc w:val="center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表</w:t>
      </w:r>
      <w:r>
        <w:rPr>
          <w:rFonts w:ascii="仿宋" w:hAnsi="仿宋" w:hint="eastAsia"/>
          <w:sz w:val="32"/>
          <w:szCs w:val="32"/>
        </w:rPr>
        <w:t>1</w:t>
      </w:r>
    </w:p>
    <w:tbl>
      <w:tblPr>
        <w:tblStyle w:val="a7"/>
        <w:tblW w:w="9030" w:type="dxa"/>
        <w:jc w:val="center"/>
        <w:tblLook w:val="04A0" w:firstRow="1" w:lastRow="0" w:firstColumn="1" w:lastColumn="0" w:noHBand="0" w:noVBand="1"/>
      </w:tblPr>
      <w:tblGrid>
        <w:gridCol w:w="1331"/>
        <w:gridCol w:w="2578"/>
        <w:gridCol w:w="2410"/>
        <w:gridCol w:w="2711"/>
      </w:tblGrid>
      <w:tr w:rsidR="00E01C19" w:rsidTr="000B2E47">
        <w:trPr>
          <w:cantSplit/>
          <w:trHeight w:val="648"/>
          <w:tblHeader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</w:t>
            </w:r>
            <w:r>
              <w:rPr>
                <w:rFonts w:ascii="仿宋" w:hAnsi="仿宋" w:cs="仿宋" w:hint="eastAsia"/>
                <w:sz w:val="24"/>
              </w:rPr>
              <w:t>/</w:t>
            </w:r>
            <w:r>
              <w:rPr>
                <w:rFonts w:ascii="仿宋" w:hAnsi="仿宋" w:cs="仿宋" w:hint="eastAsia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参与编制标准分工情况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蔡旭平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教授级高级工程</w:t>
            </w:r>
            <w:bookmarkStart w:id="0" w:name="_GoBack"/>
            <w:bookmarkEnd w:id="0"/>
            <w:r>
              <w:rPr>
                <w:rFonts w:ascii="仿宋" w:hAnsi="仿宋" w:hint="eastAsia"/>
                <w:sz w:val="24"/>
              </w:rPr>
              <w:t>师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院长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林建业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高级工程师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副院长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苏紫敏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东盟标准化合作研究所所长</w:t>
            </w:r>
            <w:r>
              <w:rPr>
                <w:rFonts w:ascii="仿宋" w:hAnsi="仿宋" w:hint="eastAsia"/>
                <w:sz w:val="24"/>
              </w:rPr>
              <w:t>/</w:t>
            </w:r>
            <w:r>
              <w:rPr>
                <w:rFonts w:ascii="仿宋" w:hAnsi="仿宋" w:hint="eastAsia"/>
                <w:sz w:val="24"/>
              </w:rPr>
              <w:t>工程师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项目统筹、标准编制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陈钦儒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老挝广西商会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陈钦静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万象市恒</w:t>
            </w:r>
            <w:proofErr w:type="gramStart"/>
            <w:r>
              <w:rPr>
                <w:rFonts w:ascii="仿宋" w:hAnsi="仿宋" w:hint="eastAsia"/>
                <w:sz w:val="24"/>
              </w:rPr>
              <w:t>鑫</w:t>
            </w:r>
            <w:proofErr w:type="gramEnd"/>
            <w:r>
              <w:rPr>
                <w:rFonts w:ascii="仿宋" w:hAnsi="仿宋" w:hint="eastAsia"/>
                <w:sz w:val="24"/>
              </w:rPr>
              <w:t>建材有限公司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总经理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陈杭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老挝广西商会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秘书长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赵丰</w:t>
            </w:r>
            <w:proofErr w:type="gramStart"/>
            <w:r>
              <w:rPr>
                <w:rFonts w:ascii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万象市恒</w:t>
            </w:r>
            <w:proofErr w:type="gramStart"/>
            <w:r>
              <w:rPr>
                <w:rFonts w:ascii="仿宋" w:hAnsi="仿宋" w:hint="eastAsia"/>
                <w:sz w:val="24"/>
              </w:rPr>
              <w:t>鑫</w:t>
            </w:r>
            <w:proofErr w:type="gramEnd"/>
            <w:r>
              <w:rPr>
                <w:rFonts w:ascii="仿宋" w:hAnsi="仿宋" w:hint="eastAsia"/>
                <w:sz w:val="24"/>
              </w:rPr>
              <w:t>建材有限公司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经理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lastRenderedPageBreak/>
              <w:t>凌双玖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  <w:r>
              <w:rPr>
                <w:rFonts w:ascii="仿宋" w:hAnsi="仿宋" w:cs="仿宋" w:hint="eastAsia"/>
                <w:sz w:val="24"/>
              </w:rPr>
              <w:t>、</w:t>
            </w:r>
            <w:r>
              <w:rPr>
                <w:rFonts w:ascii="仿宋" w:hAnsi="仿宋" w:cs="仿宋" w:hint="eastAsia"/>
                <w:color w:val="000000" w:themeColor="text1"/>
                <w:sz w:val="24"/>
              </w:rPr>
              <w:t>编制说明的编写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卢艺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9373E4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工程师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赵菊艳</w:t>
            </w:r>
            <w:proofErr w:type="gramEnd"/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李若琳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E01C19" w:rsidTr="000B2E47">
        <w:trPr>
          <w:cantSplit/>
          <w:trHeight w:val="648"/>
          <w:jc w:val="center"/>
        </w:trPr>
        <w:tc>
          <w:tcPr>
            <w:tcW w:w="1331" w:type="dxa"/>
            <w:vAlign w:val="center"/>
          </w:tcPr>
          <w:p w:rsidR="00E01C19" w:rsidRDefault="009373E4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廖子媛</w:t>
            </w:r>
          </w:p>
        </w:tc>
        <w:tc>
          <w:tcPr>
            <w:tcW w:w="2578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广西壮族自治区标准技术研究院</w:t>
            </w:r>
          </w:p>
        </w:tc>
        <w:tc>
          <w:tcPr>
            <w:tcW w:w="2410" w:type="dxa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01C19" w:rsidRDefault="001A75DA">
            <w:pPr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</w:tbl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标准编制过程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（一）成立编制工作组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任务下达后，为确保标准编制工作的顺利开展，负责人及时制定标准编制工作方案、部署工作任务、确定标准起草工作时间、内容框架等，全面有序开展该标准的编制工作，并成立编制工作组，进行任务分工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（二）调查研究和试验论证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本标准各项技术指标确定的依据，主要基于</w:t>
      </w:r>
      <w:r>
        <w:rPr>
          <w:rFonts w:hint="eastAsia"/>
          <w:sz w:val="32"/>
          <w:szCs w:val="32"/>
        </w:rPr>
        <w:t>老挝木薯良好农业规范</w:t>
      </w:r>
      <w:r>
        <w:rPr>
          <w:rFonts w:hint="eastAsia"/>
          <w:sz w:val="32"/>
          <w:szCs w:val="32"/>
        </w:rPr>
        <w:t>的研究成果和具体实践，以及本标准其他起草单位针对</w:t>
      </w:r>
      <w:r>
        <w:rPr>
          <w:rFonts w:hint="eastAsia"/>
          <w:sz w:val="32"/>
          <w:szCs w:val="32"/>
        </w:rPr>
        <w:t>老挝木薯</w:t>
      </w:r>
      <w:r>
        <w:rPr>
          <w:rFonts w:hint="eastAsia"/>
          <w:sz w:val="32"/>
          <w:szCs w:val="32"/>
        </w:rPr>
        <w:t>开展的实地调研和</w:t>
      </w:r>
      <w:r>
        <w:rPr>
          <w:rFonts w:hint="eastAsia"/>
          <w:sz w:val="32"/>
          <w:szCs w:val="32"/>
        </w:rPr>
        <w:t>良好农业规范</w:t>
      </w:r>
      <w:r>
        <w:rPr>
          <w:rFonts w:hint="eastAsia"/>
          <w:sz w:val="32"/>
          <w:szCs w:val="32"/>
        </w:rPr>
        <w:t>整理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同时，参考了近年来关于</w:t>
      </w:r>
      <w:r>
        <w:rPr>
          <w:rFonts w:hint="eastAsia"/>
          <w:sz w:val="32"/>
          <w:szCs w:val="32"/>
        </w:rPr>
        <w:t>老挝木薯良好农业规范</w:t>
      </w:r>
      <w:r>
        <w:rPr>
          <w:rFonts w:hint="eastAsia"/>
          <w:sz w:val="32"/>
          <w:szCs w:val="32"/>
        </w:rPr>
        <w:t>等方面公开发表的论文和国内</w:t>
      </w:r>
      <w:r>
        <w:rPr>
          <w:rFonts w:hint="eastAsia"/>
          <w:sz w:val="32"/>
          <w:szCs w:val="32"/>
        </w:rPr>
        <w:t>国际</w:t>
      </w:r>
      <w:r>
        <w:rPr>
          <w:rFonts w:hint="eastAsia"/>
          <w:sz w:val="32"/>
          <w:szCs w:val="32"/>
        </w:rPr>
        <w:t>已经发布的有关技术标准</w:t>
      </w:r>
      <w:r>
        <w:rPr>
          <w:rFonts w:hint="eastAsia"/>
          <w:sz w:val="32"/>
          <w:szCs w:val="32"/>
        </w:rPr>
        <w:t>和法律法规</w:t>
      </w:r>
      <w:r>
        <w:rPr>
          <w:rFonts w:hint="eastAsia"/>
          <w:sz w:val="32"/>
          <w:szCs w:val="32"/>
        </w:rPr>
        <w:t>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（三）形成工作组讨论稿（</w:t>
      </w:r>
      <w:r>
        <w:rPr>
          <w:rFonts w:ascii="楷体" w:eastAsia="楷体" w:hAnsi="楷体" w:cs="Times New Roman" w:hint="eastAsia"/>
          <w:sz w:val="32"/>
          <w:szCs w:val="32"/>
        </w:rPr>
        <w:t>202</w:t>
      </w:r>
      <w:r>
        <w:rPr>
          <w:rFonts w:ascii="楷体" w:eastAsia="楷体" w:hAnsi="楷体" w:cs="Times New Roman" w:hint="eastAsia"/>
          <w:sz w:val="32"/>
          <w:szCs w:val="32"/>
        </w:rPr>
        <w:t>5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6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 w:hint="eastAsia"/>
          <w:sz w:val="32"/>
          <w:szCs w:val="32"/>
        </w:rPr>
        <w:t>-2025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7</w:t>
      </w:r>
      <w:r>
        <w:rPr>
          <w:rFonts w:ascii="楷体" w:eastAsia="楷体" w:hAnsi="楷体" w:cs="Times New Roman" w:hint="eastAsia"/>
          <w:sz w:val="32"/>
          <w:szCs w:val="32"/>
        </w:rPr>
        <w:t>月）</w:t>
      </w:r>
    </w:p>
    <w:p w:rsidR="00E01C19" w:rsidRDefault="001A75DA">
      <w:pPr>
        <w:spacing w:line="56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在对收集的资料进行整理研究之后，编制工作组对标准的框架结构进行了研究，并对关键性内容进行了初步探讨。编制工作组还邀请了专家对标准草案进行函询，根据函询到的意见对标准草案修改与完善，形成了工作组讨论稿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（四）形成征求意见稿（</w:t>
      </w:r>
      <w:r>
        <w:rPr>
          <w:rFonts w:ascii="楷体" w:eastAsia="楷体" w:hAnsi="楷体" w:cs="Times New Roman" w:hint="eastAsia"/>
          <w:sz w:val="32"/>
          <w:szCs w:val="32"/>
        </w:rPr>
        <w:t>2025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7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 w:hint="eastAsia"/>
          <w:sz w:val="32"/>
          <w:szCs w:val="32"/>
        </w:rPr>
        <w:t>-2025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>8</w:t>
      </w:r>
      <w:r>
        <w:rPr>
          <w:rFonts w:ascii="楷体" w:eastAsia="楷体" w:hAnsi="楷体" w:cs="Times New Roman" w:hint="eastAsia"/>
          <w:sz w:val="32"/>
          <w:szCs w:val="32"/>
        </w:rPr>
        <w:t>月）</w:t>
      </w:r>
    </w:p>
    <w:p w:rsidR="00EC6E8F" w:rsidRDefault="00EC6E8F" w:rsidP="00EC6E8F">
      <w:pPr>
        <w:spacing w:line="560" w:lineRule="exact"/>
        <w:ind w:firstLine="640"/>
        <w:rPr>
          <w:rFonts w:ascii="仿宋" w:hAnsi="仿宋"/>
          <w:sz w:val="32"/>
          <w:szCs w:val="32"/>
        </w:rPr>
      </w:pPr>
      <w:r w:rsidRPr="00EC6E8F">
        <w:rPr>
          <w:rFonts w:ascii="仿宋" w:hAnsi="仿宋" w:hint="eastAsia"/>
          <w:sz w:val="32"/>
          <w:szCs w:val="32"/>
        </w:rPr>
        <w:lastRenderedPageBreak/>
        <w:t>编制工作组组织召开了内部标准研讨会，与会专家和成员围绕标准草案的各项技术内容、条款表述及实际适用性进行了深入研讨。在充分讨论的基础上，工作组认真梳理并吸纳各项意见建议，对标准文本进行了多轮调整与优化，进一步提升了标准的科学性、适用性和可操作性。最终形成了标准征求意见稿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标准编制原则</w:t>
      </w:r>
    </w:p>
    <w:p w:rsidR="00E01C19" w:rsidRDefault="001A75DA">
      <w:pPr>
        <w:spacing w:line="540" w:lineRule="exact"/>
        <w:ind w:left="640" w:firstLineChars="0" w:firstLine="0"/>
        <w:outlineLvl w:val="0"/>
      </w:pPr>
      <w:r>
        <w:rPr>
          <w:rFonts w:ascii="楷体" w:eastAsia="楷体" w:hAnsi="楷体" w:cs="Times New Roman" w:hint="eastAsia"/>
          <w:sz w:val="32"/>
          <w:szCs w:val="32"/>
        </w:rPr>
        <w:t>（一）规范性原则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标准的编写格式按</w:t>
      </w:r>
      <w:r>
        <w:rPr>
          <w:rFonts w:ascii="仿宋" w:hAnsi="仿宋" w:hint="eastAsia"/>
          <w:sz w:val="32"/>
          <w:szCs w:val="32"/>
        </w:rPr>
        <w:t>GB/T 1.1</w:t>
      </w:r>
      <w:r>
        <w:rPr>
          <w:rFonts w:ascii="仿宋" w:hAnsi="仿宋" w:hint="eastAsia"/>
          <w:sz w:val="32"/>
          <w:szCs w:val="32"/>
        </w:rPr>
        <w:t>－</w:t>
      </w:r>
      <w:r>
        <w:rPr>
          <w:rFonts w:ascii="仿宋" w:hAnsi="仿宋"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《标准化工作导则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第</w:t>
      </w:r>
      <w:r>
        <w:rPr>
          <w:rFonts w:ascii="仿宋" w:hAnsi="仿宋"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部分：标准化文件的结构和起草规则》给出的规定进行编写。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（二）一致性原则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本标准符合法律、行政法规的要求，并具有先进性，各项指标不低于国家强制性标准、推荐性国家标准和行业标准。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（三）可操作性原则</w:t>
      </w:r>
    </w:p>
    <w:p w:rsidR="00E01C19" w:rsidRDefault="001A75DA" w:rsidP="009373E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深入调研，通过充分听取各方意见，确保标准可以作</w:t>
      </w:r>
      <w:r>
        <w:rPr>
          <w:rFonts w:hint="eastAsia"/>
          <w:sz w:val="32"/>
          <w:szCs w:val="32"/>
        </w:rPr>
        <w:t>为老挝木薯良好农业规范</w:t>
      </w:r>
      <w:r>
        <w:rPr>
          <w:rFonts w:hint="eastAsia"/>
          <w:sz w:val="32"/>
          <w:szCs w:val="32"/>
        </w:rPr>
        <w:t>的依据</w:t>
      </w:r>
      <w:r>
        <w:rPr>
          <w:rFonts w:hint="eastAsia"/>
          <w:sz w:val="32"/>
          <w:szCs w:val="32"/>
        </w:rPr>
        <w:t>，在实际应用上技术安全、可行，达到最佳良好农业规范效果。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主要内容（如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组织管理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质量安全管理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种植管理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采后技术规范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贮藏运输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废弃物管理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）的论据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老挝木薯良好农业规范</w:t>
      </w:r>
      <w:r>
        <w:rPr>
          <w:rFonts w:hint="eastAsia"/>
          <w:sz w:val="32"/>
          <w:szCs w:val="32"/>
        </w:rPr>
        <w:t>》分为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个章节：范围、规范性引用文件、术语和定义、</w:t>
      </w:r>
      <w:r>
        <w:rPr>
          <w:rFonts w:hint="eastAsia"/>
          <w:sz w:val="32"/>
          <w:szCs w:val="32"/>
        </w:rPr>
        <w:t>组织管理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质量安全管理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种植管理、</w:t>
      </w:r>
      <w:r>
        <w:rPr>
          <w:rFonts w:hint="eastAsia"/>
          <w:sz w:val="32"/>
          <w:szCs w:val="32"/>
        </w:rPr>
        <w:t>疫情监测及防控</w:t>
      </w:r>
      <w:r>
        <w:rPr>
          <w:rFonts w:hint="eastAsia"/>
          <w:sz w:val="32"/>
          <w:szCs w:val="32"/>
        </w:rPr>
        <w:t>、病虫害防治、</w:t>
      </w:r>
      <w:r>
        <w:rPr>
          <w:rFonts w:hint="eastAsia"/>
          <w:sz w:val="32"/>
          <w:szCs w:val="32"/>
        </w:rPr>
        <w:t>采后技术规范、贮藏运输、废弃物管理、</w:t>
      </w:r>
      <w:r>
        <w:rPr>
          <w:rFonts w:hint="eastAsia"/>
          <w:sz w:val="32"/>
          <w:szCs w:val="32"/>
        </w:rPr>
        <w:t>文件管理、可追溯与召回</w:t>
      </w:r>
      <w:r w:rsidR="00EC6E8F">
        <w:rPr>
          <w:rFonts w:hint="eastAsia"/>
          <w:sz w:val="32"/>
          <w:szCs w:val="32"/>
        </w:rPr>
        <w:t>管理</w:t>
      </w:r>
      <w:r>
        <w:rPr>
          <w:rFonts w:hint="eastAsia"/>
          <w:sz w:val="32"/>
          <w:szCs w:val="32"/>
        </w:rPr>
        <w:t>、园区</w:t>
      </w:r>
      <w:r>
        <w:rPr>
          <w:rFonts w:hint="eastAsia"/>
          <w:sz w:val="32"/>
          <w:szCs w:val="32"/>
        </w:rPr>
        <w:lastRenderedPageBreak/>
        <w:t>备案管理、审核</w:t>
      </w:r>
      <w:r w:rsidR="00EC6E8F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农作物安全认证。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（一）范围</w:t>
      </w:r>
    </w:p>
    <w:p w:rsidR="00E01C19" w:rsidRDefault="001A75DA" w:rsidP="00EC6E8F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本文件规定了木薯生产的组织管理、质量安全管理、种植技术、采后技术规范、废弃物管理等的基本要求。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本文件适用于老挝境内木薯生产规范管理。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（二）规范性引用文件</w:t>
      </w:r>
    </w:p>
    <w:p w:rsidR="00E01C19" w:rsidRDefault="001A75DA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（三）术语和定义</w:t>
      </w:r>
    </w:p>
    <w:p w:rsidR="00E01C19" w:rsidRDefault="00A62CDF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对木薯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了定义。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</w:t>
      </w:r>
      <w:r>
        <w:rPr>
          <w:rFonts w:ascii="楷体" w:eastAsia="楷体" w:hAnsi="楷体" w:cs="Times New Roman" w:hint="eastAsia"/>
          <w:sz w:val="32"/>
          <w:szCs w:val="32"/>
        </w:rPr>
        <w:t>组织管理</w:t>
      </w:r>
    </w:p>
    <w:p w:rsidR="00E01C19" w:rsidRDefault="001A75DA">
      <w:pPr>
        <w:tabs>
          <w:tab w:val="left" w:pos="3604"/>
        </w:tabs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</w:t>
      </w:r>
      <w:r>
        <w:rPr>
          <w:rFonts w:hint="eastAsia"/>
          <w:sz w:val="32"/>
          <w:szCs w:val="32"/>
        </w:rPr>
        <w:t>给出了</w:t>
      </w:r>
      <w:r>
        <w:rPr>
          <w:rFonts w:hint="eastAsia"/>
          <w:sz w:val="32"/>
          <w:szCs w:val="32"/>
        </w:rPr>
        <w:t>老挝木薯农业产区的组织机构与形式，人员管理，职业健康，设施、设备和事故的处理程序及来访者安全。老挝木薯农业产区的实施单位应</w:t>
      </w:r>
      <w:r>
        <w:rPr>
          <w:rFonts w:hint="eastAsia"/>
          <w:sz w:val="32"/>
          <w:szCs w:val="32"/>
        </w:rPr>
        <w:t>建立与生产规模相适应的组织机构，明确生产、加工、质量管理、检验和销售等部门和人员的岗位职责，同时做好人员管理。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（五）</w:t>
      </w:r>
      <w:r>
        <w:rPr>
          <w:rFonts w:ascii="楷体" w:eastAsia="楷体" w:hAnsi="楷体" w:cs="Times New Roman" w:hint="eastAsia"/>
          <w:sz w:val="32"/>
          <w:szCs w:val="32"/>
        </w:rPr>
        <w:t>质量安全管理</w:t>
      </w:r>
    </w:p>
    <w:p w:rsidR="00E01C19" w:rsidRDefault="001A75DA" w:rsidP="00A62CDF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</w:t>
      </w:r>
      <w:r>
        <w:rPr>
          <w:rFonts w:hint="eastAsia"/>
          <w:sz w:val="32"/>
          <w:szCs w:val="32"/>
        </w:rPr>
        <w:t>给出了老挝</w:t>
      </w:r>
      <w:r>
        <w:rPr>
          <w:rFonts w:hint="eastAsia"/>
          <w:sz w:val="32"/>
          <w:szCs w:val="32"/>
        </w:rPr>
        <w:t>木薯生产过程中的质量安全管理制度。</w:t>
      </w:r>
      <w:r>
        <w:rPr>
          <w:rFonts w:hint="eastAsia"/>
          <w:sz w:val="32"/>
          <w:szCs w:val="32"/>
        </w:rPr>
        <w:t>结合老挝木薯生产过程中的各项环节，农业产区应该制定包含生产全过程要素的质量管理体系文件</w:t>
      </w:r>
      <w:r>
        <w:rPr>
          <w:rFonts w:hint="eastAsia"/>
          <w:sz w:val="32"/>
          <w:szCs w:val="32"/>
        </w:rPr>
        <w:t>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（六）</w:t>
      </w:r>
      <w:r>
        <w:rPr>
          <w:rFonts w:ascii="楷体" w:eastAsia="楷体" w:hAnsi="楷体" w:cs="Times New Roman" w:hint="eastAsia"/>
          <w:sz w:val="32"/>
          <w:szCs w:val="32"/>
        </w:rPr>
        <w:t>种植管理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</w:t>
      </w:r>
      <w:r>
        <w:rPr>
          <w:rFonts w:hint="eastAsia"/>
          <w:sz w:val="32"/>
          <w:szCs w:val="32"/>
        </w:rPr>
        <w:t>老挝木薯种植的产地环境、基础设施、农业投入品管理、种苗管理、种植管理、采购管理、储存管理、肥料使用、灌溉用水的要求。</w:t>
      </w:r>
    </w:p>
    <w:p w:rsidR="00E01C19" w:rsidRDefault="001A75DA">
      <w:p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lastRenderedPageBreak/>
        <w:t>（七）</w:t>
      </w:r>
      <w:r>
        <w:rPr>
          <w:rFonts w:ascii="楷体" w:eastAsia="楷体" w:hAnsi="楷体" w:cs="Times New Roman" w:hint="eastAsia"/>
          <w:sz w:val="32"/>
          <w:szCs w:val="32"/>
        </w:rPr>
        <w:t>疫情监测及防控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</w:t>
      </w:r>
      <w:r>
        <w:rPr>
          <w:rFonts w:hint="eastAsia"/>
          <w:sz w:val="32"/>
          <w:szCs w:val="32"/>
        </w:rPr>
        <w:t>老挝木薯种植过程中的疫情监测及防控要求。</w:t>
      </w:r>
    </w:p>
    <w:p w:rsidR="00E01C19" w:rsidRDefault="001A75DA">
      <w:pPr>
        <w:numPr>
          <w:ilvl w:val="0"/>
          <w:numId w:val="4"/>
        </w:numPr>
        <w:spacing w:line="540" w:lineRule="exact"/>
        <w:ind w:left="640" w:firstLineChars="0" w:firstLine="0"/>
        <w:outlineLvl w:val="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病虫害防治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本章节给出了老挝木薯种植过程中的病虫害防治要求。</w:t>
      </w:r>
    </w:p>
    <w:p w:rsidR="00E01C19" w:rsidRDefault="001A75DA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采后技术规范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本章节给出了老挝木薯的采后技术规范的卫生技术要求、采收、分级检验、包装及标识要求。</w:t>
      </w:r>
    </w:p>
    <w:p w:rsidR="00E01C19" w:rsidRPr="00A62CDF" w:rsidRDefault="001A75DA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/>
          <w:sz w:val="32"/>
          <w:szCs w:val="32"/>
        </w:rPr>
      </w:pPr>
      <w:r w:rsidRPr="00A62CDF">
        <w:rPr>
          <w:rFonts w:ascii="楷体" w:eastAsia="楷体" w:hAnsi="楷体" w:cs="楷体" w:hint="eastAsia"/>
          <w:sz w:val="32"/>
          <w:szCs w:val="32"/>
        </w:rPr>
        <w:t>贮藏运输</w:t>
      </w:r>
    </w:p>
    <w:p w:rsidR="00E01C19" w:rsidRDefault="001A75DA" w:rsidP="00A62CDF"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本章节给出了老挝木薯的贮藏运输、贮藏保鲜、采</w:t>
      </w:r>
      <w:r>
        <w:rPr>
          <w:rFonts w:hint="eastAsia"/>
          <w:sz w:val="32"/>
          <w:szCs w:val="32"/>
        </w:rPr>
        <w:t>收时间、质量要求、预冷处理、运输的要求</w:t>
      </w:r>
    </w:p>
    <w:p w:rsidR="00A62CDF" w:rsidRDefault="00A62CDF" w:rsidP="00A62CDF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A62CDF">
        <w:rPr>
          <w:rFonts w:ascii="楷体" w:eastAsia="楷体" w:hAnsi="楷体" w:cs="楷体" w:hint="eastAsia"/>
          <w:sz w:val="32"/>
          <w:szCs w:val="32"/>
        </w:rPr>
        <w:t>废弃物管理</w:t>
      </w:r>
    </w:p>
    <w:p w:rsidR="00A62CDF" w:rsidRDefault="00A62CDF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</w:t>
      </w:r>
      <w:r w:rsidR="00E15AB0" w:rsidRPr="00E15AB0">
        <w:rPr>
          <w:rFonts w:hint="eastAsia"/>
          <w:sz w:val="32"/>
          <w:szCs w:val="32"/>
        </w:rPr>
        <w:t>老挝木薯</w:t>
      </w:r>
      <w:r w:rsidR="00E15AB0">
        <w:rPr>
          <w:rFonts w:hint="eastAsia"/>
          <w:sz w:val="32"/>
          <w:szCs w:val="32"/>
        </w:rPr>
        <w:t>建设良好农业的过程中所产生的废弃物的管理要求。</w:t>
      </w:r>
    </w:p>
    <w:p w:rsidR="00E15AB0" w:rsidRDefault="00E15AB0" w:rsidP="00E15AB0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E15AB0">
        <w:rPr>
          <w:rFonts w:ascii="楷体" w:eastAsia="楷体" w:hAnsi="楷体" w:cs="楷体" w:hint="eastAsia"/>
          <w:sz w:val="32"/>
          <w:szCs w:val="32"/>
        </w:rPr>
        <w:t>文件管理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本章节给出了老挝木薯建设良好农业的过程中</w:t>
      </w:r>
      <w:r>
        <w:rPr>
          <w:rFonts w:hint="eastAsia"/>
          <w:sz w:val="32"/>
          <w:szCs w:val="32"/>
        </w:rPr>
        <w:t>所使用的文件的管理要求。</w:t>
      </w:r>
    </w:p>
    <w:p w:rsidR="00E15AB0" w:rsidRDefault="00E15AB0" w:rsidP="00E15AB0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E15AB0">
        <w:rPr>
          <w:rFonts w:ascii="楷体" w:eastAsia="楷体" w:hAnsi="楷体" w:cs="楷体" w:hint="eastAsia"/>
          <w:sz w:val="32"/>
          <w:szCs w:val="32"/>
        </w:rPr>
        <w:t>可追溯与召回管理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本章节给出了老挝木薯</w:t>
      </w:r>
      <w:r w:rsidRPr="00E15AB0">
        <w:rPr>
          <w:rFonts w:hint="eastAsia"/>
          <w:sz w:val="32"/>
          <w:szCs w:val="32"/>
        </w:rPr>
        <w:t>建设良好农业</w:t>
      </w:r>
      <w:r>
        <w:rPr>
          <w:rFonts w:hint="eastAsia"/>
          <w:sz w:val="32"/>
          <w:szCs w:val="32"/>
        </w:rPr>
        <w:t>时如</w:t>
      </w:r>
      <w:r w:rsidRPr="00E15AB0">
        <w:rPr>
          <w:rFonts w:hint="eastAsia"/>
          <w:sz w:val="32"/>
          <w:szCs w:val="32"/>
        </w:rPr>
        <w:t>发现农产品受污染或存在风险</w:t>
      </w:r>
      <w:r>
        <w:rPr>
          <w:rFonts w:hint="eastAsia"/>
          <w:sz w:val="32"/>
          <w:szCs w:val="32"/>
        </w:rPr>
        <w:t>的情况下的</w:t>
      </w:r>
      <w:r w:rsidRPr="00E15AB0">
        <w:rPr>
          <w:rFonts w:hint="eastAsia"/>
          <w:sz w:val="32"/>
          <w:szCs w:val="32"/>
        </w:rPr>
        <w:t>可追溯与召回管理</w:t>
      </w:r>
      <w:r>
        <w:rPr>
          <w:rFonts w:hint="eastAsia"/>
          <w:sz w:val="32"/>
          <w:szCs w:val="32"/>
        </w:rPr>
        <w:t>要求。</w:t>
      </w:r>
    </w:p>
    <w:p w:rsidR="00E15AB0" w:rsidRDefault="00E15AB0" w:rsidP="00E15AB0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E15AB0">
        <w:rPr>
          <w:rFonts w:ascii="楷体" w:eastAsia="楷体" w:hAnsi="楷体" w:cs="楷体" w:hint="eastAsia"/>
          <w:sz w:val="32"/>
          <w:szCs w:val="32"/>
        </w:rPr>
        <w:t>园区备案管理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本章节给出了老挝木薯建设良好农业的过程中</w:t>
      </w:r>
      <w:r>
        <w:rPr>
          <w:rFonts w:hint="eastAsia"/>
          <w:sz w:val="32"/>
          <w:szCs w:val="32"/>
        </w:rPr>
        <w:t>对园区</w:t>
      </w:r>
      <w:r>
        <w:rPr>
          <w:rFonts w:hint="eastAsia"/>
          <w:sz w:val="32"/>
          <w:szCs w:val="32"/>
        </w:rPr>
        <w:lastRenderedPageBreak/>
        <w:t>备案进行管理的相关要求</w:t>
      </w:r>
      <w:r w:rsidRPr="00E15AB0">
        <w:rPr>
          <w:rFonts w:hint="eastAsia"/>
          <w:sz w:val="32"/>
          <w:szCs w:val="32"/>
        </w:rPr>
        <w:t>。</w:t>
      </w:r>
    </w:p>
    <w:p w:rsidR="00E15AB0" w:rsidRDefault="00E15AB0" w:rsidP="00E15AB0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E15AB0">
        <w:rPr>
          <w:rFonts w:ascii="楷体" w:eastAsia="楷体" w:hAnsi="楷体" w:cs="楷体" w:hint="eastAsia"/>
          <w:sz w:val="32"/>
          <w:szCs w:val="32"/>
        </w:rPr>
        <w:t>审核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本章节给出了老挝木薯建设良好农业的</w:t>
      </w:r>
      <w:r>
        <w:rPr>
          <w:rFonts w:hint="eastAsia"/>
          <w:sz w:val="32"/>
          <w:szCs w:val="32"/>
        </w:rPr>
        <w:t>实施</w:t>
      </w:r>
      <w:r w:rsidRPr="00E15AB0">
        <w:rPr>
          <w:rFonts w:hint="eastAsia"/>
          <w:sz w:val="32"/>
          <w:szCs w:val="32"/>
        </w:rPr>
        <w:t>过程中</w:t>
      </w:r>
      <w:r>
        <w:rPr>
          <w:rFonts w:hint="eastAsia"/>
          <w:sz w:val="32"/>
          <w:szCs w:val="32"/>
        </w:rPr>
        <w:t>所需要进行的审核要求。</w:t>
      </w:r>
    </w:p>
    <w:p w:rsidR="00E15AB0" w:rsidRDefault="00E15AB0" w:rsidP="00E15AB0">
      <w:pPr>
        <w:numPr>
          <w:ilvl w:val="0"/>
          <w:numId w:val="4"/>
        </w:numPr>
        <w:ind w:left="640" w:firstLineChars="0" w:firstLine="0"/>
        <w:rPr>
          <w:rFonts w:ascii="楷体" w:eastAsia="楷体" w:hAnsi="楷体" w:cs="楷体" w:hint="eastAsia"/>
          <w:sz w:val="32"/>
          <w:szCs w:val="32"/>
        </w:rPr>
      </w:pPr>
      <w:r w:rsidRPr="00E15AB0">
        <w:rPr>
          <w:rFonts w:ascii="楷体" w:eastAsia="楷体" w:hAnsi="楷体" w:cs="楷体" w:hint="eastAsia"/>
          <w:sz w:val="32"/>
          <w:szCs w:val="32"/>
        </w:rPr>
        <w:t>农作物安全认证</w:t>
      </w:r>
    </w:p>
    <w:p w:rsidR="00E15AB0" w:rsidRPr="00E15AB0" w:rsidRDefault="00E15AB0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本章节给出了老挝木薯</w:t>
      </w:r>
      <w:r>
        <w:rPr>
          <w:rFonts w:hint="eastAsia"/>
          <w:sz w:val="32"/>
          <w:szCs w:val="32"/>
        </w:rPr>
        <w:t>所需要办理的农作物安全认证。</w:t>
      </w:r>
    </w:p>
    <w:p w:rsidR="00E01C19" w:rsidRDefault="001A75DA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与原标准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或</w:t>
      </w:r>
      <w:r>
        <w:rPr>
          <w:rFonts w:ascii="Times New Roman" w:eastAsia="黑体" w:hAnsi="Times New Roman" w:cs="Times New Roman"/>
          <w:bCs/>
          <w:sz w:val="32"/>
          <w:szCs w:val="32"/>
        </w:rPr>
        <w:t>其他标准的主要差异和水平对比</w:t>
      </w:r>
    </w:p>
    <w:p w:rsidR="00E01C19" w:rsidRDefault="001A75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解决的主要问题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主要试验（或验证）情况分析</w:t>
      </w:r>
    </w:p>
    <w:p w:rsidR="00E15AB0" w:rsidRPr="00E15AB0" w:rsidRDefault="00E15AB0" w:rsidP="00E15AB0">
      <w:pPr>
        <w:ind w:firstLine="640"/>
        <w:rPr>
          <w:rFonts w:hint="eastAsia"/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15AB0" w:rsidRPr="00E15AB0" w:rsidRDefault="00E15AB0" w:rsidP="00E15AB0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E15AB0">
        <w:rPr>
          <w:rFonts w:ascii="Times New Roman" w:eastAsia="黑体" w:hAnsi="Times New Roman" w:cs="Times New Roman" w:hint="eastAsia"/>
          <w:bCs/>
          <w:sz w:val="32"/>
          <w:szCs w:val="32"/>
        </w:rPr>
        <w:t>标准中涉及的专利情况</w:t>
      </w:r>
    </w:p>
    <w:p w:rsidR="00E01C19" w:rsidRDefault="00E15AB0" w:rsidP="00E15AB0">
      <w:pPr>
        <w:ind w:firstLine="640"/>
        <w:rPr>
          <w:sz w:val="32"/>
          <w:szCs w:val="32"/>
        </w:rPr>
      </w:pPr>
      <w:r w:rsidRPr="00E15AB0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E01C19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871ED2">
        <w:rPr>
          <w:rFonts w:ascii="Times New Roman" w:eastAsia="黑体" w:hAnsi="Times New Roman" w:cs="Times New Roman" w:hint="eastAsia"/>
          <w:bCs/>
          <w:sz w:val="32"/>
          <w:szCs w:val="32"/>
        </w:rPr>
        <w:t>产业化情况</w:t>
      </w:r>
    </w:p>
    <w:p w:rsidR="00871ED2" w:rsidRPr="00871ED2" w:rsidRDefault="00871ED2" w:rsidP="00871ED2">
      <w:pPr>
        <w:ind w:firstLine="640"/>
        <w:rPr>
          <w:rFonts w:hint="eastAsia"/>
          <w:sz w:val="32"/>
          <w:szCs w:val="32"/>
        </w:rPr>
      </w:pPr>
      <w:r w:rsidRPr="00871ED2">
        <w:rPr>
          <w:rFonts w:hint="eastAsia"/>
          <w:sz w:val="32"/>
          <w:szCs w:val="32"/>
        </w:rPr>
        <w:t>无。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1" w:name="_Hlk203641310"/>
      <w:r w:rsidRPr="00871ED2">
        <w:rPr>
          <w:rFonts w:ascii="Times New Roman" w:eastAsia="黑体" w:hAnsi="Times New Roman" w:cs="Times New Roman"/>
          <w:bCs/>
          <w:sz w:val="32"/>
          <w:szCs w:val="32"/>
        </w:rPr>
        <w:t>采用国际标准和国外先进标准情况</w:t>
      </w:r>
    </w:p>
    <w:bookmarkEnd w:id="1"/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无</w:t>
      </w:r>
      <w:r w:rsidRPr="00871ED2">
        <w:rPr>
          <w:rFonts w:hint="eastAsia"/>
          <w:sz w:val="32"/>
          <w:szCs w:val="32"/>
        </w:rPr>
        <w:t>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与相关国家标准、行业标准及其他标准，特别是强制性标准的协调性</w:t>
      </w:r>
    </w:p>
    <w:p w:rsidR="00871ED2" w:rsidRDefault="00871ED2" w:rsidP="00871ED2">
      <w:pPr>
        <w:ind w:firstLine="640"/>
        <w:rPr>
          <w:rFonts w:hint="eastAsia"/>
          <w:sz w:val="32"/>
          <w:szCs w:val="32"/>
        </w:rPr>
      </w:pPr>
      <w:r w:rsidRPr="00871ED2">
        <w:rPr>
          <w:rFonts w:hint="eastAsia"/>
          <w:sz w:val="32"/>
          <w:szCs w:val="32"/>
        </w:rPr>
        <w:t>本文件制定的内容符合国家相关法律、法规和政策的规定。</w:t>
      </w:r>
    </w:p>
    <w:p w:rsidR="00871ED2" w:rsidRDefault="00871ED2" w:rsidP="00871ED2">
      <w:pPr>
        <w:ind w:firstLine="640"/>
        <w:rPr>
          <w:rFonts w:hint="eastAsia"/>
          <w:sz w:val="32"/>
          <w:szCs w:val="32"/>
        </w:rPr>
      </w:pPr>
    </w:p>
    <w:p w:rsid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871ED2"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符合市场需求和创新需求的情况说明</w:t>
      </w:r>
    </w:p>
    <w:p w:rsidR="00871ED2" w:rsidRPr="00871ED2" w:rsidRDefault="008968AA" w:rsidP="00871ED2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该标准</w:t>
      </w:r>
      <w:r w:rsidR="00871ED2" w:rsidRPr="00871ED2">
        <w:rPr>
          <w:rFonts w:hint="eastAsia"/>
          <w:sz w:val="32"/>
          <w:szCs w:val="32"/>
        </w:rPr>
        <w:t>紧密贴合市场需求，针对老挝木薯种植中存在的标准化程度低、生产效率不稳定、品质参差不齐及国际市场竞争力较弱等痛点，结合当地农业生产实践，以标准化、规范化、绿色化为导向，明确木薯良好农业规范的关键技术和管理要求，填补该领域标准空白，为提升木薯产量与质量、推动产业可持续发展提供可操作的理论依据和实践指导。在创新方面，本标准推动农业技术与管理模式的集成创新，为区域木薯种植提供可复制、可推广的规范化种植范式，助力老挝木薯产业提质增效和国际市场拓展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重大分歧意见的处理经过和依据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贯彻标准的要求和措施建议（包括组织措施、技术措施、过度办法等）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  <w:r w:rsidRPr="00871ED2">
        <w:rPr>
          <w:rFonts w:hint="eastAsia"/>
          <w:sz w:val="32"/>
          <w:szCs w:val="32"/>
        </w:rPr>
        <w:t>本团体标准发布后，建议加强宣传贯彻，通过线上线下相结合的技术培训和示范推广，全面推动老挝木薯良好农业规范的应用实施，进一步提升木薯种植的标准化、规范化和绿色化水平，增强木薯产品质量与市场竞争力，扩大相关农业规范在区域内的影响力，更好地服务于当地农业可持续发展和农户增收。</w:t>
      </w:r>
    </w:p>
    <w:p w:rsidR="00871ED2" w:rsidRPr="00871ED2" w:rsidRDefault="00871ED2" w:rsidP="00871ED2">
      <w:pPr>
        <w:numPr>
          <w:ilvl w:val="0"/>
          <w:numId w:val="3"/>
        </w:numPr>
        <w:spacing w:line="540" w:lineRule="exact"/>
        <w:ind w:firstLineChars="0" w:firstLine="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871ED2">
        <w:rPr>
          <w:rFonts w:ascii="Times New Roman" w:eastAsia="黑体" w:hAnsi="Times New Roman" w:cs="Times New Roman"/>
          <w:bCs/>
          <w:sz w:val="32"/>
          <w:szCs w:val="32"/>
        </w:rPr>
        <w:t>其它应予说明的事项。</w:t>
      </w:r>
    </w:p>
    <w:p w:rsidR="00871ED2" w:rsidRDefault="00871ED2" w:rsidP="00871ED2">
      <w:pPr>
        <w:ind w:firstLine="640"/>
        <w:rPr>
          <w:rFonts w:hint="eastAsia"/>
          <w:sz w:val="32"/>
          <w:szCs w:val="32"/>
        </w:rPr>
      </w:pPr>
      <w:r w:rsidRPr="00871ED2">
        <w:rPr>
          <w:rFonts w:hint="eastAsia"/>
          <w:sz w:val="32"/>
          <w:szCs w:val="32"/>
        </w:rPr>
        <w:t>无</w:t>
      </w:r>
      <w:r>
        <w:rPr>
          <w:rFonts w:hint="eastAsia"/>
          <w:sz w:val="32"/>
          <w:szCs w:val="32"/>
        </w:rPr>
        <w:t>。</w:t>
      </w:r>
    </w:p>
    <w:p w:rsidR="00871ED2" w:rsidRDefault="00871ED2" w:rsidP="00871ED2">
      <w:pPr>
        <w:ind w:firstLine="640"/>
        <w:rPr>
          <w:rFonts w:hint="eastAsia"/>
          <w:sz w:val="32"/>
          <w:szCs w:val="32"/>
        </w:rPr>
      </w:pPr>
    </w:p>
    <w:p w:rsidR="00871ED2" w:rsidRDefault="00871ED2" w:rsidP="00871ED2">
      <w:pPr>
        <w:ind w:firstLine="640"/>
        <w:rPr>
          <w:rFonts w:hint="eastAsia"/>
          <w:sz w:val="32"/>
          <w:szCs w:val="32"/>
        </w:rPr>
      </w:pPr>
    </w:p>
    <w:p w:rsidR="00871ED2" w:rsidRPr="00871ED2" w:rsidRDefault="00871ED2" w:rsidP="00871ED2">
      <w:pPr>
        <w:wordWrap w:val="0"/>
        <w:ind w:firstLine="640"/>
        <w:jc w:val="right"/>
        <w:rPr>
          <w:rFonts w:ascii="Calibri" w:hAnsi="Calibri" w:cs="Times New Roman"/>
          <w:sz w:val="32"/>
          <w:szCs w:val="32"/>
        </w:rPr>
      </w:pPr>
      <w:r w:rsidRPr="00871ED2">
        <w:rPr>
          <w:rFonts w:ascii="Calibri" w:hAnsi="Calibri" w:cs="Times New Roman" w:hint="eastAsia"/>
          <w:sz w:val="32"/>
          <w:szCs w:val="32"/>
        </w:rPr>
        <w:t>标准编制组</w:t>
      </w:r>
      <w:r w:rsidRPr="00871ED2">
        <w:rPr>
          <w:rFonts w:ascii="Calibri" w:hAnsi="Calibri" w:cs="Times New Roman" w:hint="eastAsia"/>
          <w:sz w:val="32"/>
          <w:szCs w:val="32"/>
        </w:rPr>
        <w:t xml:space="preserve">     </w:t>
      </w:r>
    </w:p>
    <w:p w:rsidR="00871ED2" w:rsidRPr="00871ED2" w:rsidRDefault="00871ED2" w:rsidP="00871ED2">
      <w:pPr>
        <w:spacing w:after="120" w:line="480" w:lineRule="auto"/>
        <w:ind w:firstLineChars="1584" w:firstLine="5069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71ED2"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871E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71ED2">
        <w:rPr>
          <w:rFonts w:ascii="仿宋_GB2312" w:eastAsia="仿宋_GB2312" w:hAnsi="仿宋_GB2312" w:cs="仿宋_GB2312" w:hint="eastAsia"/>
          <w:sz w:val="32"/>
          <w:szCs w:val="32"/>
        </w:rPr>
        <w:t>5日</w:t>
      </w:r>
    </w:p>
    <w:p w:rsidR="00871ED2" w:rsidRPr="00871ED2" w:rsidRDefault="00871ED2" w:rsidP="00871ED2">
      <w:pPr>
        <w:ind w:firstLine="640"/>
        <w:rPr>
          <w:sz w:val="32"/>
          <w:szCs w:val="32"/>
        </w:rPr>
      </w:pPr>
    </w:p>
    <w:sectPr w:rsidR="00871ED2" w:rsidRPr="0087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DA" w:rsidRDefault="001A75DA">
      <w:r>
        <w:separator/>
      </w:r>
    </w:p>
  </w:endnote>
  <w:endnote w:type="continuationSeparator" w:id="0">
    <w:p w:rsidR="001A75DA" w:rsidRDefault="001A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DA" w:rsidRDefault="001A75DA">
      <w:r>
        <w:separator/>
      </w:r>
    </w:p>
  </w:footnote>
  <w:footnote w:type="continuationSeparator" w:id="0">
    <w:p w:rsidR="001A75DA" w:rsidRDefault="001A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1B41D"/>
    <w:multiLevelType w:val="multilevel"/>
    <w:tmpl w:val="E2C1B41D"/>
    <w:lvl w:ilvl="0">
      <w:start w:val="1"/>
      <w:numFmt w:val="lowerLetter"/>
      <w:pStyle w:val="a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cs="宋体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cs="宋体" w:hint="eastAsia"/>
        <w:sz w:val="21"/>
      </w:rPr>
    </w:lvl>
    <w:lvl w:ilvl="2">
      <w:start w:val="1"/>
      <w:numFmt w:val="decimal"/>
      <w:lvlText w:val="(%3)"/>
      <w:lvlJc w:val="left"/>
      <w:pPr>
        <w:ind w:left="1702" w:hanging="425"/>
      </w:pPr>
      <w:rPr>
        <w:rFonts w:ascii="宋体" w:eastAsia="宋体" w:hAnsi="Times New Roman" w:cs="宋体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1">
    <w:nsid w:val="31F927CE"/>
    <w:multiLevelType w:val="multilevel"/>
    <w:tmpl w:val="31F927C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  <w:textAlignment w:val="baseline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color w:val="auto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41855C73"/>
    <w:multiLevelType w:val="singleLevel"/>
    <w:tmpl w:val="41855C73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26E6235"/>
    <w:multiLevelType w:val="singleLevel"/>
    <w:tmpl w:val="426E62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2D4E857"/>
    <w:multiLevelType w:val="singleLevel"/>
    <w:tmpl w:val="62D4E8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DNmMmM1MTMzZmE4MDM2MzZhZjFjOTY2YTMyMmQifQ=="/>
  </w:docVars>
  <w:rsids>
    <w:rsidRoot w:val="01887EE3"/>
    <w:rsid w:val="000B2E47"/>
    <w:rsid w:val="001A75DA"/>
    <w:rsid w:val="00581D7A"/>
    <w:rsid w:val="00871ED2"/>
    <w:rsid w:val="008968AA"/>
    <w:rsid w:val="009373E4"/>
    <w:rsid w:val="00A62CDF"/>
    <w:rsid w:val="00E01C19"/>
    <w:rsid w:val="00E15AB0"/>
    <w:rsid w:val="00EC6E8F"/>
    <w:rsid w:val="01887EE3"/>
    <w:rsid w:val="06F81FE2"/>
    <w:rsid w:val="3F8810CB"/>
    <w:rsid w:val="5C2B5724"/>
    <w:rsid w:val="617B2323"/>
    <w:rsid w:val="69F51EE6"/>
    <w:rsid w:val="6CA83C5E"/>
    <w:rsid w:val="70A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71ED2"/>
    <w:pPr>
      <w:widowControl w:val="0"/>
      <w:ind w:firstLineChars="200" w:firstLine="56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2">
    <w:name w:val="heading 2"/>
    <w:basedOn w:val="a2"/>
    <w:next w:val="a2"/>
    <w:link w:val="2Char"/>
    <w:unhideWhenUsed/>
    <w:qFormat/>
    <w:rsid w:val="00871ED2"/>
    <w:pPr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Pr>
      <w:sz w:val="24"/>
    </w:rPr>
  </w:style>
  <w:style w:type="table" w:styleId="a7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2"/>
    <w:qFormat/>
    <w:pPr>
      <w:spacing w:after="120" w:line="480" w:lineRule="auto"/>
      <w:textAlignment w:val="baseline"/>
    </w:pPr>
    <w:rPr>
      <w:sz w:val="32"/>
      <w:szCs w:val="32"/>
    </w:rPr>
  </w:style>
  <w:style w:type="paragraph" w:customStyle="1" w:styleId="a8">
    <w:name w:val="标准文件_段"/>
    <w:basedOn w:val="a2"/>
    <w:link w:val="Char"/>
    <w:qFormat/>
    <w:pPr>
      <w:widowControl/>
      <w:autoSpaceDE w:val="0"/>
      <w:autoSpaceDN w:val="0"/>
      <w:ind w:firstLine="200"/>
    </w:pPr>
    <w:rPr>
      <w:rFonts w:ascii="宋体" w:eastAsia="宋体" w:hAnsi="Times New Roman" w:cs="Times New Roman" w:hint="eastAsia"/>
      <w:kern w:val="0"/>
      <w:sz w:val="21"/>
      <w:szCs w:val="20"/>
    </w:rPr>
  </w:style>
  <w:style w:type="character" w:customStyle="1" w:styleId="Char">
    <w:name w:val="标准文件_段 Char"/>
    <w:basedOn w:val="a3"/>
    <w:link w:val="a8"/>
    <w:qFormat/>
    <w:rPr>
      <w:rFonts w:ascii="宋体" w:eastAsia="宋体" w:hAnsi="Times New Roman" w:cs="宋体" w:hint="eastAsia"/>
      <w:sz w:val="21"/>
    </w:rPr>
  </w:style>
  <w:style w:type="paragraph" w:customStyle="1" w:styleId="a0">
    <w:name w:val="标准文件_一级条标题"/>
    <w:qFormat/>
    <w:pPr>
      <w:numPr>
        <w:ilvl w:val="2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 w:hint="eastAsia"/>
      <w:sz w:val="21"/>
    </w:rPr>
  </w:style>
  <w:style w:type="paragraph" w:customStyle="1" w:styleId="a9">
    <w:name w:val="标准文件_二级条标题"/>
    <w:basedOn w:val="a2"/>
    <w:qFormat/>
    <w:pPr>
      <w:spacing w:beforeLines="50" w:before="50" w:afterLines="50" w:after="50"/>
      <w:ind w:firstLine="0"/>
      <w:outlineLvl w:val="2"/>
    </w:pPr>
    <w:rPr>
      <w:rFonts w:ascii="黑体" w:eastAsia="黑体" w:hAnsi="Times New Roman" w:cs="Times New Roman" w:hint="eastAsia"/>
      <w:kern w:val="0"/>
      <w:sz w:val="21"/>
      <w:szCs w:val="20"/>
    </w:rPr>
  </w:style>
  <w:style w:type="paragraph" w:customStyle="1" w:styleId="a1">
    <w:name w:val="标准文件_二级无标题"/>
    <w:basedOn w:val="a9"/>
    <w:qFormat/>
    <w:pPr>
      <w:numPr>
        <w:ilvl w:val="3"/>
        <w:numId w:val="1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">
    <w:name w:val="标准文件_字母编号列项（一级）"/>
    <w:basedOn w:val="a2"/>
    <w:qFormat/>
    <w:pPr>
      <w:widowControl/>
      <w:numPr>
        <w:numId w:val="2"/>
      </w:numPr>
    </w:pPr>
    <w:rPr>
      <w:rFonts w:ascii="宋体" w:eastAsia="宋体" w:hAnsi="Times New Roman" w:cs="Times New Roman" w:hint="eastAsia"/>
      <w:kern w:val="0"/>
      <w:sz w:val="21"/>
      <w:szCs w:val="20"/>
    </w:rPr>
  </w:style>
  <w:style w:type="paragraph" w:styleId="aa">
    <w:name w:val="List Paragraph"/>
    <w:basedOn w:val="a2"/>
    <w:uiPriority w:val="99"/>
    <w:unhideWhenUsed/>
    <w:rsid w:val="00E15AB0"/>
    <w:pPr>
      <w:ind w:firstLine="420"/>
    </w:pPr>
  </w:style>
  <w:style w:type="character" w:customStyle="1" w:styleId="2Char">
    <w:name w:val="标题 2 Char"/>
    <w:basedOn w:val="a3"/>
    <w:link w:val="2"/>
    <w:rsid w:val="00871ED2"/>
    <w:rPr>
      <w:rFonts w:ascii="Arial" w:hAnsi="Arial" w:cstheme="minorBidi"/>
      <w:b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71ED2"/>
    <w:pPr>
      <w:widowControl w:val="0"/>
      <w:ind w:firstLineChars="200" w:firstLine="56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2">
    <w:name w:val="heading 2"/>
    <w:basedOn w:val="a2"/>
    <w:next w:val="a2"/>
    <w:link w:val="2Char"/>
    <w:unhideWhenUsed/>
    <w:qFormat/>
    <w:rsid w:val="00871ED2"/>
    <w:pPr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Pr>
      <w:sz w:val="24"/>
    </w:rPr>
  </w:style>
  <w:style w:type="table" w:styleId="a7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2"/>
    <w:qFormat/>
    <w:pPr>
      <w:spacing w:after="120" w:line="480" w:lineRule="auto"/>
      <w:textAlignment w:val="baseline"/>
    </w:pPr>
    <w:rPr>
      <w:sz w:val="32"/>
      <w:szCs w:val="32"/>
    </w:rPr>
  </w:style>
  <w:style w:type="paragraph" w:customStyle="1" w:styleId="a8">
    <w:name w:val="标准文件_段"/>
    <w:basedOn w:val="a2"/>
    <w:link w:val="Char"/>
    <w:qFormat/>
    <w:pPr>
      <w:widowControl/>
      <w:autoSpaceDE w:val="0"/>
      <w:autoSpaceDN w:val="0"/>
      <w:ind w:firstLine="200"/>
    </w:pPr>
    <w:rPr>
      <w:rFonts w:ascii="宋体" w:eastAsia="宋体" w:hAnsi="Times New Roman" w:cs="Times New Roman" w:hint="eastAsia"/>
      <w:kern w:val="0"/>
      <w:sz w:val="21"/>
      <w:szCs w:val="20"/>
    </w:rPr>
  </w:style>
  <w:style w:type="character" w:customStyle="1" w:styleId="Char">
    <w:name w:val="标准文件_段 Char"/>
    <w:basedOn w:val="a3"/>
    <w:link w:val="a8"/>
    <w:qFormat/>
    <w:rPr>
      <w:rFonts w:ascii="宋体" w:eastAsia="宋体" w:hAnsi="Times New Roman" w:cs="宋体" w:hint="eastAsia"/>
      <w:sz w:val="21"/>
    </w:rPr>
  </w:style>
  <w:style w:type="paragraph" w:customStyle="1" w:styleId="a0">
    <w:name w:val="标准文件_一级条标题"/>
    <w:qFormat/>
    <w:pPr>
      <w:numPr>
        <w:ilvl w:val="2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 w:hint="eastAsia"/>
      <w:sz w:val="21"/>
    </w:rPr>
  </w:style>
  <w:style w:type="paragraph" w:customStyle="1" w:styleId="a9">
    <w:name w:val="标准文件_二级条标题"/>
    <w:basedOn w:val="a2"/>
    <w:qFormat/>
    <w:pPr>
      <w:spacing w:beforeLines="50" w:before="50" w:afterLines="50" w:after="50"/>
      <w:ind w:firstLine="0"/>
      <w:outlineLvl w:val="2"/>
    </w:pPr>
    <w:rPr>
      <w:rFonts w:ascii="黑体" w:eastAsia="黑体" w:hAnsi="Times New Roman" w:cs="Times New Roman" w:hint="eastAsia"/>
      <w:kern w:val="0"/>
      <w:sz w:val="21"/>
      <w:szCs w:val="20"/>
    </w:rPr>
  </w:style>
  <w:style w:type="paragraph" w:customStyle="1" w:styleId="a1">
    <w:name w:val="标准文件_二级无标题"/>
    <w:basedOn w:val="a9"/>
    <w:qFormat/>
    <w:pPr>
      <w:numPr>
        <w:ilvl w:val="3"/>
        <w:numId w:val="1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">
    <w:name w:val="标准文件_字母编号列项（一级）"/>
    <w:basedOn w:val="a2"/>
    <w:qFormat/>
    <w:pPr>
      <w:widowControl/>
      <w:numPr>
        <w:numId w:val="2"/>
      </w:numPr>
    </w:pPr>
    <w:rPr>
      <w:rFonts w:ascii="宋体" w:eastAsia="宋体" w:hAnsi="Times New Roman" w:cs="Times New Roman" w:hint="eastAsia"/>
      <w:kern w:val="0"/>
      <w:sz w:val="21"/>
      <w:szCs w:val="20"/>
    </w:rPr>
  </w:style>
  <w:style w:type="paragraph" w:styleId="aa">
    <w:name w:val="List Paragraph"/>
    <w:basedOn w:val="a2"/>
    <w:uiPriority w:val="99"/>
    <w:unhideWhenUsed/>
    <w:rsid w:val="00E15AB0"/>
    <w:pPr>
      <w:ind w:firstLine="420"/>
    </w:pPr>
  </w:style>
  <w:style w:type="character" w:customStyle="1" w:styleId="2Char">
    <w:name w:val="标题 2 Char"/>
    <w:basedOn w:val="a3"/>
    <w:link w:val="2"/>
    <w:rsid w:val="00871ED2"/>
    <w:rPr>
      <w:rFonts w:ascii="Arial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Finding</dc:creator>
  <cp:lastModifiedBy>卢艺</cp:lastModifiedBy>
  <cp:revision>9</cp:revision>
  <dcterms:created xsi:type="dcterms:W3CDTF">2025-08-19T02:18:00Z</dcterms:created>
  <dcterms:modified xsi:type="dcterms:W3CDTF">2025-08-29T08:35:00Z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32E832E4FF1749B1A58CB9CCEEC4035A_13</vt:lpwstr>
  </property>
</Properties>
</file>