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AB3E6">
      <w:pPr>
        <w:pStyle w:val="2"/>
        <w:ind w:firstLine="0" w:firstLineChars="0"/>
      </w:pPr>
      <w:r>
        <w:rPr>
          <w:rFonts w:hint="eastAsia"/>
        </w:rPr>
        <w:t>团体标准《老挝菠萝蜜种植技术</w:t>
      </w:r>
      <w:r>
        <w:rPr>
          <w:rFonts w:hint="eastAsia"/>
          <w:lang w:val="en-US" w:eastAsia="zh-CN"/>
        </w:rPr>
        <w:t>规程</w:t>
      </w:r>
      <w:bookmarkStart w:id="6" w:name="_GoBack"/>
      <w:bookmarkEnd w:id="6"/>
      <w:r>
        <w:rPr>
          <w:rFonts w:hint="eastAsia"/>
        </w:rPr>
        <w:t>》</w:t>
      </w:r>
    </w:p>
    <w:p w14:paraId="271EA9F0">
      <w:pPr>
        <w:pStyle w:val="2"/>
        <w:ind w:firstLine="0" w:firstLineChars="0"/>
      </w:pPr>
      <w:r>
        <w:t>编制说明</w:t>
      </w:r>
    </w:p>
    <w:p w14:paraId="5E6A2098">
      <w:pPr>
        <w:spacing w:line="540" w:lineRule="exact"/>
        <w:ind w:firstLine="0" w:firstLineChars="0"/>
        <w:jc w:val="center"/>
        <w:rPr>
          <w:rFonts w:hint="eastAsia" w:ascii="方正楷体简体" w:hAnsi="方正楷体简体" w:eastAsia="方正楷体简体" w:cs="方正楷体简体"/>
          <w:b/>
          <w:sz w:val="32"/>
          <w:szCs w:val="32"/>
        </w:rPr>
      </w:pPr>
      <w:r>
        <w:rPr>
          <w:rFonts w:hint="eastAsia" w:ascii="方正楷体简体" w:hAnsi="方正楷体简体" w:eastAsia="方正楷体简体" w:cs="方正楷体简体"/>
          <w:b/>
          <w:sz w:val="32"/>
          <w:szCs w:val="32"/>
        </w:rPr>
        <w:t>（</w:t>
      </w:r>
      <w:r>
        <w:rPr>
          <w:rFonts w:hint="eastAsia" w:ascii="宋体" w:hAnsi="宋体" w:eastAsia="宋体" w:cs="宋体"/>
          <w:b/>
          <w:sz w:val="32"/>
          <w:szCs w:val="32"/>
        </w:rPr>
        <w:t>征求意见</w:t>
      </w:r>
      <w:r>
        <w:rPr>
          <w:rFonts w:hint="eastAsia" w:ascii="方正楷体简体" w:hAnsi="方正楷体简体" w:eastAsia="方正楷体简体" w:cs="方正楷体简体"/>
          <w:b/>
          <w:sz w:val="32"/>
          <w:szCs w:val="32"/>
        </w:rPr>
        <w:t>稿）</w:t>
      </w:r>
    </w:p>
    <w:p w14:paraId="28716134">
      <w:pPr>
        <w:pStyle w:val="2"/>
        <w:spacing w:line="276" w:lineRule="auto"/>
        <w:ind w:firstLine="883"/>
      </w:pPr>
    </w:p>
    <w:p w14:paraId="20AAD6A4">
      <w:pPr>
        <w:pStyle w:val="3"/>
        <w:numPr>
          <w:ilvl w:val="0"/>
          <w:numId w:val="1"/>
        </w:numPr>
        <w:ind w:firstLine="643"/>
      </w:pPr>
      <w:r>
        <w:rPr>
          <w:rFonts w:hint="eastAsia"/>
        </w:rPr>
        <w:t>工作简介</w:t>
      </w:r>
    </w:p>
    <w:p w14:paraId="54F927BF">
      <w:pPr>
        <w:pStyle w:val="4"/>
        <w:numPr>
          <w:ilvl w:val="0"/>
          <w:numId w:val="2"/>
        </w:numPr>
      </w:pPr>
      <w:r>
        <w:rPr>
          <w:rFonts w:hint="eastAsia"/>
        </w:rPr>
        <w:t>任务来源</w:t>
      </w:r>
    </w:p>
    <w:p w14:paraId="75769FE1">
      <w:r>
        <w:rPr>
          <w:rFonts w:hint="eastAsia"/>
        </w:rPr>
        <w:t>根据《广西物品编码与标准化促进会关于下达2025年第十七批（共15项）团体标准制修订项目计划的通知》（桂标促</w:t>
      </w:r>
      <w:r>
        <w:rPr>
          <w:rFonts w:hint="eastAsia" w:ascii="仿宋" w:hAnsi="仿宋"/>
        </w:rPr>
        <w:t>〔2025〕76号</w:t>
      </w:r>
      <w:r>
        <w:rPr>
          <w:rFonts w:hint="eastAsia"/>
        </w:rPr>
        <w:t>）</w:t>
      </w:r>
      <w:r>
        <w:rPr>
          <w:rFonts w:hint="eastAsia" w:ascii="仿宋" w:hAnsi="仿宋"/>
        </w:rPr>
        <w:t>文件精神，</w:t>
      </w:r>
      <w:r>
        <w:rPr>
          <w:rFonts w:hint="eastAsia"/>
        </w:rPr>
        <w:t>由广西壮族自治区标准技术研究院、老挝广西商会提出，广西壮族自治区标准技术研究院、老挝广西商会、万象市恒鑫建材有限公司共同起草的团体标准《老挝菠萝蜜种植技术规范》（项目编号2025-55）由广西物品编码与标准化促进会批准立项。</w:t>
      </w:r>
    </w:p>
    <w:p w14:paraId="62E05E3E">
      <w:pPr>
        <w:pStyle w:val="4"/>
        <w:numPr>
          <w:ilvl w:val="0"/>
          <w:numId w:val="2"/>
        </w:numPr>
      </w:pPr>
      <w:r>
        <w:rPr>
          <w:rFonts w:hint="eastAsia"/>
        </w:rPr>
        <w:t>起草单位、主要起草人（姓名、单位、职务/职称、参与编制标准分工情况）等</w:t>
      </w:r>
    </w:p>
    <w:p w14:paraId="548C52C1">
      <w:r>
        <w:rPr>
          <w:rFonts w:hint="eastAsia"/>
        </w:rPr>
        <w:t>本文件由广西壮族自治区标准技术研究院、万象市恒鑫建材有限公司和老挝广西商会共同起草。主要起草人见表1。</w:t>
      </w:r>
    </w:p>
    <w:p w14:paraId="264F94F9">
      <w:pPr>
        <w:jc w:val="center"/>
      </w:pPr>
      <w:r>
        <w:rPr>
          <w:rFonts w:hint="eastAsia"/>
        </w:rPr>
        <w:t>表1</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3670"/>
        <w:gridCol w:w="1134"/>
        <w:gridCol w:w="2738"/>
      </w:tblGrid>
      <w:tr w14:paraId="0156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5612ECA6">
            <w:pPr>
              <w:ind w:firstLine="0" w:firstLineChars="0"/>
              <w:jc w:val="center"/>
              <w:rPr>
                <w:rFonts w:hint="eastAsia" w:ascii="仿宋" w:hAnsi="仿宋" w:cs="仿宋"/>
                <w:sz w:val="24"/>
              </w:rPr>
            </w:pPr>
            <w:r>
              <w:rPr>
                <w:rFonts w:hint="eastAsia" w:ascii="仿宋" w:hAnsi="仿宋" w:cs="仿宋"/>
                <w:sz w:val="24"/>
              </w:rPr>
              <w:t>姓名</w:t>
            </w:r>
          </w:p>
        </w:tc>
        <w:tc>
          <w:tcPr>
            <w:tcW w:w="2155" w:type="pct"/>
            <w:vAlign w:val="center"/>
          </w:tcPr>
          <w:p w14:paraId="2F0D6E21">
            <w:pPr>
              <w:ind w:firstLine="0" w:firstLineChars="0"/>
              <w:jc w:val="center"/>
              <w:rPr>
                <w:rFonts w:hint="eastAsia" w:ascii="仿宋" w:hAnsi="仿宋" w:cs="仿宋"/>
                <w:sz w:val="24"/>
              </w:rPr>
            </w:pPr>
            <w:r>
              <w:rPr>
                <w:rFonts w:hint="eastAsia" w:ascii="仿宋" w:hAnsi="仿宋" w:cs="仿宋"/>
                <w:sz w:val="24"/>
              </w:rPr>
              <w:t>单位</w:t>
            </w:r>
          </w:p>
        </w:tc>
        <w:tc>
          <w:tcPr>
            <w:tcW w:w="666" w:type="pct"/>
            <w:vAlign w:val="center"/>
          </w:tcPr>
          <w:p w14:paraId="5DA7C10D">
            <w:pPr>
              <w:ind w:firstLine="0" w:firstLineChars="0"/>
              <w:jc w:val="center"/>
              <w:rPr>
                <w:rFonts w:ascii="仿宋" w:hAnsi="仿宋" w:cs="仿宋"/>
                <w:sz w:val="24"/>
              </w:rPr>
            </w:pPr>
            <w:r>
              <w:rPr>
                <w:rFonts w:hint="eastAsia" w:ascii="仿宋" w:hAnsi="仿宋" w:cs="仿宋"/>
                <w:sz w:val="24"/>
              </w:rPr>
              <w:t>职务/</w:t>
            </w:r>
          </w:p>
          <w:p w14:paraId="3146A8F4">
            <w:pPr>
              <w:ind w:firstLine="0" w:firstLineChars="0"/>
              <w:jc w:val="center"/>
              <w:rPr>
                <w:rFonts w:hint="eastAsia" w:ascii="仿宋" w:hAnsi="仿宋" w:cs="仿宋"/>
                <w:sz w:val="24"/>
              </w:rPr>
            </w:pPr>
            <w:r>
              <w:rPr>
                <w:rFonts w:hint="eastAsia" w:ascii="仿宋" w:hAnsi="仿宋" w:cs="仿宋"/>
                <w:sz w:val="24"/>
              </w:rPr>
              <w:t>职称</w:t>
            </w:r>
          </w:p>
        </w:tc>
        <w:tc>
          <w:tcPr>
            <w:tcW w:w="1607" w:type="pct"/>
            <w:vAlign w:val="center"/>
          </w:tcPr>
          <w:p w14:paraId="7ECC5E9F">
            <w:pPr>
              <w:ind w:firstLine="0" w:firstLineChars="0"/>
              <w:jc w:val="center"/>
              <w:rPr>
                <w:rFonts w:hint="eastAsia" w:ascii="仿宋" w:hAnsi="仿宋" w:cs="仿宋"/>
                <w:sz w:val="24"/>
              </w:rPr>
            </w:pPr>
            <w:r>
              <w:rPr>
                <w:rFonts w:hint="eastAsia" w:ascii="仿宋" w:hAnsi="仿宋" w:cs="仿宋"/>
                <w:sz w:val="24"/>
              </w:rPr>
              <w:t>参与编制标准分工情况</w:t>
            </w:r>
          </w:p>
        </w:tc>
      </w:tr>
      <w:tr w14:paraId="1D36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7EC0A17E">
            <w:pPr>
              <w:ind w:firstLine="0" w:firstLineChars="0"/>
              <w:jc w:val="center"/>
              <w:rPr>
                <w:rFonts w:hint="eastAsia" w:ascii="仿宋" w:hAnsi="仿宋" w:cs="仿宋"/>
                <w:sz w:val="24"/>
              </w:rPr>
            </w:pPr>
            <w:r>
              <w:rPr>
                <w:rFonts w:hint="eastAsia" w:ascii="仿宋" w:hAnsi="仿宋" w:cs="仿宋"/>
                <w:sz w:val="24"/>
              </w:rPr>
              <w:t>蔡旭平</w:t>
            </w:r>
          </w:p>
        </w:tc>
        <w:tc>
          <w:tcPr>
            <w:tcW w:w="2155" w:type="pct"/>
            <w:vAlign w:val="center"/>
          </w:tcPr>
          <w:p w14:paraId="3F006A24">
            <w:pPr>
              <w:ind w:firstLine="0" w:firstLineChars="0"/>
              <w:jc w:val="center"/>
              <w:rPr>
                <w:rFonts w:hint="eastAsia" w:ascii="仿宋" w:hAnsi="仿宋" w:cs="仿宋"/>
                <w:sz w:val="24"/>
              </w:rPr>
            </w:pPr>
            <w:r>
              <w:rPr>
                <w:rFonts w:hint="eastAsia" w:ascii="仿宋" w:hAnsi="仿宋" w:cs="仿宋"/>
                <w:sz w:val="24"/>
              </w:rPr>
              <w:t>广西壮族自治区标准技术研究院</w:t>
            </w:r>
          </w:p>
        </w:tc>
        <w:tc>
          <w:tcPr>
            <w:tcW w:w="666" w:type="pct"/>
            <w:vAlign w:val="center"/>
          </w:tcPr>
          <w:p w14:paraId="0DF4C6C4">
            <w:pPr>
              <w:ind w:firstLine="0" w:firstLineChars="0"/>
              <w:jc w:val="center"/>
              <w:rPr>
                <w:rFonts w:hint="eastAsia" w:ascii="仿宋" w:hAnsi="仿宋" w:cs="仿宋"/>
                <w:sz w:val="24"/>
              </w:rPr>
            </w:pPr>
            <w:r>
              <w:rPr>
                <w:rFonts w:hint="eastAsia" w:ascii="仿宋" w:hAnsi="仿宋" w:cs="仿宋"/>
                <w:sz w:val="24"/>
              </w:rPr>
              <w:t>教授级高级工程师</w:t>
            </w:r>
          </w:p>
        </w:tc>
        <w:tc>
          <w:tcPr>
            <w:tcW w:w="1607" w:type="pct"/>
            <w:vAlign w:val="center"/>
          </w:tcPr>
          <w:p w14:paraId="0279FEF6">
            <w:pPr>
              <w:ind w:firstLine="0" w:firstLineChars="0"/>
              <w:jc w:val="center"/>
              <w:rPr>
                <w:rFonts w:hint="eastAsia" w:ascii="仿宋" w:hAnsi="仿宋" w:cs="仿宋"/>
                <w:sz w:val="24"/>
              </w:rPr>
            </w:pPr>
            <w:r>
              <w:rPr>
                <w:rFonts w:hint="eastAsia" w:ascii="仿宋" w:hAnsi="仿宋" w:cs="仿宋"/>
                <w:sz w:val="24"/>
              </w:rPr>
              <w:t>项目统筹、标准编制</w:t>
            </w:r>
          </w:p>
        </w:tc>
      </w:tr>
      <w:tr w14:paraId="7257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599E0802">
            <w:pPr>
              <w:ind w:firstLine="0" w:firstLineChars="0"/>
              <w:jc w:val="center"/>
              <w:rPr>
                <w:rFonts w:hint="eastAsia" w:ascii="仿宋" w:hAnsi="仿宋" w:cs="仿宋"/>
                <w:sz w:val="24"/>
              </w:rPr>
            </w:pPr>
            <w:r>
              <w:rPr>
                <w:rFonts w:hint="eastAsia" w:ascii="仿宋" w:hAnsi="仿宋" w:cs="仿宋"/>
                <w:sz w:val="24"/>
              </w:rPr>
              <w:t>林建业</w:t>
            </w:r>
          </w:p>
        </w:tc>
        <w:tc>
          <w:tcPr>
            <w:tcW w:w="2155" w:type="pct"/>
            <w:vAlign w:val="center"/>
          </w:tcPr>
          <w:p w14:paraId="1EA61157">
            <w:pPr>
              <w:ind w:firstLine="0" w:firstLineChars="0"/>
              <w:jc w:val="center"/>
              <w:rPr>
                <w:rFonts w:hint="eastAsia" w:ascii="仿宋" w:hAnsi="仿宋" w:cs="仿宋"/>
                <w:sz w:val="24"/>
              </w:rPr>
            </w:pPr>
            <w:r>
              <w:rPr>
                <w:rFonts w:hint="eastAsia" w:ascii="仿宋" w:hAnsi="仿宋" w:cs="仿宋"/>
                <w:sz w:val="24"/>
              </w:rPr>
              <w:t>广西壮族自治区标准技术研究院</w:t>
            </w:r>
          </w:p>
        </w:tc>
        <w:tc>
          <w:tcPr>
            <w:tcW w:w="666" w:type="pct"/>
            <w:vAlign w:val="center"/>
          </w:tcPr>
          <w:p w14:paraId="63F3FD90">
            <w:pPr>
              <w:ind w:firstLine="0" w:firstLineChars="0"/>
              <w:jc w:val="center"/>
              <w:rPr>
                <w:rFonts w:hint="eastAsia" w:ascii="仿宋" w:hAnsi="仿宋" w:cs="仿宋"/>
                <w:sz w:val="24"/>
              </w:rPr>
            </w:pPr>
            <w:r>
              <w:rPr>
                <w:rFonts w:hint="eastAsia" w:ascii="仿宋" w:hAnsi="仿宋" w:cs="仿宋"/>
                <w:sz w:val="24"/>
              </w:rPr>
              <w:t>高级工程师</w:t>
            </w:r>
          </w:p>
        </w:tc>
        <w:tc>
          <w:tcPr>
            <w:tcW w:w="1607" w:type="pct"/>
            <w:vAlign w:val="center"/>
          </w:tcPr>
          <w:p w14:paraId="225357AE">
            <w:pPr>
              <w:ind w:firstLine="0" w:firstLineChars="0"/>
              <w:jc w:val="center"/>
              <w:rPr>
                <w:rFonts w:hint="eastAsia" w:ascii="仿宋" w:hAnsi="仿宋" w:cs="仿宋"/>
                <w:sz w:val="24"/>
              </w:rPr>
            </w:pPr>
            <w:r>
              <w:rPr>
                <w:rFonts w:hint="eastAsia" w:ascii="仿宋" w:hAnsi="仿宋" w:cs="仿宋"/>
                <w:sz w:val="24"/>
              </w:rPr>
              <w:t>项目筹划、标准编制</w:t>
            </w:r>
          </w:p>
        </w:tc>
      </w:tr>
      <w:tr w14:paraId="759A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1DA1AABB">
            <w:pPr>
              <w:ind w:firstLine="0" w:firstLineChars="0"/>
              <w:jc w:val="center"/>
              <w:rPr>
                <w:rFonts w:hint="eastAsia" w:ascii="仿宋" w:hAnsi="仿宋" w:cs="仿宋"/>
                <w:sz w:val="24"/>
              </w:rPr>
            </w:pPr>
            <w:r>
              <w:rPr>
                <w:rFonts w:hint="eastAsia" w:ascii="仿宋" w:hAnsi="仿宋" w:cs="仿宋"/>
                <w:sz w:val="24"/>
              </w:rPr>
              <w:t>李彦达</w:t>
            </w:r>
          </w:p>
        </w:tc>
        <w:tc>
          <w:tcPr>
            <w:tcW w:w="2155" w:type="pct"/>
            <w:vAlign w:val="center"/>
          </w:tcPr>
          <w:p w14:paraId="5E1F98C8">
            <w:pPr>
              <w:ind w:firstLine="0" w:firstLineChars="0"/>
              <w:jc w:val="center"/>
              <w:rPr>
                <w:rFonts w:hint="eastAsia" w:ascii="仿宋" w:hAnsi="仿宋" w:cs="仿宋"/>
                <w:sz w:val="24"/>
              </w:rPr>
            </w:pPr>
            <w:r>
              <w:rPr>
                <w:rFonts w:hint="eastAsia" w:ascii="仿宋" w:hAnsi="仿宋" w:cs="仿宋"/>
                <w:sz w:val="24"/>
              </w:rPr>
              <w:t>广西壮族自治区标准技术研究院</w:t>
            </w:r>
          </w:p>
        </w:tc>
        <w:tc>
          <w:tcPr>
            <w:tcW w:w="666" w:type="pct"/>
            <w:vAlign w:val="center"/>
          </w:tcPr>
          <w:p w14:paraId="7D350A1E">
            <w:pPr>
              <w:ind w:firstLine="0" w:firstLineChars="0"/>
              <w:jc w:val="center"/>
              <w:rPr>
                <w:rFonts w:hint="eastAsia" w:ascii="仿宋" w:hAnsi="仿宋" w:cs="仿宋"/>
                <w:sz w:val="24"/>
              </w:rPr>
            </w:pPr>
            <w:r>
              <w:rPr>
                <w:rFonts w:hint="eastAsia" w:ascii="仿宋" w:hAnsi="仿宋" w:cs="仿宋"/>
                <w:sz w:val="24"/>
              </w:rPr>
              <w:t>农艺师</w:t>
            </w:r>
          </w:p>
        </w:tc>
        <w:tc>
          <w:tcPr>
            <w:tcW w:w="1607" w:type="pct"/>
            <w:vAlign w:val="center"/>
          </w:tcPr>
          <w:p w14:paraId="76D21C74">
            <w:pPr>
              <w:ind w:firstLine="0" w:firstLineChars="0"/>
              <w:jc w:val="center"/>
              <w:rPr>
                <w:rFonts w:hint="eastAsia" w:ascii="仿宋" w:hAnsi="仿宋" w:cs="仿宋"/>
                <w:sz w:val="24"/>
              </w:rPr>
            </w:pPr>
            <w:r>
              <w:rPr>
                <w:rFonts w:hint="eastAsia" w:ascii="仿宋" w:hAnsi="仿宋" w:cs="仿宋"/>
                <w:sz w:val="24"/>
              </w:rPr>
              <w:t>项目筹划、标准编制</w:t>
            </w:r>
          </w:p>
        </w:tc>
      </w:tr>
      <w:tr w14:paraId="6F0C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429BF703">
            <w:pPr>
              <w:ind w:firstLine="0" w:firstLineChars="0"/>
              <w:jc w:val="center"/>
              <w:rPr>
                <w:rFonts w:hint="eastAsia" w:ascii="仿宋" w:hAnsi="仿宋" w:cs="仿宋"/>
                <w:sz w:val="24"/>
              </w:rPr>
            </w:pPr>
            <w:r>
              <w:rPr>
                <w:rFonts w:hint="eastAsia" w:ascii="仿宋" w:hAnsi="仿宋" w:cs="仿宋"/>
                <w:sz w:val="24"/>
              </w:rPr>
              <w:t>苏紫敏</w:t>
            </w:r>
          </w:p>
        </w:tc>
        <w:tc>
          <w:tcPr>
            <w:tcW w:w="2155" w:type="pct"/>
            <w:vAlign w:val="center"/>
          </w:tcPr>
          <w:p w14:paraId="74600E5F">
            <w:pPr>
              <w:ind w:firstLine="0" w:firstLineChars="0"/>
              <w:jc w:val="center"/>
              <w:rPr>
                <w:rFonts w:hint="eastAsia" w:ascii="仿宋" w:hAnsi="仿宋" w:cs="仿宋"/>
                <w:sz w:val="24"/>
              </w:rPr>
            </w:pPr>
            <w:r>
              <w:rPr>
                <w:rFonts w:hint="eastAsia" w:ascii="仿宋" w:hAnsi="仿宋" w:cs="仿宋"/>
                <w:sz w:val="24"/>
              </w:rPr>
              <w:t>广西壮族自治区标准技术研究院</w:t>
            </w:r>
          </w:p>
        </w:tc>
        <w:tc>
          <w:tcPr>
            <w:tcW w:w="666" w:type="pct"/>
            <w:vAlign w:val="center"/>
          </w:tcPr>
          <w:p w14:paraId="24143C03">
            <w:pPr>
              <w:ind w:firstLine="0" w:firstLineChars="0"/>
              <w:jc w:val="center"/>
              <w:rPr>
                <w:rFonts w:hint="eastAsia" w:ascii="仿宋" w:hAnsi="仿宋" w:cs="仿宋"/>
                <w:sz w:val="24"/>
              </w:rPr>
            </w:pPr>
            <w:r>
              <w:rPr>
                <w:rFonts w:hint="eastAsia" w:ascii="仿宋" w:hAnsi="仿宋" w:cs="仿宋"/>
                <w:sz w:val="24"/>
              </w:rPr>
              <w:t>工程师</w:t>
            </w:r>
          </w:p>
        </w:tc>
        <w:tc>
          <w:tcPr>
            <w:tcW w:w="1607" w:type="pct"/>
            <w:vAlign w:val="center"/>
          </w:tcPr>
          <w:p w14:paraId="374F0F57">
            <w:pPr>
              <w:ind w:firstLine="0" w:firstLineChars="0"/>
              <w:jc w:val="center"/>
              <w:rPr>
                <w:rFonts w:hint="eastAsia" w:ascii="仿宋" w:hAnsi="仿宋" w:cs="仿宋"/>
                <w:sz w:val="24"/>
              </w:rPr>
            </w:pPr>
            <w:r>
              <w:rPr>
                <w:rFonts w:hint="eastAsia" w:ascii="仿宋" w:hAnsi="仿宋" w:cs="仿宋"/>
                <w:sz w:val="24"/>
              </w:rPr>
              <w:t>项目筹划、标准编制</w:t>
            </w:r>
          </w:p>
        </w:tc>
      </w:tr>
      <w:tr w14:paraId="6B60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44B3E3BC">
            <w:pPr>
              <w:ind w:firstLine="0" w:firstLineChars="0"/>
              <w:jc w:val="center"/>
              <w:rPr>
                <w:rFonts w:hint="eastAsia" w:ascii="仿宋" w:hAnsi="仿宋" w:cs="仿宋"/>
                <w:sz w:val="24"/>
              </w:rPr>
            </w:pPr>
            <w:r>
              <w:rPr>
                <w:rFonts w:hint="eastAsia" w:ascii="仿宋" w:hAnsi="仿宋" w:cs="仿宋"/>
                <w:sz w:val="24"/>
              </w:rPr>
              <w:t>陈钦儒</w:t>
            </w:r>
          </w:p>
        </w:tc>
        <w:tc>
          <w:tcPr>
            <w:tcW w:w="2155" w:type="pct"/>
            <w:vAlign w:val="center"/>
          </w:tcPr>
          <w:p w14:paraId="44348E5F">
            <w:pPr>
              <w:ind w:firstLine="0" w:firstLineChars="0"/>
              <w:jc w:val="center"/>
              <w:rPr>
                <w:rFonts w:hint="eastAsia" w:ascii="仿宋" w:hAnsi="仿宋" w:cs="仿宋"/>
                <w:sz w:val="24"/>
              </w:rPr>
            </w:pPr>
            <w:r>
              <w:rPr>
                <w:rFonts w:hint="eastAsia" w:ascii="仿宋" w:hAnsi="仿宋" w:cs="仿宋"/>
                <w:sz w:val="24"/>
              </w:rPr>
              <w:t>老挝广西商会</w:t>
            </w:r>
          </w:p>
        </w:tc>
        <w:tc>
          <w:tcPr>
            <w:tcW w:w="666" w:type="pct"/>
            <w:vAlign w:val="center"/>
          </w:tcPr>
          <w:p w14:paraId="2F469BA5">
            <w:pPr>
              <w:ind w:firstLine="0" w:firstLineChars="0"/>
              <w:jc w:val="center"/>
              <w:rPr>
                <w:rFonts w:hint="eastAsia" w:ascii="仿宋" w:hAnsi="仿宋" w:cs="仿宋"/>
                <w:sz w:val="24"/>
              </w:rPr>
            </w:pPr>
            <w:r>
              <w:rPr>
                <w:rFonts w:hint="eastAsia" w:ascii="仿宋" w:hAnsi="仿宋" w:cs="仿宋"/>
                <w:sz w:val="24"/>
              </w:rPr>
              <w:t>会长</w:t>
            </w:r>
          </w:p>
        </w:tc>
        <w:tc>
          <w:tcPr>
            <w:tcW w:w="1607" w:type="pct"/>
            <w:vAlign w:val="center"/>
          </w:tcPr>
          <w:p w14:paraId="42CDC735">
            <w:pPr>
              <w:ind w:firstLine="0" w:firstLineChars="0"/>
              <w:jc w:val="center"/>
              <w:rPr>
                <w:rFonts w:hint="eastAsia" w:ascii="仿宋" w:hAnsi="仿宋" w:cs="仿宋"/>
                <w:sz w:val="24"/>
              </w:rPr>
            </w:pPr>
            <w:r>
              <w:rPr>
                <w:rFonts w:hint="eastAsia" w:ascii="仿宋" w:hAnsi="仿宋" w:cs="仿宋"/>
                <w:sz w:val="24"/>
              </w:rPr>
              <w:t>标准编制、技术支撑</w:t>
            </w:r>
          </w:p>
        </w:tc>
      </w:tr>
      <w:tr w14:paraId="4190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5FE90C24">
            <w:pPr>
              <w:ind w:firstLine="0" w:firstLineChars="0"/>
              <w:jc w:val="center"/>
              <w:rPr>
                <w:rFonts w:hint="eastAsia" w:ascii="仿宋" w:hAnsi="仿宋" w:cs="仿宋"/>
                <w:sz w:val="24"/>
              </w:rPr>
            </w:pPr>
            <w:r>
              <w:rPr>
                <w:rFonts w:hint="eastAsia" w:ascii="仿宋" w:hAnsi="仿宋" w:cs="仿宋"/>
                <w:sz w:val="24"/>
              </w:rPr>
              <w:t>陈钦静</w:t>
            </w:r>
          </w:p>
        </w:tc>
        <w:tc>
          <w:tcPr>
            <w:tcW w:w="2155" w:type="pct"/>
            <w:vAlign w:val="center"/>
          </w:tcPr>
          <w:p w14:paraId="0A839EF8">
            <w:pPr>
              <w:ind w:firstLine="0" w:firstLineChars="0"/>
              <w:jc w:val="center"/>
              <w:rPr>
                <w:rFonts w:hint="eastAsia" w:ascii="仿宋" w:hAnsi="仿宋" w:cs="仿宋"/>
                <w:sz w:val="24"/>
              </w:rPr>
            </w:pPr>
            <w:r>
              <w:rPr>
                <w:rFonts w:hint="eastAsia" w:ascii="仿宋" w:hAnsi="仿宋" w:cs="仿宋"/>
                <w:sz w:val="24"/>
              </w:rPr>
              <w:t>万象市恒鑫建材有限公司</w:t>
            </w:r>
          </w:p>
        </w:tc>
        <w:tc>
          <w:tcPr>
            <w:tcW w:w="666" w:type="pct"/>
            <w:vAlign w:val="center"/>
          </w:tcPr>
          <w:p w14:paraId="7676340E">
            <w:pPr>
              <w:ind w:firstLine="0" w:firstLineChars="0"/>
              <w:jc w:val="center"/>
              <w:rPr>
                <w:rFonts w:hint="eastAsia" w:ascii="仿宋" w:hAnsi="仿宋" w:cs="仿宋"/>
                <w:sz w:val="24"/>
              </w:rPr>
            </w:pPr>
            <w:r>
              <w:rPr>
                <w:rFonts w:hint="eastAsia" w:ascii="仿宋" w:hAnsi="仿宋" w:cs="仿宋"/>
                <w:sz w:val="24"/>
              </w:rPr>
              <w:t>总经理</w:t>
            </w:r>
          </w:p>
        </w:tc>
        <w:tc>
          <w:tcPr>
            <w:tcW w:w="1607" w:type="pct"/>
            <w:vAlign w:val="center"/>
          </w:tcPr>
          <w:p w14:paraId="2FB8047C">
            <w:pPr>
              <w:ind w:firstLine="0" w:firstLineChars="0"/>
              <w:jc w:val="center"/>
              <w:rPr>
                <w:rFonts w:hint="eastAsia" w:ascii="仿宋" w:hAnsi="仿宋" w:cs="仿宋"/>
                <w:sz w:val="24"/>
              </w:rPr>
            </w:pPr>
            <w:r>
              <w:rPr>
                <w:rFonts w:hint="eastAsia" w:ascii="仿宋" w:hAnsi="仿宋" w:cs="仿宋"/>
                <w:sz w:val="24"/>
              </w:rPr>
              <w:t>标准编制、技术支撑</w:t>
            </w:r>
          </w:p>
        </w:tc>
      </w:tr>
      <w:tr w14:paraId="5237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69EAA359">
            <w:pPr>
              <w:ind w:firstLine="0" w:firstLineChars="0"/>
              <w:jc w:val="center"/>
              <w:rPr>
                <w:rFonts w:hint="eastAsia" w:ascii="仿宋" w:hAnsi="仿宋" w:cs="仿宋"/>
                <w:sz w:val="24"/>
              </w:rPr>
            </w:pPr>
            <w:r>
              <w:rPr>
                <w:rFonts w:hint="eastAsia" w:ascii="仿宋" w:hAnsi="仿宋" w:cs="仿宋"/>
                <w:sz w:val="24"/>
              </w:rPr>
              <w:t>陈杭</w:t>
            </w:r>
          </w:p>
        </w:tc>
        <w:tc>
          <w:tcPr>
            <w:tcW w:w="2155" w:type="pct"/>
            <w:vAlign w:val="center"/>
          </w:tcPr>
          <w:p w14:paraId="69897B66">
            <w:pPr>
              <w:ind w:firstLine="0" w:firstLineChars="0"/>
              <w:jc w:val="center"/>
              <w:rPr>
                <w:rFonts w:hint="eastAsia" w:ascii="仿宋" w:hAnsi="仿宋" w:cs="仿宋"/>
                <w:sz w:val="24"/>
              </w:rPr>
            </w:pPr>
            <w:r>
              <w:rPr>
                <w:rFonts w:hint="eastAsia" w:ascii="仿宋" w:hAnsi="仿宋" w:cs="仿宋"/>
                <w:sz w:val="24"/>
              </w:rPr>
              <w:t>老挝广西商会</w:t>
            </w:r>
          </w:p>
        </w:tc>
        <w:tc>
          <w:tcPr>
            <w:tcW w:w="666" w:type="pct"/>
            <w:vAlign w:val="center"/>
          </w:tcPr>
          <w:p w14:paraId="5A4FF1BD">
            <w:pPr>
              <w:ind w:firstLine="0" w:firstLineChars="0"/>
              <w:jc w:val="center"/>
              <w:rPr>
                <w:rFonts w:hint="eastAsia" w:ascii="仿宋" w:hAnsi="仿宋" w:cs="仿宋"/>
                <w:sz w:val="24"/>
              </w:rPr>
            </w:pPr>
            <w:r>
              <w:rPr>
                <w:rFonts w:hint="eastAsia" w:ascii="仿宋" w:hAnsi="仿宋" w:cs="仿宋"/>
                <w:sz w:val="24"/>
              </w:rPr>
              <w:t>秘书长</w:t>
            </w:r>
          </w:p>
        </w:tc>
        <w:tc>
          <w:tcPr>
            <w:tcW w:w="1607" w:type="pct"/>
            <w:vAlign w:val="center"/>
          </w:tcPr>
          <w:p w14:paraId="47F9B8E6">
            <w:pPr>
              <w:ind w:firstLine="0" w:firstLineChars="0"/>
              <w:jc w:val="center"/>
              <w:rPr>
                <w:rFonts w:hint="eastAsia" w:ascii="仿宋" w:hAnsi="仿宋" w:cs="仿宋"/>
                <w:sz w:val="24"/>
              </w:rPr>
            </w:pPr>
            <w:r>
              <w:rPr>
                <w:rFonts w:hint="eastAsia" w:ascii="仿宋" w:hAnsi="仿宋" w:cs="仿宋"/>
                <w:sz w:val="24"/>
              </w:rPr>
              <w:t>标准编制、技术支撑</w:t>
            </w:r>
          </w:p>
        </w:tc>
      </w:tr>
      <w:tr w14:paraId="20C8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2B276340">
            <w:pPr>
              <w:ind w:firstLine="0" w:firstLineChars="0"/>
              <w:jc w:val="center"/>
              <w:rPr>
                <w:rFonts w:hint="eastAsia" w:ascii="仿宋" w:hAnsi="仿宋" w:cs="仿宋"/>
                <w:sz w:val="24"/>
              </w:rPr>
            </w:pPr>
            <w:r>
              <w:rPr>
                <w:rFonts w:hint="eastAsia" w:ascii="仿宋" w:hAnsi="仿宋" w:cs="仿宋"/>
                <w:sz w:val="24"/>
              </w:rPr>
              <w:t>赵丰一</w:t>
            </w:r>
          </w:p>
        </w:tc>
        <w:tc>
          <w:tcPr>
            <w:tcW w:w="2155" w:type="pct"/>
            <w:vAlign w:val="center"/>
          </w:tcPr>
          <w:p w14:paraId="2117597B">
            <w:pPr>
              <w:ind w:firstLine="0" w:firstLineChars="0"/>
              <w:jc w:val="center"/>
              <w:rPr>
                <w:rFonts w:hint="eastAsia" w:ascii="仿宋" w:hAnsi="仿宋" w:cs="仿宋"/>
                <w:sz w:val="24"/>
              </w:rPr>
            </w:pPr>
            <w:r>
              <w:rPr>
                <w:rFonts w:hint="eastAsia" w:ascii="仿宋" w:hAnsi="仿宋" w:cs="仿宋"/>
                <w:sz w:val="24"/>
              </w:rPr>
              <w:t>万象市恒鑫建材有限公司</w:t>
            </w:r>
          </w:p>
        </w:tc>
        <w:tc>
          <w:tcPr>
            <w:tcW w:w="666" w:type="pct"/>
            <w:vAlign w:val="center"/>
          </w:tcPr>
          <w:p w14:paraId="17D08540">
            <w:pPr>
              <w:ind w:firstLine="0" w:firstLineChars="0"/>
              <w:jc w:val="center"/>
              <w:rPr>
                <w:rFonts w:hint="eastAsia" w:ascii="仿宋" w:hAnsi="仿宋" w:cs="仿宋"/>
                <w:sz w:val="24"/>
              </w:rPr>
            </w:pPr>
            <w:r>
              <w:rPr>
                <w:rFonts w:hint="eastAsia" w:ascii="仿宋" w:hAnsi="仿宋" w:cs="仿宋"/>
                <w:sz w:val="24"/>
              </w:rPr>
              <w:t>经理</w:t>
            </w:r>
          </w:p>
        </w:tc>
        <w:tc>
          <w:tcPr>
            <w:tcW w:w="1607" w:type="pct"/>
            <w:vAlign w:val="center"/>
          </w:tcPr>
          <w:p w14:paraId="35949941">
            <w:pPr>
              <w:ind w:firstLine="0" w:firstLineChars="0"/>
              <w:jc w:val="center"/>
              <w:rPr>
                <w:rFonts w:hint="eastAsia" w:ascii="仿宋" w:hAnsi="仿宋" w:cs="仿宋"/>
                <w:sz w:val="24"/>
              </w:rPr>
            </w:pPr>
            <w:r>
              <w:rPr>
                <w:rFonts w:hint="eastAsia" w:ascii="仿宋" w:hAnsi="仿宋" w:cs="仿宋"/>
                <w:sz w:val="24"/>
              </w:rPr>
              <w:t>标准编制、技术支撑</w:t>
            </w:r>
          </w:p>
        </w:tc>
      </w:tr>
      <w:tr w14:paraId="67D2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392D7D86">
            <w:pPr>
              <w:ind w:firstLine="0" w:firstLineChars="0"/>
              <w:jc w:val="center"/>
              <w:rPr>
                <w:rFonts w:hint="eastAsia" w:ascii="仿宋" w:hAnsi="仿宋" w:cs="仿宋"/>
                <w:sz w:val="24"/>
              </w:rPr>
            </w:pPr>
            <w:r>
              <w:rPr>
                <w:rFonts w:hint="eastAsia" w:ascii="仿宋" w:hAnsi="仿宋" w:cs="仿宋"/>
                <w:sz w:val="24"/>
              </w:rPr>
              <w:t>农凯</w:t>
            </w:r>
          </w:p>
        </w:tc>
        <w:tc>
          <w:tcPr>
            <w:tcW w:w="2155" w:type="pct"/>
            <w:vAlign w:val="center"/>
          </w:tcPr>
          <w:p w14:paraId="21353F8B">
            <w:pPr>
              <w:ind w:firstLine="0" w:firstLineChars="0"/>
              <w:jc w:val="center"/>
              <w:rPr>
                <w:rFonts w:hint="eastAsia" w:ascii="仿宋" w:hAnsi="仿宋" w:cs="仿宋"/>
                <w:sz w:val="24"/>
              </w:rPr>
            </w:pPr>
            <w:r>
              <w:rPr>
                <w:rFonts w:hint="eastAsia" w:ascii="仿宋" w:hAnsi="仿宋" w:cs="仿宋"/>
                <w:sz w:val="24"/>
              </w:rPr>
              <w:t>广西壮族自治区标准技术研究院</w:t>
            </w:r>
          </w:p>
        </w:tc>
        <w:tc>
          <w:tcPr>
            <w:tcW w:w="666" w:type="pct"/>
            <w:vAlign w:val="center"/>
          </w:tcPr>
          <w:p w14:paraId="12D38460">
            <w:pPr>
              <w:ind w:firstLine="0" w:firstLineChars="0"/>
              <w:jc w:val="center"/>
              <w:rPr>
                <w:rFonts w:hint="eastAsia" w:ascii="仿宋" w:hAnsi="仿宋" w:cs="仿宋"/>
                <w:sz w:val="24"/>
              </w:rPr>
            </w:pPr>
            <w:r>
              <w:rPr>
                <w:rFonts w:hint="eastAsia" w:ascii="仿宋" w:hAnsi="仿宋" w:cs="仿宋"/>
                <w:sz w:val="24"/>
              </w:rPr>
              <w:t>副所长</w:t>
            </w:r>
          </w:p>
        </w:tc>
        <w:tc>
          <w:tcPr>
            <w:tcW w:w="1607" w:type="pct"/>
            <w:vAlign w:val="center"/>
          </w:tcPr>
          <w:p w14:paraId="578A1849">
            <w:pPr>
              <w:ind w:firstLine="0" w:firstLineChars="0"/>
              <w:jc w:val="center"/>
              <w:rPr>
                <w:rFonts w:hint="eastAsia" w:ascii="仿宋" w:hAnsi="仿宋" w:cs="仿宋"/>
                <w:sz w:val="24"/>
              </w:rPr>
            </w:pPr>
            <w:r>
              <w:rPr>
                <w:rFonts w:hint="eastAsia" w:ascii="仿宋" w:hAnsi="仿宋" w:cs="仿宋"/>
                <w:sz w:val="24"/>
              </w:rPr>
              <w:t>资料收集、标准编写</w:t>
            </w:r>
          </w:p>
        </w:tc>
      </w:tr>
      <w:tr w14:paraId="668C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152A0F34">
            <w:pPr>
              <w:ind w:firstLine="0" w:firstLineChars="0"/>
              <w:jc w:val="center"/>
              <w:rPr>
                <w:rFonts w:hint="eastAsia" w:ascii="仿宋" w:hAnsi="仿宋" w:cs="仿宋"/>
                <w:sz w:val="24"/>
              </w:rPr>
            </w:pPr>
            <w:r>
              <w:rPr>
                <w:rFonts w:hint="eastAsia" w:ascii="仿宋" w:hAnsi="仿宋" w:cs="仿宋"/>
                <w:sz w:val="24"/>
              </w:rPr>
              <w:t>唐继微</w:t>
            </w:r>
          </w:p>
        </w:tc>
        <w:tc>
          <w:tcPr>
            <w:tcW w:w="2155" w:type="pct"/>
            <w:vAlign w:val="center"/>
          </w:tcPr>
          <w:p w14:paraId="09960513">
            <w:pPr>
              <w:ind w:firstLine="0" w:firstLineChars="0"/>
              <w:jc w:val="center"/>
              <w:rPr>
                <w:rFonts w:hint="eastAsia" w:ascii="仿宋" w:hAnsi="仿宋" w:cs="仿宋"/>
                <w:sz w:val="24"/>
              </w:rPr>
            </w:pPr>
            <w:r>
              <w:rPr>
                <w:rFonts w:hint="eastAsia" w:ascii="仿宋" w:hAnsi="仿宋" w:cs="仿宋"/>
                <w:sz w:val="24"/>
              </w:rPr>
              <w:t>广西壮族自治区标准技术研究院</w:t>
            </w:r>
          </w:p>
        </w:tc>
        <w:tc>
          <w:tcPr>
            <w:tcW w:w="666" w:type="pct"/>
            <w:vAlign w:val="center"/>
          </w:tcPr>
          <w:p w14:paraId="5B4D72CE">
            <w:pPr>
              <w:ind w:firstLine="0" w:firstLineChars="0"/>
              <w:jc w:val="center"/>
              <w:rPr>
                <w:rFonts w:hint="eastAsia" w:ascii="仿宋" w:hAnsi="仿宋" w:cs="仿宋"/>
                <w:sz w:val="24"/>
              </w:rPr>
            </w:pPr>
            <w:r>
              <w:rPr>
                <w:rFonts w:hint="eastAsia" w:ascii="仿宋" w:hAnsi="仿宋" w:cs="仿宋"/>
                <w:sz w:val="24"/>
              </w:rPr>
              <w:t>高级工程师</w:t>
            </w:r>
          </w:p>
        </w:tc>
        <w:tc>
          <w:tcPr>
            <w:tcW w:w="1607" w:type="pct"/>
            <w:vAlign w:val="center"/>
          </w:tcPr>
          <w:p w14:paraId="453A3EEC">
            <w:pPr>
              <w:ind w:firstLine="0" w:firstLineChars="0"/>
              <w:jc w:val="center"/>
              <w:rPr>
                <w:rFonts w:hint="eastAsia" w:ascii="仿宋" w:hAnsi="仿宋" w:cs="仿宋"/>
                <w:sz w:val="24"/>
              </w:rPr>
            </w:pPr>
            <w:r>
              <w:rPr>
                <w:rFonts w:hint="eastAsia" w:ascii="仿宋" w:hAnsi="仿宋" w:cs="仿宋"/>
                <w:sz w:val="24"/>
              </w:rPr>
              <w:t>资料收集、标准编写</w:t>
            </w:r>
          </w:p>
        </w:tc>
      </w:tr>
      <w:tr w14:paraId="4C1C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41D8707C">
            <w:pPr>
              <w:ind w:firstLine="0" w:firstLineChars="0"/>
              <w:jc w:val="center"/>
              <w:rPr>
                <w:rFonts w:hint="eastAsia" w:ascii="仿宋" w:hAnsi="仿宋" w:cs="仿宋"/>
                <w:sz w:val="24"/>
              </w:rPr>
            </w:pPr>
            <w:r>
              <w:rPr>
                <w:rFonts w:hint="eastAsia" w:ascii="仿宋" w:hAnsi="仿宋" w:cs="仿宋"/>
                <w:sz w:val="24"/>
              </w:rPr>
              <w:t>黄潇</w:t>
            </w:r>
          </w:p>
        </w:tc>
        <w:tc>
          <w:tcPr>
            <w:tcW w:w="2155" w:type="pct"/>
            <w:vAlign w:val="center"/>
          </w:tcPr>
          <w:p w14:paraId="27602D6C">
            <w:pPr>
              <w:ind w:firstLine="0" w:firstLineChars="0"/>
              <w:jc w:val="center"/>
              <w:rPr>
                <w:rFonts w:hint="eastAsia" w:ascii="仿宋" w:hAnsi="仿宋" w:cs="仿宋"/>
                <w:sz w:val="24"/>
              </w:rPr>
            </w:pPr>
            <w:r>
              <w:rPr>
                <w:rFonts w:hint="eastAsia" w:ascii="仿宋" w:hAnsi="仿宋" w:cs="仿宋"/>
                <w:sz w:val="24"/>
              </w:rPr>
              <w:t>广西壮族自治区标准技术研究院</w:t>
            </w:r>
          </w:p>
        </w:tc>
        <w:tc>
          <w:tcPr>
            <w:tcW w:w="666" w:type="pct"/>
            <w:vAlign w:val="center"/>
          </w:tcPr>
          <w:p w14:paraId="2FBB630C">
            <w:pPr>
              <w:ind w:firstLine="0" w:firstLineChars="0"/>
              <w:jc w:val="center"/>
              <w:rPr>
                <w:rFonts w:hint="eastAsia" w:ascii="仿宋" w:hAnsi="仿宋" w:cs="仿宋"/>
                <w:sz w:val="24"/>
              </w:rPr>
            </w:pPr>
            <w:r>
              <w:rPr>
                <w:rFonts w:hint="eastAsia" w:ascii="仿宋" w:hAnsi="仿宋" w:cs="仿宋"/>
                <w:sz w:val="24"/>
              </w:rPr>
              <w:t>专业技术人员</w:t>
            </w:r>
          </w:p>
        </w:tc>
        <w:tc>
          <w:tcPr>
            <w:tcW w:w="1607" w:type="pct"/>
            <w:vAlign w:val="center"/>
          </w:tcPr>
          <w:p w14:paraId="42D3A2E5">
            <w:pPr>
              <w:ind w:firstLine="0" w:firstLineChars="0"/>
              <w:jc w:val="center"/>
              <w:rPr>
                <w:rFonts w:hint="eastAsia" w:ascii="仿宋" w:hAnsi="仿宋" w:cs="仿宋"/>
                <w:sz w:val="24"/>
              </w:rPr>
            </w:pPr>
            <w:r>
              <w:rPr>
                <w:rFonts w:hint="eastAsia" w:ascii="仿宋" w:hAnsi="仿宋" w:cs="仿宋"/>
                <w:sz w:val="24"/>
              </w:rPr>
              <w:t>资料收集、标准编写</w:t>
            </w:r>
          </w:p>
        </w:tc>
      </w:tr>
      <w:tr w14:paraId="7BDE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2" w:type="pct"/>
            <w:vAlign w:val="center"/>
          </w:tcPr>
          <w:p w14:paraId="0DFE109C">
            <w:pPr>
              <w:ind w:firstLine="0" w:firstLineChars="0"/>
              <w:jc w:val="center"/>
              <w:rPr>
                <w:rFonts w:hint="eastAsia" w:ascii="仿宋" w:hAnsi="仿宋" w:cs="仿宋"/>
                <w:sz w:val="24"/>
              </w:rPr>
            </w:pPr>
            <w:r>
              <w:rPr>
                <w:rFonts w:hint="eastAsia" w:ascii="仿宋" w:hAnsi="仿宋" w:cs="仿宋"/>
                <w:sz w:val="24"/>
              </w:rPr>
              <w:t>吴耀巧</w:t>
            </w:r>
          </w:p>
        </w:tc>
        <w:tc>
          <w:tcPr>
            <w:tcW w:w="2155" w:type="pct"/>
            <w:vAlign w:val="center"/>
          </w:tcPr>
          <w:p w14:paraId="66CFF501">
            <w:pPr>
              <w:ind w:firstLine="0" w:firstLineChars="0"/>
              <w:jc w:val="center"/>
              <w:rPr>
                <w:rFonts w:hint="eastAsia" w:ascii="仿宋" w:hAnsi="仿宋" w:cs="仿宋"/>
                <w:sz w:val="24"/>
              </w:rPr>
            </w:pPr>
            <w:r>
              <w:rPr>
                <w:rFonts w:hint="eastAsia" w:ascii="仿宋" w:hAnsi="仿宋" w:cs="仿宋"/>
                <w:sz w:val="24"/>
              </w:rPr>
              <w:t>广西壮族自治区标准技术研究院</w:t>
            </w:r>
          </w:p>
        </w:tc>
        <w:tc>
          <w:tcPr>
            <w:tcW w:w="666" w:type="pct"/>
            <w:vAlign w:val="center"/>
          </w:tcPr>
          <w:p w14:paraId="52F71A61">
            <w:pPr>
              <w:ind w:firstLine="0" w:firstLineChars="0"/>
              <w:jc w:val="center"/>
              <w:rPr>
                <w:rFonts w:hint="eastAsia" w:ascii="仿宋" w:hAnsi="仿宋" w:cs="仿宋"/>
                <w:sz w:val="24"/>
              </w:rPr>
            </w:pPr>
            <w:r>
              <w:rPr>
                <w:rFonts w:hint="eastAsia" w:ascii="仿宋" w:hAnsi="仿宋" w:cs="仿宋"/>
                <w:sz w:val="24"/>
              </w:rPr>
              <w:t>专业技术人员</w:t>
            </w:r>
          </w:p>
        </w:tc>
        <w:tc>
          <w:tcPr>
            <w:tcW w:w="1607" w:type="pct"/>
            <w:vAlign w:val="center"/>
          </w:tcPr>
          <w:p w14:paraId="6CBBCE1B">
            <w:pPr>
              <w:ind w:firstLine="0" w:firstLineChars="0"/>
              <w:jc w:val="center"/>
              <w:rPr>
                <w:rFonts w:hint="eastAsia" w:ascii="仿宋" w:hAnsi="仿宋" w:cs="仿宋"/>
                <w:sz w:val="24"/>
              </w:rPr>
            </w:pPr>
            <w:r>
              <w:rPr>
                <w:rFonts w:hint="eastAsia" w:ascii="仿宋" w:hAnsi="仿宋" w:cs="仿宋"/>
                <w:sz w:val="24"/>
              </w:rPr>
              <w:t>资料收集、标准编写</w:t>
            </w:r>
          </w:p>
        </w:tc>
      </w:tr>
    </w:tbl>
    <w:p w14:paraId="2FF625D2">
      <w:pPr>
        <w:pStyle w:val="3"/>
        <w:ind w:firstLine="643"/>
      </w:pPr>
      <w:r>
        <w:rPr>
          <w:rFonts w:hint="eastAsia"/>
        </w:rPr>
        <w:t>二、标准编制过程</w:t>
      </w:r>
    </w:p>
    <w:p w14:paraId="1115C215">
      <w:pPr>
        <w:pStyle w:val="4"/>
      </w:pPr>
      <w:r>
        <w:rPr>
          <w:rFonts w:hint="eastAsia"/>
        </w:rPr>
        <w:t>1、成立编制工作组</w:t>
      </w:r>
    </w:p>
    <w:p w14:paraId="0AC35C79">
      <w:r>
        <w:rPr>
          <w:rFonts w:hint="eastAsia"/>
        </w:rPr>
        <w:t>本项目任务下达后，为确保标准编制工作的顺利开展，负责人及时制定标准编制工作方案、部署工作任务、确定标准起草工作时间、内容框架等，全面有序开展该标准的编制工作，并成立编制工作组，进行任务分工。</w:t>
      </w:r>
    </w:p>
    <w:p w14:paraId="03BF5452">
      <w:pPr>
        <w:pStyle w:val="4"/>
      </w:pPr>
      <w:r>
        <w:rPr>
          <w:rFonts w:hint="eastAsia"/>
        </w:rPr>
        <w:t>2、展开调研，收集资料</w:t>
      </w:r>
    </w:p>
    <w:p w14:paraId="5E127068">
      <w:r>
        <w:rPr>
          <w:rFonts w:hint="eastAsia"/>
        </w:rPr>
        <w:t>本项目各项技术指标确定的依据，主要基于我国海南、广东、广西等省份菠萝蜜种植技术的研究成果和具体实践，以及老挝广西商会对老挝菠萝蜜开展的实地调研和种植技术规范整理。同时，参考了马来西亚、坦桑尼亚等国出台的有关菠萝蜜的技术标准指标。</w:t>
      </w:r>
    </w:p>
    <w:p w14:paraId="046F1C7A">
      <w:pPr>
        <w:pStyle w:val="4"/>
        <w:numPr>
          <w:ilvl w:val="0"/>
          <w:numId w:val="2"/>
        </w:numPr>
      </w:pPr>
      <w:r>
        <w:rPr>
          <w:rFonts w:hint="eastAsia"/>
        </w:rPr>
        <w:t>研讨确定主体内容</w:t>
      </w:r>
    </w:p>
    <w:p w14:paraId="35A42DDE">
      <w:r>
        <w:rPr>
          <w:rFonts w:hint="eastAsia"/>
        </w:rPr>
        <w:t>在完成对所收集资料的梳理与研究后，编制工作组综合搜集的资料成果就标准的框架结构进行了研究，并对其中的关键内容进行了初步探讨。并邀请相关主管单位等召开标准研讨会，收集反馈了大量意见，对标准草案进行了反复修改和研究讨论，最终形成了团体标准《老挝菠萝蜜种植技术规范》（征求意见稿）及其编制说明。</w:t>
      </w:r>
    </w:p>
    <w:p w14:paraId="7680644E">
      <w:pPr>
        <w:pStyle w:val="3"/>
        <w:numPr>
          <w:ilvl w:val="0"/>
          <w:numId w:val="3"/>
        </w:numPr>
        <w:ind w:firstLine="643"/>
      </w:pPr>
      <w:r>
        <w:rPr>
          <w:rFonts w:hint="eastAsia"/>
        </w:rPr>
        <w:t>标准编制原则</w:t>
      </w:r>
    </w:p>
    <w:p w14:paraId="3694E931">
      <w:pPr>
        <w:pStyle w:val="4"/>
        <w:numPr>
          <w:ilvl w:val="0"/>
          <w:numId w:val="4"/>
        </w:numPr>
        <w:ind w:firstLine="560"/>
      </w:pPr>
      <w:r>
        <w:rPr>
          <w:rFonts w:hint="eastAsia"/>
        </w:rPr>
        <w:t>规范性原则</w:t>
      </w:r>
    </w:p>
    <w:p w14:paraId="09C2C329">
      <w:r>
        <w:rPr>
          <w:rFonts w:hint="eastAsia"/>
        </w:rPr>
        <w:t>严格按照《标准化工作导则 第1部分：标准化文件的结构和起草规则》（GB/T 1.1—2020）以及国家有关标准化法律、法规的要求进行编写。</w:t>
      </w:r>
    </w:p>
    <w:p w14:paraId="0FC5C4E1">
      <w:pPr>
        <w:pStyle w:val="4"/>
        <w:numPr>
          <w:ilvl w:val="0"/>
          <w:numId w:val="4"/>
        </w:numPr>
        <w:ind w:firstLine="560"/>
      </w:pPr>
      <w:r>
        <w:rPr>
          <w:rFonts w:hint="eastAsia"/>
        </w:rPr>
        <w:t>一致性原则</w:t>
      </w:r>
    </w:p>
    <w:p w14:paraId="311E9C11">
      <w:r>
        <w:rPr>
          <w:rFonts w:hint="eastAsia"/>
        </w:rPr>
        <w:t>本标准符合国家现行法律、法规、政策，与相关国家标准、行业标准、地方标准协调一致，在技术指标、术语定义、试验方法等关键内容上，与相关领域已发布的标准保持衔接，各项指标不低于国家强制性标准、推荐性国家标准和行业标准。</w:t>
      </w:r>
    </w:p>
    <w:p w14:paraId="7E561815">
      <w:pPr>
        <w:pStyle w:val="4"/>
        <w:numPr>
          <w:ilvl w:val="0"/>
          <w:numId w:val="4"/>
        </w:numPr>
        <w:ind w:firstLine="560"/>
      </w:pPr>
      <w:r>
        <w:rPr>
          <w:rFonts w:hint="eastAsia"/>
        </w:rPr>
        <w:t>可操作性原则</w:t>
      </w:r>
    </w:p>
    <w:p w14:paraId="04B6772E">
      <w:pPr>
        <w:rPr>
          <w:rFonts w:hint="eastAsia"/>
        </w:rPr>
      </w:pPr>
      <w:r>
        <w:rPr>
          <w:rFonts w:hint="eastAsia"/>
        </w:rPr>
        <w:t>本标准立足老挝菠萝蜜产区的农业实际，紧密结合当地生产条件和技术基础，注重实用性，避免抽象表述。通过明确气候土壤指标、细化种植与管理操作步骤、量化施肥与用药要求，以及规范采收与采后处理流程，确保标准内容清晰具体、便于实施，为老挝菠萝蜜种植者提供可靠的技术依据，切实提升标准的可操作性和应用价值。</w:t>
      </w:r>
    </w:p>
    <w:p w14:paraId="7BF9273B">
      <w:pPr>
        <w:pStyle w:val="4"/>
        <w:numPr>
          <w:ilvl w:val="0"/>
          <w:numId w:val="4"/>
        </w:numPr>
        <w:ind w:firstLine="560"/>
      </w:pPr>
      <w:r>
        <w:rPr>
          <w:rFonts w:hint="eastAsia"/>
        </w:rPr>
        <w:t>通用性</w:t>
      </w:r>
    </w:p>
    <w:p w14:paraId="61A646E8">
      <w:pPr>
        <w:rPr>
          <w:rFonts w:hint="eastAsia"/>
        </w:rPr>
      </w:pPr>
      <w:r>
        <w:rPr>
          <w:rFonts w:hint="eastAsia"/>
        </w:rPr>
        <w:t>立足于老挝菠萝蜜主产区的气候温暖、雨量充沛、日照充足等自然条件，以及当地普遍存在的缓坡地与中坡地等典型地形特征，本标准结合老挝实际种植与管理模式，在园地选择与规划中区分不同坡度提出相应种植方式，在果园规划中系统设计道路与排灌设施，在有害生物防控方面综合运用套袋、生物及化学防治等不同措施，为生产者提供因地制宜、分类指导的技术依据，具有良好的适用性和可操作性，可在老挝菠萝蜜种植区广泛参照使用。</w:t>
      </w:r>
    </w:p>
    <w:p w14:paraId="0F832EE5">
      <w:pPr>
        <w:pStyle w:val="3"/>
        <w:numPr>
          <w:ilvl w:val="0"/>
          <w:numId w:val="3"/>
        </w:numPr>
        <w:ind w:firstLine="643"/>
        <w:rPr>
          <w:rFonts w:hint="eastAsia" w:ascii="仿宋" w:hAnsi="仿宋" w:eastAsia="仿宋" w:cs="仿宋"/>
          <w:szCs w:val="32"/>
        </w:rPr>
      </w:pPr>
      <w:r>
        <w:t>主要内容（如技术指标、参数、公式、性能要求、试验方法、检验规则</w:t>
      </w:r>
      <w:r>
        <w:rPr>
          <w:rFonts w:hint="eastAsia"/>
        </w:rPr>
        <w:t>）的论据</w:t>
      </w:r>
    </w:p>
    <w:p w14:paraId="36AACE13">
      <w:r>
        <w:rPr>
          <w:rFonts w:hint="eastAsia"/>
        </w:rPr>
        <w:t>《老挝菠萝蜜种植技术规范》分为12个章节：范围、规范性引用文件、术语和定义、园地选择与规划、品种与苗木选择、种植技术、田间管理、有害生物综合防治、防冻及冻后措施、果实采收与采后处理、污染管控、生产档案管理。</w:t>
      </w:r>
    </w:p>
    <w:p w14:paraId="334D1E37">
      <w:pPr>
        <w:pStyle w:val="13"/>
        <w:numPr>
          <w:ilvl w:val="0"/>
          <w:numId w:val="5"/>
        </w:numPr>
        <w:ind w:firstLineChars="0"/>
      </w:pPr>
      <w:r>
        <w:rPr>
          <w:rFonts w:hint="eastAsia"/>
        </w:rPr>
        <w:t>范围</w:t>
      </w:r>
    </w:p>
    <w:p w14:paraId="4A1D58B2">
      <w:r>
        <w:rPr>
          <w:rFonts w:hint="eastAsia"/>
        </w:rPr>
        <w:t>界定了老挝菠萝蜜种植技术的术语和定义，规定了</w:t>
      </w:r>
      <w:bookmarkStart w:id="0" w:name="_Hlk207181909"/>
      <w:r>
        <w:rPr>
          <w:rFonts w:hint="eastAsia"/>
        </w:rPr>
        <w:t>园地选择与规划、品种与苗木选择、种植技术、田间管理、有害生物综合防治、防冻及冻后措施、果实采收与采后处理、污染管控、生产档案管理</w:t>
      </w:r>
      <w:bookmarkEnd w:id="0"/>
      <w:r>
        <w:rPr>
          <w:rFonts w:hint="eastAsia"/>
        </w:rPr>
        <w:t>等内容。</w:t>
      </w:r>
    </w:p>
    <w:p w14:paraId="29BD70F4">
      <w:pPr>
        <w:pStyle w:val="13"/>
        <w:numPr>
          <w:ilvl w:val="0"/>
          <w:numId w:val="5"/>
        </w:numPr>
        <w:ind w:firstLineChars="0"/>
      </w:pPr>
      <w:r>
        <w:rPr>
          <w:rFonts w:hint="eastAsia"/>
        </w:rPr>
        <w:t>规范性引用文件</w:t>
      </w:r>
    </w:p>
    <w:p w14:paraId="12C2EE3A">
      <w:pPr>
        <w:ind w:left="560" w:firstLine="0" w:firstLineChars="0"/>
      </w:pPr>
      <w:r>
        <w:rPr>
          <w:rFonts w:hint="eastAsia"/>
        </w:rPr>
        <w:t>本标准没有规范性引用文件。</w:t>
      </w:r>
    </w:p>
    <w:p w14:paraId="2BD2B6A5">
      <w:pPr>
        <w:pStyle w:val="13"/>
        <w:numPr>
          <w:ilvl w:val="0"/>
          <w:numId w:val="5"/>
        </w:numPr>
        <w:ind w:firstLineChars="0"/>
      </w:pPr>
      <w:r>
        <w:rPr>
          <w:rFonts w:hint="eastAsia"/>
        </w:rPr>
        <w:t>术语和定义</w:t>
      </w:r>
    </w:p>
    <w:p w14:paraId="47B50C51">
      <w:pPr>
        <w:ind w:firstLineChars="0"/>
      </w:pPr>
      <w:r>
        <w:rPr>
          <w:rFonts w:hint="eastAsia"/>
        </w:rPr>
        <w:t>本章对标准中使用的关键术语进行了定义。</w:t>
      </w:r>
    </w:p>
    <w:p w14:paraId="1CC9EE95">
      <w:pPr>
        <w:pStyle w:val="13"/>
        <w:numPr>
          <w:ilvl w:val="0"/>
          <w:numId w:val="5"/>
        </w:numPr>
        <w:ind w:firstLineChars="0"/>
      </w:pPr>
      <w:r>
        <w:rPr>
          <w:rFonts w:hint="eastAsia"/>
        </w:rPr>
        <w:t>园地选择与规划</w:t>
      </w:r>
    </w:p>
    <w:p w14:paraId="773B1697">
      <w:r>
        <w:rPr>
          <w:rFonts w:hint="eastAsia"/>
        </w:rPr>
        <w:t>本章详细规定了菠萝蜜种植园地所需的气候条件（如温度、降雨量）、环境与灌溉水质量、地形要求，并对园区内的道路系统、排灌设施、防护林带和生产加工区规划提出了要求。</w:t>
      </w:r>
    </w:p>
    <w:p w14:paraId="261D5A82">
      <w:pPr>
        <w:pStyle w:val="13"/>
        <w:numPr>
          <w:ilvl w:val="0"/>
          <w:numId w:val="5"/>
        </w:numPr>
        <w:ind w:firstLineChars="0"/>
      </w:pPr>
      <w:r>
        <w:rPr>
          <w:rFonts w:hint="eastAsia"/>
        </w:rPr>
        <w:t>品种与苗木选择</w:t>
      </w:r>
    </w:p>
    <w:p w14:paraId="4D3755FE">
      <w:pPr>
        <w:rPr>
          <w:rFonts w:hint="eastAsia"/>
        </w:rPr>
      </w:pPr>
      <w:r>
        <w:rPr>
          <w:rFonts w:hint="eastAsia"/>
        </w:rPr>
        <w:t>本章规定了应根据当地条件选择适应性强、抗病优质的品种，并详细描述了合格实生苗和嫁接苗的培育标准，以及芽片腹接法的具体操作流程和接后管理要求。</w:t>
      </w:r>
    </w:p>
    <w:p w14:paraId="2425691B">
      <w:pPr>
        <w:pStyle w:val="13"/>
        <w:numPr>
          <w:ilvl w:val="0"/>
          <w:numId w:val="5"/>
        </w:numPr>
        <w:ind w:firstLineChars="0"/>
      </w:pPr>
      <w:r>
        <w:rPr>
          <w:rFonts w:hint="eastAsia"/>
        </w:rPr>
        <w:t>种植技术</w:t>
      </w:r>
    </w:p>
    <w:p w14:paraId="6DE3C6E2">
      <w:r>
        <w:rPr>
          <w:rFonts w:hint="eastAsia"/>
        </w:rPr>
        <w:t>本章涵盖了种植前的整地、梯田修筑、种植行设置，植穴的开挖规格与基肥施用方法，并明确了适宜的种植时间、种植密度以及具体的定植操作步骤。</w:t>
      </w:r>
    </w:p>
    <w:p w14:paraId="54192373">
      <w:pPr>
        <w:pStyle w:val="13"/>
        <w:numPr>
          <w:ilvl w:val="0"/>
          <w:numId w:val="5"/>
        </w:numPr>
        <w:ind w:firstLineChars="0"/>
        <w:rPr>
          <w:rFonts w:hint="eastAsia"/>
        </w:rPr>
      </w:pPr>
      <w:r>
        <w:rPr>
          <w:rFonts w:hint="eastAsia"/>
        </w:rPr>
        <w:t>田间管理</w:t>
      </w:r>
    </w:p>
    <w:p w14:paraId="7DEC8ED3">
      <w:pPr>
        <w:pStyle w:val="13"/>
        <w:ind w:firstLine="560"/>
      </w:pPr>
      <w:r>
        <w:rPr>
          <w:rFonts w:hint="eastAsia"/>
        </w:rPr>
        <w:t>本章系统规定了土壤改良、除草、施肥（针对幼树、结果树、冻后树等不同阶段）、灌溉、整形修剪、疏果、花果促控措施以及果实套袋技术等一系列田间管理操作。</w:t>
      </w:r>
    </w:p>
    <w:p w14:paraId="3F5ACF33">
      <w:pPr>
        <w:pStyle w:val="13"/>
        <w:numPr>
          <w:ilvl w:val="0"/>
          <w:numId w:val="5"/>
        </w:numPr>
        <w:ind w:firstLineChars="0"/>
        <w:rPr>
          <w:rFonts w:hint="eastAsia"/>
        </w:rPr>
      </w:pPr>
      <w:r>
        <w:rPr>
          <w:rFonts w:hint="eastAsia"/>
        </w:rPr>
        <w:t>有害生物综合防治</w:t>
      </w:r>
    </w:p>
    <w:p w14:paraId="5E039AA7">
      <w:pPr>
        <w:ind w:firstLineChars="0"/>
      </w:pPr>
      <w:r>
        <w:rPr>
          <w:rFonts w:hint="eastAsia"/>
        </w:rPr>
        <w:t>本章确立了“预防为主、综合防治”的原则，提倡以农业、生物和物理防治为基础，科学合理地使用低毒低残留农药，并指出主要病虫害的具体防治方法。</w:t>
      </w:r>
    </w:p>
    <w:p w14:paraId="048F28EA">
      <w:pPr>
        <w:pStyle w:val="13"/>
        <w:numPr>
          <w:ilvl w:val="0"/>
          <w:numId w:val="5"/>
        </w:numPr>
        <w:ind w:firstLineChars="0"/>
        <w:rPr>
          <w:rFonts w:hint="eastAsia"/>
        </w:rPr>
      </w:pPr>
      <w:r>
        <w:rPr>
          <w:rFonts w:hint="eastAsia"/>
        </w:rPr>
        <w:t>防冻及冻后措施</w:t>
      </w:r>
    </w:p>
    <w:p w14:paraId="70E3FD79">
      <w:pPr>
        <w:ind w:firstLineChars="0"/>
      </w:pPr>
      <w:r>
        <w:rPr>
          <w:rFonts w:hint="eastAsia"/>
        </w:rPr>
        <w:t>本章提供了霜冻来临前通过施肥、涂白、熏烟、灌水等措施预防冻害的方法，以及冻害发生后如何进行树体管理、喷药保护和补种等恢复性处理措施。</w:t>
      </w:r>
    </w:p>
    <w:p w14:paraId="08BE915B">
      <w:pPr>
        <w:pStyle w:val="13"/>
        <w:numPr>
          <w:ilvl w:val="0"/>
          <w:numId w:val="5"/>
        </w:numPr>
        <w:ind w:firstLineChars="0"/>
      </w:pPr>
      <w:r>
        <w:rPr>
          <w:rFonts w:hint="eastAsia"/>
        </w:rPr>
        <w:t>果实采收与采后处理</w:t>
      </w:r>
    </w:p>
    <w:p w14:paraId="070E5F28">
      <w:pPr>
        <w:rPr>
          <w:rFonts w:hint="eastAsia"/>
        </w:rPr>
      </w:pPr>
      <w:r>
        <w:rPr>
          <w:rFonts w:hint="eastAsia"/>
        </w:rPr>
        <w:t>本章规定了采收的最佳时间、方法及注意事项，并详细说明了采后果实清洗、检验、分选、分级和包装等商品化处理流程，特别是对出口果实的标准提出了要求。</w:t>
      </w:r>
    </w:p>
    <w:p w14:paraId="4B02FF70">
      <w:pPr>
        <w:pStyle w:val="13"/>
        <w:numPr>
          <w:ilvl w:val="0"/>
          <w:numId w:val="5"/>
        </w:numPr>
        <w:ind w:firstLineChars="0"/>
      </w:pPr>
      <w:r>
        <w:rPr>
          <w:rFonts w:hint="eastAsia"/>
        </w:rPr>
        <w:t>污染管控</w:t>
      </w:r>
    </w:p>
    <w:p w14:paraId="6597A61B">
      <w:pPr>
        <w:rPr>
          <w:rFonts w:hint="eastAsia"/>
        </w:rPr>
      </w:pPr>
      <w:r>
        <w:rPr>
          <w:rFonts w:hint="eastAsia"/>
        </w:rPr>
        <w:t>本章要求在生产全过程中避免污染，对物资设备的安全性、清洁度管理，农化品与废弃物的隔离存放与处理，以及果实不得直接接触地面等方面作出了明确规定。</w:t>
      </w:r>
    </w:p>
    <w:p w14:paraId="52441CD3">
      <w:pPr>
        <w:pStyle w:val="13"/>
        <w:numPr>
          <w:ilvl w:val="0"/>
          <w:numId w:val="5"/>
        </w:numPr>
        <w:ind w:firstLineChars="0"/>
      </w:pPr>
      <w:r>
        <w:rPr>
          <w:rFonts w:hint="eastAsia"/>
        </w:rPr>
        <w:t>生产档案管理</w:t>
      </w:r>
    </w:p>
    <w:p w14:paraId="0607B242">
      <w:pPr>
        <w:rPr>
          <w:rFonts w:hint="eastAsia"/>
        </w:rPr>
      </w:pPr>
      <w:r>
        <w:rPr>
          <w:rFonts w:hint="eastAsia"/>
        </w:rPr>
        <w:t>生产档案管理应符合《老挝菠萝蜜良好农业规范》中的规定。</w:t>
      </w:r>
    </w:p>
    <w:p w14:paraId="7B837DD0">
      <w:pPr>
        <w:pStyle w:val="3"/>
        <w:numPr>
          <w:ilvl w:val="0"/>
          <w:numId w:val="3"/>
        </w:numPr>
        <w:ind w:firstLine="643"/>
      </w:pPr>
      <w:r>
        <w:t>与原标准</w:t>
      </w:r>
      <w:r>
        <w:rPr>
          <w:rFonts w:hint="eastAsia"/>
        </w:rPr>
        <w:t>或</w:t>
      </w:r>
      <w:r>
        <w:t>其他标准的主要差异和水平对比</w:t>
      </w:r>
    </w:p>
    <w:p w14:paraId="7E7E9D74">
      <w:pPr>
        <w:ind w:firstLine="640"/>
        <w:rPr>
          <w:rFonts w:hint="eastAsia" w:ascii="仿宋" w:hAnsi="仿宋" w:cs="Times New Roman"/>
          <w:b/>
          <w:bCs/>
          <w:kern w:val="44"/>
          <w:sz w:val="32"/>
          <w:szCs w:val="32"/>
        </w:rPr>
      </w:pPr>
      <w:r>
        <w:rPr>
          <w:rFonts w:hint="eastAsia" w:ascii="仿宋" w:hAnsi="仿宋" w:cs="仿宋"/>
          <w:sz w:val="32"/>
          <w:szCs w:val="32"/>
        </w:rPr>
        <w:t>无</w:t>
      </w:r>
    </w:p>
    <w:p w14:paraId="5A6B65F2">
      <w:pPr>
        <w:pStyle w:val="3"/>
        <w:numPr>
          <w:ilvl w:val="0"/>
          <w:numId w:val="3"/>
        </w:numPr>
        <w:ind w:firstLine="643"/>
      </w:pPr>
      <w:bookmarkStart w:id="1" w:name="_Hlk203641237"/>
      <w:r>
        <w:t>解决的主要问题</w:t>
      </w:r>
      <w:bookmarkEnd w:id="1"/>
      <w:r>
        <w:t>。</w:t>
      </w:r>
      <w:r>
        <w:rPr>
          <w:rFonts w:hint="eastAsia"/>
        </w:rPr>
        <w:t xml:space="preserve">  </w:t>
      </w:r>
    </w:p>
    <w:p w14:paraId="6532EA06">
      <w:r>
        <w:rPr>
          <w:rFonts w:hint="eastAsia"/>
        </w:rPr>
        <w:t>无</w:t>
      </w:r>
    </w:p>
    <w:p w14:paraId="6D48E4B5">
      <w:pPr>
        <w:pStyle w:val="3"/>
        <w:numPr>
          <w:ilvl w:val="0"/>
          <w:numId w:val="3"/>
        </w:numPr>
        <w:ind w:firstLine="643"/>
      </w:pPr>
      <w:bookmarkStart w:id="2" w:name="_Hlk203641246"/>
      <w:r>
        <w:t>主要试验（或验证）情况分析</w:t>
      </w:r>
    </w:p>
    <w:bookmarkEnd w:id="2"/>
    <w:p w14:paraId="207AEF9D">
      <w:r>
        <w:rPr>
          <w:rFonts w:hint="eastAsia"/>
        </w:rPr>
        <w:t>无</w:t>
      </w:r>
    </w:p>
    <w:p w14:paraId="27471741">
      <w:pPr>
        <w:pStyle w:val="3"/>
        <w:numPr>
          <w:ilvl w:val="0"/>
          <w:numId w:val="3"/>
        </w:numPr>
        <w:ind w:firstLine="643"/>
      </w:pPr>
      <w:bookmarkStart w:id="3" w:name="_Hlk203641261"/>
      <w:r>
        <w:t>标准中</w:t>
      </w:r>
      <w:r>
        <w:rPr>
          <w:rFonts w:hint="eastAsia"/>
        </w:rPr>
        <w:t>涉及的专利情况</w:t>
      </w:r>
    </w:p>
    <w:bookmarkEnd w:id="3"/>
    <w:p w14:paraId="6D53DB72">
      <w:r>
        <w:rPr>
          <w:rFonts w:hint="eastAsia"/>
        </w:rPr>
        <w:t>无</w:t>
      </w:r>
    </w:p>
    <w:p w14:paraId="4516A584">
      <w:pPr>
        <w:pStyle w:val="3"/>
        <w:numPr>
          <w:ilvl w:val="0"/>
          <w:numId w:val="3"/>
        </w:numPr>
        <w:ind w:firstLine="643"/>
      </w:pPr>
      <w:bookmarkStart w:id="4" w:name="_Hlk203641283"/>
      <w:r>
        <w:t>产业化情况</w:t>
      </w:r>
    </w:p>
    <w:bookmarkEnd w:id="4"/>
    <w:p w14:paraId="10D89199">
      <w:r>
        <w:rPr>
          <w:rFonts w:hint="eastAsia"/>
        </w:rPr>
        <w:t>本文件是老挝菠萝蜜种植技术的应用，与目前已有的相关标准相对接，有效解决该领域种植技术规范等问题。</w:t>
      </w:r>
    </w:p>
    <w:p w14:paraId="5F56497C">
      <w:pPr>
        <w:pStyle w:val="3"/>
        <w:numPr>
          <w:ilvl w:val="0"/>
          <w:numId w:val="3"/>
        </w:numPr>
        <w:ind w:firstLine="643"/>
      </w:pPr>
      <w:bookmarkStart w:id="5" w:name="_Hlk203641310"/>
      <w:r>
        <w:t>采用国际标准和国外先进标准情况</w:t>
      </w:r>
    </w:p>
    <w:bookmarkEnd w:id="5"/>
    <w:p w14:paraId="0C4E0F03">
      <w:r>
        <w:rPr>
          <w:rFonts w:hint="eastAsia"/>
        </w:rPr>
        <w:t>无</w:t>
      </w:r>
    </w:p>
    <w:p w14:paraId="29A2AE53">
      <w:pPr>
        <w:pStyle w:val="3"/>
        <w:numPr>
          <w:ilvl w:val="0"/>
          <w:numId w:val="3"/>
        </w:numPr>
        <w:ind w:firstLine="643"/>
      </w:pPr>
      <w:r>
        <w:t>与相关国家标准、行业标准及其他标准，特别是强制性标准的协调性</w:t>
      </w:r>
    </w:p>
    <w:p w14:paraId="61065D86">
      <w:r>
        <w:rPr>
          <w:rFonts w:hint="eastAsia"/>
        </w:rPr>
        <w:t>本文件制定的内容符合国家相关法律、法规和政策的规定。</w:t>
      </w:r>
    </w:p>
    <w:p w14:paraId="4C3EC06F">
      <w:pPr>
        <w:pStyle w:val="3"/>
        <w:numPr>
          <w:ilvl w:val="0"/>
          <w:numId w:val="3"/>
        </w:numPr>
        <w:ind w:firstLine="643"/>
      </w:pPr>
      <w:r>
        <w:rPr>
          <w:rFonts w:hint="eastAsia"/>
        </w:rPr>
        <w:t>符合市场需求和创新需求的情况说明</w:t>
      </w:r>
    </w:p>
    <w:p w14:paraId="1E694B9A">
      <w:r>
        <w:rPr>
          <w:rFonts w:hint="eastAsia"/>
        </w:rPr>
        <w:t>本标准紧密贴合市场需求，针对种植技术落后、商品管理方式不规范，种植流程步骤不明确等痛点，通过规范老挝菠萝蜜种植技术，填补行业标准的缺漏，适配老挝菠萝蜜种植技术的实际需求。在创新方面，调整原有较为不规范的菠萝蜜种植技术，融合新兴种植理念和传统种植模式，推动菠萝蜜种植产业升级，为行业提供可复制的规范与创新范式。</w:t>
      </w:r>
    </w:p>
    <w:p w14:paraId="48860E4A">
      <w:pPr>
        <w:pStyle w:val="3"/>
        <w:numPr>
          <w:ilvl w:val="0"/>
          <w:numId w:val="3"/>
        </w:numPr>
        <w:ind w:firstLine="643"/>
      </w:pPr>
      <w:r>
        <w:t>重大分歧意见的处理经过和依据</w:t>
      </w:r>
    </w:p>
    <w:p w14:paraId="59DF0153">
      <w:r>
        <w:rPr>
          <w:rFonts w:hint="eastAsia"/>
        </w:rPr>
        <w:t>无</w:t>
      </w:r>
    </w:p>
    <w:p w14:paraId="5B42C230">
      <w:pPr>
        <w:pStyle w:val="3"/>
        <w:numPr>
          <w:ilvl w:val="0"/>
          <w:numId w:val="3"/>
        </w:numPr>
        <w:ind w:firstLine="643"/>
      </w:pPr>
      <w:r>
        <w:t>贯彻标准的要求和措施建议（包括组织措施、技术措施、过度办法等）</w:t>
      </w:r>
    </w:p>
    <w:p w14:paraId="2B20A100">
      <w:r>
        <w:rPr>
          <w:rFonts w:hint="eastAsia"/>
        </w:rPr>
        <w:t>制定标准相配套的各项管理办法及细则。建议批准发布后立即实施。</w:t>
      </w:r>
    </w:p>
    <w:p w14:paraId="1DCD569E">
      <w:pPr>
        <w:pStyle w:val="3"/>
        <w:numPr>
          <w:ilvl w:val="0"/>
          <w:numId w:val="3"/>
        </w:numPr>
        <w:ind w:firstLine="643"/>
      </w:pPr>
      <w:r>
        <w:t>其它应予说明的事项。</w:t>
      </w:r>
    </w:p>
    <w:p w14:paraId="07C03904">
      <w:pPr>
        <w:rPr>
          <w:rFonts w:hint="eastAsia"/>
        </w:rPr>
      </w:pPr>
      <w:r>
        <w:rPr>
          <w:rFonts w:hint="eastAsia"/>
        </w:rPr>
        <w:t>无</w:t>
      </w:r>
    </w:p>
    <w:p w14:paraId="6D662F1E">
      <w:pPr>
        <w:jc w:val="right"/>
      </w:pPr>
    </w:p>
    <w:p w14:paraId="042A7555">
      <w:pPr>
        <w:ind w:right="280"/>
        <w:jc w:val="right"/>
      </w:pPr>
      <w:r>
        <w:rPr>
          <w:rFonts w:hint="eastAsia"/>
        </w:rPr>
        <w:t>标准编制组</w:t>
      </w:r>
    </w:p>
    <w:p w14:paraId="6BE3F2DA">
      <w:pPr>
        <w:jc w:val="right"/>
      </w:pPr>
      <w:r>
        <w:rPr>
          <w:rFonts w:hint="eastAsia"/>
        </w:rPr>
        <w:t>年    月    日</w:t>
      </w:r>
    </w:p>
    <w:sectPr>
      <w:headerReference r:id="rId7" w:type="first"/>
      <w:footerReference r:id="rId10" w:type="first"/>
      <w:headerReference r:id="rId5" w:type="default"/>
      <w:footerReference r:id="rId8" w:type="default"/>
      <w:headerReference r:id="rId6" w:type="even"/>
      <w:footerReference r:id="rId9" w:type="even"/>
      <w:pgSz w:w="11906" w:h="16838"/>
      <w:pgMar w:top="1417" w:right="1803" w:bottom="1417" w:left="1803"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8647913-A4FF-4C8A-801D-73C2CDB2141F}"/>
  </w:font>
  <w:font w:name="宋体">
    <w:panose1 w:val="02010600030101010101"/>
    <w:charset w:val="86"/>
    <w:family w:val="auto"/>
    <w:pitch w:val="default"/>
    <w:sig w:usb0="00000203" w:usb1="288F0000" w:usb2="00000006" w:usb3="00000000" w:csb0="00040001" w:csb1="00000000"/>
    <w:embedRegular r:id="rId2" w:fontKey="{B2314579-4CB4-4D12-B062-4759ACE0CACF}"/>
  </w:font>
  <w:font w:name="Wingdings">
    <w:panose1 w:val="05000000000000000000"/>
    <w:charset w:val="02"/>
    <w:family w:val="auto"/>
    <w:pitch w:val="default"/>
    <w:sig w:usb0="00000000" w:usb1="00000000" w:usb2="00000000" w:usb3="00000000" w:csb0="80000000" w:csb1="00000000"/>
    <w:embedRegular r:id="rId3" w:fontKey="{19B7704F-71A2-4699-BBE5-0C0A4B70643A}"/>
  </w:font>
  <w:font w:name="Arial">
    <w:panose1 w:val="020B0604020202020204"/>
    <w:charset w:val="01"/>
    <w:family w:val="swiss"/>
    <w:pitch w:val="default"/>
    <w:sig w:usb0="E0002EFF" w:usb1="C000785B" w:usb2="00000009" w:usb3="00000000" w:csb0="400001FF" w:csb1="FFFF0000"/>
    <w:embedRegular r:id="rId4" w:fontKey="{1662CCBC-3772-473D-B598-5524C4CF4DD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A2DB5ED6-5EF6-423D-AC19-7F643C60D2B5}"/>
  </w:font>
  <w:font w:name="Symbol">
    <w:panose1 w:val="05050102010706020507"/>
    <w:charset w:val="02"/>
    <w:family w:val="roman"/>
    <w:pitch w:val="default"/>
    <w:sig w:usb0="00000000" w:usb1="00000000" w:usb2="00000000" w:usb3="00000000" w:csb0="80000000" w:csb1="00000000"/>
    <w:embedRegular r:id="rId6" w:fontKey="{1F5BAB46-2CF8-4528-8870-9CDF2ED6108F}"/>
  </w:font>
  <w:font w:name="Calibri">
    <w:panose1 w:val="020F0502020204030204"/>
    <w:charset w:val="00"/>
    <w:family w:val="swiss"/>
    <w:pitch w:val="default"/>
    <w:sig w:usb0="E4002EFF" w:usb1="C200247B" w:usb2="00000009" w:usb3="00000000" w:csb0="200001FF" w:csb1="00000000"/>
    <w:embedRegular r:id="rId7" w:fontKey="{A972ADEE-E2CD-43B3-8A3C-11B79506C7A0}"/>
  </w:font>
  <w:font w:name="仿宋">
    <w:panose1 w:val="02010609060101010101"/>
    <w:charset w:val="86"/>
    <w:family w:val="modern"/>
    <w:pitch w:val="default"/>
    <w:sig w:usb0="800002BF" w:usb1="38CF7CFA" w:usb2="00000016" w:usb3="00000000" w:csb0="00040001" w:csb1="00000000"/>
    <w:embedRegular r:id="rId8" w:fontKey="{D125BB0C-BE4D-44ED-A31A-E62ED1F8FCB2}"/>
  </w:font>
  <w:font w:name="Arial">
    <w:panose1 w:val="020B0604020202020204"/>
    <w:charset w:val="00"/>
    <w:family w:val="swiss"/>
    <w:pitch w:val="default"/>
    <w:sig w:usb0="E0002EFF" w:usb1="C000785B" w:usb2="00000009" w:usb3="00000000" w:csb0="400001FF" w:csb1="FFFF0000"/>
    <w:embedRegular r:id="rId9" w:fontKey="{0A3EAAFB-CDA0-495C-BBDE-FC05D7881E1D}"/>
  </w:font>
  <w:font w:name="方正楷体简体">
    <w:panose1 w:val="02000000000000000000"/>
    <w:charset w:val="86"/>
    <w:family w:val="script"/>
    <w:pitch w:val="default"/>
    <w:sig w:usb0="A00002BF" w:usb1="184F6CFA" w:usb2="00000012" w:usb3="00000000" w:csb0="00040001" w:csb1="00000000"/>
    <w:embedRegular r:id="rId10" w:fontKey="{7B2CFC52-B020-46F4-9396-DD92356B4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53FFD">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371D8">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49E79">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3C2C">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C16AD">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FB7BB">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A63FD"/>
    <w:multiLevelType w:val="singleLevel"/>
    <w:tmpl w:val="A1DA63FD"/>
    <w:lvl w:ilvl="0" w:tentative="0">
      <w:start w:val="1"/>
      <w:numFmt w:val="decimal"/>
      <w:suff w:val="nothing"/>
      <w:lvlText w:val="%1、"/>
      <w:lvlJc w:val="left"/>
    </w:lvl>
  </w:abstractNum>
  <w:abstractNum w:abstractNumId="1">
    <w:nsid w:val="FC889F8B"/>
    <w:multiLevelType w:val="singleLevel"/>
    <w:tmpl w:val="FC889F8B"/>
    <w:lvl w:ilvl="0" w:tentative="0">
      <w:start w:val="1"/>
      <w:numFmt w:val="decimal"/>
      <w:suff w:val="nothing"/>
      <w:lvlText w:val="%1、"/>
      <w:lvlJc w:val="left"/>
      <w:pPr>
        <w:ind w:left="642" w:firstLine="0"/>
      </w:pPr>
    </w:lvl>
  </w:abstractNum>
  <w:abstractNum w:abstractNumId="2">
    <w:nsid w:val="2EB3512C"/>
    <w:multiLevelType w:val="multilevel"/>
    <w:tmpl w:val="2EB3512C"/>
    <w:lvl w:ilvl="0" w:tentative="0">
      <w:start w:val="1"/>
      <w:numFmt w:val="japaneseCounting"/>
      <w:lvlText w:val="（%1）"/>
      <w:lvlJc w:val="left"/>
      <w:pPr>
        <w:ind w:left="1388" w:hanging="828"/>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3">
    <w:nsid w:val="426E6235"/>
    <w:multiLevelType w:val="singleLevel"/>
    <w:tmpl w:val="426E6235"/>
    <w:lvl w:ilvl="0" w:tentative="0">
      <w:start w:val="1"/>
      <w:numFmt w:val="chineseCounting"/>
      <w:suff w:val="nothing"/>
      <w:lvlText w:val="%1、"/>
      <w:lvlJc w:val="left"/>
      <w:rPr>
        <w:rFonts w:hint="eastAsia"/>
      </w:rPr>
    </w:lvl>
  </w:abstractNum>
  <w:abstractNum w:abstractNumId="4">
    <w:nsid w:val="62D4E857"/>
    <w:multiLevelType w:val="singleLevel"/>
    <w:tmpl w:val="62D4E857"/>
    <w:lvl w:ilvl="0" w:tentative="0">
      <w:start w:val="3"/>
      <w:numFmt w:val="chineseCounting"/>
      <w:suff w:val="nothing"/>
      <w:lvlText w:val="%1、"/>
      <w:lvlJc w:val="left"/>
      <w:rPr>
        <w:rFonts w:hint="eastAsia"/>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E3MGVkMjVjNDgyNjk1Mjk4MTU2MzIyOTdiMGYxMjcifQ=="/>
  </w:docVars>
  <w:rsids>
    <w:rsidRoot w:val="7208172C"/>
    <w:rsid w:val="00020906"/>
    <w:rsid w:val="000C4026"/>
    <w:rsid w:val="0012061A"/>
    <w:rsid w:val="001439F7"/>
    <w:rsid w:val="0019106E"/>
    <w:rsid w:val="001F627B"/>
    <w:rsid w:val="002754D9"/>
    <w:rsid w:val="002D42A3"/>
    <w:rsid w:val="003F1EC0"/>
    <w:rsid w:val="004A1387"/>
    <w:rsid w:val="004F6FD2"/>
    <w:rsid w:val="005540E8"/>
    <w:rsid w:val="00574B89"/>
    <w:rsid w:val="005C6368"/>
    <w:rsid w:val="00602742"/>
    <w:rsid w:val="0064079C"/>
    <w:rsid w:val="0074238C"/>
    <w:rsid w:val="00786272"/>
    <w:rsid w:val="00797FBF"/>
    <w:rsid w:val="007D4F16"/>
    <w:rsid w:val="008018BB"/>
    <w:rsid w:val="00805748"/>
    <w:rsid w:val="00950000"/>
    <w:rsid w:val="009C0A4D"/>
    <w:rsid w:val="009E720A"/>
    <w:rsid w:val="00A403F2"/>
    <w:rsid w:val="00A71430"/>
    <w:rsid w:val="00AD13E1"/>
    <w:rsid w:val="00B171EC"/>
    <w:rsid w:val="00B57FF7"/>
    <w:rsid w:val="00B71922"/>
    <w:rsid w:val="00BA7218"/>
    <w:rsid w:val="00BC102D"/>
    <w:rsid w:val="00C25AC0"/>
    <w:rsid w:val="00C35A50"/>
    <w:rsid w:val="00C83E8A"/>
    <w:rsid w:val="00C9428F"/>
    <w:rsid w:val="00C97C48"/>
    <w:rsid w:val="00D864E3"/>
    <w:rsid w:val="00DD0410"/>
    <w:rsid w:val="00DF7B27"/>
    <w:rsid w:val="00E33AAC"/>
    <w:rsid w:val="00E87545"/>
    <w:rsid w:val="00ED0135"/>
    <w:rsid w:val="00F47D32"/>
    <w:rsid w:val="00F50E82"/>
    <w:rsid w:val="00FA10FF"/>
    <w:rsid w:val="00FC313B"/>
    <w:rsid w:val="00FE3785"/>
    <w:rsid w:val="01543DEF"/>
    <w:rsid w:val="01FC237E"/>
    <w:rsid w:val="044C656F"/>
    <w:rsid w:val="053E4A71"/>
    <w:rsid w:val="0565302D"/>
    <w:rsid w:val="060C01C3"/>
    <w:rsid w:val="08901AEE"/>
    <w:rsid w:val="0A226FD3"/>
    <w:rsid w:val="0A591A4D"/>
    <w:rsid w:val="0BD35176"/>
    <w:rsid w:val="0C2E5785"/>
    <w:rsid w:val="0E014D41"/>
    <w:rsid w:val="0F0B5FE8"/>
    <w:rsid w:val="109341E4"/>
    <w:rsid w:val="12931D29"/>
    <w:rsid w:val="13C04469"/>
    <w:rsid w:val="185D347E"/>
    <w:rsid w:val="1A120BD5"/>
    <w:rsid w:val="1A2F0E75"/>
    <w:rsid w:val="1AE41920"/>
    <w:rsid w:val="1B2817F1"/>
    <w:rsid w:val="1BD06957"/>
    <w:rsid w:val="212E6FDD"/>
    <w:rsid w:val="246E4010"/>
    <w:rsid w:val="25897210"/>
    <w:rsid w:val="27F470CE"/>
    <w:rsid w:val="283226BC"/>
    <w:rsid w:val="2AA10C88"/>
    <w:rsid w:val="2D751518"/>
    <w:rsid w:val="31AE5656"/>
    <w:rsid w:val="32F21457"/>
    <w:rsid w:val="351D0293"/>
    <w:rsid w:val="352D17EF"/>
    <w:rsid w:val="366F1936"/>
    <w:rsid w:val="371745B9"/>
    <w:rsid w:val="39726D9D"/>
    <w:rsid w:val="3A250733"/>
    <w:rsid w:val="3A6263F9"/>
    <w:rsid w:val="3AE04719"/>
    <w:rsid w:val="3C0F1B44"/>
    <w:rsid w:val="3D5A2356"/>
    <w:rsid w:val="3D8A6223"/>
    <w:rsid w:val="40E83295"/>
    <w:rsid w:val="41231DEC"/>
    <w:rsid w:val="41AF1AC2"/>
    <w:rsid w:val="44666259"/>
    <w:rsid w:val="459A19C4"/>
    <w:rsid w:val="4831611E"/>
    <w:rsid w:val="4B430E40"/>
    <w:rsid w:val="501C0C99"/>
    <w:rsid w:val="511C3DC8"/>
    <w:rsid w:val="52D90ED7"/>
    <w:rsid w:val="5464380B"/>
    <w:rsid w:val="552008B5"/>
    <w:rsid w:val="567A51E0"/>
    <w:rsid w:val="57020AD9"/>
    <w:rsid w:val="59A86341"/>
    <w:rsid w:val="5A763835"/>
    <w:rsid w:val="5BE7533D"/>
    <w:rsid w:val="5C605459"/>
    <w:rsid w:val="5D6F165C"/>
    <w:rsid w:val="5EB6633B"/>
    <w:rsid w:val="5F626BA8"/>
    <w:rsid w:val="60162A4B"/>
    <w:rsid w:val="65076D30"/>
    <w:rsid w:val="65BE218E"/>
    <w:rsid w:val="65C0279B"/>
    <w:rsid w:val="671766E1"/>
    <w:rsid w:val="6908303C"/>
    <w:rsid w:val="699501C1"/>
    <w:rsid w:val="6AE20910"/>
    <w:rsid w:val="6D546B4F"/>
    <w:rsid w:val="6F100AE9"/>
    <w:rsid w:val="6FA33C1A"/>
    <w:rsid w:val="71EE3A59"/>
    <w:rsid w:val="7208172C"/>
    <w:rsid w:val="73CB62C6"/>
    <w:rsid w:val="797B017E"/>
    <w:rsid w:val="79C85DA8"/>
    <w:rsid w:val="7CBB3032"/>
    <w:rsid w:val="7D0D75E9"/>
    <w:rsid w:val="7DB61100"/>
    <w:rsid w:val="7E9000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eastAsia="仿宋" w:asciiTheme="minorHAnsi" w:hAnsiTheme="minorHAnsi" w:cstheme="minorBidi"/>
      <w:kern w:val="2"/>
      <w:sz w:val="28"/>
      <w:szCs w:val="24"/>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rFonts w:eastAsia="宋体"/>
      <w:b/>
      <w:kern w:val="44"/>
      <w:sz w:val="44"/>
    </w:rPr>
  </w:style>
  <w:style w:type="paragraph" w:styleId="3">
    <w:name w:val="heading 2"/>
    <w:basedOn w:val="1"/>
    <w:next w:val="1"/>
    <w:unhideWhenUsed/>
    <w:qFormat/>
    <w:uiPriority w:val="0"/>
    <w:pPr>
      <w:keepLines/>
      <w:spacing w:before="260" w:after="260" w:line="413" w:lineRule="auto"/>
      <w:outlineLvl w:val="1"/>
    </w:pPr>
    <w:rPr>
      <w:rFonts w:ascii="Arial" w:hAnsi="Arial" w:eastAsia="宋体"/>
      <w:b/>
      <w:sz w:val="32"/>
    </w:rPr>
  </w:style>
  <w:style w:type="paragraph" w:styleId="4">
    <w:name w:val="heading 3"/>
    <w:basedOn w:val="1"/>
    <w:next w:val="1"/>
    <w:unhideWhenUsed/>
    <w:qFormat/>
    <w:uiPriority w:val="0"/>
    <w:pPr>
      <w:keepNext/>
      <w:keepLines/>
      <w:spacing w:before="100" w:after="100" w:line="360" w:lineRule="auto"/>
      <w:outlineLvl w:val="2"/>
    </w:pPr>
    <w:rPr>
      <w:rFonts w:eastAsia="黑体"/>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1"/>
    <w:qFormat/>
    <w:uiPriority w:val="0"/>
    <w:pPr>
      <w:tabs>
        <w:tab w:val="center" w:pos="4153"/>
        <w:tab w:val="right" w:pos="8306"/>
      </w:tabs>
      <w:snapToGrid w:val="0"/>
      <w:jc w:val="left"/>
    </w:pPr>
    <w:rPr>
      <w:sz w:val="18"/>
      <w:szCs w:val="18"/>
    </w:rPr>
  </w:style>
  <w:style w:type="paragraph" w:styleId="6">
    <w:name w:val="header"/>
    <w:basedOn w:val="1"/>
    <w:link w:val="10"/>
    <w:qFormat/>
    <w:uiPriority w:val="0"/>
    <w:pP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6"/>
    <w:qFormat/>
    <w:uiPriority w:val="0"/>
    <w:rPr>
      <w:rFonts w:eastAsia="仿宋"/>
      <w:kern w:val="2"/>
      <w:sz w:val="18"/>
      <w:szCs w:val="18"/>
    </w:rPr>
  </w:style>
  <w:style w:type="character" w:customStyle="1" w:styleId="11">
    <w:name w:val="页脚 字符"/>
    <w:basedOn w:val="9"/>
    <w:link w:val="5"/>
    <w:qFormat/>
    <w:uiPriority w:val="0"/>
    <w:rPr>
      <w:rFonts w:eastAsia="仿宋"/>
      <w:kern w:val="2"/>
      <w:sz w:val="18"/>
      <w:szCs w:val="18"/>
    </w:rPr>
  </w:style>
  <w:style w:type="paragraph" w:customStyle="1" w:styleId="12">
    <w:name w:val="BodyText2"/>
    <w:basedOn w:val="1"/>
    <w:qFormat/>
    <w:uiPriority w:val="0"/>
    <w:pPr>
      <w:spacing w:after="120" w:line="480" w:lineRule="auto"/>
      <w:textAlignment w:val="baseline"/>
    </w:pPr>
    <w:rPr>
      <w:sz w:val="32"/>
      <w:szCs w:val="32"/>
    </w:rPr>
  </w:style>
  <w:style w:type="paragraph" w:styleId="13">
    <w:name w:val="List Paragraph"/>
    <w:basedOn w:val="1"/>
    <w:unhideWhenUsed/>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admin</Company>
  <Pages>8</Pages>
  <Words>2931</Words>
  <Characters>2954</Characters>
  <Lines>22</Lines>
  <Paragraphs>6</Paragraphs>
  <TotalTime>321</TotalTime>
  <ScaleCrop>false</ScaleCrop>
  <LinksUpToDate>false</LinksUpToDate>
  <CharactersWithSpaces>2966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2022-11-07T05:30:00Z</dcterms:created>
  <dc:creator>Summer</dc:creator>
  <cp:lastModifiedBy>11</cp:lastModifiedBy>
  <dcterms:modified xsi:type="dcterms:W3CDTF">2025-08-29T13:51:24Z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6ACDE3486587471DA6919B5F8F28B1D9</vt:lpwstr>
  </property>
  <property fmtid="{D5CDD505-2E9C-101B-9397-08002B2CF9AE}" pid="4" name="KSOTemplateDocerSaveRecord">
    <vt:lpwstr>eyJoZGlkIjoiOWRhNTFkM2VlYWU5OGIyMTI2Njc3MzkyZDA1YzFlMGQiLCJ1c2VySWQiOiI0OTUwOTI0ODkifQ==</vt:lpwstr>
  </property>
</Properties>
</file>