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401CB">
      <w:pPr>
        <w:pStyle w:val="3"/>
        <w:ind w:firstLine="883"/>
      </w:pPr>
      <w:r>
        <w:rPr>
          <w:rFonts w:hint="eastAsia"/>
        </w:rPr>
        <w:t>团体标准《</w:t>
      </w:r>
      <w:r>
        <w:rPr>
          <w:rFonts w:hint="eastAsia"/>
          <w:lang w:val="en-US" w:eastAsia="zh-CN"/>
        </w:rPr>
        <w:t>老挝百香果良好农业规范</w:t>
      </w:r>
      <w:r>
        <w:rPr>
          <w:rFonts w:hint="eastAsia"/>
        </w:rPr>
        <w:t>》</w:t>
      </w:r>
      <w:r>
        <w:t>编制说明</w:t>
      </w:r>
    </w:p>
    <w:p w14:paraId="6BF17076">
      <w:pPr>
        <w:spacing w:line="540" w:lineRule="exact"/>
        <w:ind w:firstLine="0" w:firstLineChars="0"/>
        <w:jc w:val="center"/>
        <w:rPr>
          <w:rFonts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>工作组讨论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稿）</w:t>
      </w:r>
    </w:p>
    <w:p w14:paraId="67C1F965">
      <w:pPr>
        <w:pStyle w:val="3"/>
        <w:ind w:firstLine="883"/>
      </w:pPr>
    </w:p>
    <w:p w14:paraId="17898790">
      <w:pPr>
        <w:pStyle w:val="4"/>
        <w:numPr>
          <w:ilvl w:val="0"/>
          <w:numId w:val="1"/>
        </w:numPr>
        <w:ind w:firstLine="643"/>
      </w:pPr>
      <w:r>
        <w:rPr>
          <w:rFonts w:hint="eastAsia"/>
        </w:rPr>
        <w:t>工作简介</w:t>
      </w:r>
    </w:p>
    <w:p w14:paraId="12225A0F">
      <w:pPr>
        <w:pStyle w:val="5"/>
        <w:numPr>
          <w:ilvl w:val="0"/>
          <w:numId w:val="2"/>
        </w:numPr>
      </w:pPr>
      <w:r>
        <w:rPr>
          <w:rFonts w:hint="eastAsia"/>
        </w:rPr>
        <w:t>任务来源</w:t>
      </w:r>
    </w:p>
    <w:p w14:paraId="4AE5B482">
      <w:r>
        <w:rPr>
          <w:rFonts w:hint="eastAsia"/>
        </w:rPr>
        <w:t>《</w:t>
      </w:r>
      <w:r>
        <w:rPr>
          <w:rFonts w:hint="eastAsia"/>
          <w:lang w:val="en-US" w:eastAsia="zh-CN"/>
        </w:rPr>
        <w:t>老挝百香果良好农业规范</w:t>
      </w:r>
      <w:r>
        <w:rPr>
          <w:rFonts w:hint="eastAsia"/>
        </w:rPr>
        <w:t>》团体标准由</w:t>
      </w:r>
      <w:r>
        <w:rPr>
          <w:rFonts w:hint="eastAsia"/>
          <w:lang w:val="en-US" w:eastAsia="zh-CN"/>
        </w:rPr>
        <w:t>广西物品编码与标准化促进会</w:t>
      </w:r>
      <w:r>
        <w:rPr>
          <w:rFonts w:hint="eastAsia"/>
        </w:rPr>
        <w:t>批准立项，由</w:t>
      </w:r>
      <w:r>
        <w:rPr>
          <w:rFonts w:hint="eastAsia"/>
          <w:lang w:val="en-US" w:eastAsia="zh-CN"/>
        </w:rPr>
        <w:t>广西壮族自治区标准技术研究院、老挝广西商会</w:t>
      </w:r>
      <w:r>
        <w:rPr>
          <w:rFonts w:hint="eastAsia"/>
        </w:rPr>
        <w:t>提出。</w:t>
      </w:r>
    </w:p>
    <w:p w14:paraId="694ACEDE">
      <w:pPr>
        <w:pStyle w:val="5"/>
        <w:numPr>
          <w:ilvl w:val="0"/>
          <w:numId w:val="2"/>
        </w:numPr>
      </w:pPr>
      <w:r>
        <w:rPr>
          <w:rFonts w:hint="eastAsia"/>
        </w:rPr>
        <w:t>起草单位、主要起草人（姓名、单位、职务/职称、参与编制标准分工情况）等</w:t>
      </w:r>
    </w:p>
    <w:p w14:paraId="75EF0D36">
      <w:r>
        <w:rPr>
          <w:rFonts w:hint="eastAsia"/>
        </w:rPr>
        <w:t>本文件由广西壮族自治区标准技术研究院、老挝广西商会、万象市恒鑫建材有限公司、广西农业职业技术大学共同起草。主要起草人见表1。</w:t>
      </w:r>
    </w:p>
    <w:p w14:paraId="6EDAC667">
      <w:pPr>
        <w:jc w:val="center"/>
        <w:rPr>
          <w:rFonts w:hint="default" w:eastAsia="仿宋"/>
          <w:lang w:val="en-US" w:eastAsia="zh-CN"/>
        </w:rPr>
      </w:pPr>
      <w:r>
        <w:rPr>
          <w:rFonts w:hint="eastAsia"/>
        </w:rPr>
        <w:t>表1</w:t>
      </w:r>
      <w:r>
        <w:rPr>
          <w:rFonts w:hint="eastAsia"/>
          <w:lang w:val="en-US" w:eastAsia="zh-CN"/>
        </w:rPr>
        <w:t xml:space="preserve"> 主要起草人</w:t>
      </w:r>
    </w:p>
    <w:tbl>
      <w:tblPr>
        <w:tblStyle w:val="9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369"/>
        <w:gridCol w:w="2201"/>
        <w:gridCol w:w="2336"/>
      </w:tblGrid>
      <w:tr w14:paraId="23D13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71" w:type="dxa"/>
            <w:vAlign w:val="center"/>
          </w:tcPr>
          <w:p w14:paraId="59FA4BF0">
            <w:pPr>
              <w:ind w:left="0" w:leftChars="0" w:firstLine="0" w:firstLineChars="0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姓名</w:t>
            </w:r>
          </w:p>
        </w:tc>
        <w:tc>
          <w:tcPr>
            <w:tcW w:w="3081" w:type="dxa"/>
            <w:vAlign w:val="center"/>
          </w:tcPr>
          <w:p w14:paraId="72400D07">
            <w:pPr>
              <w:ind w:left="0" w:leftChars="0" w:firstLine="0" w:firstLineChars="0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单位</w:t>
            </w:r>
          </w:p>
        </w:tc>
        <w:tc>
          <w:tcPr>
            <w:tcW w:w="2325" w:type="dxa"/>
            <w:vAlign w:val="center"/>
          </w:tcPr>
          <w:p w14:paraId="1E40B364">
            <w:pPr>
              <w:ind w:left="0" w:leftChars="0" w:firstLine="0" w:firstLineChars="0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职务/职称</w:t>
            </w:r>
          </w:p>
        </w:tc>
        <w:tc>
          <w:tcPr>
            <w:tcW w:w="2453" w:type="dxa"/>
            <w:vAlign w:val="center"/>
          </w:tcPr>
          <w:p w14:paraId="332EC1E5">
            <w:pPr>
              <w:ind w:left="0" w:leftChars="0" w:firstLine="0" w:firstLineChars="0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参与编制标准分工情况</w:t>
            </w:r>
          </w:p>
        </w:tc>
      </w:tr>
      <w:tr w14:paraId="68EF5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71" w:type="dxa"/>
            <w:shd w:val="clear" w:color="auto" w:fill="auto"/>
            <w:vAlign w:val="center"/>
          </w:tcPr>
          <w:p w14:paraId="2CDF6270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蔡旭平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10D01BA3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广西壮族自治区标准技术研究院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1AC0F17E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教授级高级工程师</w:t>
            </w:r>
          </w:p>
        </w:tc>
        <w:tc>
          <w:tcPr>
            <w:tcW w:w="2453" w:type="dxa"/>
            <w:vAlign w:val="center"/>
          </w:tcPr>
          <w:p w14:paraId="76FD27DE">
            <w:pPr>
              <w:ind w:left="0" w:leftChars="0" w:firstLine="0" w:firstLineChars="0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项目统筹、条款编制和审核</w:t>
            </w:r>
          </w:p>
        </w:tc>
      </w:tr>
      <w:tr w14:paraId="57548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71" w:type="dxa"/>
            <w:shd w:val="clear" w:color="auto" w:fill="auto"/>
            <w:vAlign w:val="center"/>
          </w:tcPr>
          <w:p w14:paraId="413EB700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林建业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1DFF45EE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广西壮族自治区标准技术研究院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652A8783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高级工程师</w:t>
            </w:r>
          </w:p>
        </w:tc>
        <w:tc>
          <w:tcPr>
            <w:tcW w:w="2453" w:type="dxa"/>
            <w:vAlign w:val="center"/>
          </w:tcPr>
          <w:p w14:paraId="2B9D9471">
            <w:pPr>
              <w:ind w:left="0" w:leftChars="0" w:firstLine="0" w:firstLineChars="0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项目筹划和实施、条款编制和研究</w:t>
            </w:r>
          </w:p>
        </w:tc>
      </w:tr>
      <w:tr w14:paraId="52BCE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171" w:type="dxa"/>
            <w:shd w:val="clear" w:color="auto" w:fill="auto"/>
            <w:vAlign w:val="center"/>
          </w:tcPr>
          <w:p w14:paraId="6043A8CB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苏紫敏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1EAF61AB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广西壮族自治区标准技术研究院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4942A281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工程师</w:t>
            </w:r>
          </w:p>
        </w:tc>
        <w:tc>
          <w:tcPr>
            <w:tcW w:w="2453" w:type="dxa"/>
            <w:vAlign w:val="center"/>
          </w:tcPr>
          <w:p w14:paraId="1C611059">
            <w:pPr>
              <w:ind w:left="0" w:leftChars="0" w:firstLine="0" w:firstLineChars="0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项目筹划和实施、条款编制和研究</w:t>
            </w:r>
          </w:p>
        </w:tc>
      </w:tr>
      <w:tr w14:paraId="52732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171" w:type="dxa"/>
            <w:shd w:val="clear" w:color="auto" w:fill="auto"/>
            <w:vAlign w:val="center"/>
          </w:tcPr>
          <w:p w14:paraId="28042143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陈钦儒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1ED04412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老挝广西商会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3E9EA034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会长</w:t>
            </w:r>
          </w:p>
        </w:tc>
        <w:tc>
          <w:tcPr>
            <w:tcW w:w="2453" w:type="dxa"/>
            <w:vAlign w:val="center"/>
          </w:tcPr>
          <w:p w14:paraId="3859721B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lang w:val="en-US" w:eastAsia="zh-CN"/>
              </w:rPr>
              <w:t>标准编制、技术支撑</w:t>
            </w:r>
          </w:p>
        </w:tc>
      </w:tr>
      <w:tr w14:paraId="4F604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171" w:type="dxa"/>
            <w:shd w:val="clear" w:color="auto" w:fill="auto"/>
            <w:vAlign w:val="center"/>
          </w:tcPr>
          <w:p w14:paraId="6FDC9725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陈钦静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11F487EE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万象市恒鑫建材有限公司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2D2AFED6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总经理</w:t>
            </w:r>
          </w:p>
        </w:tc>
        <w:tc>
          <w:tcPr>
            <w:tcW w:w="2453" w:type="dxa"/>
            <w:vAlign w:val="center"/>
          </w:tcPr>
          <w:p w14:paraId="5F7FAF1D">
            <w:pPr>
              <w:ind w:left="0" w:leftChars="0" w:firstLine="0" w:firstLineChars="0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  <w:lang w:val="en-US" w:eastAsia="zh-CN"/>
              </w:rPr>
              <w:t>标准编制、技术支撑</w:t>
            </w:r>
          </w:p>
        </w:tc>
      </w:tr>
      <w:tr w14:paraId="38229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171" w:type="dxa"/>
            <w:shd w:val="clear" w:color="auto" w:fill="auto"/>
            <w:vAlign w:val="center"/>
          </w:tcPr>
          <w:p w14:paraId="63DA7292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陈杭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24016D46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老挝广西商会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6B5C4799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秘书长</w:t>
            </w:r>
          </w:p>
        </w:tc>
        <w:tc>
          <w:tcPr>
            <w:tcW w:w="2453" w:type="dxa"/>
            <w:vAlign w:val="center"/>
          </w:tcPr>
          <w:p w14:paraId="62F8FDD2">
            <w:pPr>
              <w:ind w:left="0" w:leftChars="0" w:firstLine="0" w:firstLineChars="0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  <w:lang w:val="en-US" w:eastAsia="zh-CN"/>
              </w:rPr>
              <w:t>标准编制、技术支撑</w:t>
            </w:r>
          </w:p>
        </w:tc>
      </w:tr>
      <w:tr w14:paraId="07E41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171" w:type="dxa"/>
            <w:shd w:val="clear" w:color="auto" w:fill="auto"/>
            <w:vAlign w:val="center"/>
          </w:tcPr>
          <w:p w14:paraId="42FE8F0C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赵丰一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3DBA1DCE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万象市恒鑫建材有限公司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5F8B032F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经理</w:t>
            </w:r>
          </w:p>
        </w:tc>
        <w:tc>
          <w:tcPr>
            <w:tcW w:w="2453" w:type="dxa"/>
            <w:vAlign w:val="center"/>
          </w:tcPr>
          <w:p w14:paraId="341813F5">
            <w:pPr>
              <w:ind w:left="0" w:leftChars="0" w:firstLine="0" w:firstLineChars="0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  <w:lang w:val="en-US" w:eastAsia="zh-CN"/>
              </w:rPr>
              <w:t>标准编制、技术支撑</w:t>
            </w:r>
          </w:p>
        </w:tc>
      </w:tr>
      <w:tr w14:paraId="64144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C17E2C9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农凯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B6A598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广西壮族自治区标准技术研究院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62B4EE">
            <w:pPr>
              <w:snapToGrid w:val="0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副所长</w:t>
            </w:r>
          </w:p>
        </w:tc>
        <w:tc>
          <w:tcPr>
            <w:tcW w:w="0" w:type="auto"/>
            <w:vAlign w:val="center"/>
          </w:tcPr>
          <w:p w14:paraId="0F31D80F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lang w:val="en-US" w:eastAsia="zh-CN"/>
              </w:rPr>
              <w:t>资料收集、标准编写</w:t>
            </w:r>
          </w:p>
        </w:tc>
      </w:tr>
      <w:tr w14:paraId="0CAAF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FE68A05">
            <w:pPr>
              <w:snapToGrid w:val="0"/>
              <w:ind w:left="0" w:leftChars="0" w:firstLine="0" w:firstLineChars="0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杨梦颖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AB9F43">
            <w:pPr>
              <w:snapToGrid w:val="0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广西壮族自治区标准技术研究院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2E08D1">
            <w:pPr>
              <w:snapToGrid w:val="0"/>
              <w:ind w:left="0" w:leftChars="0" w:firstLine="0" w:firstLineChars="0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所长助理</w:t>
            </w:r>
          </w:p>
        </w:tc>
        <w:tc>
          <w:tcPr>
            <w:tcW w:w="0" w:type="auto"/>
            <w:vAlign w:val="center"/>
          </w:tcPr>
          <w:p w14:paraId="40BB5E2A">
            <w:pPr>
              <w:ind w:left="0" w:leftChars="0" w:firstLine="0" w:firstLineChars="0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  <w:lang w:val="en-US" w:eastAsia="zh-CN"/>
              </w:rPr>
              <w:t>资料收集、标准编写</w:t>
            </w:r>
          </w:p>
        </w:tc>
      </w:tr>
      <w:tr w14:paraId="366B3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C0F0230">
            <w:pPr>
              <w:snapToGrid w:val="0"/>
              <w:ind w:left="0" w:leftChars="0" w:firstLine="0" w:firstLineChars="0"/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覃鹭涓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4DBF31">
            <w:pPr>
              <w:snapToGrid w:val="0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广西壮族自治区标准技术研究院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E6FBDF">
            <w:pPr>
              <w:snapToGrid w:val="0"/>
              <w:ind w:left="0" w:leftChars="0" w:firstLine="0" w:firstLineChars="0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技术人员</w:t>
            </w:r>
          </w:p>
        </w:tc>
        <w:tc>
          <w:tcPr>
            <w:tcW w:w="0" w:type="auto"/>
            <w:vAlign w:val="center"/>
          </w:tcPr>
          <w:p w14:paraId="0DE56F55">
            <w:pPr>
              <w:ind w:left="0" w:leftChars="0" w:firstLine="0" w:firstLineChars="0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  <w:lang w:val="en-US" w:eastAsia="zh-CN"/>
              </w:rPr>
              <w:t>资料收集、标准编写</w:t>
            </w:r>
          </w:p>
        </w:tc>
      </w:tr>
      <w:tr w14:paraId="4C1BB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AC73282">
            <w:pPr>
              <w:snapToGrid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杨霞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FA9BA1">
            <w:pPr>
              <w:snapToGrid w:val="0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广西壮族自治区标准技术研究院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FBC938">
            <w:pPr>
              <w:snapToGrid w:val="0"/>
              <w:ind w:left="0" w:leftChars="0" w:firstLine="0" w:firstLineChars="0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技术人员</w:t>
            </w:r>
          </w:p>
        </w:tc>
        <w:tc>
          <w:tcPr>
            <w:tcW w:w="0" w:type="auto"/>
            <w:vAlign w:val="center"/>
          </w:tcPr>
          <w:p w14:paraId="36D9C91B">
            <w:pPr>
              <w:ind w:left="0" w:leftChars="0" w:firstLine="0" w:firstLineChars="0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  <w:lang w:val="en-US" w:eastAsia="zh-CN"/>
              </w:rPr>
              <w:t>资料收集、标准编写</w:t>
            </w:r>
          </w:p>
        </w:tc>
      </w:tr>
      <w:tr w14:paraId="59B12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B408DA9">
            <w:pPr>
              <w:snapToGrid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龚寅旧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486EF7">
            <w:pPr>
              <w:snapToGrid w:val="0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广西壮族自治区标准技术研究院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18606E">
            <w:pPr>
              <w:snapToGrid w:val="0"/>
              <w:ind w:left="0" w:leftChars="0" w:firstLine="0" w:firstLineChars="0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副所长</w:t>
            </w:r>
          </w:p>
        </w:tc>
        <w:tc>
          <w:tcPr>
            <w:tcW w:w="0" w:type="auto"/>
            <w:vAlign w:val="center"/>
          </w:tcPr>
          <w:p w14:paraId="62FF24D1">
            <w:pPr>
              <w:ind w:left="0" w:leftChars="0" w:firstLine="0" w:firstLineChars="0"/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  <w:lang w:val="en-US" w:eastAsia="zh-CN"/>
              </w:rPr>
              <w:t>资料收集、标准编写</w:t>
            </w:r>
          </w:p>
        </w:tc>
      </w:tr>
    </w:tbl>
    <w:p w14:paraId="33CB770D">
      <w:pPr>
        <w:pStyle w:val="4"/>
        <w:ind w:firstLine="643"/>
      </w:pPr>
      <w:r>
        <w:rPr>
          <w:rFonts w:hint="eastAsia"/>
        </w:rPr>
        <w:t>二、标准编制过程</w:t>
      </w:r>
    </w:p>
    <w:p w14:paraId="1FA2FBCD">
      <w:pPr>
        <w:pStyle w:val="5"/>
      </w:pPr>
      <w:r>
        <w:rPr>
          <w:rFonts w:hint="eastAsia"/>
        </w:rPr>
        <w:t>1、成立编制工作组</w:t>
      </w:r>
    </w:p>
    <w:p w14:paraId="4AA2A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0"/>
        <w:rPr>
          <w:rFonts w:hint="eastAsia" w:ascii="仿宋" w:hAnsi="仿宋" w:cs="Times New Roman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团体标准《老挝百香果</w:t>
      </w:r>
      <w:r>
        <w:rPr>
          <w:rFonts w:hint="eastAsia" w:ascii="仿宋" w:hAnsi="仿宋" w:cs="仿宋"/>
          <w:sz w:val="28"/>
          <w:szCs w:val="28"/>
          <w:lang w:val="en-US" w:eastAsia="zh-CN"/>
        </w:rPr>
        <w:t>良好农业</w:t>
      </w:r>
      <w:r>
        <w:rPr>
          <w:rFonts w:hint="eastAsia" w:ascii="仿宋" w:hAnsi="仿宋" w:cs="仿宋"/>
          <w:sz w:val="28"/>
          <w:szCs w:val="28"/>
        </w:rPr>
        <w:t>规范》项目任务下达后，由</w:t>
      </w:r>
      <w:r>
        <w:rPr>
          <w:rFonts w:hint="eastAsia"/>
          <w:lang w:val="en-US" w:eastAsia="zh-CN"/>
        </w:rPr>
        <w:t>广西壮族自治区标准技术研究院、老挝广西商会</w:t>
      </w:r>
      <w:r>
        <w:rPr>
          <w:rFonts w:hint="eastAsia"/>
        </w:rPr>
        <w:t>提出</w:t>
      </w:r>
      <w:r>
        <w:rPr>
          <w:rFonts w:hint="eastAsia" w:ascii="仿宋" w:hAnsi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cs="仿宋"/>
          <w:sz w:val="28"/>
          <w:szCs w:val="28"/>
          <w:lang w:val="en-US" w:eastAsia="zh-CN"/>
        </w:rPr>
        <w:t>广西物品编码与标准化促进会</w:t>
      </w:r>
      <w:r>
        <w:rPr>
          <w:rFonts w:hint="eastAsia" w:ascii="仿宋" w:hAnsi="仿宋" w:cs="仿宋"/>
          <w:sz w:val="28"/>
          <w:szCs w:val="28"/>
        </w:rPr>
        <w:t>归口。</w:t>
      </w:r>
      <w:r>
        <w:rPr>
          <w:rFonts w:hint="eastAsia"/>
        </w:rPr>
        <w:t>广西壮族自治区标准技术研究院、老挝广西商会、万象市恒鑫建材有限公司</w:t>
      </w:r>
      <w:r>
        <w:rPr>
          <w:rFonts w:hint="eastAsia"/>
          <w:lang w:val="en-US" w:eastAsia="zh-CN"/>
        </w:rPr>
        <w:t>和</w:t>
      </w:r>
      <w:r>
        <w:rPr>
          <w:rFonts w:hint="eastAsia"/>
        </w:rPr>
        <w:t>广西农业职业技术大学</w:t>
      </w:r>
      <w:r>
        <w:rPr>
          <w:rFonts w:hint="eastAsia" w:ascii="仿宋" w:hAnsi="仿宋" w:cs="仿宋"/>
          <w:sz w:val="28"/>
          <w:szCs w:val="28"/>
        </w:rPr>
        <w:t>联合成立编制工作小组，制定工作方案并进行任务分工。</w:t>
      </w:r>
    </w:p>
    <w:p w14:paraId="5CABDC1A">
      <w:pPr>
        <w:pStyle w:val="5"/>
      </w:pPr>
      <w:r>
        <w:rPr>
          <w:rFonts w:hint="eastAsia"/>
        </w:rPr>
        <w:t>2、展开调研，收集资料</w:t>
      </w:r>
    </w:p>
    <w:p w14:paraId="4827B194">
      <w:r>
        <w:rPr>
          <w:rFonts w:hint="eastAsia"/>
        </w:rPr>
        <w:t>编制工作启动后，编制工作组广泛收集和学习与本标准编制相关的资料，如GB</w:t>
      </w:r>
      <w:r>
        <w:rPr>
          <w:rFonts w:hint="eastAsia"/>
          <w:lang w:val="en-US" w:eastAsia="zh-CN"/>
        </w:rPr>
        <w:t>/T 407748-2021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百香果质量分级</w:t>
      </w:r>
      <w:r>
        <w:rPr>
          <w:rFonts w:hint="eastAsia"/>
          <w:lang w:eastAsia="zh-CN"/>
        </w:rPr>
        <w:t>》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 xml:space="preserve">DB45/T 2098-2019 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百香果标准果园建设规范</w:t>
      </w:r>
      <w:r>
        <w:rPr>
          <w:rFonts w:hint="eastAsia"/>
          <w:lang w:eastAsia="zh-CN"/>
        </w:rPr>
        <w:t>》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DB45/T 2094-2019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黄金百香果栽培技术规程</w:t>
      </w:r>
      <w:r>
        <w:rPr>
          <w:rFonts w:hint="eastAsia"/>
          <w:lang w:eastAsia="zh-CN"/>
        </w:rPr>
        <w:t>》</w:t>
      </w:r>
      <w:r>
        <w:rPr>
          <w:rFonts w:hint="eastAsia"/>
        </w:rPr>
        <w:t>等，汇总整理，形成了标准编制所需的基础资料。</w:t>
      </w:r>
    </w:p>
    <w:p w14:paraId="35D45654">
      <w:pPr>
        <w:pStyle w:val="5"/>
        <w:numPr>
          <w:ilvl w:val="0"/>
          <w:numId w:val="2"/>
        </w:numPr>
      </w:pPr>
      <w:r>
        <w:rPr>
          <w:rFonts w:hint="eastAsia"/>
        </w:rPr>
        <w:t>研讨确定主体内容</w:t>
      </w:r>
    </w:p>
    <w:p w14:paraId="2E00AD02">
      <w:r>
        <w:rPr>
          <w:rFonts w:hint="eastAsia"/>
        </w:rPr>
        <w:t>在对收集的资料进行整理研究之后，编写小组召开了标准编制会议，对标准的框架结构进行了研究，并对关键性内容进行了初步探讨。经过研究，标准的主要技术内容确定为</w:t>
      </w:r>
      <w:r>
        <w:rPr>
          <w:rFonts w:hint="eastAsia"/>
          <w:lang w:val="en-US" w:eastAsia="zh-CN"/>
        </w:rPr>
        <w:t>人员管理、质量安全管理、农业投入品管理、种植管理、采收管理、包装与标识、废弃物及污染物处理七</w:t>
      </w:r>
      <w:r>
        <w:rPr>
          <w:rFonts w:hint="eastAsia"/>
        </w:rPr>
        <w:t>个部分。</w:t>
      </w:r>
    </w:p>
    <w:p w14:paraId="6AF9ED0E">
      <w:pPr>
        <w:pStyle w:val="4"/>
        <w:numPr>
          <w:ilvl w:val="0"/>
          <w:numId w:val="3"/>
        </w:numPr>
        <w:ind w:firstLine="643"/>
      </w:pPr>
      <w:r>
        <w:rPr>
          <w:rFonts w:hint="eastAsia"/>
        </w:rPr>
        <w:t>标准编制原则</w:t>
      </w:r>
    </w:p>
    <w:p w14:paraId="11082F4B">
      <w:pPr>
        <w:pStyle w:val="5"/>
        <w:numPr>
          <w:ilvl w:val="0"/>
          <w:numId w:val="4"/>
        </w:numPr>
        <w:ind w:firstLine="560"/>
      </w:pPr>
      <w:r>
        <w:rPr>
          <w:rFonts w:hint="eastAsia"/>
        </w:rPr>
        <w:t>规范性原则</w:t>
      </w:r>
    </w:p>
    <w:p w14:paraId="020B17CF">
      <w:r>
        <w:rPr>
          <w:rFonts w:hint="eastAsia"/>
        </w:rPr>
        <w:t>标准的编写格式按GB/T 1.1－2020《标准化工作导则第1部分：标准化文件的结构和起草规则》中的规定进行编写。</w:t>
      </w:r>
    </w:p>
    <w:p w14:paraId="7E9CFF37">
      <w:pPr>
        <w:pStyle w:val="5"/>
        <w:numPr>
          <w:ilvl w:val="0"/>
          <w:numId w:val="4"/>
        </w:numPr>
        <w:ind w:firstLine="560"/>
      </w:pPr>
      <w:r>
        <w:rPr>
          <w:rFonts w:hint="eastAsia"/>
        </w:rPr>
        <w:t>一致性原则</w:t>
      </w:r>
    </w:p>
    <w:p w14:paraId="67F7E8D3">
      <w:r>
        <w:rPr>
          <w:rFonts w:hint="eastAsia"/>
        </w:rPr>
        <w:t>标准内容与现行的国家和自治区相关法律法规、政策等保持一致。</w:t>
      </w:r>
    </w:p>
    <w:p w14:paraId="2CABE38F">
      <w:pPr>
        <w:pStyle w:val="5"/>
        <w:numPr>
          <w:ilvl w:val="0"/>
          <w:numId w:val="4"/>
        </w:numPr>
        <w:ind w:firstLine="560"/>
      </w:pPr>
      <w:r>
        <w:rPr>
          <w:rFonts w:hint="eastAsia"/>
        </w:rPr>
        <w:t>可操作性原则</w:t>
      </w:r>
    </w:p>
    <w:p w14:paraId="5945B6EB">
      <w:pPr>
        <w:rPr>
          <w:rFonts w:hint="eastAsia"/>
        </w:rPr>
      </w:pPr>
      <w:r>
        <w:rPr>
          <w:rFonts w:hint="eastAsia"/>
        </w:rPr>
        <w:t>编制小组坚持深入调研，广泛征求各单位意见。在标准编制过程中对标准内容严格把关，确保标准文本内容准确与严谨，使标准具有良好的实用性和可行性。</w:t>
      </w:r>
    </w:p>
    <w:p w14:paraId="6FC8E041">
      <w:pPr>
        <w:pStyle w:val="4"/>
        <w:numPr>
          <w:ilvl w:val="0"/>
          <w:numId w:val="3"/>
        </w:numPr>
        <w:ind w:firstLine="643"/>
        <w:rPr>
          <w:rFonts w:hint="eastAsia" w:ascii="仿宋" w:hAnsi="仿宋" w:eastAsia="仿宋" w:cs="仿宋"/>
          <w:szCs w:val="32"/>
        </w:rPr>
      </w:pPr>
      <w:r>
        <w:t>主要内容（如技术指标、参数、公式、性能要求、试验方法、检验规则</w:t>
      </w:r>
      <w:r>
        <w:rPr>
          <w:rFonts w:hint="eastAsia"/>
        </w:rPr>
        <w:t>）的论据</w:t>
      </w:r>
    </w:p>
    <w:p w14:paraId="085001F2">
      <w:r>
        <w:rPr>
          <w:rFonts w:hint="eastAsia"/>
        </w:rPr>
        <w:t>《</w:t>
      </w:r>
      <w:r>
        <w:rPr>
          <w:rFonts w:hint="eastAsia" w:ascii="仿宋" w:hAnsi="仿宋" w:cs="仿宋"/>
          <w:sz w:val="28"/>
          <w:szCs w:val="28"/>
        </w:rPr>
        <w:t>老挝百香果</w:t>
      </w:r>
      <w:r>
        <w:rPr>
          <w:rFonts w:hint="eastAsia" w:ascii="仿宋" w:hAnsi="仿宋" w:cs="仿宋"/>
          <w:sz w:val="28"/>
          <w:szCs w:val="28"/>
          <w:lang w:val="en-US" w:eastAsia="zh-CN"/>
        </w:rPr>
        <w:t>良好农业</w:t>
      </w:r>
      <w:r>
        <w:rPr>
          <w:rFonts w:hint="eastAsia" w:ascii="仿宋" w:hAnsi="仿宋" w:cs="仿宋"/>
          <w:sz w:val="28"/>
          <w:szCs w:val="28"/>
        </w:rPr>
        <w:t>规范</w:t>
      </w:r>
      <w:r>
        <w:rPr>
          <w:rFonts w:hint="eastAsia"/>
        </w:rPr>
        <w:t>》分为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个章节：范围，规范性引用文件，术语和定义，</w:t>
      </w:r>
      <w:r>
        <w:rPr>
          <w:rFonts w:hint="eastAsia"/>
          <w:lang w:val="en-US" w:eastAsia="zh-CN"/>
        </w:rPr>
        <w:t>人员管理，质量安全管理，农药管理，种植管理，采收管理，包装与标识，废弃物及污染物处理</w:t>
      </w:r>
      <w:r>
        <w:rPr>
          <w:rFonts w:hint="eastAsia"/>
        </w:rPr>
        <w:t>。其中</w:t>
      </w:r>
      <w:r>
        <w:rPr>
          <w:rFonts w:hint="eastAsia"/>
          <w:lang w:val="en-US" w:eastAsia="zh-CN"/>
        </w:rPr>
        <w:t>人员管理、质量安全管理、农药管理、种植管理、采收管理、包装与标识、废弃物及污染物处理</w:t>
      </w:r>
      <w:r>
        <w:rPr>
          <w:rFonts w:hint="eastAsia"/>
        </w:rPr>
        <w:t>是本标准最主要的内容。</w:t>
      </w:r>
    </w:p>
    <w:p w14:paraId="5D9005FC">
      <w:pPr>
        <w:rPr>
          <w:rFonts w:hint="eastAsia"/>
          <w:highlight w:val="none"/>
        </w:rPr>
      </w:pPr>
      <w:r>
        <w:rPr>
          <w:rFonts w:hint="eastAsia"/>
          <w:highlight w:val="none"/>
        </w:rPr>
        <w:t>第1章为“范围”，本文件界定了</w:t>
      </w:r>
      <w:r>
        <w:rPr>
          <w:rFonts w:hint="eastAsia"/>
          <w:highlight w:val="none"/>
          <w:lang w:val="en-US" w:eastAsia="zh-CN"/>
        </w:rPr>
        <w:t>百香果</w:t>
      </w:r>
      <w:r>
        <w:rPr>
          <w:rFonts w:hint="eastAsia"/>
          <w:highlight w:val="none"/>
        </w:rPr>
        <w:t>的术语和定义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  <w:lang w:val="en-US" w:eastAsia="zh-CN"/>
        </w:rPr>
        <w:t>规定了百香果生产的人员、质量安全、农药、种植、采收、包装与标识、废弃物及污染物处理的管理要求</w:t>
      </w:r>
      <w:r>
        <w:rPr>
          <w:rFonts w:hint="eastAsia"/>
          <w:highlight w:val="none"/>
        </w:rPr>
        <w:t>。本文件适用于</w:t>
      </w:r>
      <w:r>
        <w:rPr>
          <w:rFonts w:hint="eastAsia"/>
          <w:highlight w:val="none"/>
          <w:lang w:val="en-US" w:eastAsia="zh-CN"/>
        </w:rPr>
        <w:t>老挝境内百香果的生产管理</w:t>
      </w:r>
      <w:r>
        <w:rPr>
          <w:rFonts w:hint="eastAsia"/>
          <w:highlight w:val="none"/>
        </w:rPr>
        <w:t>。</w:t>
      </w:r>
    </w:p>
    <w:p w14:paraId="79FE33DA">
      <w:pPr>
        <w:rPr>
          <w:rFonts w:hint="eastAsia"/>
          <w:highlight w:val="none"/>
        </w:rPr>
      </w:pPr>
      <w:r>
        <w:rPr>
          <w:rFonts w:hint="eastAsia"/>
          <w:highlight w:val="none"/>
        </w:rPr>
        <w:t>第2章为“规范性引用文件”，本</w:t>
      </w:r>
      <w:r>
        <w:rPr>
          <w:rFonts w:hint="eastAsia"/>
          <w:highlight w:val="none"/>
          <w:lang w:val="en-US" w:eastAsia="zh-CN"/>
        </w:rPr>
        <w:t>文件没有规范性引用文件</w:t>
      </w:r>
      <w:r>
        <w:rPr>
          <w:rFonts w:hint="eastAsia"/>
          <w:highlight w:val="none"/>
        </w:rPr>
        <w:t>。</w:t>
      </w:r>
    </w:p>
    <w:p w14:paraId="00675CC9">
      <w:pPr>
        <w:rPr>
          <w:rFonts w:hint="eastAsia"/>
          <w:highlight w:val="none"/>
        </w:rPr>
      </w:pPr>
      <w:r>
        <w:rPr>
          <w:rFonts w:hint="eastAsia"/>
          <w:highlight w:val="none"/>
        </w:rPr>
        <w:t>第3章为“术语和定义”，本文件界定了“</w:t>
      </w:r>
      <w:r>
        <w:rPr>
          <w:rFonts w:hint="eastAsia"/>
          <w:highlight w:val="none"/>
          <w:lang w:val="en-US" w:eastAsia="zh-CN"/>
        </w:rPr>
        <w:t>百香果</w:t>
      </w:r>
      <w:r>
        <w:rPr>
          <w:rFonts w:hint="eastAsia"/>
          <w:highlight w:val="none"/>
        </w:rPr>
        <w:t>”术语和定义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引用GB</w:t>
      </w:r>
      <w:r>
        <w:rPr>
          <w:rFonts w:hint="eastAsia"/>
          <w:highlight w:val="none"/>
          <w:lang w:val="en-US" w:eastAsia="zh-CN"/>
        </w:rPr>
        <w:t>/T 407748-2021</w:t>
      </w:r>
      <w:r>
        <w:rPr>
          <w:rFonts w:hint="eastAsia"/>
          <w:highlight w:val="none"/>
          <w:lang w:eastAsia="zh-CN"/>
        </w:rPr>
        <w:t>《</w:t>
      </w:r>
      <w:r>
        <w:rPr>
          <w:rFonts w:hint="eastAsia"/>
          <w:highlight w:val="none"/>
          <w:lang w:val="en-US" w:eastAsia="zh-CN"/>
        </w:rPr>
        <w:t>百香果质量分级</w:t>
      </w:r>
      <w:r>
        <w:rPr>
          <w:rFonts w:hint="eastAsia"/>
          <w:highlight w:val="none"/>
          <w:lang w:eastAsia="zh-CN"/>
        </w:rPr>
        <w:t>》</w:t>
      </w:r>
      <w:r>
        <w:rPr>
          <w:rFonts w:hint="eastAsia"/>
          <w:highlight w:val="none"/>
        </w:rPr>
        <w:t>中的“</w:t>
      </w:r>
      <w:r>
        <w:rPr>
          <w:rFonts w:hint="eastAsia"/>
          <w:highlight w:val="none"/>
          <w:lang w:val="en-US" w:eastAsia="zh-CN"/>
        </w:rPr>
        <w:t>百香果</w:t>
      </w:r>
      <w:r>
        <w:rPr>
          <w:rFonts w:hint="eastAsia"/>
          <w:highlight w:val="none"/>
        </w:rPr>
        <w:t>”术语和定义。</w:t>
      </w:r>
    </w:p>
    <w:p w14:paraId="427C561A"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第4章为人员管理，本章对参与百香果生产过程人员的基本要求、健康要求以及应急处理作了具体要求。</w:t>
      </w:r>
    </w:p>
    <w:p w14:paraId="417CB345"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第5章为质量安全管理，本章对百香果生产的质量安全管理制度、质量管理体系、可追溯系统、内部检查和投诉处理等进行了规定。</w:t>
      </w:r>
    </w:p>
    <w:p w14:paraId="0FD72FFB"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none"/>
          <w:lang w:val="en-US" w:eastAsia="zh-CN"/>
        </w:rPr>
        <w:t>第6章为农药管理，本章对百香果种植过程中使用农药的用具、操作人员和有害生物防治进行了规定，其中有害生物防治应按照《老挝百香果种植技术规范》的要求进行。</w:t>
      </w:r>
    </w:p>
    <w:p w14:paraId="73A02DAF">
      <w:p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第7章为种植管理，本章对百香果生产过程中的果园管理、种苗管理、农业投入品管理、土壤管理、水分管理、施肥作了具体规定，其中种苗管理应按照《老挝百香果种植技术规范》的规定进行。</w:t>
      </w:r>
    </w:p>
    <w:p w14:paraId="0A6DB6A4"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第8章为采收管理，本章规定百香果的采收应按照《老挝百香果种植技术规范》进行。</w:t>
      </w:r>
    </w:p>
    <w:p w14:paraId="71EE1DFC">
      <w:p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第9章为包装与标识，本章依据中国海关进口老挝鲜食百香果植物检疫要求，对百香果的包装厂、包装、标识、储藏运输和植物检疫证书作了具体要求。</w:t>
      </w:r>
    </w:p>
    <w:p w14:paraId="789E24EA"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第10章为废弃物及污染物处理，本章对百香果生产过程中产生的废弃物和污染物处理作了规定。</w:t>
      </w:r>
    </w:p>
    <w:p w14:paraId="185F4385">
      <w:pPr>
        <w:pStyle w:val="4"/>
        <w:numPr>
          <w:ilvl w:val="0"/>
          <w:numId w:val="3"/>
        </w:numPr>
        <w:ind w:firstLine="643"/>
      </w:pPr>
      <w:r>
        <w:t>与原标准</w:t>
      </w:r>
      <w:r>
        <w:rPr>
          <w:rFonts w:hint="eastAsia"/>
        </w:rPr>
        <w:t>或</w:t>
      </w:r>
      <w:r>
        <w:t>其他标准的主要差异和水平对比</w:t>
      </w:r>
    </w:p>
    <w:p w14:paraId="19ADF726">
      <w:pPr>
        <w:ind w:firstLine="643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eastAsia="zh-CN"/>
        </w:rPr>
      </w:pPr>
      <w:r>
        <w:rPr>
          <w:rFonts w:hint="eastAsia" w:ascii="仿宋" w:hAnsi="仿宋" w:cs="仿宋"/>
          <w:sz w:val="32"/>
          <w:szCs w:val="32"/>
        </w:rPr>
        <w:t>无</w:t>
      </w:r>
      <w:r>
        <w:rPr>
          <w:rFonts w:hint="eastAsia" w:ascii="仿宋" w:hAnsi="仿宋" w:cs="仿宋"/>
          <w:sz w:val="32"/>
          <w:szCs w:val="32"/>
          <w:lang w:eastAsia="zh-CN"/>
        </w:rPr>
        <w:t>。</w:t>
      </w:r>
    </w:p>
    <w:p w14:paraId="41EF26A1">
      <w:pPr>
        <w:pStyle w:val="4"/>
        <w:numPr>
          <w:ilvl w:val="0"/>
          <w:numId w:val="3"/>
        </w:numPr>
        <w:ind w:firstLine="643"/>
      </w:pPr>
      <w:bookmarkStart w:id="0" w:name="_Hlk203641237"/>
      <w:r>
        <w:t>解决的主要问题</w:t>
      </w:r>
      <w:bookmarkEnd w:id="0"/>
      <w:r>
        <w:t>。</w:t>
      </w:r>
      <w:r>
        <w:rPr>
          <w:rFonts w:hint="eastAsia"/>
        </w:rPr>
        <w:t xml:space="preserve">  </w:t>
      </w:r>
    </w:p>
    <w:p w14:paraId="3685F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一）践行“一带一路”倡议下农业国际合作。凭借我国百香果良好农业规范研究探索的经验优势，协助老挝构建良好农业规范（GAP）体系，引入我国丰富的良好农业规范技术经验，建立示范区，帮助老挝提升百香果生产技术水平，提升百香果产品品质，合理利用资源，降低农药对种植区域的污染，科学管理种植，并进一步推动与老挝农业的深度交流合作，进而加深“一带一路”在东盟国家农业产业链的重要性。</w:t>
      </w:r>
    </w:p>
    <w:p w14:paraId="676A9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二）完善百香果产业标准化与产品质量。建立百香果良好农业规范（GAP）标准能帮助老挝百香果从培育到采收各环节得到规范。规范化化肥农药使用，不仅减少浪费，降低污染，还可以切实保障果实品质。标准的实施能更好地融入全球农产品贸易体系，减少贸易壁垒，提升老挝百香果在国际市场的知名度和美誉度。</w:t>
      </w:r>
    </w:p>
    <w:p w14:paraId="0EA9D8DF">
      <w:pPr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（三）实现资源合理化利用，践行可持续发展战略。建立百香果良好农业规范标准可规范百香果种植、采收等全流程，保障食品安全，降低农药残留等风险，让消费者吃得放心。能提升百香果质量与产量，助力种植户增收。还可促进百香果产业可持续发展，在环境保护方面，推动合理利用资源、减少污染，对产业规范化、标准化发展及经济、社会、环境效益的协调统一具有重要作用。</w:t>
      </w:r>
    </w:p>
    <w:p w14:paraId="24F19BA9">
      <w:pPr>
        <w:pStyle w:val="4"/>
        <w:numPr>
          <w:ilvl w:val="0"/>
          <w:numId w:val="3"/>
        </w:numPr>
        <w:ind w:firstLine="643"/>
      </w:pPr>
      <w:bookmarkStart w:id="1" w:name="_Hlk203641246"/>
      <w:r>
        <w:t>主要试验（或验证）情况分析</w:t>
      </w:r>
    </w:p>
    <w:bookmarkEnd w:id="1"/>
    <w:p w14:paraId="63ED6228">
      <w:pPr>
        <w:rPr>
          <w:rFonts w:hint="eastAsia" w:eastAsia="仿宋"/>
          <w:lang w:eastAsia="zh-CN"/>
        </w:rPr>
      </w:pPr>
      <w:r>
        <w:rPr>
          <w:rFonts w:hint="eastAsia"/>
        </w:rPr>
        <w:t>无</w:t>
      </w:r>
      <w:r>
        <w:rPr>
          <w:rFonts w:hint="eastAsia"/>
          <w:lang w:eastAsia="zh-CN"/>
        </w:rPr>
        <w:t>。</w:t>
      </w:r>
    </w:p>
    <w:p w14:paraId="24DB887A">
      <w:pPr>
        <w:pStyle w:val="4"/>
        <w:numPr>
          <w:ilvl w:val="0"/>
          <w:numId w:val="3"/>
        </w:numPr>
        <w:ind w:firstLine="643"/>
      </w:pPr>
      <w:bookmarkStart w:id="2" w:name="_Hlk203641261"/>
      <w:r>
        <w:t>标准中</w:t>
      </w:r>
      <w:r>
        <w:rPr>
          <w:rFonts w:hint="eastAsia"/>
        </w:rPr>
        <w:t>涉及的专利情况</w:t>
      </w:r>
    </w:p>
    <w:bookmarkEnd w:id="2"/>
    <w:p w14:paraId="150F7209">
      <w:pPr>
        <w:rPr>
          <w:rFonts w:hint="eastAsia" w:eastAsia="仿宋"/>
          <w:lang w:eastAsia="zh-CN"/>
        </w:rPr>
      </w:pPr>
      <w:r>
        <w:rPr>
          <w:rFonts w:hint="eastAsia"/>
        </w:rPr>
        <w:t>无</w:t>
      </w:r>
      <w:r>
        <w:rPr>
          <w:rFonts w:hint="eastAsia"/>
          <w:lang w:eastAsia="zh-CN"/>
        </w:rPr>
        <w:t>。</w:t>
      </w:r>
    </w:p>
    <w:p w14:paraId="0C968236">
      <w:pPr>
        <w:pStyle w:val="4"/>
        <w:numPr>
          <w:ilvl w:val="0"/>
          <w:numId w:val="3"/>
        </w:numPr>
        <w:ind w:firstLine="643"/>
      </w:pPr>
      <w:bookmarkStart w:id="3" w:name="_Hlk203641283"/>
      <w:r>
        <w:t>产业化情况</w:t>
      </w:r>
    </w:p>
    <w:bookmarkEnd w:id="3"/>
    <w:p w14:paraId="050E1B47">
      <w:r>
        <w:rPr>
          <w:rFonts w:hint="eastAsia"/>
        </w:rPr>
        <w:t>本文件是</w:t>
      </w:r>
      <w:r>
        <w:rPr>
          <w:rFonts w:hint="eastAsia"/>
          <w:lang w:val="en-US" w:eastAsia="zh-CN"/>
        </w:rPr>
        <w:t>老挝百香果</w:t>
      </w:r>
      <w:r>
        <w:rPr>
          <w:rFonts w:hint="eastAsia"/>
        </w:rPr>
        <w:t>产业的应用，与目前已有的相关标准相对接，有效解决该领域</w:t>
      </w:r>
      <w:r>
        <w:rPr>
          <w:rFonts w:hint="eastAsia"/>
          <w:lang w:val="en-US" w:eastAsia="zh-CN"/>
        </w:rPr>
        <w:t>百香果种植标准空白</w:t>
      </w:r>
      <w:r>
        <w:rPr>
          <w:rFonts w:hint="eastAsia"/>
        </w:rPr>
        <w:t>等问题。</w:t>
      </w:r>
    </w:p>
    <w:p w14:paraId="0939151D">
      <w:pPr>
        <w:pStyle w:val="4"/>
        <w:numPr>
          <w:ilvl w:val="0"/>
          <w:numId w:val="3"/>
        </w:numPr>
        <w:ind w:firstLine="643"/>
      </w:pPr>
      <w:bookmarkStart w:id="4" w:name="_Hlk203641310"/>
      <w:r>
        <w:t>采用国际标准和国外先进标准情况</w:t>
      </w:r>
    </w:p>
    <w:bookmarkEnd w:id="4"/>
    <w:p w14:paraId="6DEBB45A">
      <w:pPr>
        <w:rPr>
          <w:rFonts w:hint="eastAsia" w:eastAsia="仿宋"/>
          <w:lang w:eastAsia="zh-CN"/>
        </w:rPr>
      </w:pPr>
      <w:r>
        <w:rPr>
          <w:rFonts w:hint="eastAsia"/>
        </w:rPr>
        <w:t>无</w:t>
      </w:r>
      <w:r>
        <w:rPr>
          <w:rFonts w:hint="eastAsia"/>
          <w:lang w:eastAsia="zh-CN"/>
        </w:rPr>
        <w:t>。</w:t>
      </w:r>
    </w:p>
    <w:p w14:paraId="0672D117">
      <w:pPr>
        <w:pStyle w:val="4"/>
        <w:numPr>
          <w:ilvl w:val="0"/>
          <w:numId w:val="3"/>
        </w:numPr>
        <w:ind w:firstLine="643"/>
      </w:pPr>
      <w:r>
        <w:t>与相关国家标准、行业标准及其他标准，特别是强制性标准的协调性</w:t>
      </w:r>
    </w:p>
    <w:p w14:paraId="7DCC2483">
      <w:r>
        <w:rPr>
          <w:rFonts w:hint="eastAsia"/>
        </w:rPr>
        <w:t>本文件制定的内容符合国家相关法律、法规和政策的规定。</w:t>
      </w:r>
    </w:p>
    <w:p w14:paraId="1440B27E">
      <w:pPr>
        <w:pStyle w:val="4"/>
        <w:numPr>
          <w:ilvl w:val="0"/>
          <w:numId w:val="3"/>
        </w:numPr>
        <w:ind w:firstLine="643"/>
      </w:pPr>
      <w:r>
        <w:rPr>
          <w:rFonts w:hint="eastAsia"/>
        </w:rPr>
        <w:t>符合市场需求和创新需求的情况说明</w:t>
      </w:r>
    </w:p>
    <w:p w14:paraId="575C088E">
      <w:pPr>
        <w:rPr>
          <w:rFonts w:hint="eastAsia"/>
        </w:rPr>
      </w:pPr>
      <w:r>
        <w:rPr>
          <w:rFonts w:hint="eastAsia"/>
        </w:rPr>
        <w:t>目前，老挝百香果种植技术水平整体处于发展阶段。在品种选择上，多依赖传统品种，对高产优质新品种的引进和培育能力较弱；种植环节中，多采用传统经验式栽培，在园地规划、合理密植方面缺乏科学指导，导致产量与品质参差不齐。</w:t>
      </w:r>
    </w:p>
    <w:p w14:paraId="01804E91">
      <w:pPr>
        <w:rPr>
          <w:rFonts w:hint="eastAsia" w:eastAsia="仿宋"/>
          <w:lang w:eastAsia="zh-CN"/>
        </w:rPr>
      </w:pPr>
      <w:r>
        <w:rPr>
          <w:rFonts w:hint="eastAsia"/>
        </w:rPr>
        <w:t>从我国百香果需求角度看，在我国，百香果需求正持续攀升。随着民众健康意识提升，富含多种营养成分的百香果备受青睐，市场规模已突破百亿元，未来几年还将稳定增长。在这样的背景下，老挝推广百香果种植技术前景广阔。老挝气候适宜百香果生长，若能将成熟技术引入，所产百香果可借地缘优势便捷输往我国，填补市场季节性供应缺口，满足日益增长的需求</w:t>
      </w:r>
      <w:r>
        <w:rPr>
          <w:rFonts w:hint="eastAsia"/>
          <w:lang w:eastAsia="zh-CN"/>
        </w:rPr>
        <w:t>。</w:t>
      </w:r>
    </w:p>
    <w:p w14:paraId="3A995B85">
      <w:r>
        <w:rPr>
          <w:rFonts w:hint="eastAsia"/>
        </w:rPr>
        <w:t>从老挝角度，可借助与中国等国家的跨境产学研合作，获取技术、资金和人才支持。通过建立示范种植基地、开展技术培训等方式，培养本土专业人才，完善农技推广体系，同时推动双方在百香果产业标准制定、市场拓展等方面的深度合作，助力老挝百香果产业发展。</w:t>
      </w:r>
    </w:p>
    <w:p w14:paraId="1BA1A888">
      <w:pPr>
        <w:pStyle w:val="4"/>
        <w:numPr>
          <w:ilvl w:val="0"/>
          <w:numId w:val="3"/>
        </w:numPr>
        <w:ind w:firstLine="643"/>
      </w:pPr>
      <w:r>
        <w:t>重大分歧意见的处理经过和依据</w:t>
      </w:r>
    </w:p>
    <w:p w14:paraId="23CB3576">
      <w:pPr>
        <w:rPr>
          <w:rFonts w:hint="eastAsia" w:eastAsia="仿宋"/>
          <w:lang w:eastAsia="zh-CN"/>
        </w:rPr>
      </w:pPr>
      <w:r>
        <w:rPr>
          <w:rFonts w:hint="eastAsia"/>
        </w:rPr>
        <w:t>无</w:t>
      </w:r>
      <w:r>
        <w:rPr>
          <w:rFonts w:hint="eastAsia"/>
          <w:lang w:eastAsia="zh-CN"/>
        </w:rPr>
        <w:t>。</w:t>
      </w:r>
    </w:p>
    <w:p w14:paraId="45CEB15B">
      <w:pPr>
        <w:pStyle w:val="4"/>
        <w:numPr>
          <w:ilvl w:val="0"/>
          <w:numId w:val="3"/>
        </w:numPr>
        <w:ind w:firstLine="643"/>
      </w:pPr>
      <w:r>
        <w:t>贯彻标准的要求和措施建议（包括组织措施、技术措施、过度办法等）</w:t>
      </w:r>
    </w:p>
    <w:p w14:paraId="2576C075">
      <w:r>
        <w:rPr>
          <w:rFonts w:hint="eastAsia"/>
        </w:rPr>
        <w:t>制定标准相配套的各项管理办法及细则。建议批准发布后立即实施。</w:t>
      </w:r>
    </w:p>
    <w:p w14:paraId="57C21E85">
      <w:pPr>
        <w:pStyle w:val="4"/>
        <w:numPr>
          <w:ilvl w:val="0"/>
          <w:numId w:val="3"/>
        </w:numPr>
        <w:ind w:firstLine="643"/>
      </w:pPr>
      <w:r>
        <w:t>其它应予说明的事项。</w:t>
      </w:r>
    </w:p>
    <w:p w14:paraId="4D19C23C">
      <w:pPr>
        <w:rPr>
          <w:rFonts w:hint="eastAsia" w:eastAsia="仿宋"/>
          <w:lang w:eastAsia="zh-CN"/>
        </w:rPr>
      </w:pPr>
      <w:r>
        <w:rPr>
          <w:rFonts w:hint="eastAsia"/>
        </w:rPr>
        <w:t>无</w:t>
      </w:r>
      <w:r>
        <w:rPr>
          <w:rFonts w:hint="eastAsia"/>
          <w:lang w:eastAsia="zh-CN"/>
        </w:rPr>
        <w:t>。</w:t>
      </w:r>
    </w:p>
    <w:p w14:paraId="703D638B">
      <w:pPr>
        <w:keepNext/>
        <w:rPr>
          <w:rFonts w:hint="eastAsia" w:ascii="仿宋" w:hAnsi="仿宋" w:cs="Times New Roman"/>
          <w:szCs w:val="28"/>
        </w:rPr>
      </w:pPr>
    </w:p>
    <w:p w14:paraId="7E20ACF9">
      <w:pPr>
        <w:keepNext/>
        <w:ind w:firstLine="42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注：如果上述内容的某项对某一标准项目不适用，应在相应标题下写“无”或在编制中予以说明。</w:t>
      </w:r>
    </w:p>
    <w:p w14:paraId="52922D2A">
      <w:pPr>
        <w:jc w:val="right"/>
      </w:pPr>
    </w:p>
    <w:p w14:paraId="4698D8CC">
      <w:pPr>
        <w:jc w:val="right"/>
      </w:pPr>
      <w:r>
        <w:rPr>
          <w:rFonts w:hint="eastAsia"/>
        </w:rPr>
        <w:t>《老挝百香果</w:t>
      </w:r>
      <w:r>
        <w:rPr>
          <w:rFonts w:hint="eastAsia"/>
          <w:lang w:val="en-US" w:eastAsia="zh-CN"/>
        </w:rPr>
        <w:t>良好农业</w:t>
      </w:r>
      <w:r>
        <w:rPr>
          <w:rFonts w:hint="eastAsia"/>
        </w:rPr>
        <w:t>规范》标准编制组</w:t>
      </w:r>
    </w:p>
    <w:p w14:paraId="7878323B">
      <w:pPr>
        <w:jc w:val="right"/>
      </w:pPr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bookmarkStart w:id="5" w:name="_GoBack"/>
      <w:bookmarkEnd w:id="5"/>
      <w:r>
        <w:rPr>
          <w:rFonts w:hint="eastAsia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803" w:bottom="1417" w:left="180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286C5"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197B3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64CA3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58B4D"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1B12F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4160E"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DA63FD"/>
    <w:multiLevelType w:val="singleLevel"/>
    <w:tmpl w:val="A1DA63F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C889F8B"/>
    <w:multiLevelType w:val="singleLevel"/>
    <w:tmpl w:val="FC889F8B"/>
    <w:lvl w:ilvl="0" w:tentative="0">
      <w:start w:val="1"/>
      <w:numFmt w:val="decimal"/>
      <w:suff w:val="nothing"/>
      <w:lvlText w:val="%1、"/>
      <w:lvlJc w:val="left"/>
      <w:pPr>
        <w:ind w:left="642" w:firstLine="0"/>
      </w:pPr>
    </w:lvl>
  </w:abstractNum>
  <w:abstractNum w:abstractNumId="2">
    <w:nsid w:val="426E6235"/>
    <w:multiLevelType w:val="singleLevel"/>
    <w:tmpl w:val="426E62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2D4E857"/>
    <w:multiLevelType w:val="singleLevel"/>
    <w:tmpl w:val="62D4E85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MGVkMjVjNDgyNjk1Mjk4MTU2MzIyOTdiMGYxMjcifQ=="/>
  </w:docVars>
  <w:rsids>
    <w:rsidRoot w:val="7208172C"/>
    <w:rsid w:val="00020906"/>
    <w:rsid w:val="000C4026"/>
    <w:rsid w:val="004A1387"/>
    <w:rsid w:val="004F6FD2"/>
    <w:rsid w:val="005540E8"/>
    <w:rsid w:val="0064079C"/>
    <w:rsid w:val="0074238C"/>
    <w:rsid w:val="007D4F16"/>
    <w:rsid w:val="00805748"/>
    <w:rsid w:val="00950000"/>
    <w:rsid w:val="009E720A"/>
    <w:rsid w:val="00A403F2"/>
    <w:rsid w:val="00B57FF7"/>
    <w:rsid w:val="00B71922"/>
    <w:rsid w:val="00BC102D"/>
    <w:rsid w:val="00C83E8A"/>
    <w:rsid w:val="00C9428F"/>
    <w:rsid w:val="00C97C48"/>
    <w:rsid w:val="00DD0410"/>
    <w:rsid w:val="00DF7B27"/>
    <w:rsid w:val="00FA10FF"/>
    <w:rsid w:val="01543DEF"/>
    <w:rsid w:val="01FC237E"/>
    <w:rsid w:val="05000CEF"/>
    <w:rsid w:val="053E4A71"/>
    <w:rsid w:val="0565302D"/>
    <w:rsid w:val="060C01C3"/>
    <w:rsid w:val="089028BA"/>
    <w:rsid w:val="0A226FD3"/>
    <w:rsid w:val="0A591A4D"/>
    <w:rsid w:val="0BD35176"/>
    <w:rsid w:val="0C2E5785"/>
    <w:rsid w:val="0E014D41"/>
    <w:rsid w:val="0F0B5FE8"/>
    <w:rsid w:val="109341E4"/>
    <w:rsid w:val="12931D29"/>
    <w:rsid w:val="13C04469"/>
    <w:rsid w:val="185D347E"/>
    <w:rsid w:val="1A120BD5"/>
    <w:rsid w:val="1A2F0E75"/>
    <w:rsid w:val="1AE41920"/>
    <w:rsid w:val="1B2817F1"/>
    <w:rsid w:val="1BD06957"/>
    <w:rsid w:val="1EC9062D"/>
    <w:rsid w:val="212E6FDD"/>
    <w:rsid w:val="25897210"/>
    <w:rsid w:val="27F470CE"/>
    <w:rsid w:val="283226BC"/>
    <w:rsid w:val="2AA10C88"/>
    <w:rsid w:val="2D751518"/>
    <w:rsid w:val="31AE5656"/>
    <w:rsid w:val="32F21457"/>
    <w:rsid w:val="351D0293"/>
    <w:rsid w:val="352D17EF"/>
    <w:rsid w:val="366F1936"/>
    <w:rsid w:val="371745B9"/>
    <w:rsid w:val="37C44E1C"/>
    <w:rsid w:val="39726D9D"/>
    <w:rsid w:val="3A250733"/>
    <w:rsid w:val="3A6263F9"/>
    <w:rsid w:val="3AE04719"/>
    <w:rsid w:val="3C0F1B44"/>
    <w:rsid w:val="3D5A2356"/>
    <w:rsid w:val="3D8A6223"/>
    <w:rsid w:val="40E83295"/>
    <w:rsid w:val="41231DEC"/>
    <w:rsid w:val="41AF1AC2"/>
    <w:rsid w:val="44666259"/>
    <w:rsid w:val="459A19C4"/>
    <w:rsid w:val="4831611E"/>
    <w:rsid w:val="4B430E40"/>
    <w:rsid w:val="501C0C99"/>
    <w:rsid w:val="511C3DC8"/>
    <w:rsid w:val="52D90ED7"/>
    <w:rsid w:val="5464380B"/>
    <w:rsid w:val="552008B5"/>
    <w:rsid w:val="558105D7"/>
    <w:rsid w:val="567A51E0"/>
    <w:rsid w:val="57020AD9"/>
    <w:rsid w:val="59A86341"/>
    <w:rsid w:val="5A763835"/>
    <w:rsid w:val="5BE7533D"/>
    <w:rsid w:val="5C605459"/>
    <w:rsid w:val="5D6F165C"/>
    <w:rsid w:val="5EB6633B"/>
    <w:rsid w:val="5F626BA8"/>
    <w:rsid w:val="60162A4B"/>
    <w:rsid w:val="65076D30"/>
    <w:rsid w:val="65BE218E"/>
    <w:rsid w:val="65C0279B"/>
    <w:rsid w:val="671766E1"/>
    <w:rsid w:val="6908303C"/>
    <w:rsid w:val="6912131C"/>
    <w:rsid w:val="699501C1"/>
    <w:rsid w:val="6AE20910"/>
    <w:rsid w:val="6D546B4F"/>
    <w:rsid w:val="6F100AE9"/>
    <w:rsid w:val="6FA33C1A"/>
    <w:rsid w:val="71EE3A59"/>
    <w:rsid w:val="7208172C"/>
    <w:rsid w:val="73CB62C6"/>
    <w:rsid w:val="797B017E"/>
    <w:rsid w:val="79C85DA8"/>
    <w:rsid w:val="7CBB3032"/>
    <w:rsid w:val="7D0D75E9"/>
    <w:rsid w:val="7DB61100"/>
    <w:rsid w:val="7E90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560" w:firstLineChars="200"/>
      <w:jc w:val="both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宋体"/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Lines/>
      <w:spacing w:before="260" w:after="260" w:line="413" w:lineRule="auto"/>
      <w:outlineLvl w:val="1"/>
    </w:pPr>
    <w:rPr>
      <w:rFonts w:ascii="Arial" w:hAnsi="Arial" w:eastAsia="宋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100" w:after="100" w:line="360" w:lineRule="auto"/>
      <w:outlineLvl w:val="2"/>
    </w:pPr>
    <w:rPr>
      <w:rFonts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spacing w:after="120" w:line="480" w:lineRule="auto"/>
      <w:textAlignment w:val="baseline"/>
    </w:pPr>
    <w:rPr>
      <w:sz w:val="32"/>
      <w:szCs w:val="32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0"/>
    <w:rPr>
      <w:rFonts w:eastAsia="仿宋"/>
      <w:kern w:val="2"/>
      <w:sz w:val="18"/>
      <w:szCs w:val="18"/>
    </w:rPr>
  </w:style>
  <w:style w:type="character" w:customStyle="1" w:styleId="12">
    <w:name w:val="页脚 字符"/>
    <w:basedOn w:val="10"/>
    <w:link w:val="6"/>
    <w:qFormat/>
    <w:uiPriority w:val="0"/>
    <w:rPr>
      <w:rFonts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8</Pages>
  <Words>3117</Words>
  <Characters>3187</Characters>
  <Lines>43</Lines>
  <Paragraphs>49</Paragraphs>
  <TotalTime>12</TotalTime>
  <ScaleCrop>false</ScaleCrop>
  <LinksUpToDate>false</LinksUpToDate>
  <CharactersWithSpaces>3196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2022-11-07T05:30:00Z</dcterms:created>
  <dc:creator>Summer</dc:creator>
  <cp:lastModifiedBy>橘彩星光</cp:lastModifiedBy>
  <dcterms:modified xsi:type="dcterms:W3CDTF">2025-08-29T03:14:24Z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A1757088BA564F74AB1DA415F168B1C2_13</vt:lpwstr>
  </property>
  <property fmtid="{D5CDD505-2E9C-101B-9397-08002B2CF9AE}" pid="4" name="KSOTemplateDocerSaveRecord">
    <vt:lpwstr>eyJoZGlkIjoiMTM2NDFjODg2YTRmY2NlNGY2ZWI0MTM3NmQwNjlhZTMiLCJ1c2VySWQiOiI4ODQ1NjMyMDYifQ==</vt:lpwstr>
  </property>
</Properties>
</file>