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F284" w14:textId="77777777" w:rsidR="00891A2A" w:rsidRDefault="00891A2A">
      <w:pPr>
        <w:spacing w:line="360" w:lineRule="auto"/>
        <w:ind w:right="160"/>
        <w:jc w:val="center"/>
        <w:rPr>
          <w:rFonts w:cs="宋体"/>
          <w:b/>
          <w:bCs/>
          <w:color w:val="000000"/>
          <w:sz w:val="48"/>
          <w:szCs w:val="48"/>
        </w:rPr>
      </w:pPr>
      <w:bookmarkStart w:id="0" w:name="_Hlk528261495"/>
    </w:p>
    <w:p w14:paraId="77A9AF01" w14:textId="77777777" w:rsidR="00891A2A" w:rsidRDefault="00891A2A">
      <w:pPr>
        <w:spacing w:line="360" w:lineRule="auto"/>
        <w:ind w:right="160"/>
        <w:jc w:val="center"/>
        <w:rPr>
          <w:rFonts w:cs="宋体"/>
          <w:b/>
          <w:bCs/>
          <w:color w:val="000000"/>
          <w:sz w:val="48"/>
          <w:szCs w:val="48"/>
        </w:rPr>
      </w:pPr>
    </w:p>
    <w:p w14:paraId="43ABBFB6" w14:textId="77777777" w:rsidR="00891A2A" w:rsidRDefault="00891A2A">
      <w:pPr>
        <w:spacing w:line="360" w:lineRule="auto"/>
        <w:ind w:right="160"/>
        <w:jc w:val="center"/>
        <w:rPr>
          <w:rFonts w:cs="宋体"/>
          <w:b/>
          <w:bCs/>
          <w:color w:val="000000"/>
          <w:sz w:val="48"/>
          <w:szCs w:val="48"/>
        </w:rPr>
      </w:pPr>
    </w:p>
    <w:p w14:paraId="1BF9EAE2" w14:textId="22D9C04F" w:rsidR="00D4506A" w:rsidRPr="00D4506A" w:rsidRDefault="00D4506A" w:rsidP="00D4506A">
      <w:pPr>
        <w:spacing w:beforeLines="50" w:before="156" w:afterLines="50" w:after="156" w:line="360" w:lineRule="auto"/>
        <w:ind w:right="159"/>
        <w:jc w:val="center"/>
        <w:rPr>
          <w:rFonts w:cs="宋体"/>
          <w:b/>
          <w:bCs/>
          <w:color w:val="000000"/>
          <w:sz w:val="44"/>
          <w:szCs w:val="44"/>
        </w:rPr>
      </w:pPr>
      <w:r w:rsidRPr="00D4506A">
        <w:rPr>
          <w:rFonts w:cs="宋体" w:hint="eastAsia"/>
          <w:b/>
          <w:bCs/>
          <w:color w:val="000000"/>
          <w:sz w:val="44"/>
          <w:szCs w:val="44"/>
        </w:rPr>
        <w:t>团</w:t>
      </w:r>
      <w:r w:rsidRPr="00D4506A">
        <w:rPr>
          <w:rFonts w:cs="宋体" w:hint="eastAsia"/>
          <w:b/>
          <w:bCs/>
          <w:color w:val="000000"/>
          <w:sz w:val="44"/>
          <w:szCs w:val="44"/>
        </w:rPr>
        <w:t xml:space="preserve"> </w:t>
      </w:r>
      <w:r w:rsidRPr="00D4506A">
        <w:rPr>
          <w:rFonts w:cs="宋体" w:hint="eastAsia"/>
          <w:b/>
          <w:bCs/>
          <w:color w:val="000000"/>
          <w:sz w:val="44"/>
          <w:szCs w:val="44"/>
        </w:rPr>
        <w:t>体</w:t>
      </w:r>
      <w:r w:rsidRPr="00D4506A">
        <w:rPr>
          <w:rFonts w:cs="宋体" w:hint="eastAsia"/>
          <w:b/>
          <w:bCs/>
          <w:color w:val="000000"/>
          <w:sz w:val="44"/>
          <w:szCs w:val="44"/>
        </w:rPr>
        <w:t xml:space="preserve"> </w:t>
      </w:r>
      <w:r w:rsidRPr="00D4506A">
        <w:rPr>
          <w:rFonts w:cs="宋体" w:hint="eastAsia"/>
          <w:b/>
          <w:bCs/>
          <w:color w:val="000000"/>
          <w:sz w:val="44"/>
          <w:szCs w:val="44"/>
        </w:rPr>
        <w:t>标</w:t>
      </w:r>
      <w:r w:rsidRPr="00D4506A">
        <w:rPr>
          <w:rFonts w:cs="宋体" w:hint="eastAsia"/>
          <w:b/>
          <w:bCs/>
          <w:color w:val="000000"/>
          <w:sz w:val="44"/>
          <w:szCs w:val="44"/>
        </w:rPr>
        <w:t xml:space="preserve"> </w:t>
      </w:r>
      <w:r w:rsidRPr="00D4506A">
        <w:rPr>
          <w:rFonts w:cs="宋体" w:hint="eastAsia"/>
          <w:b/>
          <w:bCs/>
          <w:color w:val="000000"/>
          <w:sz w:val="44"/>
          <w:szCs w:val="44"/>
        </w:rPr>
        <w:t>准</w:t>
      </w:r>
    </w:p>
    <w:p w14:paraId="2EE676D2" w14:textId="77777777" w:rsidR="00891A2A" w:rsidRDefault="00891A2A">
      <w:pPr>
        <w:spacing w:line="360" w:lineRule="auto"/>
        <w:ind w:right="160"/>
        <w:jc w:val="center"/>
        <w:rPr>
          <w:rFonts w:cs="宋体"/>
          <w:b/>
          <w:bCs/>
          <w:color w:val="000000"/>
          <w:sz w:val="48"/>
          <w:szCs w:val="48"/>
        </w:rPr>
      </w:pPr>
    </w:p>
    <w:bookmarkEnd w:id="0"/>
    <w:p w14:paraId="5A6917A0" w14:textId="77777777" w:rsidR="00891A2A" w:rsidRPr="00D4506A" w:rsidRDefault="00000000" w:rsidP="00D4506A">
      <w:pPr>
        <w:ind w:rightChars="-94" w:right="-197"/>
        <w:jc w:val="center"/>
        <w:outlineLvl w:val="0"/>
        <w:rPr>
          <w:rFonts w:ascii="黑体" w:eastAsia="黑体" w:hAnsi="黑体" w:cs="黑体" w:hint="eastAsia"/>
          <w:b/>
          <w:bCs/>
          <w:sz w:val="44"/>
          <w:szCs w:val="44"/>
        </w:rPr>
      </w:pPr>
      <w:r w:rsidRPr="00D4506A">
        <w:rPr>
          <w:rFonts w:eastAsia="黑体" w:hint="eastAsia"/>
          <w:sz w:val="44"/>
          <w:szCs w:val="44"/>
        </w:rPr>
        <w:t>《</w:t>
      </w:r>
      <w:r w:rsidRPr="00D4506A">
        <w:rPr>
          <w:rFonts w:ascii="黑体" w:eastAsia="黑体" w:hAnsi="黑体" w:cs="黑体" w:hint="eastAsia"/>
          <w:b/>
          <w:bCs/>
          <w:sz w:val="44"/>
          <w:szCs w:val="44"/>
        </w:rPr>
        <w:t>黑龙江草甸草原割草地免耕补播技术规程》</w:t>
      </w:r>
    </w:p>
    <w:p w14:paraId="0CBC3DF4" w14:textId="77777777" w:rsidR="00891A2A" w:rsidRDefault="00891A2A">
      <w:pPr>
        <w:jc w:val="center"/>
        <w:outlineLvl w:val="0"/>
        <w:rPr>
          <w:rFonts w:ascii="黑体" w:eastAsia="黑体" w:hAnsi="黑体" w:cs="黑体" w:hint="eastAsia"/>
          <w:b/>
          <w:bCs/>
          <w:sz w:val="48"/>
          <w:szCs w:val="48"/>
        </w:rPr>
      </w:pPr>
    </w:p>
    <w:p w14:paraId="488D81F1" w14:textId="77777777" w:rsidR="00891A2A" w:rsidRDefault="00891A2A">
      <w:pPr>
        <w:spacing w:line="360" w:lineRule="auto"/>
        <w:ind w:right="160"/>
        <w:jc w:val="center"/>
        <w:rPr>
          <w:rFonts w:cs="宋体"/>
          <w:b/>
          <w:bCs/>
          <w:color w:val="000000"/>
          <w:sz w:val="36"/>
          <w:szCs w:val="48"/>
        </w:rPr>
      </w:pPr>
    </w:p>
    <w:p w14:paraId="77BEC6F9" w14:textId="77777777" w:rsidR="00891A2A" w:rsidRDefault="00000000">
      <w:pPr>
        <w:spacing w:line="360" w:lineRule="auto"/>
        <w:ind w:right="160"/>
        <w:jc w:val="center"/>
        <w:rPr>
          <w:rFonts w:cs="宋体"/>
          <w:b/>
          <w:bCs/>
          <w:color w:val="000000"/>
          <w:sz w:val="48"/>
          <w:szCs w:val="48"/>
        </w:rPr>
      </w:pPr>
      <w:r>
        <w:rPr>
          <w:rFonts w:cs="宋体" w:hint="eastAsia"/>
          <w:b/>
          <w:bCs/>
          <w:color w:val="000000"/>
          <w:sz w:val="48"/>
          <w:szCs w:val="48"/>
        </w:rPr>
        <w:t>编制说明</w:t>
      </w:r>
    </w:p>
    <w:p w14:paraId="6CE44926" w14:textId="77777777" w:rsidR="00891A2A" w:rsidRDefault="00891A2A">
      <w:pPr>
        <w:spacing w:line="360" w:lineRule="auto"/>
        <w:jc w:val="center"/>
        <w:rPr>
          <w:b/>
          <w:bCs/>
          <w:color w:val="000000"/>
        </w:rPr>
      </w:pPr>
    </w:p>
    <w:p w14:paraId="0CD7190A" w14:textId="77777777" w:rsidR="00891A2A" w:rsidRDefault="00891A2A">
      <w:pPr>
        <w:spacing w:line="360" w:lineRule="auto"/>
        <w:jc w:val="center"/>
        <w:rPr>
          <w:b/>
          <w:bCs/>
          <w:color w:val="000000"/>
        </w:rPr>
      </w:pPr>
    </w:p>
    <w:p w14:paraId="32E84D34" w14:textId="77777777" w:rsidR="00891A2A" w:rsidRDefault="00891A2A">
      <w:pPr>
        <w:spacing w:line="360" w:lineRule="auto"/>
        <w:jc w:val="center"/>
        <w:rPr>
          <w:b/>
          <w:bCs/>
          <w:color w:val="000000"/>
        </w:rPr>
      </w:pPr>
    </w:p>
    <w:p w14:paraId="14E6A30D" w14:textId="77777777" w:rsidR="00891A2A" w:rsidRDefault="00891A2A">
      <w:pPr>
        <w:spacing w:line="360" w:lineRule="auto"/>
        <w:jc w:val="center"/>
        <w:rPr>
          <w:b/>
          <w:bCs/>
          <w:color w:val="000000"/>
        </w:rPr>
      </w:pPr>
    </w:p>
    <w:p w14:paraId="6F09F76C" w14:textId="77777777" w:rsidR="00891A2A" w:rsidRDefault="00891A2A">
      <w:pPr>
        <w:spacing w:line="360" w:lineRule="auto"/>
        <w:jc w:val="center"/>
        <w:rPr>
          <w:b/>
          <w:bCs/>
          <w:color w:val="000000"/>
        </w:rPr>
      </w:pPr>
    </w:p>
    <w:p w14:paraId="6C65D1EF" w14:textId="77777777" w:rsidR="00891A2A" w:rsidRDefault="00891A2A">
      <w:pPr>
        <w:spacing w:line="360" w:lineRule="auto"/>
        <w:jc w:val="center"/>
        <w:rPr>
          <w:b/>
          <w:bCs/>
          <w:color w:val="000000"/>
        </w:rPr>
      </w:pPr>
    </w:p>
    <w:p w14:paraId="1933A6A7" w14:textId="77777777" w:rsidR="00891A2A" w:rsidRDefault="00891A2A">
      <w:pPr>
        <w:spacing w:line="360" w:lineRule="auto"/>
        <w:jc w:val="center"/>
        <w:rPr>
          <w:b/>
          <w:bCs/>
          <w:color w:val="000000"/>
        </w:rPr>
      </w:pPr>
    </w:p>
    <w:p w14:paraId="6D8D0CA3" w14:textId="77777777" w:rsidR="00891A2A" w:rsidRDefault="00891A2A">
      <w:pPr>
        <w:spacing w:line="360" w:lineRule="auto"/>
        <w:jc w:val="center"/>
        <w:rPr>
          <w:b/>
          <w:bCs/>
          <w:color w:val="000000"/>
        </w:rPr>
      </w:pPr>
    </w:p>
    <w:p w14:paraId="572ABD5A" w14:textId="77777777" w:rsidR="00891A2A" w:rsidRDefault="00891A2A">
      <w:pPr>
        <w:spacing w:line="360" w:lineRule="auto"/>
        <w:jc w:val="center"/>
        <w:rPr>
          <w:b/>
          <w:bCs/>
          <w:color w:val="000000"/>
        </w:rPr>
      </w:pPr>
    </w:p>
    <w:p w14:paraId="1DAF1484" w14:textId="77777777" w:rsidR="00891A2A" w:rsidRDefault="00891A2A">
      <w:pPr>
        <w:spacing w:line="360" w:lineRule="auto"/>
        <w:jc w:val="center"/>
        <w:rPr>
          <w:b/>
          <w:bCs/>
          <w:color w:val="000000"/>
        </w:rPr>
      </w:pPr>
    </w:p>
    <w:p w14:paraId="5054D62D" w14:textId="77777777" w:rsidR="00D4506A" w:rsidRDefault="00D4506A">
      <w:pPr>
        <w:spacing w:line="360" w:lineRule="auto"/>
        <w:jc w:val="center"/>
        <w:rPr>
          <w:b/>
          <w:bCs/>
          <w:color w:val="000000"/>
        </w:rPr>
      </w:pPr>
    </w:p>
    <w:p w14:paraId="3AA6A6BA" w14:textId="77777777" w:rsidR="00D4506A" w:rsidRDefault="00D4506A">
      <w:pPr>
        <w:spacing w:line="360" w:lineRule="auto"/>
        <w:jc w:val="center"/>
        <w:rPr>
          <w:rFonts w:hint="eastAsia"/>
          <w:b/>
          <w:bCs/>
          <w:color w:val="000000"/>
        </w:rPr>
      </w:pPr>
    </w:p>
    <w:p w14:paraId="2AA30234" w14:textId="77777777" w:rsidR="00D4506A" w:rsidRDefault="00D4506A">
      <w:pPr>
        <w:spacing w:line="360" w:lineRule="auto"/>
        <w:jc w:val="center"/>
        <w:rPr>
          <w:rFonts w:hint="eastAsia"/>
          <w:b/>
          <w:bCs/>
          <w:color w:val="000000"/>
        </w:rPr>
      </w:pPr>
    </w:p>
    <w:p w14:paraId="703CF76B" w14:textId="7B481049" w:rsidR="00D4506A" w:rsidRPr="00D4506A" w:rsidRDefault="00D4506A" w:rsidP="00D4506A">
      <w:pPr>
        <w:spacing w:line="360" w:lineRule="auto"/>
        <w:jc w:val="center"/>
        <w:rPr>
          <w:b/>
          <w:color w:val="000000"/>
          <w:sz w:val="28"/>
          <w:szCs w:val="28"/>
        </w:rPr>
      </w:pPr>
      <w:proofErr w:type="gramStart"/>
      <w:r w:rsidRPr="00D4506A">
        <w:rPr>
          <w:b/>
          <w:color w:val="000000"/>
          <w:sz w:val="28"/>
          <w:szCs w:val="28"/>
        </w:rPr>
        <w:t>《</w:t>
      </w:r>
      <w:r w:rsidRPr="00D4506A">
        <w:rPr>
          <w:rFonts w:hint="eastAsia"/>
          <w:b/>
          <w:color w:val="000000"/>
          <w:sz w:val="28"/>
          <w:szCs w:val="28"/>
        </w:rPr>
        <w:t>黑龙江草甸草原割草地免耕补播技术规程</w:t>
      </w:r>
      <w:r w:rsidRPr="00D4506A">
        <w:rPr>
          <w:b/>
          <w:color w:val="000000"/>
          <w:sz w:val="28"/>
          <w:szCs w:val="28"/>
        </w:rPr>
        <w:t>》团标编制</w:t>
      </w:r>
      <w:proofErr w:type="gramEnd"/>
      <w:r w:rsidRPr="00D4506A">
        <w:rPr>
          <w:b/>
          <w:color w:val="000000"/>
          <w:sz w:val="28"/>
          <w:szCs w:val="28"/>
        </w:rPr>
        <w:t>组</w:t>
      </w:r>
    </w:p>
    <w:p w14:paraId="479DFA0D" w14:textId="77777777" w:rsidR="00891A2A" w:rsidRPr="00D4506A" w:rsidRDefault="00000000">
      <w:pPr>
        <w:spacing w:line="360" w:lineRule="auto"/>
        <w:jc w:val="center"/>
        <w:rPr>
          <w:rFonts w:cs="宋体"/>
          <w:b/>
          <w:color w:val="000000"/>
          <w:sz w:val="28"/>
          <w:szCs w:val="28"/>
        </w:rPr>
      </w:pPr>
      <w:r w:rsidRPr="00D4506A">
        <w:rPr>
          <w:rFonts w:cs="宋体" w:hint="eastAsia"/>
          <w:b/>
          <w:color w:val="000000"/>
          <w:sz w:val="28"/>
          <w:szCs w:val="28"/>
        </w:rPr>
        <w:t>二〇二五年七月</w:t>
      </w:r>
    </w:p>
    <w:p w14:paraId="128E9BDE" w14:textId="77777777" w:rsidR="00891A2A" w:rsidRDefault="00891A2A"/>
    <w:p w14:paraId="03FE50A5" w14:textId="77777777" w:rsidR="00891A2A" w:rsidRDefault="00891A2A"/>
    <w:p w14:paraId="4E6877DF" w14:textId="77777777" w:rsidR="00891A2A" w:rsidRDefault="00891A2A"/>
    <w:p w14:paraId="18CB8D1E" w14:textId="77777777" w:rsidR="00891A2A" w:rsidRDefault="00000000">
      <w:pPr>
        <w:pStyle w:val="aa"/>
        <w:numPr>
          <w:ilvl w:val="0"/>
          <w:numId w:val="1"/>
        </w:numPr>
        <w:spacing w:beforeLines="100" w:before="312" w:afterLines="100" w:after="312" w:line="420" w:lineRule="exact"/>
        <w:ind w:left="578" w:firstLineChars="0" w:hanging="578"/>
        <w:rPr>
          <w:b/>
          <w:color w:val="000000"/>
          <w:sz w:val="28"/>
          <w:szCs w:val="28"/>
        </w:rPr>
      </w:pPr>
      <w:r>
        <w:rPr>
          <w:b/>
          <w:color w:val="000000"/>
          <w:sz w:val="28"/>
          <w:szCs w:val="28"/>
        </w:rPr>
        <w:t>任务来源及标准制定背景</w:t>
      </w:r>
    </w:p>
    <w:p w14:paraId="53F168FA" w14:textId="77777777" w:rsidR="00891A2A" w:rsidRDefault="00000000">
      <w:pPr>
        <w:pStyle w:val="aa"/>
        <w:spacing w:beforeLines="100" w:before="312" w:afterLines="100" w:after="312" w:line="420" w:lineRule="exact"/>
        <w:ind w:left="576" w:firstLineChars="0" w:firstLine="0"/>
        <w:rPr>
          <w:b/>
          <w:sz w:val="24"/>
        </w:rPr>
      </w:pPr>
      <w:r>
        <w:rPr>
          <w:rFonts w:hint="eastAsia"/>
          <w:b/>
          <w:sz w:val="24"/>
        </w:rPr>
        <w:t>1</w:t>
      </w:r>
      <w:r>
        <w:rPr>
          <w:rFonts w:hint="eastAsia"/>
          <w:b/>
          <w:sz w:val="24"/>
        </w:rPr>
        <w:t>、任务来源</w:t>
      </w:r>
    </w:p>
    <w:p w14:paraId="6F5517AF" w14:textId="77777777" w:rsidR="00891A2A" w:rsidRDefault="00000000">
      <w:pPr>
        <w:spacing w:line="360" w:lineRule="auto"/>
        <w:ind w:firstLineChars="200" w:firstLine="480"/>
        <w:rPr>
          <w:sz w:val="24"/>
          <w:szCs w:val="24"/>
        </w:rPr>
      </w:pPr>
      <w:r>
        <w:rPr>
          <w:rFonts w:hint="eastAsia"/>
          <w:sz w:val="24"/>
          <w:szCs w:val="24"/>
        </w:rPr>
        <w:t>本技术规程由黑龙江省农业科学院草业研究所、中国农业大学、东北农业大学联合申报，在黑龙江省省属科研业务费（</w:t>
      </w:r>
      <w:r>
        <w:rPr>
          <w:rFonts w:hint="eastAsia"/>
          <w:sz w:val="24"/>
          <w:szCs w:val="24"/>
        </w:rPr>
        <w:t>CZKYF2024-1-A004</w:t>
      </w:r>
      <w:r>
        <w:rPr>
          <w:rFonts w:hint="eastAsia"/>
          <w:sz w:val="24"/>
          <w:szCs w:val="24"/>
        </w:rPr>
        <w:t>）和黑龙江省重点研发计划（</w:t>
      </w:r>
      <w:r>
        <w:rPr>
          <w:rFonts w:hint="eastAsia"/>
          <w:sz w:val="24"/>
          <w:szCs w:val="24"/>
        </w:rPr>
        <w:t>GA23B004</w:t>
      </w:r>
      <w:r>
        <w:rPr>
          <w:rFonts w:hint="eastAsia"/>
          <w:sz w:val="24"/>
          <w:szCs w:val="24"/>
        </w:rPr>
        <w:t>）等项目的共同资助和支持下完成。</w:t>
      </w:r>
    </w:p>
    <w:p w14:paraId="2E7A7EC0" w14:textId="77777777" w:rsidR="00891A2A" w:rsidRDefault="00000000">
      <w:pPr>
        <w:spacing w:beforeLines="100" w:before="312" w:afterLines="100" w:after="312" w:line="420" w:lineRule="exact"/>
        <w:ind w:firstLineChars="200" w:firstLine="482"/>
        <w:rPr>
          <w:b/>
          <w:sz w:val="24"/>
        </w:rPr>
      </w:pPr>
      <w:r>
        <w:rPr>
          <w:rFonts w:hint="eastAsia"/>
          <w:b/>
          <w:sz w:val="24"/>
        </w:rPr>
        <w:t>2</w:t>
      </w:r>
      <w:r>
        <w:rPr>
          <w:rFonts w:hint="eastAsia"/>
          <w:b/>
          <w:sz w:val="24"/>
        </w:rPr>
        <w:t>、标准制定背景</w:t>
      </w:r>
    </w:p>
    <w:p w14:paraId="2C5D4E10" w14:textId="77777777" w:rsidR="00891A2A" w:rsidRDefault="00000000">
      <w:pPr>
        <w:spacing w:line="360" w:lineRule="auto"/>
        <w:ind w:firstLineChars="200" w:firstLine="480"/>
      </w:pPr>
      <w:r>
        <w:rPr>
          <w:rFonts w:hint="eastAsia"/>
          <w:bCs/>
          <w:sz w:val="24"/>
          <w:szCs w:val="24"/>
        </w:rPr>
        <w:t>草原割草地免耕补播是</w:t>
      </w:r>
      <w:r>
        <w:rPr>
          <w:rFonts w:asciiTheme="minorHAnsi" w:eastAsiaTheme="minorEastAsia" w:hAnsiTheme="minorHAnsi" w:cs="宋体" w:hint="eastAsia"/>
          <w:bCs/>
          <w:sz w:val="24"/>
          <w:szCs w:val="24"/>
        </w:rPr>
        <w:t>一项</w:t>
      </w:r>
      <w:r>
        <w:rPr>
          <w:rFonts w:hint="eastAsia"/>
          <w:bCs/>
          <w:sz w:val="24"/>
          <w:szCs w:val="24"/>
        </w:rPr>
        <w:t>兼顾生态保护与生产提升的智慧型技术。它通过最小化人为干扰，以低成本、高效率的方式实现草地资源</w:t>
      </w:r>
      <w:r>
        <w:rPr>
          <w:rFonts w:asciiTheme="minorHAnsi" w:eastAsiaTheme="minorEastAsia" w:hAnsiTheme="minorHAnsi" w:cs="宋体" w:hint="eastAsia"/>
          <w:bCs/>
          <w:sz w:val="24"/>
          <w:szCs w:val="24"/>
        </w:rPr>
        <w:t>的</w:t>
      </w:r>
      <w:r>
        <w:rPr>
          <w:rFonts w:hint="eastAsia"/>
          <w:bCs/>
          <w:sz w:val="24"/>
          <w:szCs w:val="24"/>
        </w:rPr>
        <w:t>可持续利用，对遏制草原退化、增强气候韧性、保障牧区生计具有不可替代的作用，是</w:t>
      </w:r>
      <w:proofErr w:type="gramStart"/>
      <w:r>
        <w:rPr>
          <w:rFonts w:hint="eastAsia"/>
          <w:bCs/>
          <w:sz w:val="24"/>
          <w:szCs w:val="24"/>
        </w:rPr>
        <w:t>践行</w:t>
      </w:r>
      <w:proofErr w:type="gramEnd"/>
      <w:r>
        <w:rPr>
          <w:rFonts w:hint="eastAsia"/>
          <w:bCs/>
          <w:sz w:val="24"/>
          <w:szCs w:val="24"/>
        </w:rPr>
        <w:t>“绿水青山就是金山银山”理念的典型草原实践。</w:t>
      </w:r>
    </w:p>
    <w:p w14:paraId="12888C24" w14:textId="77777777" w:rsidR="00891A2A" w:rsidRDefault="00000000">
      <w:pPr>
        <w:spacing w:line="360" w:lineRule="auto"/>
        <w:ind w:firstLineChars="200" w:firstLine="480"/>
        <w:rPr>
          <w:bCs/>
          <w:sz w:val="24"/>
          <w:szCs w:val="24"/>
        </w:rPr>
      </w:pPr>
      <w:r>
        <w:rPr>
          <w:rFonts w:hint="eastAsia"/>
          <w:bCs/>
          <w:sz w:val="24"/>
          <w:szCs w:val="24"/>
        </w:rPr>
        <w:t>免耕补播避免了土壤扰动，传统翻耕会破坏草原表层土壤和原</w:t>
      </w:r>
      <w:proofErr w:type="gramStart"/>
      <w:r>
        <w:rPr>
          <w:rFonts w:hint="eastAsia"/>
          <w:bCs/>
          <w:sz w:val="24"/>
          <w:szCs w:val="24"/>
        </w:rPr>
        <w:t>生植</w:t>
      </w:r>
      <w:proofErr w:type="gramEnd"/>
      <w:r>
        <w:rPr>
          <w:rFonts w:hint="eastAsia"/>
          <w:bCs/>
          <w:sz w:val="24"/>
          <w:szCs w:val="24"/>
        </w:rPr>
        <w:t>被根系，加剧水土流失。而免耕方式最大限度地保留了原有植被覆盖和土壤生物网络，维持了土壤稳定性。尤其在干旱半干旱草原，地表植被覆盖是防风固沙的关键。免耕补播后残留的</w:t>
      </w:r>
      <w:proofErr w:type="gramStart"/>
      <w:r>
        <w:rPr>
          <w:rFonts w:hint="eastAsia"/>
          <w:bCs/>
          <w:sz w:val="24"/>
          <w:szCs w:val="24"/>
        </w:rPr>
        <w:t>草茬能够</w:t>
      </w:r>
      <w:proofErr w:type="gramEnd"/>
      <w:r>
        <w:rPr>
          <w:rFonts w:hint="eastAsia"/>
          <w:bCs/>
          <w:sz w:val="24"/>
          <w:szCs w:val="24"/>
        </w:rPr>
        <w:t>降低风速，减少地表径流，有效防止土壤退化。</w:t>
      </w:r>
    </w:p>
    <w:p w14:paraId="1B74E9C4" w14:textId="77777777" w:rsidR="00891A2A" w:rsidRDefault="00000000">
      <w:pPr>
        <w:spacing w:line="360" w:lineRule="auto"/>
        <w:ind w:firstLineChars="200" w:firstLine="480"/>
        <w:rPr>
          <w:bCs/>
          <w:sz w:val="24"/>
          <w:szCs w:val="24"/>
        </w:rPr>
      </w:pPr>
      <w:r>
        <w:rPr>
          <w:rFonts w:hint="eastAsia"/>
          <w:bCs/>
          <w:sz w:val="24"/>
          <w:szCs w:val="24"/>
        </w:rPr>
        <w:t>免耕补播有助于维持生物多样性，保护原生植物群落。通过选择性补播目标草种（如优质牧草或豆科植物），而不清除原有植被，避免了单一化，保护了乡土植物基因库。同时，枯落物</w:t>
      </w:r>
      <w:proofErr w:type="gramStart"/>
      <w:r>
        <w:rPr>
          <w:rFonts w:hint="eastAsia"/>
          <w:bCs/>
          <w:sz w:val="24"/>
          <w:szCs w:val="24"/>
        </w:rPr>
        <w:t>和草茬为</w:t>
      </w:r>
      <w:proofErr w:type="gramEnd"/>
      <w:r>
        <w:rPr>
          <w:rFonts w:hint="eastAsia"/>
          <w:bCs/>
          <w:sz w:val="24"/>
          <w:szCs w:val="24"/>
        </w:rPr>
        <w:t>昆虫、微生物及小型动物提供了生存空间，维系</w:t>
      </w:r>
      <w:proofErr w:type="gramStart"/>
      <w:r>
        <w:rPr>
          <w:rFonts w:hint="eastAsia"/>
          <w:bCs/>
          <w:sz w:val="24"/>
          <w:szCs w:val="24"/>
        </w:rPr>
        <w:t>了草</w:t>
      </w:r>
      <w:proofErr w:type="gramEnd"/>
      <w:r>
        <w:rPr>
          <w:rFonts w:hint="eastAsia"/>
          <w:bCs/>
          <w:sz w:val="24"/>
          <w:szCs w:val="24"/>
        </w:rPr>
        <w:t>原生态系统的完整性。免耕补播还能促进土壤健康，利于有机质积累。植物残体自然分解可增加土壤有机碳含量，改善土壤肥力。此外，地表覆盖减少了水分蒸发，提高了土壤蓄水能力，尤其在降水稀少的区域，这一作用至关重要。</w:t>
      </w:r>
    </w:p>
    <w:p w14:paraId="6F38CFE1" w14:textId="77777777" w:rsidR="00891A2A" w:rsidRDefault="00000000">
      <w:pPr>
        <w:spacing w:line="360" w:lineRule="auto"/>
        <w:ind w:firstLineChars="200" w:firstLine="420"/>
        <w:rPr>
          <w:bCs/>
          <w:sz w:val="24"/>
          <w:szCs w:val="24"/>
        </w:rPr>
      </w:pPr>
      <w:r>
        <w:rPr>
          <w:rFonts w:hint="eastAsia"/>
        </w:rPr>
        <w:t xml:space="preserve">  </w:t>
      </w:r>
      <w:r>
        <w:rPr>
          <w:rFonts w:hint="eastAsia"/>
          <w:bCs/>
          <w:sz w:val="24"/>
          <w:szCs w:val="24"/>
        </w:rPr>
        <w:t>本项目基于黑龙江草甸草原割草地免耕补播技术，对补播的草种子、种植、后期管理等等关键技术的研究，结合当地生产需求，提出黑龙江草甸草原割草地免耕补播技术，能够为割草地的农艺措施提供技术支撑。</w:t>
      </w:r>
    </w:p>
    <w:p w14:paraId="718BD61C" w14:textId="77777777" w:rsidR="00891A2A" w:rsidRDefault="00000000">
      <w:pPr>
        <w:spacing w:line="360" w:lineRule="auto"/>
        <w:ind w:firstLineChars="200" w:firstLine="480"/>
        <w:rPr>
          <w:rFonts w:asciiTheme="minorHAnsi" w:eastAsiaTheme="minorEastAsia" w:hAnsiTheme="minorHAnsi" w:cs="宋体"/>
          <w:bCs/>
          <w:sz w:val="24"/>
          <w:szCs w:val="24"/>
        </w:rPr>
      </w:pPr>
      <w:r>
        <w:rPr>
          <w:rFonts w:asciiTheme="minorHAnsi" w:eastAsiaTheme="minorEastAsia" w:hAnsiTheme="minorHAnsi" w:cs="宋体" w:hint="eastAsia"/>
          <w:bCs/>
          <w:sz w:val="24"/>
          <w:szCs w:val="24"/>
        </w:rPr>
        <w:t>该技术不仅优化</w:t>
      </w:r>
      <w:proofErr w:type="gramStart"/>
      <w:r>
        <w:rPr>
          <w:rFonts w:asciiTheme="minorHAnsi" w:eastAsiaTheme="minorEastAsia" w:hAnsiTheme="minorHAnsi" w:cs="宋体" w:hint="eastAsia"/>
          <w:bCs/>
          <w:sz w:val="24"/>
          <w:szCs w:val="24"/>
        </w:rPr>
        <w:t>了草</w:t>
      </w:r>
      <w:proofErr w:type="gramEnd"/>
      <w:r>
        <w:rPr>
          <w:rFonts w:asciiTheme="minorHAnsi" w:eastAsiaTheme="minorEastAsia" w:hAnsiTheme="minorHAnsi" w:cs="宋体" w:hint="eastAsia"/>
          <w:bCs/>
          <w:sz w:val="24"/>
          <w:szCs w:val="24"/>
        </w:rPr>
        <w:t>地的生产性能，</w:t>
      </w:r>
      <w:proofErr w:type="gramStart"/>
      <w:r>
        <w:rPr>
          <w:rFonts w:asciiTheme="minorHAnsi" w:eastAsiaTheme="minorEastAsia" w:hAnsiTheme="minorHAnsi" w:cs="宋体" w:hint="eastAsia"/>
          <w:bCs/>
          <w:sz w:val="24"/>
          <w:szCs w:val="24"/>
        </w:rPr>
        <w:t>还显著</w:t>
      </w:r>
      <w:proofErr w:type="gramEnd"/>
      <w:r>
        <w:rPr>
          <w:rFonts w:asciiTheme="minorHAnsi" w:eastAsiaTheme="minorEastAsia" w:hAnsiTheme="minorHAnsi" w:cs="宋体" w:hint="eastAsia"/>
          <w:bCs/>
          <w:sz w:val="24"/>
          <w:szCs w:val="24"/>
        </w:rPr>
        <w:t>提升</w:t>
      </w:r>
      <w:proofErr w:type="gramStart"/>
      <w:r>
        <w:rPr>
          <w:rFonts w:asciiTheme="minorHAnsi" w:eastAsiaTheme="minorEastAsia" w:hAnsiTheme="minorHAnsi" w:cs="宋体" w:hint="eastAsia"/>
          <w:bCs/>
          <w:sz w:val="24"/>
          <w:szCs w:val="24"/>
        </w:rPr>
        <w:t>了草</w:t>
      </w:r>
      <w:proofErr w:type="gramEnd"/>
      <w:r>
        <w:rPr>
          <w:rFonts w:asciiTheme="minorHAnsi" w:eastAsiaTheme="minorEastAsia" w:hAnsiTheme="minorHAnsi" w:cs="宋体" w:hint="eastAsia"/>
          <w:bCs/>
          <w:sz w:val="24"/>
          <w:szCs w:val="24"/>
        </w:rPr>
        <w:t>原生态系统的服务功能。通过科学合理的补播策略，能够增加草原植被的覆盖度和生物量，提高草原的产草量和牧草质量，为畜牧业提供稳定优质的饲草来源。同时，免耕补播技术减少了化肥和农药的使用，降低了农业生产对环境的负面影响，符合现代农业可持续发展的要求。</w:t>
      </w:r>
    </w:p>
    <w:p w14:paraId="1CA1D541" w14:textId="77777777" w:rsidR="00891A2A" w:rsidRDefault="00000000">
      <w:pPr>
        <w:spacing w:line="360" w:lineRule="auto"/>
        <w:ind w:firstLineChars="200" w:firstLine="480"/>
        <w:rPr>
          <w:rFonts w:asciiTheme="minorHAnsi" w:eastAsiaTheme="minorEastAsia" w:hAnsiTheme="minorHAnsi" w:cs="宋体"/>
          <w:bCs/>
          <w:sz w:val="24"/>
          <w:szCs w:val="24"/>
        </w:rPr>
      </w:pPr>
      <w:r>
        <w:rPr>
          <w:rFonts w:asciiTheme="minorHAnsi" w:eastAsiaTheme="minorEastAsia" w:hAnsiTheme="minorHAnsi" w:cs="宋体" w:hint="eastAsia"/>
          <w:bCs/>
          <w:sz w:val="24"/>
          <w:szCs w:val="24"/>
        </w:rPr>
        <w:t>在实施过程中，关键技术的掌握至关重要。草种子的选择需考虑适应性、抗逆性和产量等因素，确保补播后的草地能够迅速恢复并保持良好的生态和生产状态。种植技术包括播种时间、播种量和播种方式等，需根据当地气候条件和草地状况灵活调整。后期管理则涉及病虫害防控、水分管理和刈割利用等方面，需制定科学合理的管理措施，确保草地的持续健康和高效利用。</w:t>
      </w:r>
    </w:p>
    <w:p w14:paraId="077ED371" w14:textId="77777777" w:rsidR="00891A2A" w:rsidRDefault="00000000">
      <w:pPr>
        <w:spacing w:line="360" w:lineRule="auto"/>
        <w:ind w:firstLineChars="200" w:firstLine="480"/>
        <w:rPr>
          <w:rFonts w:asciiTheme="minorHAnsi" w:eastAsiaTheme="minorEastAsia" w:hAnsiTheme="minorHAnsi" w:cs="宋体"/>
          <w:bCs/>
          <w:sz w:val="24"/>
          <w:szCs w:val="24"/>
          <w:shd w:val="clear" w:color="auto" w:fill="E6F0FF"/>
        </w:rPr>
      </w:pPr>
      <w:r>
        <w:rPr>
          <w:rFonts w:asciiTheme="minorHAnsi" w:eastAsiaTheme="minorEastAsia" w:hAnsiTheme="minorHAnsi" w:cs="宋体" w:hint="eastAsia"/>
          <w:bCs/>
          <w:sz w:val="24"/>
          <w:szCs w:val="24"/>
        </w:rPr>
        <w:t>综上所述，黑龙江草甸草原割草地免耕补播技术的提出与实施，将为割草地的可持续利用提供有力的技术保障，促进草原生态系统的平衡与稳定，推动畜牧业与生态环境的和谐发展。</w:t>
      </w:r>
    </w:p>
    <w:p w14:paraId="27824BB4" w14:textId="77777777" w:rsidR="00891A2A" w:rsidRDefault="00000000">
      <w:pPr>
        <w:pStyle w:val="aa"/>
        <w:numPr>
          <w:ilvl w:val="0"/>
          <w:numId w:val="1"/>
        </w:numPr>
        <w:spacing w:beforeLines="100" w:before="312" w:afterLines="100" w:after="312" w:line="420" w:lineRule="exact"/>
        <w:ind w:left="578" w:firstLineChars="0" w:hanging="578"/>
        <w:rPr>
          <w:b/>
          <w:color w:val="000000"/>
          <w:sz w:val="28"/>
          <w:szCs w:val="28"/>
        </w:rPr>
      </w:pPr>
      <w:r>
        <w:rPr>
          <w:rFonts w:hint="eastAsia"/>
          <w:b/>
          <w:color w:val="000000"/>
          <w:sz w:val="28"/>
          <w:szCs w:val="28"/>
        </w:rPr>
        <w:t>主要工作过程</w:t>
      </w:r>
    </w:p>
    <w:p w14:paraId="4C9EEDF7" w14:textId="77777777" w:rsidR="00891A2A" w:rsidRDefault="00000000">
      <w:pPr>
        <w:spacing w:beforeLines="50" w:before="156" w:line="360" w:lineRule="auto"/>
        <w:ind w:firstLineChars="177" w:firstLine="425"/>
        <w:rPr>
          <w:bCs/>
          <w:sz w:val="24"/>
          <w:szCs w:val="24"/>
        </w:rPr>
      </w:pPr>
      <w:r>
        <w:rPr>
          <w:bCs/>
          <w:sz w:val="24"/>
          <w:szCs w:val="24"/>
        </w:rPr>
        <w:t>1</w:t>
      </w:r>
      <w:r>
        <w:rPr>
          <w:bCs/>
          <w:sz w:val="24"/>
          <w:szCs w:val="24"/>
        </w:rPr>
        <w:t>、</w:t>
      </w:r>
      <w:r>
        <w:rPr>
          <w:bCs/>
          <w:sz w:val="24"/>
          <w:szCs w:val="24"/>
        </w:rPr>
        <w:t>20</w:t>
      </w:r>
      <w:r>
        <w:rPr>
          <w:rFonts w:hint="eastAsia"/>
          <w:bCs/>
          <w:sz w:val="24"/>
          <w:szCs w:val="24"/>
        </w:rPr>
        <w:t>24</w:t>
      </w:r>
      <w:r>
        <w:rPr>
          <w:bCs/>
          <w:sz w:val="24"/>
          <w:szCs w:val="24"/>
        </w:rPr>
        <w:t>年</w:t>
      </w:r>
      <w:r>
        <w:rPr>
          <w:rFonts w:hint="eastAsia"/>
          <w:bCs/>
          <w:sz w:val="24"/>
          <w:szCs w:val="24"/>
        </w:rPr>
        <w:t>11</w:t>
      </w:r>
      <w:r>
        <w:rPr>
          <w:bCs/>
          <w:sz w:val="24"/>
          <w:szCs w:val="24"/>
        </w:rPr>
        <w:t>月：</w:t>
      </w:r>
      <w:r>
        <w:rPr>
          <w:rFonts w:hint="eastAsia"/>
          <w:bCs/>
          <w:sz w:val="24"/>
          <w:szCs w:val="24"/>
        </w:rPr>
        <w:t>根据《</w:t>
      </w:r>
      <w:r>
        <w:rPr>
          <w:bCs/>
          <w:sz w:val="24"/>
          <w:szCs w:val="24"/>
        </w:rPr>
        <w:t>关于征集</w:t>
      </w:r>
      <w:r>
        <w:rPr>
          <w:bCs/>
          <w:sz w:val="24"/>
          <w:szCs w:val="24"/>
        </w:rPr>
        <w:t>20</w:t>
      </w:r>
      <w:r>
        <w:rPr>
          <w:rFonts w:hint="eastAsia"/>
          <w:bCs/>
          <w:sz w:val="24"/>
          <w:szCs w:val="24"/>
        </w:rPr>
        <w:t>23</w:t>
      </w:r>
      <w:r>
        <w:rPr>
          <w:bCs/>
          <w:sz w:val="24"/>
          <w:szCs w:val="24"/>
        </w:rPr>
        <w:t>年北京华夏草业产业技术创新战略联盟团体标准制定项目的通知</w:t>
      </w:r>
      <w:r>
        <w:rPr>
          <w:rFonts w:hint="eastAsia"/>
          <w:bCs/>
          <w:sz w:val="24"/>
          <w:szCs w:val="24"/>
        </w:rPr>
        <w:t>》中相关要求，黑龙江省农业科学院草业研究所牵头，组织相关人员认真学习标准化工作导则及相关文件，讨论标准编写事宜。</w:t>
      </w:r>
    </w:p>
    <w:p w14:paraId="081BF1B4" w14:textId="77777777" w:rsidR="00891A2A" w:rsidRDefault="00000000">
      <w:pPr>
        <w:pStyle w:val="ab"/>
        <w:spacing w:line="360" w:lineRule="auto"/>
        <w:ind w:firstLineChars="177" w:firstLine="425"/>
        <w:rPr>
          <w:rFonts w:ascii="Times New Roman"/>
          <w:bCs/>
          <w:kern w:val="2"/>
          <w:sz w:val="24"/>
          <w:szCs w:val="24"/>
        </w:rPr>
      </w:pPr>
      <w:r>
        <w:rPr>
          <w:rFonts w:ascii="Times New Roman" w:hint="eastAsia"/>
          <w:bCs/>
          <w:kern w:val="2"/>
          <w:sz w:val="24"/>
          <w:szCs w:val="24"/>
        </w:rPr>
        <w:t>2</w:t>
      </w:r>
      <w:r>
        <w:rPr>
          <w:rFonts w:ascii="Times New Roman" w:hint="eastAsia"/>
          <w:bCs/>
          <w:kern w:val="2"/>
          <w:sz w:val="24"/>
          <w:szCs w:val="24"/>
        </w:rPr>
        <w:t>、</w:t>
      </w:r>
      <w:r>
        <w:rPr>
          <w:rFonts w:ascii="Times New Roman" w:hint="eastAsia"/>
          <w:bCs/>
          <w:kern w:val="2"/>
          <w:sz w:val="24"/>
          <w:szCs w:val="24"/>
        </w:rPr>
        <w:t>2025</w:t>
      </w:r>
      <w:r>
        <w:rPr>
          <w:rFonts w:ascii="Times New Roman" w:hint="eastAsia"/>
          <w:bCs/>
          <w:kern w:val="2"/>
          <w:sz w:val="24"/>
          <w:szCs w:val="24"/>
        </w:rPr>
        <w:t>年</w:t>
      </w:r>
      <w:r>
        <w:rPr>
          <w:rFonts w:ascii="Times New Roman" w:hint="eastAsia"/>
          <w:bCs/>
          <w:kern w:val="2"/>
          <w:sz w:val="24"/>
          <w:szCs w:val="24"/>
        </w:rPr>
        <w:t>3</w:t>
      </w:r>
      <w:r>
        <w:rPr>
          <w:rFonts w:ascii="Times New Roman" w:hint="eastAsia"/>
          <w:bCs/>
          <w:kern w:val="2"/>
          <w:sz w:val="24"/>
          <w:szCs w:val="24"/>
        </w:rPr>
        <w:t>月：</w:t>
      </w:r>
      <w:r>
        <w:rPr>
          <w:rFonts w:hint="eastAsia"/>
          <w:sz w:val="24"/>
          <w:szCs w:val="24"/>
        </w:rPr>
        <w:t>中国农业大学、东北农业大学</w:t>
      </w:r>
      <w:r>
        <w:rPr>
          <w:rFonts w:ascii="Times New Roman" w:hint="eastAsia"/>
          <w:bCs/>
          <w:kern w:val="2"/>
          <w:sz w:val="24"/>
          <w:szCs w:val="24"/>
        </w:rPr>
        <w:t>的相关起草人，认真总结课题组的已有成果，讨论决定并提交“</w:t>
      </w:r>
      <w:r>
        <w:rPr>
          <w:rFonts w:hint="eastAsia"/>
          <w:bCs/>
          <w:sz w:val="24"/>
          <w:szCs w:val="24"/>
        </w:rPr>
        <w:t>黑龙江草甸草原割草地免耕补播技术</w:t>
      </w:r>
      <w:r>
        <w:rPr>
          <w:rFonts w:ascii="Times New Roman" w:hint="eastAsia"/>
          <w:bCs/>
          <w:kern w:val="2"/>
          <w:sz w:val="24"/>
          <w:szCs w:val="24"/>
        </w:rPr>
        <w:t>”团体标准的制订项目建议书至</w:t>
      </w:r>
      <w:r>
        <w:rPr>
          <w:rFonts w:ascii="Times New Roman"/>
          <w:bCs/>
          <w:kern w:val="2"/>
          <w:sz w:val="24"/>
          <w:szCs w:val="24"/>
        </w:rPr>
        <w:t>北京华夏草业产业技术创新战略联盟</w:t>
      </w:r>
      <w:r>
        <w:rPr>
          <w:rFonts w:ascii="Times New Roman" w:hint="eastAsia"/>
          <w:bCs/>
          <w:kern w:val="2"/>
          <w:sz w:val="24"/>
          <w:szCs w:val="24"/>
        </w:rPr>
        <w:t>秘书处，申请立项。</w:t>
      </w:r>
    </w:p>
    <w:p w14:paraId="3314391E" w14:textId="77777777" w:rsidR="00891A2A" w:rsidRDefault="00000000">
      <w:pPr>
        <w:pStyle w:val="ab"/>
        <w:spacing w:line="360" w:lineRule="auto"/>
        <w:ind w:firstLineChars="177" w:firstLine="425"/>
        <w:rPr>
          <w:rFonts w:ascii="Times New Roman"/>
          <w:bCs/>
          <w:kern w:val="2"/>
          <w:sz w:val="24"/>
          <w:szCs w:val="24"/>
        </w:rPr>
      </w:pPr>
      <w:r>
        <w:rPr>
          <w:rFonts w:ascii="Times New Roman" w:hint="eastAsia"/>
          <w:bCs/>
          <w:kern w:val="2"/>
          <w:sz w:val="24"/>
          <w:szCs w:val="24"/>
        </w:rPr>
        <w:t>3</w:t>
      </w:r>
      <w:r>
        <w:rPr>
          <w:rFonts w:ascii="Times New Roman" w:hint="eastAsia"/>
          <w:bCs/>
          <w:kern w:val="2"/>
          <w:sz w:val="24"/>
          <w:szCs w:val="24"/>
        </w:rPr>
        <w:t>、</w:t>
      </w:r>
      <w:r>
        <w:rPr>
          <w:rFonts w:ascii="Times New Roman" w:hint="eastAsia"/>
          <w:bCs/>
          <w:kern w:val="2"/>
          <w:sz w:val="24"/>
          <w:szCs w:val="24"/>
        </w:rPr>
        <w:t>2024</w:t>
      </w:r>
      <w:r>
        <w:rPr>
          <w:rFonts w:ascii="Times New Roman" w:hint="eastAsia"/>
          <w:bCs/>
          <w:kern w:val="2"/>
          <w:sz w:val="24"/>
          <w:szCs w:val="24"/>
        </w:rPr>
        <w:t>年</w:t>
      </w:r>
      <w:r>
        <w:rPr>
          <w:rFonts w:ascii="Times New Roman" w:hint="eastAsia"/>
          <w:bCs/>
          <w:kern w:val="2"/>
          <w:sz w:val="24"/>
          <w:szCs w:val="24"/>
        </w:rPr>
        <w:t>4</w:t>
      </w:r>
      <w:r>
        <w:rPr>
          <w:rFonts w:ascii="Times New Roman" w:hint="eastAsia"/>
          <w:bCs/>
          <w:kern w:val="2"/>
          <w:sz w:val="24"/>
          <w:szCs w:val="24"/>
        </w:rPr>
        <w:t>月：</w:t>
      </w:r>
      <w:r>
        <w:rPr>
          <w:rFonts w:ascii="Times New Roman"/>
          <w:bCs/>
          <w:kern w:val="2"/>
          <w:sz w:val="24"/>
          <w:szCs w:val="24"/>
        </w:rPr>
        <w:t>北京华夏草业产业技术创新战略联盟</w:t>
      </w:r>
      <w:r>
        <w:rPr>
          <w:rFonts w:ascii="Times New Roman" w:hint="eastAsia"/>
          <w:bCs/>
          <w:kern w:val="2"/>
          <w:sz w:val="24"/>
          <w:szCs w:val="24"/>
        </w:rPr>
        <w:t>组织进行了</w:t>
      </w:r>
      <w:r>
        <w:rPr>
          <w:rFonts w:ascii="Times New Roman"/>
          <w:bCs/>
          <w:kern w:val="2"/>
          <w:sz w:val="24"/>
          <w:szCs w:val="24"/>
        </w:rPr>
        <w:t>团体标准</w:t>
      </w:r>
      <w:r>
        <w:rPr>
          <w:rFonts w:ascii="Times New Roman" w:hint="eastAsia"/>
          <w:bCs/>
          <w:kern w:val="2"/>
          <w:sz w:val="24"/>
          <w:szCs w:val="24"/>
        </w:rPr>
        <w:t>建议</w:t>
      </w:r>
      <w:r>
        <w:rPr>
          <w:rFonts w:ascii="Times New Roman"/>
          <w:bCs/>
          <w:kern w:val="2"/>
          <w:sz w:val="24"/>
          <w:szCs w:val="24"/>
        </w:rPr>
        <w:t>评审</w:t>
      </w:r>
      <w:r>
        <w:rPr>
          <w:rFonts w:ascii="Times New Roman" w:hint="eastAsia"/>
          <w:bCs/>
          <w:kern w:val="2"/>
          <w:sz w:val="24"/>
          <w:szCs w:val="24"/>
        </w:rPr>
        <w:t>，并于</w:t>
      </w:r>
      <w:r>
        <w:rPr>
          <w:rFonts w:ascii="Times New Roman" w:hint="eastAsia"/>
          <w:bCs/>
          <w:kern w:val="2"/>
          <w:sz w:val="24"/>
          <w:szCs w:val="24"/>
        </w:rPr>
        <w:t>4</w:t>
      </w:r>
      <w:r>
        <w:rPr>
          <w:rFonts w:ascii="Times New Roman" w:hint="eastAsia"/>
          <w:bCs/>
          <w:kern w:val="2"/>
          <w:sz w:val="24"/>
          <w:szCs w:val="24"/>
        </w:rPr>
        <w:t>月</w:t>
      </w:r>
      <w:r>
        <w:rPr>
          <w:rFonts w:ascii="Times New Roman" w:hint="eastAsia"/>
          <w:bCs/>
          <w:kern w:val="2"/>
          <w:sz w:val="24"/>
          <w:szCs w:val="24"/>
        </w:rPr>
        <w:t>21</w:t>
      </w:r>
      <w:r>
        <w:rPr>
          <w:rFonts w:ascii="Times New Roman" w:hint="eastAsia"/>
          <w:bCs/>
          <w:kern w:val="2"/>
          <w:sz w:val="24"/>
          <w:szCs w:val="24"/>
        </w:rPr>
        <w:t>日获同意立项通知。</w:t>
      </w:r>
    </w:p>
    <w:p w14:paraId="29E00C9D" w14:textId="77777777" w:rsidR="00891A2A" w:rsidRDefault="00000000">
      <w:pPr>
        <w:pStyle w:val="ab"/>
        <w:spacing w:line="360" w:lineRule="auto"/>
        <w:ind w:firstLineChars="177" w:firstLine="425"/>
        <w:rPr>
          <w:rFonts w:ascii="Times New Roman"/>
          <w:bCs/>
          <w:kern w:val="2"/>
          <w:sz w:val="24"/>
          <w:szCs w:val="24"/>
        </w:rPr>
      </w:pPr>
      <w:r>
        <w:rPr>
          <w:rFonts w:ascii="Times New Roman" w:hint="eastAsia"/>
          <w:bCs/>
          <w:kern w:val="2"/>
          <w:sz w:val="24"/>
          <w:szCs w:val="24"/>
        </w:rPr>
        <w:t>4</w:t>
      </w:r>
      <w:r>
        <w:rPr>
          <w:rFonts w:ascii="Times New Roman" w:hint="eastAsia"/>
          <w:bCs/>
          <w:kern w:val="2"/>
          <w:sz w:val="24"/>
          <w:szCs w:val="24"/>
        </w:rPr>
        <w:t>、</w:t>
      </w:r>
      <w:r>
        <w:rPr>
          <w:rFonts w:ascii="Times New Roman" w:hint="eastAsia"/>
          <w:bCs/>
          <w:kern w:val="2"/>
          <w:sz w:val="24"/>
          <w:szCs w:val="24"/>
        </w:rPr>
        <w:t>2024</w:t>
      </w:r>
      <w:r>
        <w:rPr>
          <w:rFonts w:ascii="Times New Roman" w:hint="eastAsia"/>
          <w:bCs/>
          <w:kern w:val="2"/>
          <w:sz w:val="24"/>
          <w:szCs w:val="24"/>
        </w:rPr>
        <w:t>年</w:t>
      </w:r>
      <w:r>
        <w:rPr>
          <w:rFonts w:ascii="Times New Roman" w:hint="eastAsia"/>
          <w:bCs/>
          <w:kern w:val="2"/>
          <w:sz w:val="24"/>
          <w:szCs w:val="24"/>
        </w:rPr>
        <w:t>5</w:t>
      </w:r>
      <w:r>
        <w:rPr>
          <w:rFonts w:ascii="Times New Roman" w:hint="eastAsia"/>
          <w:bCs/>
          <w:kern w:val="2"/>
          <w:sz w:val="24"/>
          <w:szCs w:val="24"/>
        </w:rPr>
        <w:t>月</w:t>
      </w:r>
      <w:r>
        <w:rPr>
          <w:rFonts w:ascii="Times New Roman" w:hint="eastAsia"/>
          <w:bCs/>
          <w:kern w:val="2"/>
          <w:sz w:val="24"/>
          <w:szCs w:val="24"/>
        </w:rPr>
        <w:t>-6</w:t>
      </w:r>
      <w:r>
        <w:rPr>
          <w:rFonts w:ascii="Times New Roman" w:hint="eastAsia"/>
          <w:bCs/>
          <w:kern w:val="2"/>
          <w:sz w:val="24"/>
          <w:szCs w:val="24"/>
        </w:rPr>
        <w:t>月：标准编制组对项目组多年开展完成的黑龙江草甸草原割草地免耕补播技术试验数据进行系统分析整理，开始“黑龙江草甸草原割草地免耕补播技术规程”团体标准初稿的编制。</w:t>
      </w:r>
    </w:p>
    <w:p w14:paraId="1350BF46" w14:textId="77777777" w:rsidR="00891A2A" w:rsidRDefault="00000000">
      <w:pPr>
        <w:pStyle w:val="ab"/>
        <w:spacing w:line="360" w:lineRule="auto"/>
        <w:ind w:firstLineChars="177" w:firstLine="425"/>
        <w:rPr>
          <w:rFonts w:ascii="Times New Roman"/>
          <w:bCs/>
          <w:kern w:val="2"/>
          <w:sz w:val="24"/>
          <w:szCs w:val="24"/>
        </w:rPr>
      </w:pPr>
      <w:r>
        <w:rPr>
          <w:rFonts w:ascii="Times New Roman" w:hint="eastAsia"/>
          <w:bCs/>
          <w:kern w:val="2"/>
          <w:sz w:val="24"/>
          <w:szCs w:val="24"/>
        </w:rPr>
        <w:t>5</w:t>
      </w:r>
      <w:r>
        <w:rPr>
          <w:rFonts w:ascii="Times New Roman" w:hint="eastAsia"/>
          <w:bCs/>
          <w:kern w:val="2"/>
          <w:sz w:val="24"/>
          <w:szCs w:val="24"/>
        </w:rPr>
        <w:t>、</w:t>
      </w:r>
      <w:r>
        <w:rPr>
          <w:rFonts w:ascii="Times New Roman" w:hint="eastAsia"/>
          <w:bCs/>
          <w:kern w:val="2"/>
          <w:sz w:val="24"/>
          <w:szCs w:val="24"/>
        </w:rPr>
        <w:t>2024</w:t>
      </w:r>
      <w:r>
        <w:rPr>
          <w:rFonts w:ascii="Times New Roman" w:hint="eastAsia"/>
          <w:bCs/>
          <w:kern w:val="2"/>
          <w:sz w:val="24"/>
          <w:szCs w:val="24"/>
        </w:rPr>
        <w:t>年</w:t>
      </w:r>
      <w:r>
        <w:rPr>
          <w:rFonts w:ascii="Times New Roman" w:hint="eastAsia"/>
          <w:bCs/>
          <w:kern w:val="2"/>
          <w:sz w:val="24"/>
          <w:szCs w:val="24"/>
        </w:rPr>
        <w:t>7</w:t>
      </w:r>
      <w:r>
        <w:rPr>
          <w:rFonts w:ascii="Times New Roman" w:hint="eastAsia"/>
          <w:bCs/>
          <w:kern w:val="2"/>
          <w:sz w:val="24"/>
          <w:szCs w:val="24"/>
        </w:rPr>
        <w:t>月：标准编制组在总结了</w:t>
      </w:r>
      <w:r>
        <w:rPr>
          <w:rFonts w:hint="eastAsia"/>
          <w:bCs/>
          <w:sz w:val="24"/>
          <w:szCs w:val="24"/>
        </w:rPr>
        <w:t>种植</w:t>
      </w:r>
      <w:r>
        <w:rPr>
          <w:rFonts w:ascii="Times New Roman" w:hint="eastAsia"/>
          <w:bCs/>
          <w:kern w:val="2"/>
          <w:sz w:val="24"/>
          <w:szCs w:val="24"/>
        </w:rPr>
        <w:t>多年试验数据的基础上，结合收集整理、梳理归纳和总结分析相关割草地恢复技术方面的文献资料，完成了《黑龙江草甸草原割草地免耕补播技术规程》草案及编制说明的撰写，提交至</w:t>
      </w:r>
      <w:r>
        <w:rPr>
          <w:rFonts w:ascii="Times New Roman"/>
          <w:bCs/>
          <w:kern w:val="2"/>
          <w:sz w:val="24"/>
          <w:szCs w:val="24"/>
        </w:rPr>
        <w:t>北京华夏草业产业技术创新战略联盟</w:t>
      </w:r>
      <w:r>
        <w:rPr>
          <w:rFonts w:ascii="Times New Roman" w:hint="eastAsia"/>
          <w:bCs/>
          <w:kern w:val="2"/>
          <w:sz w:val="24"/>
          <w:szCs w:val="24"/>
        </w:rPr>
        <w:t>秘书处。</w:t>
      </w:r>
    </w:p>
    <w:p w14:paraId="1BC6AAE9" w14:textId="77777777" w:rsidR="00891A2A" w:rsidRDefault="00000000">
      <w:pPr>
        <w:pStyle w:val="ab"/>
        <w:spacing w:line="360" w:lineRule="auto"/>
        <w:ind w:firstLineChars="177" w:firstLine="425"/>
        <w:rPr>
          <w:rFonts w:ascii="Times New Roman"/>
          <w:bCs/>
          <w:kern w:val="2"/>
          <w:sz w:val="24"/>
          <w:szCs w:val="24"/>
        </w:rPr>
      </w:pPr>
      <w:r>
        <w:rPr>
          <w:rFonts w:ascii="Times New Roman" w:hint="eastAsia"/>
          <w:bCs/>
          <w:kern w:val="2"/>
          <w:sz w:val="24"/>
          <w:szCs w:val="24"/>
        </w:rPr>
        <w:t>6</w:t>
      </w:r>
      <w:r>
        <w:rPr>
          <w:rFonts w:ascii="Times New Roman" w:hint="eastAsia"/>
          <w:bCs/>
          <w:kern w:val="2"/>
          <w:sz w:val="24"/>
          <w:szCs w:val="24"/>
        </w:rPr>
        <w:t>、</w:t>
      </w:r>
      <w:r>
        <w:rPr>
          <w:rFonts w:ascii="Times New Roman" w:hint="eastAsia"/>
          <w:bCs/>
          <w:kern w:val="2"/>
          <w:sz w:val="24"/>
          <w:szCs w:val="24"/>
        </w:rPr>
        <w:t>2024</w:t>
      </w:r>
      <w:r>
        <w:rPr>
          <w:rFonts w:ascii="Times New Roman" w:hint="eastAsia"/>
          <w:bCs/>
          <w:kern w:val="2"/>
          <w:sz w:val="24"/>
          <w:szCs w:val="24"/>
        </w:rPr>
        <w:t>年</w:t>
      </w:r>
      <w:r>
        <w:rPr>
          <w:rFonts w:ascii="Times New Roman" w:hint="eastAsia"/>
          <w:bCs/>
          <w:kern w:val="2"/>
          <w:sz w:val="24"/>
          <w:szCs w:val="24"/>
        </w:rPr>
        <w:t>8</w:t>
      </w:r>
      <w:r>
        <w:rPr>
          <w:rFonts w:ascii="Times New Roman" w:hint="eastAsia"/>
          <w:bCs/>
          <w:kern w:val="2"/>
          <w:sz w:val="24"/>
          <w:szCs w:val="24"/>
        </w:rPr>
        <w:t>月</w:t>
      </w:r>
      <w:r>
        <w:rPr>
          <w:rFonts w:ascii="Times New Roman" w:hint="eastAsia"/>
          <w:bCs/>
          <w:kern w:val="2"/>
          <w:sz w:val="24"/>
          <w:szCs w:val="24"/>
        </w:rPr>
        <w:t>-9</w:t>
      </w:r>
      <w:r>
        <w:rPr>
          <w:rFonts w:ascii="Times New Roman" w:hint="eastAsia"/>
          <w:bCs/>
          <w:kern w:val="2"/>
          <w:sz w:val="24"/>
          <w:szCs w:val="24"/>
        </w:rPr>
        <w:t>月：根据征得的意见或建议，完善标准《送审稿》。</w:t>
      </w:r>
    </w:p>
    <w:p w14:paraId="2F977540" w14:textId="77777777" w:rsidR="00891A2A" w:rsidRDefault="00000000">
      <w:pPr>
        <w:pStyle w:val="ab"/>
        <w:spacing w:line="360" w:lineRule="auto"/>
        <w:ind w:firstLineChars="177" w:firstLine="425"/>
        <w:rPr>
          <w:rFonts w:ascii="Times New Roman"/>
          <w:bCs/>
          <w:color w:val="FF0000"/>
          <w:kern w:val="2"/>
          <w:sz w:val="24"/>
          <w:szCs w:val="24"/>
        </w:rPr>
      </w:pPr>
      <w:r>
        <w:rPr>
          <w:rFonts w:ascii="Times New Roman" w:hint="eastAsia"/>
          <w:bCs/>
          <w:kern w:val="2"/>
          <w:sz w:val="24"/>
          <w:szCs w:val="24"/>
        </w:rPr>
        <w:t>7</w:t>
      </w:r>
      <w:r>
        <w:rPr>
          <w:rFonts w:ascii="Times New Roman" w:hint="eastAsia"/>
          <w:bCs/>
          <w:kern w:val="2"/>
          <w:sz w:val="24"/>
          <w:szCs w:val="24"/>
        </w:rPr>
        <w:t>、</w:t>
      </w:r>
      <w:r>
        <w:rPr>
          <w:rFonts w:ascii="Times New Roman" w:hint="eastAsia"/>
          <w:bCs/>
          <w:kern w:val="2"/>
          <w:sz w:val="24"/>
          <w:szCs w:val="24"/>
        </w:rPr>
        <w:t>2024</w:t>
      </w:r>
      <w:r>
        <w:rPr>
          <w:rFonts w:ascii="Times New Roman" w:hint="eastAsia"/>
          <w:bCs/>
          <w:kern w:val="2"/>
          <w:sz w:val="24"/>
          <w:szCs w:val="24"/>
        </w:rPr>
        <w:t>年</w:t>
      </w:r>
      <w:r>
        <w:rPr>
          <w:rFonts w:ascii="Times New Roman" w:hint="eastAsia"/>
          <w:bCs/>
          <w:kern w:val="2"/>
          <w:sz w:val="24"/>
          <w:szCs w:val="24"/>
        </w:rPr>
        <w:t>10</w:t>
      </w:r>
      <w:r>
        <w:rPr>
          <w:rFonts w:ascii="Times New Roman" w:hint="eastAsia"/>
          <w:bCs/>
          <w:kern w:val="2"/>
          <w:sz w:val="24"/>
          <w:szCs w:val="24"/>
        </w:rPr>
        <w:t>月：形成《报批稿》及编制说明，提交北京华夏草业产业技术创新战略联盟，报批。</w:t>
      </w:r>
    </w:p>
    <w:p w14:paraId="6079F276" w14:textId="77777777" w:rsidR="00891A2A" w:rsidRDefault="00000000">
      <w:pPr>
        <w:pStyle w:val="aa"/>
        <w:numPr>
          <w:ilvl w:val="0"/>
          <w:numId w:val="1"/>
        </w:numPr>
        <w:spacing w:beforeLines="100" w:before="312" w:afterLines="100" w:after="312" w:line="420" w:lineRule="exact"/>
        <w:ind w:left="578" w:firstLineChars="0" w:hanging="578"/>
        <w:rPr>
          <w:b/>
          <w:color w:val="000000"/>
          <w:sz w:val="28"/>
          <w:szCs w:val="28"/>
        </w:rPr>
      </w:pPr>
      <w:r>
        <w:rPr>
          <w:b/>
          <w:color w:val="000000"/>
          <w:sz w:val="28"/>
          <w:szCs w:val="28"/>
        </w:rPr>
        <w:t>标准编制原则和主要技术内容确定的依据</w:t>
      </w:r>
    </w:p>
    <w:p w14:paraId="41578D62" w14:textId="77777777" w:rsidR="00891A2A" w:rsidRDefault="00000000">
      <w:pPr>
        <w:spacing w:line="360" w:lineRule="auto"/>
        <w:ind w:firstLineChars="200" w:firstLine="480"/>
        <w:rPr>
          <w:sz w:val="24"/>
        </w:rPr>
      </w:pPr>
      <w:r>
        <w:rPr>
          <w:rFonts w:hint="eastAsia"/>
          <w:sz w:val="24"/>
        </w:rPr>
        <w:t>1</w:t>
      </w:r>
      <w:r>
        <w:rPr>
          <w:rFonts w:hint="eastAsia"/>
          <w:sz w:val="24"/>
        </w:rPr>
        <w:t>、标准编制</w:t>
      </w:r>
      <w:r>
        <w:rPr>
          <w:sz w:val="24"/>
        </w:rPr>
        <w:t>原则</w:t>
      </w:r>
    </w:p>
    <w:p w14:paraId="56D7AD62" w14:textId="77777777" w:rsidR="00891A2A" w:rsidRDefault="00000000">
      <w:pPr>
        <w:spacing w:line="360" w:lineRule="auto"/>
        <w:ind w:firstLineChars="200" w:firstLine="480"/>
        <w:rPr>
          <w:sz w:val="24"/>
        </w:rPr>
      </w:pPr>
      <w:r>
        <w:rPr>
          <w:bCs/>
          <w:sz w:val="24"/>
          <w:szCs w:val="24"/>
        </w:rPr>
        <w:t>按照</w:t>
      </w:r>
      <w:r>
        <w:rPr>
          <w:bCs/>
          <w:sz w:val="24"/>
          <w:szCs w:val="24"/>
        </w:rPr>
        <w:t xml:space="preserve">GB/T 1.1-2009 </w:t>
      </w:r>
      <w:r>
        <w:rPr>
          <w:bCs/>
          <w:sz w:val="24"/>
          <w:szCs w:val="24"/>
        </w:rPr>
        <w:t>《标准化工作导则</w:t>
      </w:r>
      <w:r>
        <w:rPr>
          <w:rFonts w:hint="eastAsia"/>
          <w:bCs/>
          <w:sz w:val="24"/>
          <w:szCs w:val="24"/>
        </w:rPr>
        <w:t xml:space="preserve"> </w:t>
      </w:r>
      <w:r>
        <w:rPr>
          <w:bCs/>
          <w:sz w:val="24"/>
          <w:szCs w:val="24"/>
        </w:rPr>
        <w:t>第</w:t>
      </w:r>
      <w:r>
        <w:rPr>
          <w:bCs/>
          <w:sz w:val="24"/>
          <w:szCs w:val="24"/>
        </w:rPr>
        <w:t>1</w:t>
      </w:r>
      <w:r>
        <w:rPr>
          <w:bCs/>
          <w:sz w:val="24"/>
          <w:szCs w:val="24"/>
        </w:rPr>
        <w:t>部分：标准的结构和编写》的要求和规定编写本标准内容。</w:t>
      </w:r>
      <w:r>
        <w:rPr>
          <w:bCs/>
          <w:color w:val="000000"/>
          <w:sz w:val="24"/>
          <w:szCs w:val="24"/>
        </w:rPr>
        <w:t>本标准制定过程中，始终遵循密切联系生产实践，确保标准具有较强的科学性、可操作性，坚持促进行业规范发展的基本原则，</w:t>
      </w:r>
      <w:r>
        <w:rPr>
          <w:rFonts w:hint="eastAsia"/>
          <w:sz w:val="24"/>
        </w:rPr>
        <w:t>以科学性、实用性、先进性作为编制标准的指导思想，在文字结构上力求严谨、简洁、科学；在技术</w:t>
      </w:r>
      <w:r>
        <w:rPr>
          <w:sz w:val="24"/>
        </w:rPr>
        <w:t>内容</w:t>
      </w:r>
      <w:r>
        <w:rPr>
          <w:rFonts w:hint="eastAsia"/>
          <w:sz w:val="24"/>
        </w:rPr>
        <w:t>上力求涵盖黑龙江草甸草原割草地免耕补播技术的关键环节。</w:t>
      </w:r>
    </w:p>
    <w:p w14:paraId="2B237F11" w14:textId="77777777" w:rsidR="00891A2A" w:rsidRDefault="00000000">
      <w:pPr>
        <w:spacing w:line="360" w:lineRule="auto"/>
        <w:ind w:firstLineChars="200" w:firstLine="480"/>
        <w:rPr>
          <w:sz w:val="24"/>
        </w:rPr>
      </w:pPr>
      <w:r>
        <w:rPr>
          <w:sz w:val="24"/>
        </w:rPr>
        <w:t>制定</w:t>
      </w:r>
      <w:r>
        <w:rPr>
          <w:rFonts w:hint="eastAsia"/>
          <w:sz w:val="24"/>
        </w:rPr>
        <w:t>过程中除了认真总结多年来的试验研究结果外，还</w:t>
      </w:r>
      <w:r>
        <w:rPr>
          <w:sz w:val="24"/>
        </w:rPr>
        <w:t>参阅和汲取</w:t>
      </w:r>
      <w:r>
        <w:rPr>
          <w:rFonts w:hint="eastAsia"/>
          <w:sz w:val="24"/>
        </w:rPr>
        <w:t>了</w:t>
      </w:r>
      <w:r>
        <w:rPr>
          <w:sz w:val="24"/>
        </w:rPr>
        <w:t>国内相关标准的经验和条款</w:t>
      </w:r>
      <w:r>
        <w:rPr>
          <w:rFonts w:hint="eastAsia"/>
          <w:sz w:val="24"/>
        </w:rPr>
        <w:t>，符合</w:t>
      </w:r>
      <w:r>
        <w:rPr>
          <w:rFonts w:asciiTheme="minorHAnsi" w:eastAsiaTheme="minorEastAsia" w:hAnsiTheme="minorHAnsi" w:cs="宋体" w:hint="eastAsia"/>
          <w:bCs/>
          <w:sz w:val="24"/>
          <w:szCs w:val="24"/>
        </w:rPr>
        <w:t>黑龙江草甸草原割草地免耕补播</w:t>
      </w:r>
      <w:r>
        <w:rPr>
          <w:rFonts w:hint="eastAsia"/>
          <w:sz w:val="24"/>
        </w:rPr>
        <w:t>的生产实际，达到</w:t>
      </w:r>
      <w:r>
        <w:rPr>
          <w:sz w:val="24"/>
        </w:rPr>
        <w:t>内容全面、技术含量高、操作性强</w:t>
      </w:r>
      <w:r>
        <w:rPr>
          <w:rFonts w:hint="eastAsia"/>
          <w:sz w:val="24"/>
        </w:rPr>
        <w:t>的要求。</w:t>
      </w:r>
      <w:r>
        <w:rPr>
          <w:bCs/>
          <w:color w:val="000000"/>
          <w:sz w:val="24"/>
          <w:szCs w:val="24"/>
        </w:rPr>
        <w:t>该标准与现行法律法规无冲突，并保证了对</w:t>
      </w:r>
      <w:r>
        <w:rPr>
          <w:bCs/>
          <w:sz w:val="24"/>
          <w:szCs w:val="24"/>
        </w:rPr>
        <w:t>该</w:t>
      </w:r>
      <w:r>
        <w:rPr>
          <w:bCs/>
          <w:color w:val="000000"/>
          <w:sz w:val="24"/>
          <w:szCs w:val="24"/>
        </w:rPr>
        <w:t>标准最新版本的引用。</w:t>
      </w:r>
    </w:p>
    <w:p w14:paraId="0BCE6953" w14:textId="77777777" w:rsidR="00891A2A" w:rsidRDefault="00000000">
      <w:pPr>
        <w:spacing w:line="360" w:lineRule="auto"/>
        <w:ind w:firstLineChars="200" w:firstLine="480"/>
        <w:rPr>
          <w:sz w:val="24"/>
        </w:rPr>
      </w:pPr>
      <w:r>
        <w:rPr>
          <w:rFonts w:hint="eastAsia"/>
          <w:sz w:val="24"/>
        </w:rPr>
        <w:t>2</w:t>
      </w:r>
      <w:r>
        <w:rPr>
          <w:rFonts w:hint="eastAsia"/>
          <w:sz w:val="24"/>
        </w:rPr>
        <w:t>、主要技术内容确定的</w:t>
      </w:r>
      <w:r>
        <w:rPr>
          <w:sz w:val="24"/>
        </w:rPr>
        <w:t>论据</w:t>
      </w:r>
    </w:p>
    <w:p w14:paraId="08AB46D5" w14:textId="77777777" w:rsidR="00891A2A" w:rsidRDefault="00000000">
      <w:pPr>
        <w:spacing w:line="360" w:lineRule="auto"/>
        <w:ind w:firstLineChars="200" w:firstLine="480"/>
        <w:jc w:val="left"/>
        <w:rPr>
          <w:sz w:val="24"/>
        </w:rPr>
      </w:pPr>
      <w:r>
        <w:rPr>
          <w:rFonts w:hint="eastAsia"/>
          <w:sz w:val="24"/>
        </w:rPr>
        <w:t>（</w:t>
      </w:r>
      <w:r>
        <w:rPr>
          <w:rFonts w:hint="eastAsia"/>
          <w:sz w:val="24"/>
        </w:rPr>
        <w:t>1</w:t>
      </w:r>
      <w:r>
        <w:rPr>
          <w:rFonts w:hint="eastAsia"/>
          <w:sz w:val="24"/>
        </w:rPr>
        <w:t>）适用范围</w:t>
      </w:r>
    </w:p>
    <w:p w14:paraId="2DC91D44" w14:textId="77777777" w:rsidR="00891A2A"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本标准主要是基于在黑龙江省进行的多年大田试验结果所制定的。本文件规定了黑龙江草甸草原割草地免耕补播的术语与定义</w:t>
      </w:r>
      <w:r>
        <w:rPr>
          <w:rFonts w:hAnsi="宋体" w:hint="eastAsia"/>
        </w:rPr>
        <w:t>，</w:t>
      </w:r>
      <w:r>
        <w:rPr>
          <w:rFonts w:ascii="宋体" w:hAnsi="宋体" w:cs="宋体" w:hint="eastAsia"/>
          <w:sz w:val="24"/>
          <w:szCs w:val="24"/>
        </w:rPr>
        <w:t>选地、草种选择的原则、栽培管理、田间管理、病虫害防治、生产档案等具体操作要求。</w:t>
      </w:r>
    </w:p>
    <w:p w14:paraId="177482E9" w14:textId="77777777" w:rsidR="00891A2A"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本文件适用于黑龙江草甸草原割草地免耕补播实际生产。</w:t>
      </w:r>
    </w:p>
    <w:p w14:paraId="6BCEE9E0" w14:textId="77777777" w:rsidR="00891A2A" w:rsidRDefault="00000000">
      <w:pPr>
        <w:spacing w:line="360" w:lineRule="auto"/>
        <w:ind w:firstLineChars="200" w:firstLine="480"/>
        <w:jc w:val="left"/>
        <w:rPr>
          <w:sz w:val="24"/>
        </w:rPr>
      </w:pPr>
      <w:r>
        <w:rPr>
          <w:rFonts w:hint="eastAsia"/>
          <w:sz w:val="24"/>
        </w:rPr>
        <w:t>（</w:t>
      </w:r>
      <w:r>
        <w:rPr>
          <w:rFonts w:hint="eastAsia"/>
          <w:sz w:val="24"/>
        </w:rPr>
        <w:t>2</w:t>
      </w:r>
      <w:r>
        <w:rPr>
          <w:rFonts w:hint="eastAsia"/>
          <w:sz w:val="24"/>
        </w:rPr>
        <w:t>）规范性引用文件</w:t>
      </w:r>
    </w:p>
    <w:p w14:paraId="7BEF3048" w14:textId="77777777" w:rsidR="00891A2A"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本标准制定时，参照了GB 6141豆科草种子质量分级、GB 6142禾本科草种子质量分级、</w:t>
      </w:r>
      <w:r>
        <w:rPr>
          <w:rFonts w:ascii="宋体" w:hAnsi="宋体" w:cs="宋体" w:hint="eastAsia"/>
          <w:kern w:val="0"/>
          <w:sz w:val="24"/>
          <w:szCs w:val="24"/>
        </w:rPr>
        <w:t>GB 5084 农田灌溉水质标准、GB 8321农药合理使用准则、NY/T 496 肥料合理使用准则通则。</w:t>
      </w:r>
    </w:p>
    <w:p w14:paraId="221C2861" w14:textId="77777777" w:rsidR="00891A2A" w:rsidRDefault="00000000">
      <w:pPr>
        <w:spacing w:line="360" w:lineRule="auto"/>
        <w:ind w:firstLineChars="200" w:firstLine="480"/>
        <w:jc w:val="left"/>
        <w:rPr>
          <w:sz w:val="24"/>
        </w:rPr>
      </w:pPr>
      <w:r>
        <w:rPr>
          <w:rFonts w:hint="eastAsia"/>
          <w:sz w:val="24"/>
        </w:rPr>
        <w:t>（</w:t>
      </w:r>
      <w:r>
        <w:rPr>
          <w:rFonts w:hint="eastAsia"/>
          <w:sz w:val="24"/>
        </w:rPr>
        <w:t>3</w:t>
      </w:r>
      <w:r>
        <w:rPr>
          <w:rFonts w:hint="eastAsia"/>
          <w:sz w:val="24"/>
        </w:rPr>
        <w:t>）术语与定义</w:t>
      </w:r>
    </w:p>
    <w:p w14:paraId="2D45CC35" w14:textId="77777777" w:rsidR="00891A2A" w:rsidRDefault="00000000">
      <w:pPr>
        <w:spacing w:line="360" w:lineRule="auto"/>
        <w:ind w:firstLineChars="200" w:firstLine="480"/>
        <w:jc w:val="left"/>
        <w:rPr>
          <w:sz w:val="24"/>
        </w:rPr>
      </w:pPr>
      <w:r>
        <w:rPr>
          <w:rFonts w:hint="eastAsia"/>
          <w:sz w:val="24"/>
        </w:rPr>
        <w:t>本标准中出现的术语和定义依据国内外相关文献资料，包括著作、专著、已发表的论文、各级标准等。同时结合标准起草组研究应用实践经验，最后经参编人员讨论确定了本标准的术语为“割草地”、“免耕补播”，并给出相应定义。</w:t>
      </w:r>
    </w:p>
    <w:p w14:paraId="69B7E538" w14:textId="77777777" w:rsidR="00891A2A" w:rsidRDefault="00000000">
      <w:pPr>
        <w:spacing w:line="360" w:lineRule="auto"/>
        <w:ind w:firstLineChars="200" w:firstLine="480"/>
        <w:jc w:val="left"/>
        <w:rPr>
          <w:sz w:val="24"/>
        </w:rPr>
      </w:pPr>
      <w:r>
        <w:rPr>
          <w:rFonts w:hint="eastAsia"/>
          <w:sz w:val="24"/>
        </w:rPr>
        <w:t>（</w:t>
      </w:r>
      <w:r>
        <w:rPr>
          <w:rFonts w:hint="eastAsia"/>
          <w:sz w:val="24"/>
        </w:rPr>
        <w:t>4</w:t>
      </w:r>
      <w:r>
        <w:rPr>
          <w:rFonts w:hint="eastAsia"/>
          <w:sz w:val="24"/>
        </w:rPr>
        <w:t>）主要技术指标确定的依据</w:t>
      </w:r>
    </w:p>
    <w:p w14:paraId="4EE178A0" w14:textId="77777777" w:rsidR="00891A2A" w:rsidRDefault="00000000">
      <w:pPr>
        <w:spacing w:line="360" w:lineRule="auto"/>
        <w:ind w:firstLineChars="200" w:firstLine="480"/>
        <w:jc w:val="left"/>
        <w:rPr>
          <w:sz w:val="24"/>
        </w:rPr>
      </w:pPr>
      <w:r>
        <w:rPr>
          <w:rFonts w:hint="eastAsia"/>
          <w:sz w:val="24"/>
        </w:rPr>
        <w:t>本技术规程主要起草单位黑龙江省农业科学院草业研究所十三五期间开展割草地免耕补播技术研究，先后承担了国家科研项目及省级项目，参考的文献资料主要有：</w:t>
      </w:r>
    </w:p>
    <w:p w14:paraId="3ADD5F74" w14:textId="77777777" w:rsidR="00891A2A" w:rsidRDefault="00000000">
      <w:pPr>
        <w:numPr>
          <w:ilvl w:val="0"/>
          <w:numId w:val="2"/>
        </w:numPr>
        <w:spacing w:line="360" w:lineRule="auto"/>
        <w:ind w:firstLineChars="200" w:firstLine="480"/>
        <w:jc w:val="left"/>
        <w:rPr>
          <w:sz w:val="24"/>
        </w:rPr>
      </w:pPr>
      <w:r>
        <w:rPr>
          <w:rFonts w:hint="eastAsia"/>
          <w:sz w:val="24"/>
        </w:rPr>
        <w:t>陈翔</w:t>
      </w:r>
      <w:r>
        <w:rPr>
          <w:rFonts w:hint="eastAsia"/>
          <w:sz w:val="24"/>
        </w:rPr>
        <w:t>.</w:t>
      </w:r>
      <w:r>
        <w:rPr>
          <w:rFonts w:hint="eastAsia"/>
          <w:sz w:val="24"/>
        </w:rPr>
        <w:t>草甸草原割草地植物群落和土壤</w:t>
      </w:r>
      <w:proofErr w:type="gramStart"/>
      <w:r>
        <w:rPr>
          <w:rFonts w:hint="eastAsia"/>
          <w:sz w:val="24"/>
        </w:rPr>
        <w:t>特征对氮添加</w:t>
      </w:r>
      <w:proofErr w:type="gramEnd"/>
      <w:r>
        <w:rPr>
          <w:rFonts w:hint="eastAsia"/>
          <w:sz w:val="24"/>
        </w:rPr>
        <w:t>的响应</w:t>
      </w:r>
      <w:r>
        <w:rPr>
          <w:rFonts w:hint="eastAsia"/>
          <w:sz w:val="24"/>
        </w:rPr>
        <w:t>[D].</w:t>
      </w:r>
      <w:r>
        <w:rPr>
          <w:rFonts w:hint="eastAsia"/>
          <w:sz w:val="24"/>
        </w:rPr>
        <w:t>内蒙古农业大学</w:t>
      </w:r>
      <w:r>
        <w:rPr>
          <w:rFonts w:hint="eastAsia"/>
          <w:sz w:val="24"/>
        </w:rPr>
        <w:t>,2024.</w:t>
      </w:r>
      <w:proofErr w:type="gramStart"/>
      <w:r>
        <w:rPr>
          <w:rFonts w:hint="eastAsia"/>
          <w:sz w:val="24"/>
        </w:rPr>
        <w:t>DOI:10.27229/d.cnki.gnmnu</w:t>
      </w:r>
      <w:proofErr w:type="gramEnd"/>
      <w:r>
        <w:rPr>
          <w:rFonts w:hint="eastAsia"/>
          <w:sz w:val="24"/>
        </w:rPr>
        <w:t>.2024.000084.</w:t>
      </w:r>
    </w:p>
    <w:p w14:paraId="59A3AA00" w14:textId="77777777" w:rsidR="00891A2A" w:rsidRDefault="00000000">
      <w:pPr>
        <w:numPr>
          <w:ilvl w:val="0"/>
          <w:numId w:val="2"/>
        </w:numPr>
        <w:spacing w:line="360" w:lineRule="auto"/>
        <w:ind w:firstLineChars="200" w:firstLine="480"/>
        <w:jc w:val="left"/>
        <w:rPr>
          <w:sz w:val="24"/>
        </w:rPr>
      </w:pPr>
      <w:r>
        <w:rPr>
          <w:rFonts w:hint="eastAsia"/>
          <w:sz w:val="24"/>
        </w:rPr>
        <w:t>索美娟</w:t>
      </w:r>
      <w:r>
        <w:rPr>
          <w:rFonts w:hint="eastAsia"/>
          <w:sz w:val="24"/>
        </w:rPr>
        <w:t>.</w:t>
      </w:r>
      <w:r>
        <w:rPr>
          <w:rFonts w:hint="eastAsia"/>
          <w:sz w:val="24"/>
        </w:rPr>
        <w:t>不同梯度氮磷组合添加对内蒙古羊草割草地群落的影响</w:t>
      </w:r>
      <w:r>
        <w:rPr>
          <w:rFonts w:hint="eastAsia"/>
          <w:sz w:val="24"/>
        </w:rPr>
        <w:t>[D].</w:t>
      </w:r>
      <w:r>
        <w:rPr>
          <w:rFonts w:hint="eastAsia"/>
          <w:sz w:val="24"/>
        </w:rPr>
        <w:t>内蒙古大学</w:t>
      </w:r>
      <w:r>
        <w:rPr>
          <w:rFonts w:hint="eastAsia"/>
          <w:sz w:val="24"/>
        </w:rPr>
        <w:t>,2023.</w:t>
      </w:r>
      <w:proofErr w:type="gramStart"/>
      <w:r>
        <w:rPr>
          <w:rFonts w:hint="eastAsia"/>
          <w:sz w:val="24"/>
        </w:rPr>
        <w:t>DOI:10.27224/d.cnki.gnmdu</w:t>
      </w:r>
      <w:proofErr w:type="gramEnd"/>
      <w:r>
        <w:rPr>
          <w:rFonts w:hint="eastAsia"/>
          <w:sz w:val="24"/>
        </w:rPr>
        <w:t>.2023.001736.</w:t>
      </w:r>
    </w:p>
    <w:p w14:paraId="76BD9910" w14:textId="77777777" w:rsidR="00891A2A" w:rsidRDefault="00000000">
      <w:pPr>
        <w:numPr>
          <w:ilvl w:val="0"/>
          <w:numId w:val="2"/>
        </w:numPr>
        <w:spacing w:line="360" w:lineRule="auto"/>
        <w:ind w:firstLineChars="200" w:firstLine="480"/>
        <w:jc w:val="left"/>
        <w:rPr>
          <w:sz w:val="24"/>
        </w:rPr>
      </w:pPr>
      <w:r>
        <w:rPr>
          <w:rFonts w:hint="eastAsia"/>
          <w:sz w:val="24"/>
        </w:rPr>
        <w:t>杨天成</w:t>
      </w:r>
      <w:r>
        <w:rPr>
          <w:rFonts w:hint="eastAsia"/>
          <w:sz w:val="24"/>
        </w:rPr>
        <w:t>,</w:t>
      </w:r>
      <w:proofErr w:type="gramStart"/>
      <w:r>
        <w:rPr>
          <w:rFonts w:hint="eastAsia"/>
          <w:sz w:val="24"/>
        </w:rPr>
        <w:t>李晓佳</w:t>
      </w:r>
      <w:proofErr w:type="gramEnd"/>
      <w:r>
        <w:rPr>
          <w:rFonts w:hint="eastAsia"/>
          <w:sz w:val="24"/>
        </w:rPr>
        <w:t>.</w:t>
      </w:r>
      <w:r>
        <w:rPr>
          <w:rFonts w:hint="eastAsia"/>
          <w:sz w:val="24"/>
        </w:rPr>
        <w:t>不同草地利用方式对内蒙古典型草原群落特征及草地健康的影响</w:t>
      </w:r>
      <w:r>
        <w:rPr>
          <w:rFonts w:hint="eastAsia"/>
          <w:sz w:val="24"/>
        </w:rPr>
        <w:t>[J].</w:t>
      </w:r>
      <w:r>
        <w:rPr>
          <w:rFonts w:hint="eastAsia"/>
          <w:sz w:val="24"/>
        </w:rPr>
        <w:t>草业科学</w:t>
      </w:r>
      <w:r>
        <w:rPr>
          <w:rFonts w:hint="eastAsia"/>
          <w:sz w:val="24"/>
        </w:rPr>
        <w:t>,2022,39(05):841-849.</w:t>
      </w:r>
    </w:p>
    <w:p w14:paraId="62A5FD90" w14:textId="77777777" w:rsidR="00891A2A" w:rsidRDefault="00000000">
      <w:pPr>
        <w:numPr>
          <w:ilvl w:val="0"/>
          <w:numId w:val="2"/>
        </w:numPr>
        <w:spacing w:line="360" w:lineRule="auto"/>
        <w:ind w:firstLineChars="200" w:firstLine="480"/>
        <w:jc w:val="left"/>
        <w:rPr>
          <w:sz w:val="24"/>
        </w:rPr>
      </w:pPr>
      <w:r>
        <w:rPr>
          <w:rFonts w:hint="eastAsia"/>
          <w:sz w:val="24"/>
        </w:rPr>
        <w:t>白玉</w:t>
      </w:r>
      <w:proofErr w:type="gramStart"/>
      <w:r>
        <w:rPr>
          <w:rFonts w:hint="eastAsia"/>
          <w:sz w:val="24"/>
        </w:rPr>
        <w:t>婷</w:t>
      </w:r>
      <w:proofErr w:type="gramEnd"/>
      <w:r>
        <w:rPr>
          <w:rFonts w:hint="eastAsia"/>
          <w:sz w:val="24"/>
        </w:rPr>
        <w:t>,</w:t>
      </w:r>
      <w:proofErr w:type="gramStart"/>
      <w:r>
        <w:rPr>
          <w:rFonts w:hint="eastAsia"/>
          <w:sz w:val="24"/>
        </w:rPr>
        <w:t>代景忠</w:t>
      </w:r>
      <w:proofErr w:type="gramEnd"/>
      <w:r>
        <w:rPr>
          <w:rFonts w:hint="eastAsia"/>
          <w:sz w:val="24"/>
        </w:rPr>
        <w:t>,</w:t>
      </w:r>
      <w:r>
        <w:rPr>
          <w:rFonts w:hint="eastAsia"/>
          <w:sz w:val="24"/>
        </w:rPr>
        <w:t>夏江宝</w:t>
      </w:r>
      <w:r>
        <w:rPr>
          <w:rFonts w:hint="eastAsia"/>
          <w:sz w:val="24"/>
        </w:rPr>
        <w:t>,</w:t>
      </w:r>
      <w:r>
        <w:rPr>
          <w:rFonts w:hint="eastAsia"/>
          <w:sz w:val="24"/>
        </w:rPr>
        <w:t>等</w:t>
      </w:r>
      <w:r>
        <w:rPr>
          <w:rFonts w:hint="eastAsia"/>
          <w:sz w:val="24"/>
        </w:rPr>
        <w:t>.</w:t>
      </w:r>
      <w:r>
        <w:rPr>
          <w:rFonts w:hint="eastAsia"/>
          <w:sz w:val="24"/>
        </w:rPr>
        <w:t>施肥对割草地羊草功能性状和化学计量学的影响</w:t>
      </w:r>
      <w:r>
        <w:rPr>
          <w:rFonts w:hint="eastAsia"/>
          <w:sz w:val="24"/>
        </w:rPr>
        <w:t>[J].</w:t>
      </w:r>
      <w:r>
        <w:rPr>
          <w:rFonts w:hint="eastAsia"/>
          <w:sz w:val="24"/>
        </w:rPr>
        <w:t>草地学报</w:t>
      </w:r>
      <w:r>
        <w:rPr>
          <w:rFonts w:hint="eastAsia"/>
          <w:sz w:val="24"/>
        </w:rPr>
        <w:t>,2021,29(11):2442-2453.</w:t>
      </w:r>
    </w:p>
    <w:p w14:paraId="14FD55CE" w14:textId="77777777" w:rsidR="00891A2A" w:rsidRDefault="00000000">
      <w:pPr>
        <w:numPr>
          <w:ilvl w:val="0"/>
          <w:numId w:val="2"/>
        </w:numPr>
        <w:spacing w:line="360" w:lineRule="auto"/>
        <w:ind w:firstLineChars="200" w:firstLine="480"/>
        <w:jc w:val="left"/>
        <w:rPr>
          <w:sz w:val="24"/>
        </w:rPr>
      </w:pPr>
      <w:r>
        <w:rPr>
          <w:rFonts w:hint="eastAsia"/>
          <w:sz w:val="24"/>
        </w:rPr>
        <w:t>吕世杰</w:t>
      </w:r>
      <w:r>
        <w:rPr>
          <w:rFonts w:hint="eastAsia"/>
          <w:sz w:val="24"/>
        </w:rPr>
        <w:t>,</w:t>
      </w:r>
      <w:r>
        <w:rPr>
          <w:rFonts w:hint="eastAsia"/>
          <w:sz w:val="24"/>
        </w:rPr>
        <w:t>白玉</w:t>
      </w:r>
      <w:proofErr w:type="gramStart"/>
      <w:r>
        <w:rPr>
          <w:rFonts w:hint="eastAsia"/>
          <w:sz w:val="24"/>
        </w:rPr>
        <w:t>婷</w:t>
      </w:r>
      <w:proofErr w:type="gramEnd"/>
      <w:r>
        <w:rPr>
          <w:rFonts w:hint="eastAsia"/>
          <w:sz w:val="24"/>
        </w:rPr>
        <w:t>,</w:t>
      </w:r>
      <w:r>
        <w:rPr>
          <w:rFonts w:hint="eastAsia"/>
          <w:sz w:val="24"/>
        </w:rPr>
        <w:t>卫智军</w:t>
      </w:r>
      <w:r>
        <w:rPr>
          <w:rFonts w:hint="eastAsia"/>
          <w:sz w:val="24"/>
        </w:rPr>
        <w:t>,</w:t>
      </w:r>
      <w:r>
        <w:rPr>
          <w:rFonts w:hint="eastAsia"/>
          <w:sz w:val="24"/>
        </w:rPr>
        <w:t>等</w:t>
      </w:r>
      <w:r>
        <w:rPr>
          <w:rFonts w:hint="eastAsia"/>
          <w:sz w:val="24"/>
        </w:rPr>
        <w:t>.</w:t>
      </w:r>
      <w:r>
        <w:rPr>
          <w:rFonts w:hint="eastAsia"/>
          <w:sz w:val="24"/>
        </w:rPr>
        <w:t>基于建群种羊草动态变化的打草场植被恢复研究</w:t>
      </w:r>
      <w:r>
        <w:rPr>
          <w:rFonts w:hint="eastAsia"/>
          <w:sz w:val="24"/>
        </w:rPr>
        <w:t>[J].</w:t>
      </w:r>
      <w:r>
        <w:rPr>
          <w:rFonts w:hint="eastAsia"/>
          <w:sz w:val="24"/>
        </w:rPr>
        <w:t>干旱区资源与环境</w:t>
      </w:r>
      <w:r>
        <w:rPr>
          <w:rFonts w:hint="eastAsia"/>
          <w:sz w:val="24"/>
        </w:rPr>
        <w:t>,2021,35(07):163-170.</w:t>
      </w:r>
    </w:p>
    <w:p w14:paraId="55D1872B" w14:textId="77777777" w:rsidR="00891A2A" w:rsidRDefault="00000000">
      <w:pPr>
        <w:numPr>
          <w:ilvl w:val="0"/>
          <w:numId w:val="2"/>
        </w:numPr>
        <w:spacing w:line="360" w:lineRule="auto"/>
        <w:ind w:firstLineChars="200" w:firstLine="480"/>
        <w:jc w:val="left"/>
        <w:rPr>
          <w:sz w:val="24"/>
        </w:rPr>
      </w:pPr>
      <w:r>
        <w:rPr>
          <w:rFonts w:hint="eastAsia"/>
          <w:sz w:val="24"/>
        </w:rPr>
        <w:t>周忠义</w:t>
      </w:r>
      <w:r>
        <w:rPr>
          <w:rFonts w:hint="eastAsia"/>
          <w:sz w:val="24"/>
        </w:rPr>
        <w:t>,</w:t>
      </w:r>
      <w:r>
        <w:rPr>
          <w:rFonts w:hint="eastAsia"/>
          <w:sz w:val="24"/>
        </w:rPr>
        <w:t>卫媛</w:t>
      </w:r>
      <w:r>
        <w:rPr>
          <w:rFonts w:hint="eastAsia"/>
          <w:sz w:val="24"/>
        </w:rPr>
        <w:t>,</w:t>
      </w:r>
      <w:r>
        <w:rPr>
          <w:rFonts w:hint="eastAsia"/>
          <w:sz w:val="24"/>
        </w:rPr>
        <w:t>白玉</w:t>
      </w:r>
      <w:proofErr w:type="gramStart"/>
      <w:r>
        <w:rPr>
          <w:rFonts w:hint="eastAsia"/>
          <w:sz w:val="24"/>
        </w:rPr>
        <w:t>婷</w:t>
      </w:r>
      <w:proofErr w:type="gramEnd"/>
      <w:r>
        <w:rPr>
          <w:rFonts w:hint="eastAsia"/>
          <w:sz w:val="24"/>
        </w:rPr>
        <w:t>,</w:t>
      </w:r>
      <w:r>
        <w:rPr>
          <w:rFonts w:hint="eastAsia"/>
          <w:sz w:val="24"/>
        </w:rPr>
        <w:t>等</w:t>
      </w:r>
      <w:r>
        <w:rPr>
          <w:rFonts w:hint="eastAsia"/>
          <w:sz w:val="24"/>
        </w:rPr>
        <w:t>.</w:t>
      </w:r>
      <w:r>
        <w:rPr>
          <w:rFonts w:hint="eastAsia"/>
          <w:sz w:val="24"/>
        </w:rPr>
        <w:t>呼伦贝尔市羊草割草地刈割技术对牧草产量及品质的影响</w:t>
      </w:r>
      <w:r>
        <w:rPr>
          <w:rFonts w:hint="eastAsia"/>
          <w:sz w:val="24"/>
        </w:rPr>
        <w:t>[J].</w:t>
      </w:r>
      <w:r>
        <w:rPr>
          <w:rFonts w:hint="eastAsia"/>
          <w:sz w:val="24"/>
        </w:rPr>
        <w:t>畜牧与饲料科学</w:t>
      </w:r>
      <w:r>
        <w:rPr>
          <w:rFonts w:hint="eastAsia"/>
          <w:sz w:val="24"/>
        </w:rPr>
        <w:t>,2021,42(02):97-102.</w:t>
      </w:r>
    </w:p>
    <w:p w14:paraId="623B5376" w14:textId="77777777" w:rsidR="00891A2A" w:rsidRDefault="00000000">
      <w:pPr>
        <w:numPr>
          <w:ilvl w:val="0"/>
          <w:numId w:val="2"/>
        </w:numPr>
        <w:spacing w:line="360" w:lineRule="auto"/>
        <w:ind w:firstLineChars="200" w:firstLine="480"/>
        <w:jc w:val="left"/>
        <w:rPr>
          <w:sz w:val="24"/>
        </w:rPr>
      </w:pPr>
      <w:r>
        <w:rPr>
          <w:rFonts w:hint="eastAsia"/>
          <w:sz w:val="24"/>
        </w:rPr>
        <w:t>白玉</w:t>
      </w:r>
      <w:proofErr w:type="gramStart"/>
      <w:r>
        <w:rPr>
          <w:rFonts w:hint="eastAsia"/>
          <w:sz w:val="24"/>
        </w:rPr>
        <w:t>婷</w:t>
      </w:r>
      <w:proofErr w:type="gramEnd"/>
      <w:r>
        <w:rPr>
          <w:rFonts w:hint="eastAsia"/>
          <w:sz w:val="24"/>
        </w:rPr>
        <w:t>.</w:t>
      </w:r>
      <w:r>
        <w:rPr>
          <w:rFonts w:hint="eastAsia"/>
          <w:sz w:val="24"/>
        </w:rPr>
        <w:t>不同改良措施对羊草割草地植物群落和土壤特征的影响</w:t>
      </w:r>
      <w:r>
        <w:rPr>
          <w:rFonts w:hint="eastAsia"/>
          <w:sz w:val="24"/>
        </w:rPr>
        <w:t>[D].</w:t>
      </w:r>
      <w:r>
        <w:rPr>
          <w:rFonts w:hint="eastAsia"/>
          <w:sz w:val="24"/>
        </w:rPr>
        <w:t>内蒙古农业大学</w:t>
      </w:r>
      <w:r>
        <w:rPr>
          <w:rFonts w:hint="eastAsia"/>
          <w:sz w:val="24"/>
        </w:rPr>
        <w:t>,2020.</w:t>
      </w:r>
      <w:proofErr w:type="gramStart"/>
      <w:r>
        <w:rPr>
          <w:rFonts w:hint="eastAsia"/>
          <w:sz w:val="24"/>
        </w:rPr>
        <w:t>DOI:10.27229/d.cnki.gnmnu</w:t>
      </w:r>
      <w:proofErr w:type="gramEnd"/>
      <w:r>
        <w:rPr>
          <w:rFonts w:hint="eastAsia"/>
          <w:sz w:val="24"/>
        </w:rPr>
        <w:t>.2020.000993.</w:t>
      </w:r>
    </w:p>
    <w:p w14:paraId="18FDC3B7" w14:textId="77777777" w:rsidR="00891A2A" w:rsidRDefault="00000000">
      <w:pPr>
        <w:numPr>
          <w:ilvl w:val="0"/>
          <w:numId w:val="2"/>
        </w:numPr>
        <w:spacing w:line="360" w:lineRule="auto"/>
        <w:ind w:firstLineChars="200" w:firstLine="480"/>
        <w:jc w:val="left"/>
        <w:rPr>
          <w:sz w:val="24"/>
        </w:rPr>
      </w:pPr>
      <w:r>
        <w:rPr>
          <w:rFonts w:hint="eastAsia"/>
          <w:sz w:val="24"/>
        </w:rPr>
        <w:t>白玉</w:t>
      </w:r>
      <w:proofErr w:type="gramStart"/>
      <w:r>
        <w:rPr>
          <w:rFonts w:hint="eastAsia"/>
          <w:sz w:val="24"/>
        </w:rPr>
        <w:t>婷</w:t>
      </w:r>
      <w:proofErr w:type="gramEnd"/>
      <w:r>
        <w:rPr>
          <w:rFonts w:hint="eastAsia"/>
          <w:sz w:val="24"/>
        </w:rPr>
        <w:t>,</w:t>
      </w:r>
      <w:r>
        <w:rPr>
          <w:rFonts w:hint="eastAsia"/>
          <w:sz w:val="24"/>
        </w:rPr>
        <w:t>卫智军</w:t>
      </w:r>
      <w:r>
        <w:rPr>
          <w:rFonts w:hint="eastAsia"/>
          <w:sz w:val="24"/>
        </w:rPr>
        <w:t>,</w:t>
      </w:r>
      <w:r>
        <w:rPr>
          <w:rFonts w:hint="eastAsia"/>
          <w:sz w:val="24"/>
        </w:rPr>
        <w:t>闫瑞瑞</w:t>
      </w:r>
      <w:r>
        <w:rPr>
          <w:rFonts w:hint="eastAsia"/>
          <w:sz w:val="24"/>
        </w:rPr>
        <w:t>,</w:t>
      </w:r>
      <w:r>
        <w:rPr>
          <w:rFonts w:hint="eastAsia"/>
          <w:sz w:val="24"/>
        </w:rPr>
        <w:t>等</w:t>
      </w:r>
      <w:r>
        <w:rPr>
          <w:rFonts w:hint="eastAsia"/>
          <w:sz w:val="24"/>
        </w:rPr>
        <w:t>.</w:t>
      </w:r>
      <w:r>
        <w:rPr>
          <w:rFonts w:hint="eastAsia"/>
          <w:sz w:val="24"/>
        </w:rPr>
        <w:t>施肥对羊草割草地牧草产量及品质的影响</w:t>
      </w:r>
      <w:r>
        <w:rPr>
          <w:rFonts w:hint="eastAsia"/>
          <w:sz w:val="24"/>
        </w:rPr>
        <w:t>[J].</w:t>
      </w:r>
      <w:r>
        <w:rPr>
          <w:rFonts w:hint="eastAsia"/>
          <w:sz w:val="24"/>
        </w:rPr>
        <w:t>中国草地学报</w:t>
      </w:r>
      <w:r>
        <w:rPr>
          <w:rFonts w:hint="eastAsia"/>
          <w:sz w:val="24"/>
        </w:rPr>
        <w:t>,2017,39(04):60-66.</w:t>
      </w:r>
    </w:p>
    <w:p w14:paraId="5A4A01E5" w14:textId="77777777" w:rsidR="00891A2A" w:rsidRDefault="00000000">
      <w:pPr>
        <w:numPr>
          <w:ilvl w:val="0"/>
          <w:numId w:val="2"/>
        </w:numPr>
        <w:spacing w:line="360" w:lineRule="auto"/>
        <w:ind w:firstLineChars="200" w:firstLine="480"/>
        <w:jc w:val="left"/>
        <w:rPr>
          <w:sz w:val="24"/>
        </w:rPr>
      </w:pPr>
      <w:r>
        <w:rPr>
          <w:rFonts w:hint="eastAsia"/>
          <w:sz w:val="24"/>
        </w:rPr>
        <w:t>郭雅婧</w:t>
      </w:r>
      <w:r>
        <w:rPr>
          <w:rFonts w:hint="eastAsia"/>
          <w:sz w:val="24"/>
        </w:rPr>
        <w:t>,</w:t>
      </w:r>
      <w:r>
        <w:rPr>
          <w:rFonts w:hint="eastAsia"/>
          <w:sz w:val="24"/>
        </w:rPr>
        <w:t>薛冉</w:t>
      </w:r>
      <w:r>
        <w:rPr>
          <w:rFonts w:hint="eastAsia"/>
          <w:sz w:val="24"/>
        </w:rPr>
        <w:t>,</w:t>
      </w:r>
      <w:r>
        <w:rPr>
          <w:rFonts w:hint="eastAsia"/>
          <w:sz w:val="24"/>
        </w:rPr>
        <w:t>王先之</w:t>
      </w:r>
      <w:r>
        <w:rPr>
          <w:rFonts w:hint="eastAsia"/>
          <w:sz w:val="24"/>
        </w:rPr>
        <w:t>,</w:t>
      </w:r>
      <w:r>
        <w:rPr>
          <w:rFonts w:hint="eastAsia"/>
          <w:sz w:val="24"/>
        </w:rPr>
        <w:t>等</w:t>
      </w:r>
      <w:r>
        <w:rPr>
          <w:rFonts w:hint="eastAsia"/>
          <w:sz w:val="24"/>
        </w:rPr>
        <w:t>.</w:t>
      </w:r>
      <w:r>
        <w:rPr>
          <w:rFonts w:hint="eastAsia"/>
          <w:sz w:val="24"/>
        </w:rPr>
        <w:t>青藏高原围封刈割草地植物群落及土壤养分对施肥的响应</w:t>
      </w:r>
      <w:r>
        <w:rPr>
          <w:rFonts w:hint="eastAsia"/>
          <w:sz w:val="24"/>
        </w:rPr>
        <w:t>[J].</w:t>
      </w:r>
      <w:r>
        <w:rPr>
          <w:rFonts w:hint="eastAsia"/>
          <w:sz w:val="24"/>
        </w:rPr>
        <w:t>西南民族大学学报</w:t>
      </w:r>
      <w:r>
        <w:rPr>
          <w:rFonts w:hint="eastAsia"/>
          <w:sz w:val="24"/>
        </w:rPr>
        <w:t>(</w:t>
      </w:r>
      <w:r>
        <w:rPr>
          <w:rFonts w:hint="eastAsia"/>
          <w:sz w:val="24"/>
        </w:rPr>
        <w:t>自然科学版</w:t>
      </w:r>
      <w:r>
        <w:rPr>
          <w:rFonts w:hint="eastAsia"/>
          <w:sz w:val="24"/>
        </w:rPr>
        <w:t>),2016,42(04):383-392.</w:t>
      </w:r>
    </w:p>
    <w:p w14:paraId="643793CB" w14:textId="77777777" w:rsidR="00891A2A" w:rsidRDefault="00000000">
      <w:pPr>
        <w:spacing w:line="360" w:lineRule="auto"/>
        <w:ind w:firstLineChars="200" w:firstLine="480"/>
        <w:jc w:val="left"/>
        <w:rPr>
          <w:sz w:val="24"/>
        </w:rPr>
      </w:pPr>
      <w:r>
        <w:rPr>
          <w:rFonts w:hint="eastAsia"/>
          <w:sz w:val="24"/>
        </w:rPr>
        <w:t>[10]</w:t>
      </w:r>
      <w:r>
        <w:rPr>
          <w:rFonts w:hint="eastAsia"/>
          <w:sz w:val="24"/>
        </w:rPr>
        <w:t>崔健</w:t>
      </w:r>
      <w:r>
        <w:rPr>
          <w:rFonts w:hint="eastAsia"/>
          <w:sz w:val="24"/>
        </w:rPr>
        <w:t>.</w:t>
      </w:r>
      <w:r>
        <w:rPr>
          <w:rFonts w:hint="eastAsia"/>
          <w:sz w:val="24"/>
        </w:rPr>
        <w:t>松嫩平原割草地与放牧地围封后的物种多样性与生产力关系</w:t>
      </w:r>
      <w:r>
        <w:rPr>
          <w:rFonts w:hint="eastAsia"/>
          <w:sz w:val="24"/>
        </w:rPr>
        <w:t>[D].</w:t>
      </w:r>
      <w:r>
        <w:rPr>
          <w:rFonts w:hint="eastAsia"/>
          <w:sz w:val="24"/>
        </w:rPr>
        <w:t>东北师范大学</w:t>
      </w:r>
      <w:r>
        <w:rPr>
          <w:rFonts w:hint="eastAsia"/>
          <w:sz w:val="24"/>
        </w:rPr>
        <w:t>,2011.</w:t>
      </w:r>
    </w:p>
    <w:p w14:paraId="432DB846" w14:textId="77777777" w:rsidR="00891A2A" w:rsidRDefault="00000000">
      <w:pPr>
        <w:spacing w:line="360" w:lineRule="auto"/>
        <w:jc w:val="left"/>
        <w:rPr>
          <w:sz w:val="24"/>
        </w:rPr>
      </w:pPr>
      <w:r>
        <w:rPr>
          <w:rFonts w:hint="eastAsia"/>
          <w:color w:val="0000FF"/>
          <w:sz w:val="24"/>
        </w:rPr>
        <w:t xml:space="preserve"> </w:t>
      </w:r>
      <w:r>
        <w:rPr>
          <w:rFonts w:hint="eastAsia"/>
          <w:sz w:val="24"/>
        </w:rPr>
        <w:t>参考地方标准：</w:t>
      </w:r>
    </w:p>
    <w:p w14:paraId="4C0333FD" w14:textId="77777777" w:rsidR="00891A2A" w:rsidRDefault="00000000">
      <w:pPr>
        <w:widowControl/>
        <w:spacing w:line="360" w:lineRule="auto"/>
        <w:ind w:leftChars="114" w:left="409" w:hangingChars="71" w:hanging="170"/>
        <w:jc w:val="left"/>
      </w:pPr>
      <w:r>
        <w:rPr>
          <w:sz w:val="24"/>
          <w:szCs w:val="24"/>
        </w:rPr>
        <w:t>1.</w:t>
      </w:r>
      <w:r>
        <w:rPr>
          <w:rStyle w:val="a7"/>
          <w:rFonts w:ascii="Arial" w:hAnsi="Arial" w:cs="Arial" w:hint="eastAsia"/>
          <w:b w:val="0"/>
          <w:shd w:val="clear" w:color="auto" w:fill="FFFFFF"/>
        </w:rPr>
        <w:t>1.</w:t>
      </w:r>
      <w:r>
        <w:rPr>
          <w:rStyle w:val="a7"/>
          <w:rFonts w:ascii="Arial" w:hAnsi="Arial" w:cs="Arial"/>
          <w:b w:val="0"/>
          <w:shd w:val="clear" w:color="auto" w:fill="FFFFFF"/>
        </w:rPr>
        <w:t>DB51/T 2078-2015</w:t>
      </w:r>
      <w:r>
        <w:rPr>
          <w:rStyle w:val="a7"/>
          <w:rFonts w:ascii="Arial" w:hAnsi="Arial" w:cs="Arial"/>
          <w:b w:val="0"/>
          <w:shd w:val="clear" w:color="auto" w:fill="FFFFFF"/>
        </w:rPr>
        <w:t>《川西北牧区免耕种草技术规程》</w:t>
      </w:r>
    </w:p>
    <w:p w14:paraId="31EE5398" w14:textId="77777777" w:rsidR="00891A2A" w:rsidRDefault="00000000">
      <w:pPr>
        <w:widowControl/>
        <w:spacing w:line="360" w:lineRule="auto"/>
        <w:ind w:leftChars="114" w:left="409" w:hangingChars="71" w:hanging="170"/>
        <w:jc w:val="left"/>
      </w:pPr>
      <w:r>
        <w:rPr>
          <w:sz w:val="24"/>
          <w:szCs w:val="24"/>
        </w:rPr>
        <w:t>2.</w:t>
      </w:r>
      <w:r>
        <w:rPr>
          <w:rStyle w:val="a7"/>
          <w:rFonts w:ascii="Arial" w:hAnsi="Arial" w:cs="Arial"/>
          <w:b w:val="0"/>
          <w:shd w:val="clear" w:color="auto" w:fill="FFFFFF"/>
        </w:rPr>
        <w:t>DB5133/T 78—2024</w:t>
      </w:r>
      <w:r>
        <w:rPr>
          <w:rStyle w:val="a7"/>
          <w:rFonts w:ascii="Arial" w:hAnsi="Arial" w:cs="Arial"/>
          <w:b w:val="0"/>
          <w:shd w:val="clear" w:color="auto" w:fill="FFFFFF"/>
        </w:rPr>
        <w:t>《天然牧草地免耕补播技术规程》</w:t>
      </w:r>
    </w:p>
    <w:p w14:paraId="1F09AA2A" w14:textId="77777777" w:rsidR="00891A2A" w:rsidRDefault="00000000">
      <w:pPr>
        <w:snapToGrid w:val="0"/>
        <w:spacing w:line="360" w:lineRule="auto"/>
        <w:ind w:firstLineChars="200" w:firstLine="480"/>
        <w:rPr>
          <w:sz w:val="24"/>
          <w:szCs w:val="24"/>
        </w:rPr>
      </w:pPr>
      <w:r>
        <w:rPr>
          <w:rFonts w:hint="eastAsia"/>
          <w:sz w:val="24"/>
          <w:szCs w:val="24"/>
        </w:rPr>
        <w:t>编写组成员自十三五期间，在黑龙江省、吉林省内进行草甸草原割草地免耕补播技术相关研究，系统研究了割草地免耕补播模式地上生物量、</w:t>
      </w:r>
      <w:r>
        <w:rPr>
          <w:sz w:val="24"/>
        </w:rPr>
        <w:t>物种多样性指数</w:t>
      </w:r>
      <w:r>
        <w:rPr>
          <w:rFonts w:hint="eastAsia"/>
          <w:sz w:val="24"/>
        </w:rPr>
        <w:t>、</w:t>
      </w:r>
      <w:r>
        <w:rPr>
          <w:sz w:val="24"/>
        </w:rPr>
        <w:t>土壤理化性质</w:t>
      </w:r>
      <w:r>
        <w:rPr>
          <w:rFonts w:hint="eastAsia"/>
          <w:sz w:val="24"/>
        </w:rPr>
        <w:t>、</w:t>
      </w:r>
      <w:r>
        <w:rPr>
          <w:sz w:val="24"/>
        </w:rPr>
        <w:t>草品质和土壤紧实度</w:t>
      </w:r>
      <w:r>
        <w:rPr>
          <w:rFonts w:hint="eastAsia"/>
          <w:sz w:val="24"/>
          <w:szCs w:val="24"/>
        </w:rPr>
        <w:t>等，基于以上充分的试验数据，制定了本技术规程，本标准的技术内容遵循了科学性和实用性的原则，以相关研究为基础，整合国内外相关文献及标准，提出了主要黑龙江草甸草原割草地免耕补播技术规程的相关指标。</w:t>
      </w:r>
    </w:p>
    <w:p w14:paraId="50D1CCB9" w14:textId="77777777" w:rsidR="00891A2A" w:rsidRDefault="00000000">
      <w:pPr>
        <w:numPr>
          <w:ilvl w:val="0"/>
          <w:numId w:val="3"/>
        </w:numPr>
        <w:spacing w:line="360" w:lineRule="auto"/>
        <w:ind w:firstLineChars="200" w:firstLine="482"/>
        <w:rPr>
          <w:b/>
          <w:bCs/>
          <w:sz w:val="24"/>
          <w:szCs w:val="24"/>
        </w:rPr>
      </w:pPr>
      <w:r>
        <w:rPr>
          <w:rFonts w:hint="eastAsia"/>
          <w:b/>
          <w:bCs/>
          <w:sz w:val="24"/>
          <w:szCs w:val="24"/>
        </w:rPr>
        <w:t>相关研究成果</w:t>
      </w:r>
    </w:p>
    <w:p w14:paraId="1BA7A947" w14:textId="77777777" w:rsidR="00891A2A" w:rsidRDefault="00000000">
      <w:pPr>
        <w:spacing w:line="360" w:lineRule="auto"/>
        <w:ind w:firstLineChars="200" w:firstLine="480"/>
        <w:rPr>
          <w:sz w:val="24"/>
          <w:szCs w:val="24"/>
        </w:rPr>
      </w:pPr>
      <w:r>
        <w:rPr>
          <w:sz w:val="24"/>
          <w:szCs w:val="24"/>
        </w:rPr>
        <w:t>通过技术实施前后地上生物量调查分析发现，</w:t>
      </w:r>
      <w:r>
        <w:rPr>
          <w:sz w:val="24"/>
          <w:szCs w:val="24"/>
        </w:rPr>
        <w:t>L1</w:t>
      </w:r>
      <w:r>
        <w:rPr>
          <w:sz w:val="24"/>
          <w:szCs w:val="24"/>
        </w:rPr>
        <w:t>、</w:t>
      </w:r>
      <w:r>
        <w:rPr>
          <w:sz w:val="24"/>
          <w:szCs w:val="24"/>
        </w:rPr>
        <w:t>L2</w:t>
      </w:r>
      <w:r>
        <w:rPr>
          <w:sz w:val="24"/>
          <w:szCs w:val="24"/>
        </w:rPr>
        <w:t>处理均会显著提高植物地上生物量，其中</w:t>
      </w:r>
      <w:r>
        <w:rPr>
          <w:sz w:val="24"/>
          <w:szCs w:val="24"/>
        </w:rPr>
        <w:t>L2</w:t>
      </w:r>
      <w:r>
        <w:rPr>
          <w:sz w:val="24"/>
          <w:szCs w:val="24"/>
        </w:rPr>
        <w:t>处理显著提高地上生物量</w:t>
      </w:r>
      <w:r>
        <w:rPr>
          <w:sz w:val="24"/>
          <w:szCs w:val="24"/>
        </w:rPr>
        <w:t>55.67 %</w:t>
      </w:r>
      <w:r>
        <w:rPr>
          <w:sz w:val="24"/>
          <w:szCs w:val="24"/>
        </w:rPr>
        <w:t>，达到</w:t>
      </w:r>
      <w:r>
        <w:rPr>
          <w:sz w:val="24"/>
          <w:szCs w:val="24"/>
        </w:rPr>
        <w:t>343.94 kg/</w:t>
      </w:r>
      <w:r>
        <w:rPr>
          <w:sz w:val="24"/>
          <w:szCs w:val="24"/>
        </w:rPr>
        <w:t>亩，产量最高。</w:t>
      </w:r>
    </w:p>
    <w:p w14:paraId="0A15DAFE" w14:textId="77777777" w:rsidR="00891A2A" w:rsidRDefault="00000000">
      <w:pPr>
        <w:jc w:val="center"/>
        <w:rPr>
          <w:b/>
          <w:sz w:val="28"/>
          <w:szCs w:val="28"/>
        </w:rPr>
      </w:pPr>
      <w:r>
        <w:t xml:space="preserve"> </w:t>
      </w:r>
      <w:r>
        <w:rPr>
          <w:noProof/>
        </w:rPr>
        <w:drawing>
          <wp:inline distT="0" distB="0" distL="0" distR="0" wp14:anchorId="77D3D8F3" wp14:editId="1536D0CD">
            <wp:extent cx="3760470" cy="2555875"/>
            <wp:effectExtent l="0" t="0" r="11430" b="15875"/>
            <wp:docPr id="1906736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36153" name="图片 1"/>
                    <pic:cNvPicPr>
                      <a:picLocks noChangeAspect="1"/>
                    </pic:cNvPicPr>
                  </pic:nvPicPr>
                  <pic:blipFill>
                    <a:blip r:embed="rId7"/>
                    <a:stretch>
                      <a:fillRect/>
                    </a:stretch>
                  </pic:blipFill>
                  <pic:spPr>
                    <a:xfrm>
                      <a:off x="0" y="0"/>
                      <a:ext cx="3760470" cy="2555875"/>
                    </a:xfrm>
                    <a:prstGeom prst="rect">
                      <a:avLst/>
                    </a:prstGeom>
                  </pic:spPr>
                </pic:pic>
              </a:graphicData>
            </a:graphic>
          </wp:inline>
        </w:drawing>
      </w:r>
    </w:p>
    <w:p w14:paraId="037EFFB8" w14:textId="77777777" w:rsidR="00891A2A" w:rsidRDefault="00000000">
      <w:pPr>
        <w:jc w:val="center"/>
        <w:rPr>
          <w:sz w:val="18"/>
          <w:szCs w:val="18"/>
        </w:rPr>
      </w:pPr>
      <w:r>
        <w:rPr>
          <w:sz w:val="18"/>
          <w:szCs w:val="18"/>
        </w:rPr>
        <w:t>图</w:t>
      </w:r>
      <w:r>
        <w:rPr>
          <w:sz w:val="18"/>
          <w:szCs w:val="18"/>
        </w:rPr>
        <w:t xml:space="preserve">1 </w:t>
      </w:r>
      <w:r>
        <w:rPr>
          <w:sz w:val="18"/>
          <w:szCs w:val="18"/>
        </w:rPr>
        <w:t>改良效果</w:t>
      </w:r>
    </w:p>
    <w:p w14:paraId="3A24E739" w14:textId="77777777" w:rsidR="00891A2A" w:rsidRDefault="00000000">
      <w:pPr>
        <w:jc w:val="center"/>
        <w:rPr>
          <w:sz w:val="18"/>
          <w:szCs w:val="18"/>
        </w:rPr>
      </w:pPr>
      <w:r>
        <w:rPr>
          <w:rFonts w:hint="eastAsia"/>
          <w:sz w:val="18"/>
          <w:szCs w:val="18"/>
        </w:rPr>
        <w:t>（备注：</w:t>
      </w:r>
      <w:r>
        <w:rPr>
          <w:rFonts w:hint="eastAsia"/>
          <w:sz w:val="18"/>
          <w:szCs w:val="18"/>
        </w:rPr>
        <w:t>L1</w:t>
      </w:r>
      <w:r>
        <w:rPr>
          <w:rFonts w:hint="eastAsia"/>
          <w:sz w:val="18"/>
          <w:szCs w:val="18"/>
        </w:rPr>
        <w:t>、</w:t>
      </w:r>
      <w:r>
        <w:rPr>
          <w:rFonts w:hint="eastAsia"/>
          <w:sz w:val="18"/>
          <w:szCs w:val="18"/>
        </w:rPr>
        <w:t>L2</w:t>
      </w:r>
      <w:r>
        <w:rPr>
          <w:rFonts w:hint="eastAsia"/>
          <w:sz w:val="18"/>
          <w:szCs w:val="18"/>
        </w:rPr>
        <w:t>不同补播草种子）</w:t>
      </w:r>
    </w:p>
    <w:p w14:paraId="34C74415" w14:textId="77777777" w:rsidR="00891A2A" w:rsidRDefault="00000000">
      <w:pPr>
        <w:jc w:val="center"/>
        <w:rPr>
          <w:sz w:val="18"/>
          <w:szCs w:val="18"/>
        </w:rPr>
      </w:pPr>
      <w:r>
        <w:rPr>
          <w:sz w:val="18"/>
          <w:szCs w:val="18"/>
        </w:rPr>
        <w:t>表</w:t>
      </w:r>
      <w:r>
        <w:rPr>
          <w:rFonts w:hint="eastAsia"/>
          <w:sz w:val="18"/>
          <w:szCs w:val="18"/>
        </w:rPr>
        <w:t>2</w:t>
      </w:r>
      <w:r>
        <w:rPr>
          <w:sz w:val="18"/>
          <w:szCs w:val="18"/>
        </w:rPr>
        <w:t>不同处理植物功能群组成</w:t>
      </w:r>
    </w:p>
    <w:tbl>
      <w:tblPr>
        <w:tblStyle w:val="a6"/>
        <w:tblW w:w="4998" w:type="pct"/>
        <w:tblLook w:val="04A0" w:firstRow="1" w:lastRow="0" w:firstColumn="1" w:lastColumn="0" w:noHBand="0" w:noVBand="1"/>
      </w:tblPr>
      <w:tblGrid>
        <w:gridCol w:w="839"/>
        <w:gridCol w:w="838"/>
        <w:gridCol w:w="2368"/>
        <w:gridCol w:w="2237"/>
        <w:gridCol w:w="2237"/>
      </w:tblGrid>
      <w:tr w:rsidR="00891A2A" w14:paraId="1840B54A" w14:textId="77777777">
        <w:trPr>
          <w:trHeight w:val="170"/>
        </w:trPr>
        <w:tc>
          <w:tcPr>
            <w:tcW w:w="492" w:type="pct"/>
            <w:tcBorders>
              <w:left w:val="nil"/>
              <w:right w:val="nil"/>
            </w:tcBorders>
            <w:vAlign w:val="center"/>
          </w:tcPr>
          <w:p w14:paraId="5B8BB351" w14:textId="77777777" w:rsidR="00891A2A" w:rsidRDefault="00000000">
            <w:pPr>
              <w:jc w:val="center"/>
              <w:rPr>
                <w:kern w:val="0"/>
                <w:sz w:val="18"/>
                <w:szCs w:val="18"/>
              </w:rPr>
            </w:pPr>
            <w:r>
              <w:rPr>
                <w:kern w:val="0"/>
                <w:sz w:val="18"/>
                <w:szCs w:val="18"/>
              </w:rPr>
              <w:t>地点</w:t>
            </w:r>
          </w:p>
        </w:tc>
        <w:tc>
          <w:tcPr>
            <w:tcW w:w="492" w:type="pct"/>
            <w:tcBorders>
              <w:left w:val="nil"/>
              <w:right w:val="nil"/>
            </w:tcBorders>
            <w:vAlign w:val="center"/>
          </w:tcPr>
          <w:p w14:paraId="196B1487" w14:textId="77777777" w:rsidR="00891A2A" w:rsidRDefault="00000000">
            <w:pPr>
              <w:jc w:val="center"/>
              <w:rPr>
                <w:kern w:val="0"/>
                <w:sz w:val="18"/>
                <w:szCs w:val="18"/>
              </w:rPr>
            </w:pPr>
            <w:r>
              <w:rPr>
                <w:kern w:val="0"/>
                <w:sz w:val="18"/>
                <w:szCs w:val="18"/>
              </w:rPr>
              <w:t>处理</w:t>
            </w:r>
          </w:p>
        </w:tc>
        <w:tc>
          <w:tcPr>
            <w:tcW w:w="1389" w:type="pct"/>
            <w:tcBorders>
              <w:left w:val="nil"/>
              <w:right w:val="nil"/>
            </w:tcBorders>
            <w:vAlign w:val="center"/>
          </w:tcPr>
          <w:p w14:paraId="3BFF3A50" w14:textId="77777777" w:rsidR="00891A2A" w:rsidRDefault="00000000">
            <w:pPr>
              <w:jc w:val="center"/>
              <w:rPr>
                <w:kern w:val="0"/>
                <w:sz w:val="18"/>
                <w:szCs w:val="18"/>
              </w:rPr>
            </w:pPr>
            <w:r>
              <w:rPr>
                <w:kern w:val="0"/>
                <w:sz w:val="18"/>
                <w:szCs w:val="18"/>
              </w:rPr>
              <w:t>禾本科</w:t>
            </w:r>
          </w:p>
        </w:tc>
        <w:tc>
          <w:tcPr>
            <w:tcW w:w="1312" w:type="pct"/>
            <w:tcBorders>
              <w:left w:val="nil"/>
              <w:right w:val="nil"/>
            </w:tcBorders>
            <w:vAlign w:val="center"/>
          </w:tcPr>
          <w:p w14:paraId="496CDC8A" w14:textId="77777777" w:rsidR="00891A2A" w:rsidRDefault="00000000">
            <w:pPr>
              <w:jc w:val="center"/>
              <w:rPr>
                <w:kern w:val="0"/>
                <w:sz w:val="18"/>
                <w:szCs w:val="18"/>
              </w:rPr>
            </w:pPr>
            <w:r>
              <w:rPr>
                <w:kern w:val="0"/>
                <w:sz w:val="18"/>
                <w:szCs w:val="18"/>
              </w:rPr>
              <w:t>豆科</w:t>
            </w:r>
          </w:p>
        </w:tc>
        <w:tc>
          <w:tcPr>
            <w:tcW w:w="1312" w:type="pct"/>
            <w:tcBorders>
              <w:left w:val="nil"/>
              <w:right w:val="nil"/>
            </w:tcBorders>
            <w:vAlign w:val="center"/>
          </w:tcPr>
          <w:p w14:paraId="70556CED" w14:textId="77777777" w:rsidR="00891A2A" w:rsidRDefault="00000000">
            <w:pPr>
              <w:jc w:val="center"/>
              <w:rPr>
                <w:kern w:val="0"/>
                <w:sz w:val="18"/>
                <w:szCs w:val="18"/>
              </w:rPr>
            </w:pPr>
            <w:r>
              <w:rPr>
                <w:kern w:val="0"/>
                <w:sz w:val="18"/>
                <w:szCs w:val="18"/>
              </w:rPr>
              <w:t>杂类草</w:t>
            </w:r>
          </w:p>
        </w:tc>
      </w:tr>
      <w:tr w:rsidR="00891A2A" w14:paraId="3D7B090F" w14:textId="77777777">
        <w:trPr>
          <w:trHeight w:val="170"/>
        </w:trPr>
        <w:tc>
          <w:tcPr>
            <w:tcW w:w="492" w:type="pct"/>
            <w:vMerge w:val="restart"/>
            <w:tcBorders>
              <w:left w:val="nil"/>
              <w:bottom w:val="nil"/>
              <w:right w:val="nil"/>
            </w:tcBorders>
            <w:vAlign w:val="center"/>
          </w:tcPr>
          <w:p w14:paraId="05778EA9" w14:textId="77777777" w:rsidR="00891A2A" w:rsidRDefault="00000000">
            <w:pPr>
              <w:jc w:val="center"/>
              <w:rPr>
                <w:kern w:val="0"/>
                <w:sz w:val="18"/>
                <w:szCs w:val="18"/>
              </w:rPr>
            </w:pPr>
            <w:r>
              <w:rPr>
                <w:kern w:val="0"/>
                <w:sz w:val="18"/>
                <w:szCs w:val="18"/>
              </w:rPr>
              <w:t>兰西</w:t>
            </w:r>
          </w:p>
        </w:tc>
        <w:tc>
          <w:tcPr>
            <w:tcW w:w="492" w:type="pct"/>
            <w:tcBorders>
              <w:left w:val="nil"/>
              <w:bottom w:val="nil"/>
              <w:right w:val="nil"/>
            </w:tcBorders>
            <w:vAlign w:val="center"/>
          </w:tcPr>
          <w:p w14:paraId="56A89467" w14:textId="77777777" w:rsidR="00891A2A" w:rsidRDefault="00000000">
            <w:pPr>
              <w:jc w:val="center"/>
              <w:rPr>
                <w:kern w:val="0"/>
                <w:sz w:val="18"/>
                <w:szCs w:val="18"/>
              </w:rPr>
            </w:pPr>
            <w:r>
              <w:rPr>
                <w:kern w:val="0"/>
                <w:sz w:val="18"/>
                <w:szCs w:val="18"/>
              </w:rPr>
              <w:t>CK</w:t>
            </w:r>
          </w:p>
        </w:tc>
        <w:tc>
          <w:tcPr>
            <w:tcW w:w="1389" w:type="pct"/>
            <w:tcBorders>
              <w:left w:val="nil"/>
              <w:bottom w:val="nil"/>
              <w:right w:val="nil"/>
            </w:tcBorders>
            <w:vAlign w:val="center"/>
          </w:tcPr>
          <w:p w14:paraId="1C52174D" w14:textId="77777777" w:rsidR="00891A2A" w:rsidRDefault="00000000">
            <w:pPr>
              <w:jc w:val="center"/>
              <w:rPr>
                <w:kern w:val="0"/>
                <w:sz w:val="18"/>
                <w:szCs w:val="18"/>
              </w:rPr>
            </w:pPr>
            <w:r>
              <w:rPr>
                <w:kern w:val="0"/>
                <w:sz w:val="18"/>
                <w:szCs w:val="18"/>
              </w:rPr>
              <w:t>214.32</w:t>
            </w:r>
            <w:r>
              <w:rPr>
                <w:kern w:val="0"/>
                <w:sz w:val="18"/>
                <w:szCs w:val="18"/>
              </w:rPr>
              <w:t>（</w:t>
            </w:r>
            <w:r>
              <w:rPr>
                <w:kern w:val="0"/>
                <w:sz w:val="18"/>
                <w:szCs w:val="18"/>
              </w:rPr>
              <w:t>80.84%</w:t>
            </w:r>
            <w:r>
              <w:rPr>
                <w:kern w:val="0"/>
                <w:sz w:val="18"/>
                <w:szCs w:val="18"/>
              </w:rPr>
              <w:t>）</w:t>
            </w:r>
          </w:p>
        </w:tc>
        <w:tc>
          <w:tcPr>
            <w:tcW w:w="1312" w:type="pct"/>
            <w:tcBorders>
              <w:left w:val="nil"/>
              <w:bottom w:val="nil"/>
              <w:right w:val="nil"/>
            </w:tcBorders>
            <w:vAlign w:val="center"/>
          </w:tcPr>
          <w:p w14:paraId="14549D52" w14:textId="77777777" w:rsidR="00891A2A" w:rsidRDefault="00000000">
            <w:pPr>
              <w:jc w:val="center"/>
              <w:rPr>
                <w:kern w:val="0"/>
                <w:sz w:val="18"/>
                <w:szCs w:val="18"/>
              </w:rPr>
            </w:pPr>
            <w:r>
              <w:rPr>
                <w:kern w:val="0"/>
                <w:sz w:val="18"/>
                <w:szCs w:val="18"/>
              </w:rPr>
              <w:t>0</w:t>
            </w:r>
            <w:r>
              <w:rPr>
                <w:kern w:val="0"/>
                <w:sz w:val="18"/>
                <w:szCs w:val="18"/>
              </w:rPr>
              <w:t>（</w:t>
            </w:r>
            <w:r>
              <w:rPr>
                <w:kern w:val="0"/>
                <w:sz w:val="18"/>
                <w:szCs w:val="18"/>
              </w:rPr>
              <w:t>0%</w:t>
            </w:r>
            <w:r>
              <w:rPr>
                <w:kern w:val="0"/>
                <w:sz w:val="18"/>
                <w:szCs w:val="18"/>
              </w:rPr>
              <w:t>）</w:t>
            </w:r>
          </w:p>
        </w:tc>
        <w:tc>
          <w:tcPr>
            <w:tcW w:w="1312" w:type="pct"/>
            <w:tcBorders>
              <w:left w:val="nil"/>
              <w:bottom w:val="nil"/>
              <w:right w:val="nil"/>
            </w:tcBorders>
            <w:vAlign w:val="center"/>
          </w:tcPr>
          <w:p w14:paraId="0D241D0C" w14:textId="77777777" w:rsidR="00891A2A" w:rsidRDefault="00000000">
            <w:pPr>
              <w:jc w:val="center"/>
              <w:rPr>
                <w:kern w:val="0"/>
                <w:sz w:val="18"/>
                <w:szCs w:val="18"/>
              </w:rPr>
            </w:pPr>
            <w:r>
              <w:rPr>
                <w:kern w:val="0"/>
                <w:sz w:val="18"/>
                <w:szCs w:val="18"/>
              </w:rPr>
              <w:t>23.95</w:t>
            </w:r>
            <w:r>
              <w:rPr>
                <w:kern w:val="0"/>
                <w:sz w:val="18"/>
                <w:szCs w:val="18"/>
              </w:rPr>
              <w:t>（</w:t>
            </w:r>
            <w:r>
              <w:rPr>
                <w:kern w:val="0"/>
                <w:sz w:val="18"/>
                <w:szCs w:val="18"/>
              </w:rPr>
              <w:t>19.16%</w:t>
            </w:r>
            <w:r>
              <w:rPr>
                <w:kern w:val="0"/>
                <w:sz w:val="18"/>
                <w:szCs w:val="18"/>
              </w:rPr>
              <w:t>）</w:t>
            </w:r>
          </w:p>
        </w:tc>
      </w:tr>
      <w:tr w:rsidR="00891A2A" w14:paraId="362A2ACB" w14:textId="77777777">
        <w:trPr>
          <w:trHeight w:val="170"/>
        </w:trPr>
        <w:tc>
          <w:tcPr>
            <w:tcW w:w="492" w:type="pct"/>
            <w:vMerge/>
            <w:tcBorders>
              <w:top w:val="nil"/>
              <w:left w:val="nil"/>
              <w:bottom w:val="nil"/>
              <w:right w:val="nil"/>
            </w:tcBorders>
            <w:vAlign w:val="center"/>
          </w:tcPr>
          <w:p w14:paraId="34176B07" w14:textId="77777777" w:rsidR="00891A2A" w:rsidRDefault="00891A2A">
            <w:pPr>
              <w:jc w:val="center"/>
              <w:rPr>
                <w:kern w:val="0"/>
                <w:sz w:val="18"/>
                <w:szCs w:val="18"/>
              </w:rPr>
            </w:pPr>
          </w:p>
        </w:tc>
        <w:tc>
          <w:tcPr>
            <w:tcW w:w="492" w:type="pct"/>
            <w:tcBorders>
              <w:top w:val="nil"/>
              <w:left w:val="nil"/>
              <w:bottom w:val="nil"/>
              <w:right w:val="nil"/>
            </w:tcBorders>
            <w:vAlign w:val="center"/>
          </w:tcPr>
          <w:p w14:paraId="0171B893" w14:textId="77777777" w:rsidR="00891A2A" w:rsidRDefault="00000000">
            <w:pPr>
              <w:jc w:val="center"/>
              <w:rPr>
                <w:kern w:val="0"/>
                <w:sz w:val="18"/>
                <w:szCs w:val="18"/>
              </w:rPr>
            </w:pPr>
            <w:r>
              <w:rPr>
                <w:kern w:val="0"/>
                <w:sz w:val="18"/>
                <w:szCs w:val="18"/>
              </w:rPr>
              <w:t>L1</w:t>
            </w:r>
          </w:p>
        </w:tc>
        <w:tc>
          <w:tcPr>
            <w:tcW w:w="1389" w:type="pct"/>
            <w:tcBorders>
              <w:top w:val="nil"/>
              <w:left w:val="nil"/>
              <w:bottom w:val="nil"/>
              <w:right w:val="nil"/>
            </w:tcBorders>
            <w:vAlign w:val="center"/>
          </w:tcPr>
          <w:p w14:paraId="02C28864" w14:textId="77777777" w:rsidR="00891A2A" w:rsidRDefault="00000000">
            <w:pPr>
              <w:jc w:val="center"/>
              <w:rPr>
                <w:kern w:val="0"/>
                <w:sz w:val="18"/>
                <w:szCs w:val="18"/>
              </w:rPr>
            </w:pPr>
            <w:r>
              <w:rPr>
                <w:kern w:val="0"/>
                <w:sz w:val="18"/>
                <w:szCs w:val="18"/>
              </w:rPr>
              <w:t>311.52</w:t>
            </w:r>
            <w:r>
              <w:rPr>
                <w:kern w:val="0"/>
                <w:sz w:val="18"/>
                <w:szCs w:val="18"/>
              </w:rPr>
              <w:t>（</w:t>
            </w:r>
            <w:r>
              <w:rPr>
                <w:kern w:val="0"/>
                <w:sz w:val="18"/>
                <w:szCs w:val="18"/>
              </w:rPr>
              <w:t>95.20%</w:t>
            </w:r>
            <w:r>
              <w:rPr>
                <w:kern w:val="0"/>
                <w:sz w:val="18"/>
                <w:szCs w:val="18"/>
              </w:rPr>
              <w:t>）</w:t>
            </w:r>
          </w:p>
        </w:tc>
        <w:tc>
          <w:tcPr>
            <w:tcW w:w="1312" w:type="pct"/>
            <w:tcBorders>
              <w:top w:val="nil"/>
              <w:left w:val="nil"/>
              <w:bottom w:val="nil"/>
              <w:right w:val="nil"/>
            </w:tcBorders>
            <w:vAlign w:val="center"/>
          </w:tcPr>
          <w:p w14:paraId="7BF72583" w14:textId="77777777" w:rsidR="00891A2A" w:rsidRDefault="00000000">
            <w:pPr>
              <w:jc w:val="center"/>
              <w:rPr>
                <w:kern w:val="0"/>
                <w:sz w:val="18"/>
                <w:szCs w:val="18"/>
              </w:rPr>
            </w:pPr>
            <w:r>
              <w:rPr>
                <w:kern w:val="0"/>
                <w:sz w:val="18"/>
                <w:szCs w:val="18"/>
              </w:rPr>
              <w:t>8.95</w:t>
            </w:r>
            <w:r>
              <w:rPr>
                <w:kern w:val="0"/>
                <w:sz w:val="18"/>
                <w:szCs w:val="18"/>
              </w:rPr>
              <w:t>（</w:t>
            </w:r>
            <w:r>
              <w:rPr>
                <w:kern w:val="0"/>
                <w:sz w:val="18"/>
                <w:szCs w:val="18"/>
              </w:rPr>
              <w:t>4.80%</w:t>
            </w:r>
            <w:r>
              <w:rPr>
                <w:kern w:val="0"/>
                <w:sz w:val="18"/>
                <w:szCs w:val="18"/>
              </w:rPr>
              <w:t>）</w:t>
            </w:r>
          </w:p>
        </w:tc>
        <w:tc>
          <w:tcPr>
            <w:tcW w:w="1312" w:type="pct"/>
            <w:tcBorders>
              <w:top w:val="nil"/>
              <w:left w:val="nil"/>
              <w:bottom w:val="nil"/>
              <w:right w:val="nil"/>
            </w:tcBorders>
            <w:vAlign w:val="center"/>
          </w:tcPr>
          <w:p w14:paraId="53671F57" w14:textId="77777777" w:rsidR="00891A2A" w:rsidRDefault="00000000">
            <w:pPr>
              <w:jc w:val="center"/>
              <w:rPr>
                <w:kern w:val="0"/>
                <w:sz w:val="18"/>
                <w:szCs w:val="18"/>
              </w:rPr>
            </w:pPr>
            <w:r>
              <w:rPr>
                <w:kern w:val="0"/>
                <w:sz w:val="18"/>
                <w:szCs w:val="18"/>
              </w:rPr>
              <w:t>0</w:t>
            </w:r>
            <w:r>
              <w:rPr>
                <w:kern w:val="0"/>
                <w:sz w:val="18"/>
                <w:szCs w:val="18"/>
              </w:rPr>
              <w:t>（</w:t>
            </w:r>
            <w:r>
              <w:rPr>
                <w:kern w:val="0"/>
                <w:sz w:val="18"/>
                <w:szCs w:val="18"/>
              </w:rPr>
              <w:t>0%</w:t>
            </w:r>
            <w:r>
              <w:rPr>
                <w:kern w:val="0"/>
                <w:sz w:val="18"/>
                <w:szCs w:val="18"/>
              </w:rPr>
              <w:t>）</w:t>
            </w:r>
          </w:p>
        </w:tc>
      </w:tr>
      <w:tr w:rsidR="00891A2A" w14:paraId="691AF256" w14:textId="77777777">
        <w:trPr>
          <w:trHeight w:val="170"/>
        </w:trPr>
        <w:tc>
          <w:tcPr>
            <w:tcW w:w="492" w:type="pct"/>
            <w:vMerge/>
            <w:tcBorders>
              <w:top w:val="nil"/>
              <w:left w:val="nil"/>
              <w:bottom w:val="nil"/>
              <w:right w:val="nil"/>
            </w:tcBorders>
            <w:vAlign w:val="center"/>
          </w:tcPr>
          <w:p w14:paraId="0AB86D97" w14:textId="77777777" w:rsidR="00891A2A" w:rsidRDefault="00891A2A">
            <w:pPr>
              <w:jc w:val="center"/>
              <w:rPr>
                <w:kern w:val="0"/>
                <w:sz w:val="18"/>
                <w:szCs w:val="18"/>
              </w:rPr>
            </w:pPr>
          </w:p>
        </w:tc>
        <w:tc>
          <w:tcPr>
            <w:tcW w:w="492" w:type="pct"/>
            <w:tcBorders>
              <w:top w:val="nil"/>
              <w:left w:val="nil"/>
              <w:bottom w:val="single" w:sz="4" w:space="0" w:color="auto"/>
              <w:right w:val="nil"/>
            </w:tcBorders>
            <w:vAlign w:val="center"/>
          </w:tcPr>
          <w:p w14:paraId="6050E40A" w14:textId="77777777" w:rsidR="00891A2A" w:rsidRDefault="00000000">
            <w:pPr>
              <w:jc w:val="center"/>
              <w:rPr>
                <w:kern w:val="0"/>
                <w:sz w:val="18"/>
                <w:szCs w:val="18"/>
              </w:rPr>
            </w:pPr>
            <w:r>
              <w:rPr>
                <w:kern w:val="0"/>
                <w:sz w:val="18"/>
                <w:szCs w:val="18"/>
              </w:rPr>
              <w:t>L2</w:t>
            </w:r>
          </w:p>
        </w:tc>
        <w:tc>
          <w:tcPr>
            <w:tcW w:w="1389" w:type="pct"/>
            <w:tcBorders>
              <w:top w:val="nil"/>
              <w:left w:val="nil"/>
              <w:bottom w:val="single" w:sz="4" w:space="0" w:color="auto"/>
              <w:right w:val="nil"/>
            </w:tcBorders>
            <w:vAlign w:val="center"/>
          </w:tcPr>
          <w:p w14:paraId="1A493797" w14:textId="77777777" w:rsidR="00891A2A" w:rsidRDefault="00000000">
            <w:pPr>
              <w:jc w:val="center"/>
              <w:rPr>
                <w:kern w:val="0"/>
                <w:sz w:val="18"/>
                <w:szCs w:val="18"/>
              </w:rPr>
            </w:pPr>
            <w:r>
              <w:rPr>
                <w:kern w:val="0"/>
                <w:sz w:val="18"/>
                <w:szCs w:val="18"/>
              </w:rPr>
              <w:t>284.00</w:t>
            </w:r>
            <w:r>
              <w:rPr>
                <w:kern w:val="0"/>
                <w:sz w:val="18"/>
                <w:szCs w:val="18"/>
              </w:rPr>
              <w:t>（</w:t>
            </w:r>
            <w:r>
              <w:rPr>
                <w:kern w:val="0"/>
                <w:sz w:val="18"/>
                <w:szCs w:val="18"/>
              </w:rPr>
              <w:t>85.92%</w:t>
            </w:r>
            <w:r>
              <w:rPr>
                <w:kern w:val="0"/>
                <w:sz w:val="18"/>
                <w:szCs w:val="18"/>
              </w:rPr>
              <w:t>）</w:t>
            </w:r>
          </w:p>
        </w:tc>
        <w:tc>
          <w:tcPr>
            <w:tcW w:w="1312" w:type="pct"/>
            <w:tcBorders>
              <w:top w:val="nil"/>
              <w:left w:val="nil"/>
              <w:bottom w:val="single" w:sz="4" w:space="0" w:color="auto"/>
              <w:right w:val="nil"/>
            </w:tcBorders>
            <w:vAlign w:val="center"/>
          </w:tcPr>
          <w:p w14:paraId="05E65B2C" w14:textId="77777777" w:rsidR="00891A2A" w:rsidRDefault="00000000">
            <w:pPr>
              <w:jc w:val="center"/>
              <w:rPr>
                <w:kern w:val="0"/>
                <w:sz w:val="18"/>
                <w:szCs w:val="18"/>
              </w:rPr>
            </w:pPr>
            <w:r>
              <w:rPr>
                <w:kern w:val="0"/>
                <w:sz w:val="18"/>
                <w:szCs w:val="18"/>
              </w:rPr>
              <w:t>5.30</w:t>
            </w:r>
            <w:r>
              <w:rPr>
                <w:kern w:val="0"/>
                <w:sz w:val="18"/>
                <w:szCs w:val="18"/>
              </w:rPr>
              <w:t>（</w:t>
            </w:r>
            <w:r>
              <w:rPr>
                <w:kern w:val="0"/>
                <w:sz w:val="18"/>
                <w:szCs w:val="18"/>
              </w:rPr>
              <w:t>4.56%</w:t>
            </w:r>
            <w:r>
              <w:rPr>
                <w:kern w:val="0"/>
                <w:sz w:val="18"/>
                <w:szCs w:val="18"/>
              </w:rPr>
              <w:t>）</w:t>
            </w:r>
          </w:p>
        </w:tc>
        <w:tc>
          <w:tcPr>
            <w:tcW w:w="1312" w:type="pct"/>
            <w:tcBorders>
              <w:top w:val="nil"/>
              <w:left w:val="nil"/>
              <w:bottom w:val="single" w:sz="4" w:space="0" w:color="auto"/>
              <w:right w:val="nil"/>
            </w:tcBorders>
            <w:vAlign w:val="center"/>
          </w:tcPr>
          <w:p w14:paraId="71446D1D" w14:textId="77777777" w:rsidR="00891A2A" w:rsidRDefault="00000000">
            <w:pPr>
              <w:jc w:val="center"/>
              <w:rPr>
                <w:kern w:val="0"/>
                <w:sz w:val="18"/>
                <w:szCs w:val="18"/>
              </w:rPr>
            </w:pPr>
            <w:r>
              <w:rPr>
                <w:kern w:val="0"/>
                <w:sz w:val="18"/>
                <w:szCs w:val="18"/>
              </w:rPr>
              <w:t>33.50</w:t>
            </w:r>
            <w:r>
              <w:rPr>
                <w:kern w:val="0"/>
                <w:sz w:val="18"/>
                <w:szCs w:val="18"/>
              </w:rPr>
              <w:t>（</w:t>
            </w:r>
            <w:r>
              <w:rPr>
                <w:kern w:val="0"/>
                <w:sz w:val="18"/>
                <w:szCs w:val="18"/>
              </w:rPr>
              <w:t>9.52%</w:t>
            </w:r>
            <w:r>
              <w:rPr>
                <w:kern w:val="0"/>
                <w:sz w:val="18"/>
                <w:szCs w:val="18"/>
              </w:rPr>
              <w:t>）</w:t>
            </w:r>
          </w:p>
        </w:tc>
      </w:tr>
      <w:tr w:rsidR="00891A2A" w14:paraId="281B77D9" w14:textId="77777777">
        <w:trPr>
          <w:trHeight w:val="170"/>
        </w:trPr>
        <w:tc>
          <w:tcPr>
            <w:tcW w:w="492" w:type="pct"/>
            <w:vMerge w:val="restart"/>
            <w:tcBorders>
              <w:top w:val="nil"/>
              <w:left w:val="nil"/>
              <w:bottom w:val="nil"/>
              <w:right w:val="nil"/>
            </w:tcBorders>
            <w:vAlign w:val="center"/>
          </w:tcPr>
          <w:p w14:paraId="49CFB05F" w14:textId="77777777" w:rsidR="00891A2A" w:rsidRDefault="00000000">
            <w:pPr>
              <w:jc w:val="center"/>
              <w:rPr>
                <w:kern w:val="0"/>
                <w:sz w:val="18"/>
                <w:szCs w:val="18"/>
              </w:rPr>
            </w:pPr>
            <w:r>
              <w:rPr>
                <w:kern w:val="0"/>
                <w:sz w:val="18"/>
                <w:szCs w:val="18"/>
              </w:rPr>
              <w:t>大安</w:t>
            </w:r>
          </w:p>
        </w:tc>
        <w:tc>
          <w:tcPr>
            <w:tcW w:w="492" w:type="pct"/>
            <w:tcBorders>
              <w:top w:val="single" w:sz="4" w:space="0" w:color="auto"/>
              <w:left w:val="nil"/>
              <w:bottom w:val="nil"/>
              <w:right w:val="nil"/>
            </w:tcBorders>
            <w:vAlign w:val="center"/>
          </w:tcPr>
          <w:p w14:paraId="3FAE1244" w14:textId="77777777" w:rsidR="00891A2A" w:rsidRDefault="00000000">
            <w:pPr>
              <w:jc w:val="center"/>
              <w:rPr>
                <w:kern w:val="0"/>
                <w:sz w:val="18"/>
                <w:szCs w:val="18"/>
              </w:rPr>
            </w:pPr>
            <w:r>
              <w:rPr>
                <w:kern w:val="0"/>
                <w:sz w:val="18"/>
                <w:szCs w:val="18"/>
              </w:rPr>
              <w:t>CK</w:t>
            </w:r>
          </w:p>
        </w:tc>
        <w:tc>
          <w:tcPr>
            <w:tcW w:w="1389" w:type="pct"/>
            <w:tcBorders>
              <w:top w:val="single" w:sz="4" w:space="0" w:color="auto"/>
              <w:left w:val="nil"/>
              <w:bottom w:val="nil"/>
              <w:right w:val="nil"/>
            </w:tcBorders>
            <w:vAlign w:val="center"/>
          </w:tcPr>
          <w:p w14:paraId="13FF87CF" w14:textId="77777777" w:rsidR="00891A2A" w:rsidRDefault="00000000">
            <w:pPr>
              <w:jc w:val="center"/>
              <w:rPr>
                <w:kern w:val="0"/>
                <w:sz w:val="18"/>
                <w:szCs w:val="18"/>
              </w:rPr>
            </w:pPr>
            <w:r>
              <w:rPr>
                <w:kern w:val="0"/>
                <w:sz w:val="18"/>
                <w:szCs w:val="18"/>
              </w:rPr>
              <w:t>135.29</w:t>
            </w:r>
            <w:r>
              <w:rPr>
                <w:kern w:val="0"/>
                <w:sz w:val="18"/>
                <w:szCs w:val="18"/>
              </w:rPr>
              <w:t>（</w:t>
            </w:r>
            <w:r>
              <w:rPr>
                <w:kern w:val="0"/>
                <w:sz w:val="18"/>
                <w:szCs w:val="18"/>
              </w:rPr>
              <w:t>60.73%</w:t>
            </w:r>
            <w:r>
              <w:rPr>
                <w:kern w:val="0"/>
                <w:sz w:val="18"/>
                <w:szCs w:val="18"/>
              </w:rPr>
              <w:t>）</w:t>
            </w:r>
          </w:p>
        </w:tc>
        <w:tc>
          <w:tcPr>
            <w:tcW w:w="1312" w:type="pct"/>
            <w:tcBorders>
              <w:top w:val="single" w:sz="4" w:space="0" w:color="auto"/>
              <w:left w:val="nil"/>
              <w:bottom w:val="nil"/>
              <w:right w:val="nil"/>
            </w:tcBorders>
            <w:vAlign w:val="center"/>
          </w:tcPr>
          <w:p w14:paraId="4D09C027" w14:textId="77777777" w:rsidR="00891A2A" w:rsidRDefault="00000000">
            <w:pPr>
              <w:jc w:val="center"/>
              <w:rPr>
                <w:kern w:val="0"/>
                <w:sz w:val="18"/>
                <w:szCs w:val="18"/>
              </w:rPr>
            </w:pPr>
            <w:r>
              <w:rPr>
                <w:kern w:val="0"/>
                <w:sz w:val="18"/>
                <w:szCs w:val="18"/>
              </w:rPr>
              <w:t>60.38</w:t>
            </w:r>
            <w:r>
              <w:rPr>
                <w:kern w:val="0"/>
                <w:sz w:val="18"/>
                <w:szCs w:val="18"/>
              </w:rPr>
              <w:t>（</w:t>
            </w:r>
            <w:r>
              <w:rPr>
                <w:kern w:val="0"/>
                <w:sz w:val="18"/>
                <w:szCs w:val="18"/>
              </w:rPr>
              <w:t>24.04%</w:t>
            </w:r>
            <w:r>
              <w:rPr>
                <w:kern w:val="0"/>
                <w:sz w:val="18"/>
                <w:szCs w:val="18"/>
              </w:rPr>
              <w:t>）</w:t>
            </w:r>
          </w:p>
        </w:tc>
        <w:tc>
          <w:tcPr>
            <w:tcW w:w="1312" w:type="pct"/>
            <w:tcBorders>
              <w:top w:val="single" w:sz="4" w:space="0" w:color="auto"/>
              <w:left w:val="nil"/>
              <w:bottom w:val="nil"/>
              <w:right w:val="nil"/>
            </w:tcBorders>
            <w:vAlign w:val="center"/>
          </w:tcPr>
          <w:p w14:paraId="0A1D7B9A" w14:textId="77777777" w:rsidR="00891A2A" w:rsidRDefault="00000000">
            <w:pPr>
              <w:jc w:val="center"/>
              <w:rPr>
                <w:kern w:val="0"/>
                <w:sz w:val="18"/>
                <w:szCs w:val="18"/>
              </w:rPr>
            </w:pPr>
            <w:r>
              <w:rPr>
                <w:kern w:val="0"/>
                <w:sz w:val="18"/>
                <w:szCs w:val="18"/>
              </w:rPr>
              <w:t>8.67</w:t>
            </w:r>
            <w:r>
              <w:rPr>
                <w:kern w:val="0"/>
                <w:sz w:val="18"/>
                <w:szCs w:val="18"/>
              </w:rPr>
              <w:t>（</w:t>
            </w:r>
            <w:r>
              <w:rPr>
                <w:kern w:val="0"/>
                <w:sz w:val="18"/>
                <w:szCs w:val="18"/>
              </w:rPr>
              <w:t>15.24%</w:t>
            </w:r>
            <w:r>
              <w:rPr>
                <w:kern w:val="0"/>
                <w:sz w:val="18"/>
                <w:szCs w:val="18"/>
              </w:rPr>
              <w:t>）</w:t>
            </w:r>
          </w:p>
        </w:tc>
      </w:tr>
      <w:tr w:rsidR="00891A2A" w14:paraId="1F655B79" w14:textId="77777777">
        <w:trPr>
          <w:trHeight w:val="170"/>
        </w:trPr>
        <w:tc>
          <w:tcPr>
            <w:tcW w:w="492" w:type="pct"/>
            <w:vMerge/>
            <w:tcBorders>
              <w:top w:val="nil"/>
              <w:left w:val="nil"/>
              <w:bottom w:val="nil"/>
              <w:right w:val="nil"/>
            </w:tcBorders>
            <w:vAlign w:val="center"/>
          </w:tcPr>
          <w:p w14:paraId="40D17C73" w14:textId="77777777" w:rsidR="00891A2A" w:rsidRDefault="00891A2A">
            <w:pPr>
              <w:jc w:val="center"/>
              <w:rPr>
                <w:kern w:val="0"/>
                <w:sz w:val="18"/>
                <w:szCs w:val="18"/>
              </w:rPr>
            </w:pPr>
          </w:p>
        </w:tc>
        <w:tc>
          <w:tcPr>
            <w:tcW w:w="492" w:type="pct"/>
            <w:tcBorders>
              <w:top w:val="nil"/>
              <w:left w:val="nil"/>
              <w:bottom w:val="nil"/>
              <w:right w:val="nil"/>
            </w:tcBorders>
            <w:vAlign w:val="center"/>
          </w:tcPr>
          <w:p w14:paraId="3FA01F98" w14:textId="77777777" w:rsidR="00891A2A" w:rsidRDefault="00000000">
            <w:pPr>
              <w:jc w:val="center"/>
              <w:rPr>
                <w:kern w:val="0"/>
                <w:sz w:val="18"/>
                <w:szCs w:val="18"/>
              </w:rPr>
            </w:pPr>
            <w:r>
              <w:rPr>
                <w:kern w:val="0"/>
                <w:sz w:val="18"/>
                <w:szCs w:val="18"/>
              </w:rPr>
              <w:t>L1</w:t>
            </w:r>
          </w:p>
        </w:tc>
        <w:tc>
          <w:tcPr>
            <w:tcW w:w="1389" w:type="pct"/>
            <w:tcBorders>
              <w:top w:val="nil"/>
              <w:left w:val="nil"/>
              <w:bottom w:val="nil"/>
              <w:right w:val="nil"/>
            </w:tcBorders>
            <w:vAlign w:val="center"/>
          </w:tcPr>
          <w:p w14:paraId="7CE8DF8F" w14:textId="77777777" w:rsidR="00891A2A" w:rsidRDefault="00000000">
            <w:pPr>
              <w:jc w:val="center"/>
              <w:rPr>
                <w:kern w:val="0"/>
                <w:sz w:val="18"/>
                <w:szCs w:val="18"/>
              </w:rPr>
            </w:pPr>
            <w:r>
              <w:rPr>
                <w:kern w:val="0"/>
                <w:sz w:val="18"/>
                <w:szCs w:val="18"/>
              </w:rPr>
              <w:t>326.20</w:t>
            </w:r>
            <w:r>
              <w:rPr>
                <w:kern w:val="0"/>
                <w:sz w:val="18"/>
                <w:szCs w:val="18"/>
              </w:rPr>
              <w:t>（</w:t>
            </w:r>
            <w:r>
              <w:rPr>
                <w:kern w:val="0"/>
                <w:sz w:val="18"/>
                <w:szCs w:val="18"/>
              </w:rPr>
              <w:t>100%</w:t>
            </w:r>
            <w:r>
              <w:rPr>
                <w:kern w:val="0"/>
                <w:sz w:val="18"/>
                <w:szCs w:val="18"/>
              </w:rPr>
              <w:t>）</w:t>
            </w:r>
          </w:p>
        </w:tc>
        <w:tc>
          <w:tcPr>
            <w:tcW w:w="1312" w:type="pct"/>
            <w:tcBorders>
              <w:top w:val="nil"/>
              <w:left w:val="nil"/>
              <w:bottom w:val="nil"/>
              <w:right w:val="nil"/>
            </w:tcBorders>
            <w:vAlign w:val="center"/>
          </w:tcPr>
          <w:p w14:paraId="0CD56CE2" w14:textId="77777777" w:rsidR="00891A2A" w:rsidRDefault="00000000">
            <w:pPr>
              <w:jc w:val="center"/>
              <w:rPr>
                <w:kern w:val="0"/>
                <w:sz w:val="18"/>
                <w:szCs w:val="18"/>
              </w:rPr>
            </w:pPr>
            <w:r>
              <w:rPr>
                <w:kern w:val="0"/>
                <w:sz w:val="18"/>
                <w:szCs w:val="18"/>
              </w:rPr>
              <w:t>0</w:t>
            </w:r>
            <w:r>
              <w:rPr>
                <w:kern w:val="0"/>
                <w:sz w:val="18"/>
                <w:szCs w:val="18"/>
              </w:rPr>
              <w:t>（</w:t>
            </w:r>
            <w:r>
              <w:rPr>
                <w:kern w:val="0"/>
                <w:sz w:val="18"/>
                <w:szCs w:val="18"/>
              </w:rPr>
              <w:t>0%</w:t>
            </w:r>
            <w:r>
              <w:rPr>
                <w:kern w:val="0"/>
                <w:sz w:val="18"/>
                <w:szCs w:val="18"/>
              </w:rPr>
              <w:t>）</w:t>
            </w:r>
          </w:p>
        </w:tc>
        <w:tc>
          <w:tcPr>
            <w:tcW w:w="1312" w:type="pct"/>
            <w:tcBorders>
              <w:top w:val="nil"/>
              <w:left w:val="nil"/>
              <w:bottom w:val="nil"/>
              <w:right w:val="nil"/>
            </w:tcBorders>
            <w:vAlign w:val="center"/>
          </w:tcPr>
          <w:p w14:paraId="72BEDE5C" w14:textId="77777777" w:rsidR="00891A2A" w:rsidRDefault="00000000">
            <w:pPr>
              <w:jc w:val="center"/>
              <w:rPr>
                <w:kern w:val="0"/>
                <w:sz w:val="18"/>
                <w:szCs w:val="18"/>
              </w:rPr>
            </w:pPr>
            <w:r>
              <w:rPr>
                <w:kern w:val="0"/>
                <w:sz w:val="18"/>
                <w:szCs w:val="18"/>
              </w:rPr>
              <w:t>0</w:t>
            </w:r>
            <w:r>
              <w:rPr>
                <w:kern w:val="0"/>
                <w:sz w:val="18"/>
                <w:szCs w:val="18"/>
              </w:rPr>
              <w:t>（</w:t>
            </w:r>
            <w:r>
              <w:rPr>
                <w:kern w:val="0"/>
                <w:sz w:val="18"/>
                <w:szCs w:val="18"/>
              </w:rPr>
              <w:t>0%</w:t>
            </w:r>
            <w:r>
              <w:rPr>
                <w:kern w:val="0"/>
                <w:sz w:val="18"/>
                <w:szCs w:val="18"/>
              </w:rPr>
              <w:t>）</w:t>
            </w:r>
          </w:p>
        </w:tc>
      </w:tr>
      <w:tr w:rsidR="00891A2A" w14:paraId="618B8B22" w14:textId="77777777">
        <w:trPr>
          <w:trHeight w:val="170"/>
        </w:trPr>
        <w:tc>
          <w:tcPr>
            <w:tcW w:w="492" w:type="pct"/>
            <w:vMerge/>
            <w:tcBorders>
              <w:top w:val="nil"/>
              <w:left w:val="nil"/>
              <w:right w:val="nil"/>
            </w:tcBorders>
            <w:vAlign w:val="center"/>
          </w:tcPr>
          <w:p w14:paraId="0E72E1BD" w14:textId="77777777" w:rsidR="00891A2A" w:rsidRDefault="00891A2A">
            <w:pPr>
              <w:jc w:val="center"/>
              <w:rPr>
                <w:kern w:val="0"/>
                <w:sz w:val="18"/>
                <w:szCs w:val="18"/>
              </w:rPr>
            </w:pPr>
          </w:p>
        </w:tc>
        <w:tc>
          <w:tcPr>
            <w:tcW w:w="492" w:type="pct"/>
            <w:tcBorders>
              <w:top w:val="nil"/>
              <w:left w:val="nil"/>
              <w:right w:val="nil"/>
            </w:tcBorders>
            <w:vAlign w:val="center"/>
          </w:tcPr>
          <w:p w14:paraId="684ACCA6" w14:textId="77777777" w:rsidR="00891A2A" w:rsidRDefault="00000000">
            <w:pPr>
              <w:jc w:val="center"/>
              <w:rPr>
                <w:kern w:val="0"/>
                <w:sz w:val="18"/>
                <w:szCs w:val="18"/>
              </w:rPr>
            </w:pPr>
            <w:r>
              <w:rPr>
                <w:kern w:val="0"/>
                <w:sz w:val="18"/>
                <w:szCs w:val="18"/>
              </w:rPr>
              <w:t>L2</w:t>
            </w:r>
          </w:p>
        </w:tc>
        <w:tc>
          <w:tcPr>
            <w:tcW w:w="1389" w:type="pct"/>
            <w:tcBorders>
              <w:top w:val="nil"/>
              <w:left w:val="nil"/>
              <w:right w:val="nil"/>
            </w:tcBorders>
            <w:vAlign w:val="center"/>
          </w:tcPr>
          <w:p w14:paraId="1899F6F7" w14:textId="77777777" w:rsidR="00891A2A" w:rsidRDefault="00000000">
            <w:pPr>
              <w:jc w:val="center"/>
              <w:rPr>
                <w:kern w:val="0"/>
                <w:sz w:val="18"/>
                <w:szCs w:val="18"/>
              </w:rPr>
            </w:pPr>
            <w:r>
              <w:rPr>
                <w:kern w:val="0"/>
                <w:sz w:val="18"/>
                <w:szCs w:val="18"/>
              </w:rPr>
              <w:t>365.07</w:t>
            </w:r>
            <w:r>
              <w:rPr>
                <w:kern w:val="0"/>
                <w:sz w:val="18"/>
                <w:szCs w:val="18"/>
              </w:rPr>
              <w:t>（</w:t>
            </w:r>
            <w:r>
              <w:rPr>
                <w:kern w:val="0"/>
                <w:sz w:val="18"/>
                <w:szCs w:val="18"/>
              </w:rPr>
              <w:t>100%</w:t>
            </w:r>
            <w:r>
              <w:rPr>
                <w:kern w:val="0"/>
                <w:sz w:val="18"/>
                <w:szCs w:val="18"/>
              </w:rPr>
              <w:t>）</w:t>
            </w:r>
          </w:p>
        </w:tc>
        <w:tc>
          <w:tcPr>
            <w:tcW w:w="1312" w:type="pct"/>
            <w:tcBorders>
              <w:top w:val="nil"/>
              <w:left w:val="nil"/>
              <w:right w:val="nil"/>
            </w:tcBorders>
            <w:vAlign w:val="center"/>
          </w:tcPr>
          <w:p w14:paraId="65A42277" w14:textId="77777777" w:rsidR="00891A2A" w:rsidRDefault="00000000">
            <w:pPr>
              <w:jc w:val="center"/>
              <w:rPr>
                <w:kern w:val="0"/>
                <w:sz w:val="18"/>
                <w:szCs w:val="18"/>
              </w:rPr>
            </w:pPr>
            <w:r>
              <w:rPr>
                <w:kern w:val="0"/>
                <w:sz w:val="18"/>
                <w:szCs w:val="18"/>
              </w:rPr>
              <w:t>0</w:t>
            </w:r>
            <w:r>
              <w:rPr>
                <w:kern w:val="0"/>
                <w:sz w:val="18"/>
                <w:szCs w:val="18"/>
              </w:rPr>
              <w:t>（</w:t>
            </w:r>
            <w:r>
              <w:rPr>
                <w:kern w:val="0"/>
                <w:sz w:val="18"/>
                <w:szCs w:val="18"/>
              </w:rPr>
              <w:t>0%</w:t>
            </w:r>
            <w:r>
              <w:rPr>
                <w:kern w:val="0"/>
                <w:sz w:val="18"/>
                <w:szCs w:val="18"/>
              </w:rPr>
              <w:t>）</w:t>
            </w:r>
          </w:p>
        </w:tc>
        <w:tc>
          <w:tcPr>
            <w:tcW w:w="1312" w:type="pct"/>
            <w:tcBorders>
              <w:top w:val="nil"/>
              <w:left w:val="nil"/>
              <w:right w:val="nil"/>
            </w:tcBorders>
            <w:vAlign w:val="center"/>
          </w:tcPr>
          <w:p w14:paraId="64CB2D08" w14:textId="77777777" w:rsidR="00891A2A" w:rsidRDefault="00000000">
            <w:pPr>
              <w:jc w:val="center"/>
              <w:rPr>
                <w:kern w:val="0"/>
                <w:sz w:val="18"/>
                <w:szCs w:val="18"/>
              </w:rPr>
            </w:pPr>
            <w:r>
              <w:rPr>
                <w:kern w:val="0"/>
                <w:sz w:val="18"/>
                <w:szCs w:val="18"/>
              </w:rPr>
              <w:t>0</w:t>
            </w:r>
            <w:r>
              <w:rPr>
                <w:kern w:val="0"/>
                <w:sz w:val="18"/>
                <w:szCs w:val="18"/>
              </w:rPr>
              <w:t>（</w:t>
            </w:r>
            <w:r>
              <w:rPr>
                <w:kern w:val="0"/>
                <w:sz w:val="18"/>
                <w:szCs w:val="18"/>
              </w:rPr>
              <w:t>0%</w:t>
            </w:r>
            <w:r>
              <w:rPr>
                <w:kern w:val="0"/>
                <w:sz w:val="18"/>
                <w:szCs w:val="18"/>
              </w:rPr>
              <w:t>）</w:t>
            </w:r>
          </w:p>
        </w:tc>
      </w:tr>
    </w:tbl>
    <w:p w14:paraId="41658186" w14:textId="77777777" w:rsidR="00891A2A" w:rsidRDefault="00000000">
      <w:pPr>
        <w:spacing w:line="360" w:lineRule="auto"/>
        <w:ind w:firstLineChars="200" w:firstLine="480"/>
        <w:rPr>
          <w:sz w:val="24"/>
          <w:szCs w:val="24"/>
        </w:rPr>
      </w:pPr>
      <w:r>
        <w:rPr>
          <w:sz w:val="24"/>
          <w:szCs w:val="24"/>
        </w:rPr>
        <w:t>从不同功能群组成特征来看（表</w:t>
      </w:r>
      <w:r>
        <w:rPr>
          <w:sz w:val="24"/>
          <w:szCs w:val="24"/>
        </w:rPr>
        <w:t>2</w:t>
      </w:r>
      <w:r>
        <w:rPr>
          <w:sz w:val="24"/>
          <w:szCs w:val="24"/>
        </w:rPr>
        <w:t>），两个区域</w:t>
      </w:r>
      <w:r>
        <w:rPr>
          <w:sz w:val="24"/>
          <w:szCs w:val="24"/>
        </w:rPr>
        <w:t>L1</w:t>
      </w:r>
      <w:r>
        <w:rPr>
          <w:sz w:val="24"/>
          <w:szCs w:val="24"/>
        </w:rPr>
        <w:t>、</w:t>
      </w:r>
      <w:r>
        <w:rPr>
          <w:sz w:val="24"/>
          <w:szCs w:val="24"/>
        </w:rPr>
        <w:t>L2</w:t>
      </w:r>
      <w:r>
        <w:rPr>
          <w:sz w:val="24"/>
          <w:szCs w:val="24"/>
        </w:rPr>
        <w:t>处理均为禾本科占优，仅大安</w:t>
      </w:r>
      <w:r>
        <w:rPr>
          <w:sz w:val="24"/>
          <w:szCs w:val="24"/>
        </w:rPr>
        <w:t>L1</w:t>
      </w:r>
      <w:r>
        <w:rPr>
          <w:sz w:val="24"/>
          <w:szCs w:val="24"/>
        </w:rPr>
        <w:t>、</w:t>
      </w:r>
      <w:r>
        <w:rPr>
          <w:sz w:val="24"/>
          <w:szCs w:val="24"/>
        </w:rPr>
        <w:t>L2</w:t>
      </w:r>
      <w:r>
        <w:rPr>
          <w:sz w:val="24"/>
          <w:szCs w:val="24"/>
        </w:rPr>
        <w:t>处理无豆科植物，当年补播苜蓿效果不佳。兰西</w:t>
      </w:r>
      <w:r>
        <w:rPr>
          <w:sz w:val="24"/>
          <w:szCs w:val="24"/>
        </w:rPr>
        <w:t>L1</w:t>
      </w:r>
      <w:r>
        <w:rPr>
          <w:sz w:val="24"/>
          <w:szCs w:val="24"/>
        </w:rPr>
        <w:t>、</w:t>
      </w:r>
      <w:r>
        <w:rPr>
          <w:sz w:val="24"/>
          <w:szCs w:val="24"/>
        </w:rPr>
        <w:t>L2</w:t>
      </w:r>
      <w:r>
        <w:rPr>
          <w:sz w:val="24"/>
          <w:szCs w:val="24"/>
        </w:rPr>
        <w:t>处理禾本科植物仅为羊草，豆科植物仅为苜蓿，</w:t>
      </w:r>
      <w:r>
        <w:rPr>
          <w:sz w:val="24"/>
          <w:szCs w:val="24"/>
        </w:rPr>
        <w:t>L2</w:t>
      </w:r>
      <w:r>
        <w:rPr>
          <w:sz w:val="24"/>
          <w:szCs w:val="24"/>
        </w:rPr>
        <w:t>杂类草植物为马兰，</w:t>
      </w:r>
      <w:r>
        <w:rPr>
          <w:sz w:val="24"/>
          <w:szCs w:val="24"/>
        </w:rPr>
        <w:t>L1</w:t>
      </w:r>
      <w:r>
        <w:rPr>
          <w:sz w:val="24"/>
          <w:szCs w:val="24"/>
        </w:rPr>
        <w:t>、</w:t>
      </w:r>
      <w:r>
        <w:rPr>
          <w:sz w:val="24"/>
          <w:szCs w:val="24"/>
        </w:rPr>
        <w:t>L2</w:t>
      </w:r>
      <w:r>
        <w:rPr>
          <w:sz w:val="24"/>
          <w:szCs w:val="24"/>
        </w:rPr>
        <w:t>处理禾本科生物量较对照均有所提高。大安</w:t>
      </w:r>
      <w:r>
        <w:rPr>
          <w:sz w:val="24"/>
          <w:szCs w:val="24"/>
        </w:rPr>
        <w:t>L1</w:t>
      </w:r>
      <w:r>
        <w:rPr>
          <w:sz w:val="24"/>
          <w:szCs w:val="24"/>
        </w:rPr>
        <w:t>、</w:t>
      </w:r>
      <w:r>
        <w:rPr>
          <w:sz w:val="24"/>
          <w:szCs w:val="24"/>
        </w:rPr>
        <w:t>L2</w:t>
      </w:r>
      <w:r>
        <w:rPr>
          <w:sz w:val="24"/>
          <w:szCs w:val="24"/>
        </w:rPr>
        <w:t>处理禾本科生物量较对照均有所提高，禾本科植物为芦苇和羊草。从不同处理物种多样性指数可知（表</w:t>
      </w:r>
      <w:r>
        <w:rPr>
          <w:sz w:val="24"/>
          <w:szCs w:val="24"/>
        </w:rPr>
        <w:t>3</w:t>
      </w:r>
      <w:r>
        <w:rPr>
          <w:sz w:val="24"/>
          <w:szCs w:val="24"/>
        </w:rPr>
        <w:t>），两个区域</w:t>
      </w:r>
      <w:r>
        <w:rPr>
          <w:sz w:val="24"/>
          <w:szCs w:val="24"/>
        </w:rPr>
        <w:t>L1</w:t>
      </w:r>
      <w:r>
        <w:rPr>
          <w:sz w:val="24"/>
          <w:szCs w:val="24"/>
        </w:rPr>
        <w:t>、</w:t>
      </w:r>
      <w:r>
        <w:rPr>
          <w:sz w:val="24"/>
          <w:szCs w:val="24"/>
        </w:rPr>
        <w:t>L2</w:t>
      </w:r>
      <w:r>
        <w:rPr>
          <w:sz w:val="24"/>
          <w:szCs w:val="24"/>
        </w:rPr>
        <w:t>处理的多样性指数较对照均有所下降，物种丰富度及均匀度降低，其中各区域均</w:t>
      </w:r>
      <w:r>
        <w:rPr>
          <w:sz w:val="24"/>
          <w:szCs w:val="24"/>
        </w:rPr>
        <w:t>L1</w:t>
      </w:r>
      <w:r>
        <w:rPr>
          <w:sz w:val="24"/>
          <w:szCs w:val="24"/>
        </w:rPr>
        <w:t>处理各指数最低。</w:t>
      </w:r>
    </w:p>
    <w:p w14:paraId="6E26DA47" w14:textId="77777777" w:rsidR="00891A2A" w:rsidRDefault="00000000">
      <w:pPr>
        <w:jc w:val="center"/>
        <w:rPr>
          <w:sz w:val="18"/>
          <w:szCs w:val="18"/>
        </w:rPr>
      </w:pPr>
      <w:r>
        <w:rPr>
          <w:sz w:val="18"/>
          <w:szCs w:val="18"/>
        </w:rPr>
        <w:t>表</w:t>
      </w:r>
      <w:r>
        <w:rPr>
          <w:sz w:val="18"/>
          <w:szCs w:val="18"/>
        </w:rPr>
        <w:t xml:space="preserve">3 </w:t>
      </w:r>
      <w:r>
        <w:rPr>
          <w:sz w:val="18"/>
          <w:szCs w:val="18"/>
        </w:rPr>
        <w:t>不同处理物种多样性指数</w:t>
      </w:r>
    </w:p>
    <w:tbl>
      <w:tblPr>
        <w:tblStyle w:val="a6"/>
        <w:tblW w:w="4998" w:type="pct"/>
        <w:tblLook w:val="04A0" w:firstRow="1" w:lastRow="0" w:firstColumn="1" w:lastColumn="0" w:noHBand="0" w:noVBand="1"/>
      </w:tblPr>
      <w:tblGrid>
        <w:gridCol w:w="705"/>
        <w:gridCol w:w="705"/>
        <w:gridCol w:w="1659"/>
        <w:gridCol w:w="1867"/>
        <w:gridCol w:w="1625"/>
        <w:gridCol w:w="1958"/>
      </w:tblGrid>
      <w:tr w:rsidR="00891A2A" w14:paraId="76E33F12" w14:textId="77777777">
        <w:trPr>
          <w:trHeight w:val="170"/>
        </w:trPr>
        <w:tc>
          <w:tcPr>
            <w:tcW w:w="413" w:type="pct"/>
            <w:tcBorders>
              <w:left w:val="nil"/>
              <w:right w:val="nil"/>
            </w:tcBorders>
            <w:vAlign w:val="center"/>
          </w:tcPr>
          <w:p w14:paraId="6390C582" w14:textId="77777777" w:rsidR="00891A2A" w:rsidRDefault="00000000">
            <w:pPr>
              <w:jc w:val="center"/>
              <w:rPr>
                <w:kern w:val="0"/>
                <w:sz w:val="18"/>
                <w:szCs w:val="18"/>
              </w:rPr>
            </w:pPr>
            <w:r>
              <w:rPr>
                <w:kern w:val="0"/>
                <w:sz w:val="18"/>
                <w:szCs w:val="18"/>
              </w:rPr>
              <w:t>地点</w:t>
            </w:r>
          </w:p>
        </w:tc>
        <w:tc>
          <w:tcPr>
            <w:tcW w:w="413" w:type="pct"/>
            <w:tcBorders>
              <w:left w:val="nil"/>
              <w:right w:val="nil"/>
            </w:tcBorders>
            <w:vAlign w:val="center"/>
          </w:tcPr>
          <w:p w14:paraId="43F605D6" w14:textId="77777777" w:rsidR="00891A2A" w:rsidRDefault="00000000">
            <w:pPr>
              <w:jc w:val="center"/>
              <w:rPr>
                <w:kern w:val="0"/>
                <w:sz w:val="18"/>
                <w:szCs w:val="18"/>
              </w:rPr>
            </w:pPr>
            <w:r>
              <w:rPr>
                <w:kern w:val="0"/>
                <w:sz w:val="18"/>
                <w:szCs w:val="18"/>
              </w:rPr>
              <w:t>处理</w:t>
            </w:r>
          </w:p>
        </w:tc>
        <w:tc>
          <w:tcPr>
            <w:tcW w:w="973" w:type="pct"/>
            <w:tcBorders>
              <w:left w:val="nil"/>
              <w:right w:val="nil"/>
            </w:tcBorders>
            <w:vAlign w:val="center"/>
          </w:tcPr>
          <w:p w14:paraId="504AB503" w14:textId="77777777" w:rsidR="00891A2A" w:rsidRDefault="00000000">
            <w:pPr>
              <w:jc w:val="center"/>
              <w:rPr>
                <w:kern w:val="0"/>
                <w:sz w:val="18"/>
                <w:szCs w:val="18"/>
              </w:rPr>
            </w:pPr>
            <w:proofErr w:type="spellStart"/>
            <w:r>
              <w:rPr>
                <w:kern w:val="0"/>
                <w:sz w:val="18"/>
                <w:szCs w:val="18"/>
              </w:rPr>
              <w:t>Margalef</w:t>
            </w:r>
            <w:proofErr w:type="spellEnd"/>
            <w:r>
              <w:rPr>
                <w:kern w:val="0"/>
                <w:sz w:val="18"/>
                <w:szCs w:val="18"/>
              </w:rPr>
              <w:t>指数</w:t>
            </w:r>
          </w:p>
        </w:tc>
        <w:tc>
          <w:tcPr>
            <w:tcW w:w="1096" w:type="pct"/>
            <w:tcBorders>
              <w:left w:val="nil"/>
              <w:right w:val="nil"/>
            </w:tcBorders>
            <w:vAlign w:val="center"/>
          </w:tcPr>
          <w:p w14:paraId="5D0F1EDC" w14:textId="77777777" w:rsidR="00891A2A" w:rsidRDefault="00000000">
            <w:pPr>
              <w:jc w:val="center"/>
              <w:rPr>
                <w:kern w:val="0"/>
                <w:sz w:val="18"/>
                <w:szCs w:val="18"/>
              </w:rPr>
            </w:pPr>
            <w:r>
              <w:rPr>
                <w:kern w:val="0"/>
                <w:sz w:val="18"/>
                <w:szCs w:val="18"/>
              </w:rPr>
              <w:t>Shannon-Wiener</w:t>
            </w:r>
            <w:r>
              <w:rPr>
                <w:kern w:val="0"/>
                <w:sz w:val="18"/>
                <w:szCs w:val="18"/>
              </w:rPr>
              <w:t>指数</w:t>
            </w:r>
          </w:p>
        </w:tc>
        <w:tc>
          <w:tcPr>
            <w:tcW w:w="954" w:type="pct"/>
            <w:tcBorders>
              <w:left w:val="nil"/>
              <w:right w:val="nil"/>
            </w:tcBorders>
            <w:vAlign w:val="center"/>
          </w:tcPr>
          <w:p w14:paraId="281FD7E8" w14:textId="77777777" w:rsidR="00891A2A" w:rsidRDefault="00000000">
            <w:pPr>
              <w:jc w:val="center"/>
              <w:rPr>
                <w:kern w:val="0"/>
                <w:sz w:val="18"/>
                <w:szCs w:val="18"/>
              </w:rPr>
            </w:pPr>
            <w:r>
              <w:rPr>
                <w:kern w:val="0"/>
                <w:sz w:val="18"/>
                <w:szCs w:val="18"/>
              </w:rPr>
              <w:t>Simpson</w:t>
            </w:r>
            <w:r>
              <w:rPr>
                <w:kern w:val="0"/>
                <w:sz w:val="18"/>
                <w:szCs w:val="18"/>
              </w:rPr>
              <w:t>指数</w:t>
            </w:r>
          </w:p>
        </w:tc>
        <w:tc>
          <w:tcPr>
            <w:tcW w:w="1149" w:type="pct"/>
            <w:tcBorders>
              <w:left w:val="nil"/>
              <w:right w:val="nil"/>
            </w:tcBorders>
            <w:vAlign w:val="center"/>
          </w:tcPr>
          <w:p w14:paraId="68AAAE07" w14:textId="77777777" w:rsidR="00891A2A" w:rsidRDefault="00000000">
            <w:pPr>
              <w:jc w:val="center"/>
              <w:rPr>
                <w:kern w:val="0"/>
                <w:sz w:val="18"/>
                <w:szCs w:val="18"/>
              </w:rPr>
            </w:pPr>
            <w:proofErr w:type="spellStart"/>
            <w:r>
              <w:rPr>
                <w:kern w:val="0"/>
                <w:sz w:val="18"/>
                <w:szCs w:val="18"/>
              </w:rPr>
              <w:t>Pielou</w:t>
            </w:r>
            <w:proofErr w:type="spellEnd"/>
            <w:r>
              <w:rPr>
                <w:kern w:val="0"/>
                <w:sz w:val="18"/>
                <w:szCs w:val="18"/>
              </w:rPr>
              <w:t>指数</w:t>
            </w:r>
          </w:p>
        </w:tc>
      </w:tr>
      <w:tr w:rsidR="00891A2A" w14:paraId="1D13C1C0" w14:textId="77777777">
        <w:trPr>
          <w:trHeight w:val="170"/>
        </w:trPr>
        <w:tc>
          <w:tcPr>
            <w:tcW w:w="413" w:type="pct"/>
            <w:vMerge w:val="restart"/>
            <w:tcBorders>
              <w:left w:val="nil"/>
              <w:bottom w:val="nil"/>
              <w:right w:val="nil"/>
            </w:tcBorders>
            <w:vAlign w:val="center"/>
          </w:tcPr>
          <w:p w14:paraId="06F79166" w14:textId="77777777" w:rsidR="00891A2A" w:rsidRDefault="00000000">
            <w:pPr>
              <w:jc w:val="center"/>
              <w:rPr>
                <w:kern w:val="0"/>
                <w:sz w:val="18"/>
                <w:szCs w:val="18"/>
              </w:rPr>
            </w:pPr>
            <w:r>
              <w:rPr>
                <w:kern w:val="0"/>
                <w:sz w:val="18"/>
                <w:szCs w:val="18"/>
              </w:rPr>
              <w:t>兰西</w:t>
            </w:r>
          </w:p>
        </w:tc>
        <w:tc>
          <w:tcPr>
            <w:tcW w:w="413" w:type="pct"/>
            <w:tcBorders>
              <w:left w:val="nil"/>
              <w:bottom w:val="nil"/>
              <w:right w:val="nil"/>
            </w:tcBorders>
            <w:vAlign w:val="center"/>
          </w:tcPr>
          <w:p w14:paraId="6291B345" w14:textId="77777777" w:rsidR="00891A2A" w:rsidRDefault="00000000">
            <w:pPr>
              <w:jc w:val="center"/>
              <w:rPr>
                <w:kern w:val="0"/>
                <w:sz w:val="18"/>
                <w:szCs w:val="18"/>
              </w:rPr>
            </w:pPr>
            <w:r>
              <w:rPr>
                <w:kern w:val="0"/>
                <w:sz w:val="18"/>
                <w:szCs w:val="18"/>
              </w:rPr>
              <w:t>CK</w:t>
            </w:r>
          </w:p>
        </w:tc>
        <w:tc>
          <w:tcPr>
            <w:tcW w:w="973" w:type="pct"/>
            <w:tcBorders>
              <w:left w:val="nil"/>
              <w:bottom w:val="nil"/>
              <w:right w:val="nil"/>
            </w:tcBorders>
            <w:vAlign w:val="center"/>
          </w:tcPr>
          <w:p w14:paraId="0A974745" w14:textId="77777777" w:rsidR="00891A2A" w:rsidRDefault="00000000">
            <w:pPr>
              <w:jc w:val="center"/>
              <w:rPr>
                <w:kern w:val="0"/>
                <w:sz w:val="18"/>
                <w:szCs w:val="18"/>
              </w:rPr>
            </w:pPr>
            <w:r>
              <w:rPr>
                <w:kern w:val="0"/>
                <w:sz w:val="18"/>
                <w:szCs w:val="18"/>
              </w:rPr>
              <w:t>0.18±0.12</w:t>
            </w:r>
          </w:p>
        </w:tc>
        <w:tc>
          <w:tcPr>
            <w:tcW w:w="1096" w:type="pct"/>
            <w:tcBorders>
              <w:left w:val="nil"/>
              <w:bottom w:val="nil"/>
              <w:right w:val="nil"/>
            </w:tcBorders>
            <w:vAlign w:val="center"/>
          </w:tcPr>
          <w:p w14:paraId="6895D670" w14:textId="77777777" w:rsidR="00891A2A" w:rsidRDefault="00000000">
            <w:pPr>
              <w:jc w:val="center"/>
              <w:rPr>
                <w:kern w:val="0"/>
                <w:sz w:val="18"/>
                <w:szCs w:val="18"/>
              </w:rPr>
            </w:pPr>
            <w:r>
              <w:rPr>
                <w:kern w:val="0"/>
                <w:sz w:val="18"/>
                <w:szCs w:val="18"/>
              </w:rPr>
              <w:t>0.47±0.30</w:t>
            </w:r>
          </w:p>
        </w:tc>
        <w:tc>
          <w:tcPr>
            <w:tcW w:w="954" w:type="pct"/>
            <w:tcBorders>
              <w:left w:val="nil"/>
              <w:bottom w:val="nil"/>
              <w:right w:val="nil"/>
            </w:tcBorders>
            <w:vAlign w:val="center"/>
          </w:tcPr>
          <w:p w14:paraId="5750859D" w14:textId="77777777" w:rsidR="00891A2A" w:rsidRDefault="00000000">
            <w:pPr>
              <w:jc w:val="center"/>
              <w:rPr>
                <w:kern w:val="0"/>
                <w:sz w:val="18"/>
                <w:szCs w:val="18"/>
              </w:rPr>
            </w:pPr>
            <w:r>
              <w:rPr>
                <w:kern w:val="0"/>
                <w:sz w:val="18"/>
                <w:szCs w:val="18"/>
              </w:rPr>
              <w:t>0.29±0.18</w:t>
            </w:r>
          </w:p>
        </w:tc>
        <w:tc>
          <w:tcPr>
            <w:tcW w:w="1149" w:type="pct"/>
            <w:tcBorders>
              <w:left w:val="nil"/>
              <w:bottom w:val="nil"/>
              <w:right w:val="nil"/>
            </w:tcBorders>
            <w:vAlign w:val="center"/>
          </w:tcPr>
          <w:p w14:paraId="4722CCB3" w14:textId="77777777" w:rsidR="00891A2A" w:rsidRDefault="00000000">
            <w:pPr>
              <w:jc w:val="center"/>
              <w:rPr>
                <w:kern w:val="0"/>
                <w:sz w:val="18"/>
                <w:szCs w:val="18"/>
              </w:rPr>
            </w:pPr>
            <w:r>
              <w:rPr>
                <w:kern w:val="0"/>
                <w:sz w:val="18"/>
                <w:szCs w:val="18"/>
              </w:rPr>
              <w:t>0.57±0.33</w:t>
            </w:r>
          </w:p>
        </w:tc>
      </w:tr>
      <w:tr w:rsidR="00891A2A" w14:paraId="79BAFDEB" w14:textId="77777777">
        <w:trPr>
          <w:trHeight w:val="170"/>
        </w:trPr>
        <w:tc>
          <w:tcPr>
            <w:tcW w:w="413" w:type="pct"/>
            <w:vMerge/>
            <w:tcBorders>
              <w:top w:val="nil"/>
              <w:left w:val="nil"/>
              <w:bottom w:val="nil"/>
              <w:right w:val="nil"/>
            </w:tcBorders>
            <w:vAlign w:val="center"/>
          </w:tcPr>
          <w:p w14:paraId="19FCAA9C" w14:textId="77777777" w:rsidR="00891A2A" w:rsidRDefault="00891A2A">
            <w:pPr>
              <w:jc w:val="center"/>
              <w:rPr>
                <w:kern w:val="0"/>
                <w:sz w:val="18"/>
                <w:szCs w:val="18"/>
              </w:rPr>
            </w:pPr>
          </w:p>
        </w:tc>
        <w:tc>
          <w:tcPr>
            <w:tcW w:w="413" w:type="pct"/>
            <w:tcBorders>
              <w:top w:val="nil"/>
              <w:left w:val="nil"/>
              <w:bottom w:val="nil"/>
              <w:right w:val="nil"/>
            </w:tcBorders>
            <w:vAlign w:val="center"/>
          </w:tcPr>
          <w:p w14:paraId="0D29DD92" w14:textId="77777777" w:rsidR="00891A2A" w:rsidRDefault="00000000">
            <w:pPr>
              <w:jc w:val="center"/>
              <w:rPr>
                <w:kern w:val="0"/>
                <w:sz w:val="18"/>
                <w:szCs w:val="18"/>
              </w:rPr>
            </w:pPr>
            <w:r>
              <w:rPr>
                <w:kern w:val="0"/>
                <w:sz w:val="18"/>
                <w:szCs w:val="18"/>
              </w:rPr>
              <w:t>L1</w:t>
            </w:r>
          </w:p>
        </w:tc>
        <w:tc>
          <w:tcPr>
            <w:tcW w:w="973" w:type="pct"/>
            <w:tcBorders>
              <w:top w:val="nil"/>
              <w:left w:val="nil"/>
              <w:bottom w:val="nil"/>
              <w:right w:val="nil"/>
            </w:tcBorders>
            <w:vAlign w:val="center"/>
          </w:tcPr>
          <w:p w14:paraId="1A25D4AD" w14:textId="77777777" w:rsidR="00891A2A" w:rsidRDefault="00000000">
            <w:pPr>
              <w:jc w:val="center"/>
              <w:rPr>
                <w:kern w:val="0"/>
                <w:sz w:val="18"/>
                <w:szCs w:val="18"/>
              </w:rPr>
            </w:pPr>
            <w:r>
              <w:rPr>
                <w:kern w:val="0"/>
                <w:sz w:val="18"/>
                <w:szCs w:val="18"/>
              </w:rPr>
              <w:t>0.04±0.07</w:t>
            </w:r>
          </w:p>
        </w:tc>
        <w:tc>
          <w:tcPr>
            <w:tcW w:w="1096" w:type="pct"/>
            <w:tcBorders>
              <w:top w:val="nil"/>
              <w:left w:val="nil"/>
              <w:bottom w:val="nil"/>
              <w:right w:val="nil"/>
            </w:tcBorders>
            <w:vAlign w:val="center"/>
          </w:tcPr>
          <w:p w14:paraId="385CB1E3" w14:textId="77777777" w:rsidR="00891A2A" w:rsidRDefault="00000000">
            <w:pPr>
              <w:jc w:val="center"/>
              <w:rPr>
                <w:kern w:val="0"/>
                <w:sz w:val="18"/>
                <w:szCs w:val="18"/>
              </w:rPr>
            </w:pPr>
            <w:r>
              <w:rPr>
                <w:kern w:val="0"/>
                <w:sz w:val="18"/>
                <w:szCs w:val="18"/>
              </w:rPr>
              <w:t>0.12±0.21</w:t>
            </w:r>
          </w:p>
        </w:tc>
        <w:tc>
          <w:tcPr>
            <w:tcW w:w="954" w:type="pct"/>
            <w:tcBorders>
              <w:top w:val="nil"/>
              <w:left w:val="nil"/>
              <w:bottom w:val="nil"/>
              <w:right w:val="nil"/>
            </w:tcBorders>
            <w:vAlign w:val="center"/>
          </w:tcPr>
          <w:p w14:paraId="57211E6A" w14:textId="77777777" w:rsidR="00891A2A" w:rsidRDefault="00000000">
            <w:pPr>
              <w:jc w:val="center"/>
              <w:rPr>
                <w:kern w:val="0"/>
                <w:sz w:val="18"/>
                <w:szCs w:val="18"/>
              </w:rPr>
            </w:pPr>
            <w:r>
              <w:rPr>
                <w:kern w:val="0"/>
                <w:sz w:val="18"/>
                <w:szCs w:val="18"/>
              </w:rPr>
              <w:t>0.08±0.13</w:t>
            </w:r>
          </w:p>
        </w:tc>
        <w:tc>
          <w:tcPr>
            <w:tcW w:w="1149" w:type="pct"/>
            <w:tcBorders>
              <w:top w:val="nil"/>
              <w:left w:val="nil"/>
              <w:bottom w:val="nil"/>
              <w:right w:val="nil"/>
            </w:tcBorders>
            <w:vAlign w:val="center"/>
          </w:tcPr>
          <w:p w14:paraId="2C98B741" w14:textId="77777777" w:rsidR="00891A2A" w:rsidRDefault="00000000">
            <w:pPr>
              <w:jc w:val="center"/>
              <w:rPr>
                <w:kern w:val="0"/>
                <w:sz w:val="18"/>
                <w:szCs w:val="18"/>
              </w:rPr>
            </w:pPr>
            <w:r>
              <w:rPr>
                <w:kern w:val="0"/>
                <w:sz w:val="18"/>
                <w:szCs w:val="18"/>
              </w:rPr>
              <w:t>0.18±0.31</w:t>
            </w:r>
          </w:p>
        </w:tc>
      </w:tr>
      <w:tr w:rsidR="00891A2A" w14:paraId="7679D1E1" w14:textId="77777777">
        <w:trPr>
          <w:trHeight w:val="170"/>
        </w:trPr>
        <w:tc>
          <w:tcPr>
            <w:tcW w:w="413" w:type="pct"/>
            <w:vMerge/>
            <w:tcBorders>
              <w:top w:val="nil"/>
              <w:left w:val="nil"/>
              <w:bottom w:val="nil"/>
              <w:right w:val="nil"/>
            </w:tcBorders>
            <w:vAlign w:val="center"/>
          </w:tcPr>
          <w:p w14:paraId="15AC2140" w14:textId="77777777" w:rsidR="00891A2A" w:rsidRDefault="00891A2A">
            <w:pPr>
              <w:jc w:val="center"/>
              <w:rPr>
                <w:kern w:val="0"/>
                <w:sz w:val="18"/>
                <w:szCs w:val="18"/>
              </w:rPr>
            </w:pPr>
          </w:p>
        </w:tc>
        <w:tc>
          <w:tcPr>
            <w:tcW w:w="413" w:type="pct"/>
            <w:tcBorders>
              <w:top w:val="nil"/>
              <w:left w:val="nil"/>
              <w:bottom w:val="single" w:sz="4" w:space="0" w:color="auto"/>
              <w:right w:val="nil"/>
            </w:tcBorders>
            <w:vAlign w:val="center"/>
          </w:tcPr>
          <w:p w14:paraId="078457EA" w14:textId="77777777" w:rsidR="00891A2A" w:rsidRDefault="00000000">
            <w:pPr>
              <w:jc w:val="center"/>
              <w:rPr>
                <w:kern w:val="0"/>
                <w:sz w:val="18"/>
                <w:szCs w:val="18"/>
              </w:rPr>
            </w:pPr>
            <w:r>
              <w:rPr>
                <w:kern w:val="0"/>
                <w:sz w:val="18"/>
                <w:szCs w:val="18"/>
              </w:rPr>
              <w:t>L2</w:t>
            </w:r>
          </w:p>
        </w:tc>
        <w:tc>
          <w:tcPr>
            <w:tcW w:w="973" w:type="pct"/>
            <w:tcBorders>
              <w:top w:val="nil"/>
              <w:left w:val="nil"/>
              <w:bottom w:val="single" w:sz="4" w:space="0" w:color="auto"/>
              <w:right w:val="nil"/>
            </w:tcBorders>
            <w:vAlign w:val="center"/>
          </w:tcPr>
          <w:p w14:paraId="7B2D604E" w14:textId="77777777" w:rsidR="00891A2A" w:rsidRDefault="00000000">
            <w:pPr>
              <w:jc w:val="center"/>
              <w:rPr>
                <w:kern w:val="0"/>
                <w:sz w:val="18"/>
                <w:szCs w:val="18"/>
              </w:rPr>
            </w:pPr>
            <w:r>
              <w:rPr>
                <w:kern w:val="0"/>
                <w:sz w:val="18"/>
                <w:szCs w:val="18"/>
              </w:rPr>
              <w:t>0.13±0.07</w:t>
            </w:r>
          </w:p>
        </w:tc>
        <w:tc>
          <w:tcPr>
            <w:tcW w:w="1096" w:type="pct"/>
            <w:tcBorders>
              <w:top w:val="nil"/>
              <w:left w:val="nil"/>
              <w:bottom w:val="single" w:sz="4" w:space="0" w:color="auto"/>
              <w:right w:val="nil"/>
            </w:tcBorders>
            <w:vAlign w:val="center"/>
          </w:tcPr>
          <w:p w14:paraId="16D4884D" w14:textId="77777777" w:rsidR="00891A2A" w:rsidRDefault="00000000">
            <w:pPr>
              <w:jc w:val="center"/>
              <w:rPr>
                <w:kern w:val="0"/>
                <w:sz w:val="18"/>
                <w:szCs w:val="18"/>
              </w:rPr>
            </w:pPr>
            <w:r>
              <w:rPr>
                <w:kern w:val="0"/>
                <w:sz w:val="18"/>
                <w:szCs w:val="18"/>
              </w:rPr>
              <w:t>0.36±0.21</w:t>
            </w:r>
          </w:p>
        </w:tc>
        <w:tc>
          <w:tcPr>
            <w:tcW w:w="954" w:type="pct"/>
            <w:tcBorders>
              <w:top w:val="nil"/>
              <w:left w:val="nil"/>
              <w:bottom w:val="single" w:sz="4" w:space="0" w:color="auto"/>
              <w:right w:val="nil"/>
            </w:tcBorders>
            <w:vAlign w:val="center"/>
          </w:tcPr>
          <w:p w14:paraId="727D9E1A" w14:textId="77777777" w:rsidR="00891A2A" w:rsidRDefault="00000000">
            <w:pPr>
              <w:jc w:val="center"/>
              <w:rPr>
                <w:kern w:val="0"/>
                <w:sz w:val="18"/>
                <w:szCs w:val="18"/>
              </w:rPr>
            </w:pPr>
            <w:r>
              <w:rPr>
                <w:kern w:val="0"/>
                <w:sz w:val="18"/>
                <w:szCs w:val="18"/>
              </w:rPr>
              <w:t>0.23±0.13</w:t>
            </w:r>
          </w:p>
        </w:tc>
        <w:tc>
          <w:tcPr>
            <w:tcW w:w="1149" w:type="pct"/>
            <w:tcBorders>
              <w:top w:val="nil"/>
              <w:left w:val="nil"/>
              <w:bottom w:val="single" w:sz="4" w:space="0" w:color="auto"/>
              <w:right w:val="nil"/>
            </w:tcBorders>
            <w:vAlign w:val="center"/>
          </w:tcPr>
          <w:p w14:paraId="58274B1F" w14:textId="77777777" w:rsidR="00891A2A" w:rsidRDefault="00000000">
            <w:pPr>
              <w:jc w:val="center"/>
              <w:rPr>
                <w:kern w:val="0"/>
                <w:sz w:val="18"/>
                <w:szCs w:val="18"/>
              </w:rPr>
            </w:pPr>
            <w:r>
              <w:rPr>
                <w:kern w:val="0"/>
                <w:sz w:val="18"/>
                <w:szCs w:val="18"/>
              </w:rPr>
              <w:t>0.52±0.30</w:t>
            </w:r>
          </w:p>
        </w:tc>
      </w:tr>
      <w:tr w:rsidR="00891A2A" w14:paraId="538DA520" w14:textId="77777777">
        <w:trPr>
          <w:trHeight w:val="170"/>
        </w:trPr>
        <w:tc>
          <w:tcPr>
            <w:tcW w:w="413" w:type="pct"/>
            <w:vMerge w:val="restart"/>
            <w:tcBorders>
              <w:top w:val="nil"/>
              <w:left w:val="nil"/>
              <w:bottom w:val="nil"/>
              <w:right w:val="nil"/>
            </w:tcBorders>
            <w:vAlign w:val="center"/>
          </w:tcPr>
          <w:p w14:paraId="3A759AFA" w14:textId="77777777" w:rsidR="00891A2A" w:rsidRDefault="00000000">
            <w:pPr>
              <w:jc w:val="center"/>
              <w:rPr>
                <w:kern w:val="0"/>
                <w:sz w:val="18"/>
                <w:szCs w:val="18"/>
              </w:rPr>
            </w:pPr>
            <w:r>
              <w:rPr>
                <w:kern w:val="0"/>
                <w:sz w:val="18"/>
                <w:szCs w:val="18"/>
              </w:rPr>
              <w:t>大安</w:t>
            </w:r>
          </w:p>
        </w:tc>
        <w:tc>
          <w:tcPr>
            <w:tcW w:w="413" w:type="pct"/>
            <w:tcBorders>
              <w:top w:val="single" w:sz="4" w:space="0" w:color="auto"/>
              <w:left w:val="nil"/>
              <w:bottom w:val="nil"/>
              <w:right w:val="nil"/>
            </w:tcBorders>
            <w:vAlign w:val="center"/>
          </w:tcPr>
          <w:p w14:paraId="4CC73493" w14:textId="77777777" w:rsidR="00891A2A" w:rsidRDefault="00000000">
            <w:pPr>
              <w:jc w:val="center"/>
              <w:rPr>
                <w:kern w:val="0"/>
                <w:sz w:val="18"/>
                <w:szCs w:val="18"/>
              </w:rPr>
            </w:pPr>
            <w:r>
              <w:rPr>
                <w:kern w:val="0"/>
                <w:sz w:val="18"/>
                <w:szCs w:val="18"/>
              </w:rPr>
              <w:t>CK</w:t>
            </w:r>
          </w:p>
        </w:tc>
        <w:tc>
          <w:tcPr>
            <w:tcW w:w="973" w:type="pct"/>
            <w:tcBorders>
              <w:top w:val="single" w:sz="4" w:space="0" w:color="auto"/>
              <w:left w:val="nil"/>
              <w:bottom w:val="nil"/>
              <w:right w:val="nil"/>
            </w:tcBorders>
            <w:vAlign w:val="center"/>
          </w:tcPr>
          <w:p w14:paraId="1138B762" w14:textId="77777777" w:rsidR="00891A2A" w:rsidRDefault="00000000">
            <w:pPr>
              <w:jc w:val="center"/>
              <w:rPr>
                <w:kern w:val="0"/>
                <w:sz w:val="18"/>
                <w:szCs w:val="18"/>
              </w:rPr>
            </w:pPr>
            <w:r>
              <w:rPr>
                <w:kern w:val="0"/>
                <w:sz w:val="18"/>
                <w:szCs w:val="18"/>
              </w:rPr>
              <w:t>0.36±0.20</w:t>
            </w:r>
          </w:p>
        </w:tc>
        <w:tc>
          <w:tcPr>
            <w:tcW w:w="1096" w:type="pct"/>
            <w:tcBorders>
              <w:top w:val="single" w:sz="4" w:space="0" w:color="auto"/>
              <w:left w:val="nil"/>
              <w:bottom w:val="nil"/>
              <w:right w:val="nil"/>
            </w:tcBorders>
            <w:vAlign w:val="center"/>
          </w:tcPr>
          <w:p w14:paraId="47DFE51F" w14:textId="77777777" w:rsidR="00891A2A" w:rsidRDefault="00000000">
            <w:pPr>
              <w:jc w:val="center"/>
              <w:rPr>
                <w:kern w:val="0"/>
                <w:sz w:val="18"/>
                <w:szCs w:val="18"/>
              </w:rPr>
            </w:pPr>
            <w:r>
              <w:rPr>
                <w:kern w:val="0"/>
                <w:sz w:val="18"/>
                <w:szCs w:val="18"/>
              </w:rPr>
              <w:t>0.88±0.30</w:t>
            </w:r>
          </w:p>
        </w:tc>
        <w:tc>
          <w:tcPr>
            <w:tcW w:w="954" w:type="pct"/>
            <w:tcBorders>
              <w:top w:val="single" w:sz="4" w:space="0" w:color="auto"/>
              <w:left w:val="nil"/>
              <w:bottom w:val="nil"/>
              <w:right w:val="nil"/>
            </w:tcBorders>
            <w:vAlign w:val="center"/>
          </w:tcPr>
          <w:p w14:paraId="7365AAC7" w14:textId="77777777" w:rsidR="00891A2A" w:rsidRDefault="00000000">
            <w:pPr>
              <w:jc w:val="center"/>
              <w:rPr>
                <w:kern w:val="0"/>
                <w:sz w:val="18"/>
                <w:szCs w:val="18"/>
              </w:rPr>
            </w:pPr>
            <w:r>
              <w:rPr>
                <w:kern w:val="0"/>
                <w:sz w:val="18"/>
                <w:szCs w:val="18"/>
              </w:rPr>
              <w:t>0.54±0.14</w:t>
            </w:r>
          </w:p>
        </w:tc>
        <w:tc>
          <w:tcPr>
            <w:tcW w:w="1149" w:type="pct"/>
            <w:tcBorders>
              <w:top w:val="single" w:sz="4" w:space="0" w:color="auto"/>
              <w:left w:val="nil"/>
              <w:bottom w:val="nil"/>
              <w:right w:val="nil"/>
            </w:tcBorders>
            <w:vAlign w:val="center"/>
          </w:tcPr>
          <w:p w14:paraId="1E55904D" w14:textId="77777777" w:rsidR="00891A2A" w:rsidRDefault="00000000">
            <w:pPr>
              <w:jc w:val="center"/>
              <w:rPr>
                <w:kern w:val="0"/>
                <w:sz w:val="18"/>
                <w:szCs w:val="18"/>
              </w:rPr>
            </w:pPr>
            <w:r>
              <w:rPr>
                <w:kern w:val="0"/>
                <w:sz w:val="18"/>
                <w:szCs w:val="18"/>
              </w:rPr>
              <w:t>0.90±0.08</w:t>
            </w:r>
          </w:p>
        </w:tc>
      </w:tr>
      <w:tr w:rsidR="00891A2A" w14:paraId="35AD8FE9" w14:textId="77777777">
        <w:trPr>
          <w:trHeight w:val="170"/>
        </w:trPr>
        <w:tc>
          <w:tcPr>
            <w:tcW w:w="413" w:type="pct"/>
            <w:vMerge/>
            <w:tcBorders>
              <w:top w:val="nil"/>
              <w:left w:val="nil"/>
              <w:bottom w:val="nil"/>
              <w:right w:val="nil"/>
            </w:tcBorders>
            <w:vAlign w:val="center"/>
          </w:tcPr>
          <w:p w14:paraId="7C049D94" w14:textId="77777777" w:rsidR="00891A2A" w:rsidRDefault="00891A2A">
            <w:pPr>
              <w:jc w:val="center"/>
              <w:rPr>
                <w:kern w:val="0"/>
                <w:sz w:val="18"/>
                <w:szCs w:val="18"/>
              </w:rPr>
            </w:pPr>
          </w:p>
        </w:tc>
        <w:tc>
          <w:tcPr>
            <w:tcW w:w="413" w:type="pct"/>
            <w:tcBorders>
              <w:top w:val="nil"/>
              <w:left w:val="nil"/>
              <w:bottom w:val="nil"/>
              <w:right w:val="nil"/>
            </w:tcBorders>
            <w:vAlign w:val="center"/>
          </w:tcPr>
          <w:p w14:paraId="581E389D" w14:textId="77777777" w:rsidR="00891A2A" w:rsidRDefault="00000000">
            <w:pPr>
              <w:jc w:val="center"/>
              <w:rPr>
                <w:kern w:val="0"/>
                <w:sz w:val="18"/>
                <w:szCs w:val="18"/>
              </w:rPr>
            </w:pPr>
            <w:r>
              <w:rPr>
                <w:kern w:val="0"/>
                <w:sz w:val="18"/>
                <w:szCs w:val="18"/>
              </w:rPr>
              <w:t>L1</w:t>
            </w:r>
          </w:p>
        </w:tc>
        <w:tc>
          <w:tcPr>
            <w:tcW w:w="973" w:type="pct"/>
            <w:tcBorders>
              <w:top w:val="nil"/>
              <w:left w:val="nil"/>
              <w:bottom w:val="nil"/>
              <w:right w:val="nil"/>
            </w:tcBorders>
            <w:vAlign w:val="center"/>
          </w:tcPr>
          <w:p w14:paraId="1A6ED6FF" w14:textId="77777777" w:rsidR="00891A2A" w:rsidRDefault="00000000">
            <w:pPr>
              <w:jc w:val="center"/>
              <w:rPr>
                <w:kern w:val="0"/>
                <w:sz w:val="18"/>
                <w:szCs w:val="18"/>
              </w:rPr>
            </w:pPr>
            <w:r>
              <w:rPr>
                <w:kern w:val="0"/>
                <w:sz w:val="18"/>
                <w:szCs w:val="18"/>
              </w:rPr>
              <w:t>0.05±0.08</w:t>
            </w:r>
          </w:p>
        </w:tc>
        <w:tc>
          <w:tcPr>
            <w:tcW w:w="1096" w:type="pct"/>
            <w:tcBorders>
              <w:top w:val="nil"/>
              <w:left w:val="nil"/>
              <w:bottom w:val="nil"/>
              <w:right w:val="nil"/>
            </w:tcBorders>
            <w:vAlign w:val="center"/>
          </w:tcPr>
          <w:p w14:paraId="293AC70F" w14:textId="77777777" w:rsidR="00891A2A" w:rsidRDefault="00000000">
            <w:pPr>
              <w:jc w:val="center"/>
              <w:rPr>
                <w:kern w:val="0"/>
                <w:sz w:val="18"/>
                <w:szCs w:val="18"/>
              </w:rPr>
            </w:pPr>
            <w:r>
              <w:rPr>
                <w:kern w:val="0"/>
                <w:sz w:val="18"/>
                <w:szCs w:val="18"/>
              </w:rPr>
              <w:t>0.16±0.28</w:t>
            </w:r>
          </w:p>
        </w:tc>
        <w:tc>
          <w:tcPr>
            <w:tcW w:w="954" w:type="pct"/>
            <w:tcBorders>
              <w:top w:val="nil"/>
              <w:left w:val="nil"/>
              <w:bottom w:val="nil"/>
              <w:right w:val="nil"/>
            </w:tcBorders>
            <w:vAlign w:val="center"/>
          </w:tcPr>
          <w:p w14:paraId="4EF35CCB" w14:textId="77777777" w:rsidR="00891A2A" w:rsidRDefault="00000000">
            <w:pPr>
              <w:jc w:val="center"/>
              <w:rPr>
                <w:kern w:val="0"/>
                <w:sz w:val="18"/>
                <w:szCs w:val="18"/>
              </w:rPr>
            </w:pPr>
            <w:r>
              <w:rPr>
                <w:kern w:val="0"/>
                <w:sz w:val="18"/>
                <w:szCs w:val="18"/>
              </w:rPr>
              <w:t>0.11±0.20</w:t>
            </w:r>
          </w:p>
        </w:tc>
        <w:tc>
          <w:tcPr>
            <w:tcW w:w="1149" w:type="pct"/>
            <w:tcBorders>
              <w:top w:val="nil"/>
              <w:left w:val="nil"/>
              <w:bottom w:val="nil"/>
              <w:right w:val="nil"/>
            </w:tcBorders>
            <w:vAlign w:val="center"/>
          </w:tcPr>
          <w:p w14:paraId="693BC97C" w14:textId="77777777" w:rsidR="00891A2A" w:rsidRDefault="00000000">
            <w:pPr>
              <w:jc w:val="center"/>
              <w:rPr>
                <w:kern w:val="0"/>
                <w:sz w:val="18"/>
                <w:szCs w:val="18"/>
              </w:rPr>
            </w:pPr>
            <w:r>
              <w:rPr>
                <w:kern w:val="0"/>
                <w:sz w:val="18"/>
                <w:szCs w:val="18"/>
              </w:rPr>
              <w:t>0.23±0.40</w:t>
            </w:r>
          </w:p>
        </w:tc>
      </w:tr>
      <w:tr w:rsidR="00891A2A" w14:paraId="3D545D45" w14:textId="77777777">
        <w:trPr>
          <w:trHeight w:val="170"/>
        </w:trPr>
        <w:tc>
          <w:tcPr>
            <w:tcW w:w="413" w:type="pct"/>
            <w:vMerge/>
            <w:tcBorders>
              <w:top w:val="nil"/>
              <w:left w:val="nil"/>
              <w:right w:val="nil"/>
            </w:tcBorders>
            <w:vAlign w:val="center"/>
          </w:tcPr>
          <w:p w14:paraId="5E76ACC4" w14:textId="77777777" w:rsidR="00891A2A" w:rsidRDefault="00891A2A">
            <w:pPr>
              <w:jc w:val="center"/>
              <w:rPr>
                <w:kern w:val="0"/>
                <w:sz w:val="18"/>
                <w:szCs w:val="18"/>
              </w:rPr>
            </w:pPr>
          </w:p>
        </w:tc>
        <w:tc>
          <w:tcPr>
            <w:tcW w:w="413" w:type="pct"/>
            <w:tcBorders>
              <w:top w:val="nil"/>
              <w:left w:val="nil"/>
              <w:right w:val="nil"/>
            </w:tcBorders>
            <w:vAlign w:val="center"/>
          </w:tcPr>
          <w:p w14:paraId="09CED437" w14:textId="77777777" w:rsidR="00891A2A" w:rsidRDefault="00000000">
            <w:pPr>
              <w:jc w:val="center"/>
              <w:rPr>
                <w:kern w:val="0"/>
                <w:sz w:val="18"/>
                <w:szCs w:val="18"/>
              </w:rPr>
            </w:pPr>
            <w:r>
              <w:rPr>
                <w:kern w:val="0"/>
                <w:sz w:val="18"/>
                <w:szCs w:val="18"/>
              </w:rPr>
              <w:t>L2</w:t>
            </w:r>
          </w:p>
        </w:tc>
        <w:tc>
          <w:tcPr>
            <w:tcW w:w="973" w:type="pct"/>
            <w:tcBorders>
              <w:top w:val="nil"/>
              <w:left w:val="nil"/>
              <w:right w:val="nil"/>
            </w:tcBorders>
            <w:vAlign w:val="center"/>
          </w:tcPr>
          <w:p w14:paraId="5EB002DE" w14:textId="77777777" w:rsidR="00891A2A" w:rsidRDefault="00000000">
            <w:pPr>
              <w:jc w:val="center"/>
              <w:rPr>
                <w:kern w:val="0"/>
                <w:sz w:val="18"/>
                <w:szCs w:val="18"/>
              </w:rPr>
            </w:pPr>
            <w:r>
              <w:rPr>
                <w:kern w:val="0"/>
                <w:sz w:val="18"/>
                <w:szCs w:val="18"/>
              </w:rPr>
              <w:t>0.09±0.09</w:t>
            </w:r>
          </w:p>
        </w:tc>
        <w:tc>
          <w:tcPr>
            <w:tcW w:w="1096" w:type="pct"/>
            <w:tcBorders>
              <w:top w:val="nil"/>
              <w:left w:val="nil"/>
              <w:right w:val="nil"/>
            </w:tcBorders>
            <w:vAlign w:val="center"/>
          </w:tcPr>
          <w:p w14:paraId="216AE407" w14:textId="77777777" w:rsidR="00891A2A" w:rsidRDefault="00000000">
            <w:pPr>
              <w:jc w:val="center"/>
              <w:rPr>
                <w:kern w:val="0"/>
                <w:sz w:val="18"/>
                <w:szCs w:val="18"/>
              </w:rPr>
            </w:pPr>
            <w:r>
              <w:rPr>
                <w:kern w:val="0"/>
                <w:sz w:val="18"/>
                <w:szCs w:val="18"/>
              </w:rPr>
              <w:t>0.32±0.32</w:t>
            </w:r>
          </w:p>
        </w:tc>
        <w:tc>
          <w:tcPr>
            <w:tcW w:w="954" w:type="pct"/>
            <w:tcBorders>
              <w:top w:val="nil"/>
              <w:left w:val="nil"/>
              <w:right w:val="nil"/>
            </w:tcBorders>
            <w:vAlign w:val="center"/>
          </w:tcPr>
          <w:p w14:paraId="1CBAB12B" w14:textId="77777777" w:rsidR="00891A2A" w:rsidRDefault="00000000">
            <w:pPr>
              <w:jc w:val="center"/>
              <w:rPr>
                <w:kern w:val="0"/>
                <w:sz w:val="18"/>
                <w:szCs w:val="18"/>
              </w:rPr>
            </w:pPr>
            <w:r>
              <w:rPr>
                <w:kern w:val="0"/>
                <w:sz w:val="18"/>
                <w:szCs w:val="18"/>
              </w:rPr>
              <w:t>0.23±0.23</w:t>
            </w:r>
          </w:p>
        </w:tc>
        <w:tc>
          <w:tcPr>
            <w:tcW w:w="1149" w:type="pct"/>
            <w:tcBorders>
              <w:top w:val="nil"/>
              <w:left w:val="nil"/>
              <w:right w:val="nil"/>
            </w:tcBorders>
            <w:vAlign w:val="center"/>
          </w:tcPr>
          <w:p w14:paraId="412B832E" w14:textId="77777777" w:rsidR="00891A2A" w:rsidRDefault="00000000">
            <w:pPr>
              <w:jc w:val="center"/>
              <w:rPr>
                <w:kern w:val="0"/>
                <w:sz w:val="18"/>
                <w:szCs w:val="18"/>
              </w:rPr>
            </w:pPr>
            <w:r>
              <w:rPr>
                <w:kern w:val="0"/>
                <w:sz w:val="18"/>
                <w:szCs w:val="18"/>
              </w:rPr>
              <w:t>0.47±0.47</w:t>
            </w:r>
          </w:p>
        </w:tc>
      </w:tr>
    </w:tbl>
    <w:p w14:paraId="688AE692" w14:textId="77777777" w:rsidR="00891A2A" w:rsidRDefault="00000000">
      <w:pPr>
        <w:spacing w:line="360" w:lineRule="auto"/>
        <w:ind w:firstLineChars="200" w:firstLine="480"/>
        <w:rPr>
          <w:sz w:val="24"/>
          <w:szCs w:val="24"/>
        </w:rPr>
      </w:pPr>
      <w:r>
        <w:rPr>
          <w:sz w:val="24"/>
          <w:szCs w:val="24"/>
        </w:rPr>
        <w:t>由表</w:t>
      </w:r>
      <w:r>
        <w:rPr>
          <w:rFonts w:hint="eastAsia"/>
          <w:sz w:val="24"/>
          <w:szCs w:val="24"/>
        </w:rPr>
        <w:t>4</w:t>
      </w:r>
      <w:r>
        <w:rPr>
          <w:sz w:val="24"/>
          <w:szCs w:val="24"/>
        </w:rPr>
        <w:t>可知，兰西</w:t>
      </w:r>
      <w:r>
        <w:rPr>
          <w:sz w:val="24"/>
          <w:szCs w:val="24"/>
        </w:rPr>
        <w:t>L2</w:t>
      </w:r>
      <w:r>
        <w:rPr>
          <w:sz w:val="24"/>
          <w:szCs w:val="24"/>
        </w:rPr>
        <w:t>处理和两地</w:t>
      </w:r>
      <w:r>
        <w:rPr>
          <w:sz w:val="24"/>
          <w:szCs w:val="24"/>
        </w:rPr>
        <w:t>L1</w:t>
      </w:r>
      <w:r>
        <w:rPr>
          <w:sz w:val="24"/>
          <w:szCs w:val="24"/>
        </w:rPr>
        <w:t>处理的土壤有机质、全氮、有效磷、</w:t>
      </w:r>
      <w:proofErr w:type="gramStart"/>
      <w:r>
        <w:rPr>
          <w:sz w:val="24"/>
          <w:szCs w:val="24"/>
        </w:rPr>
        <w:t>速效钾均较</w:t>
      </w:r>
      <w:proofErr w:type="gramEnd"/>
      <w:r>
        <w:rPr>
          <w:sz w:val="24"/>
          <w:szCs w:val="24"/>
        </w:rPr>
        <w:t>对照处理高，兰西</w:t>
      </w:r>
      <w:r>
        <w:rPr>
          <w:sz w:val="24"/>
          <w:szCs w:val="24"/>
        </w:rPr>
        <w:t>L1</w:t>
      </w:r>
      <w:r>
        <w:rPr>
          <w:sz w:val="24"/>
          <w:szCs w:val="24"/>
        </w:rPr>
        <w:t>处理和两地</w:t>
      </w:r>
      <w:r>
        <w:rPr>
          <w:sz w:val="24"/>
          <w:szCs w:val="24"/>
        </w:rPr>
        <w:t>L2</w:t>
      </w:r>
      <w:r>
        <w:rPr>
          <w:sz w:val="24"/>
          <w:szCs w:val="24"/>
        </w:rPr>
        <w:t>处理的水溶性盐总量较对照低。兰西各处理</w:t>
      </w:r>
      <w:r>
        <w:rPr>
          <w:sz w:val="24"/>
          <w:szCs w:val="24"/>
        </w:rPr>
        <w:t>pH</w:t>
      </w:r>
      <w:r>
        <w:rPr>
          <w:sz w:val="24"/>
          <w:szCs w:val="24"/>
        </w:rPr>
        <w:t>均较对照高，大安各处理</w:t>
      </w:r>
      <w:r>
        <w:rPr>
          <w:sz w:val="24"/>
          <w:szCs w:val="24"/>
        </w:rPr>
        <w:t>pH</w:t>
      </w:r>
      <w:r>
        <w:rPr>
          <w:sz w:val="24"/>
          <w:szCs w:val="24"/>
        </w:rPr>
        <w:t>均较对照低。其中兰西</w:t>
      </w:r>
      <w:r>
        <w:rPr>
          <w:sz w:val="24"/>
          <w:szCs w:val="24"/>
        </w:rPr>
        <w:t>L2</w:t>
      </w:r>
      <w:r>
        <w:rPr>
          <w:sz w:val="24"/>
          <w:szCs w:val="24"/>
        </w:rPr>
        <w:t>处理水溶性盐含量较对照下降了</w:t>
      </w:r>
      <w:r>
        <w:rPr>
          <w:sz w:val="24"/>
          <w:szCs w:val="24"/>
        </w:rPr>
        <w:t>63.35 %</w:t>
      </w:r>
      <w:r>
        <w:rPr>
          <w:sz w:val="24"/>
          <w:szCs w:val="24"/>
        </w:rPr>
        <w:t>，土壤有机质、全氮、有效磷、速效钾含量均最高。大安</w:t>
      </w:r>
      <w:r>
        <w:rPr>
          <w:sz w:val="24"/>
          <w:szCs w:val="24"/>
        </w:rPr>
        <w:t>L1</w:t>
      </w:r>
      <w:r>
        <w:rPr>
          <w:sz w:val="24"/>
          <w:szCs w:val="24"/>
        </w:rPr>
        <w:t>处理水溶性盐含量较对照下降了</w:t>
      </w:r>
      <w:r>
        <w:rPr>
          <w:sz w:val="24"/>
          <w:szCs w:val="24"/>
        </w:rPr>
        <w:t>2.68 %</w:t>
      </w:r>
      <w:r>
        <w:rPr>
          <w:sz w:val="24"/>
          <w:szCs w:val="24"/>
        </w:rPr>
        <w:t>，土壤有机质、全氮、有效磷、速效钾含量均最高。</w:t>
      </w:r>
    </w:p>
    <w:p w14:paraId="33BC6C52" w14:textId="77777777" w:rsidR="00891A2A" w:rsidRDefault="00000000">
      <w:pPr>
        <w:jc w:val="center"/>
        <w:rPr>
          <w:sz w:val="18"/>
          <w:szCs w:val="18"/>
        </w:rPr>
      </w:pPr>
      <w:r>
        <w:rPr>
          <w:sz w:val="18"/>
          <w:szCs w:val="18"/>
        </w:rPr>
        <w:t>表</w:t>
      </w:r>
      <w:r>
        <w:rPr>
          <w:sz w:val="18"/>
          <w:szCs w:val="18"/>
        </w:rPr>
        <w:t xml:space="preserve">4 </w:t>
      </w:r>
      <w:r>
        <w:rPr>
          <w:sz w:val="18"/>
          <w:szCs w:val="18"/>
        </w:rPr>
        <w:t>不同处理下土壤理化性质</w:t>
      </w:r>
    </w:p>
    <w:tbl>
      <w:tblPr>
        <w:tblStyle w:val="a6"/>
        <w:tblW w:w="0" w:type="auto"/>
        <w:jc w:val="center"/>
        <w:tblLook w:val="04A0" w:firstRow="1" w:lastRow="0" w:firstColumn="1" w:lastColumn="0" w:noHBand="0" w:noVBand="1"/>
      </w:tblPr>
      <w:tblGrid>
        <w:gridCol w:w="557"/>
        <w:gridCol w:w="565"/>
        <w:gridCol w:w="1588"/>
        <w:gridCol w:w="1436"/>
        <w:gridCol w:w="945"/>
        <w:gridCol w:w="1229"/>
        <w:gridCol w:w="1257"/>
        <w:gridCol w:w="945"/>
      </w:tblGrid>
      <w:tr w:rsidR="00891A2A" w14:paraId="67B28EBF" w14:textId="77777777">
        <w:trPr>
          <w:trHeight w:val="311"/>
          <w:jc w:val="center"/>
        </w:trPr>
        <w:tc>
          <w:tcPr>
            <w:tcW w:w="0" w:type="auto"/>
            <w:tcBorders>
              <w:left w:val="nil"/>
              <w:right w:val="nil"/>
            </w:tcBorders>
            <w:vAlign w:val="center"/>
          </w:tcPr>
          <w:p w14:paraId="5E94543D" w14:textId="77777777" w:rsidR="00891A2A" w:rsidRDefault="00000000">
            <w:pPr>
              <w:jc w:val="center"/>
              <w:rPr>
                <w:kern w:val="0"/>
                <w:sz w:val="24"/>
              </w:rPr>
            </w:pPr>
            <w:r>
              <w:rPr>
                <w:kern w:val="0"/>
                <w:sz w:val="18"/>
                <w:szCs w:val="18"/>
              </w:rPr>
              <w:t>地点</w:t>
            </w:r>
          </w:p>
        </w:tc>
        <w:tc>
          <w:tcPr>
            <w:tcW w:w="0" w:type="auto"/>
            <w:tcBorders>
              <w:left w:val="nil"/>
              <w:right w:val="nil"/>
            </w:tcBorders>
          </w:tcPr>
          <w:p w14:paraId="7B7088D0" w14:textId="77777777" w:rsidR="00891A2A" w:rsidRDefault="00000000">
            <w:pPr>
              <w:jc w:val="center"/>
              <w:rPr>
                <w:kern w:val="0"/>
                <w:sz w:val="18"/>
                <w:szCs w:val="16"/>
              </w:rPr>
            </w:pPr>
            <w:r>
              <w:rPr>
                <w:kern w:val="0"/>
                <w:sz w:val="18"/>
                <w:szCs w:val="16"/>
              </w:rPr>
              <w:t>处理</w:t>
            </w:r>
          </w:p>
        </w:tc>
        <w:tc>
          <w:tcPr>
            <w:tcW w:w="0" w:type="auto"/>
            <w:tcBorders>
              <w:left w:val="nil"/>
              <w:right w:val="nil"/>
            </w:tcBorders>
          </w:tcPr>
          <w:p w14:paraId="273D9FE8" w14:textId="77777777" w:rsidR="00891A2A" w:rsidRDefault="00000000">
            <w:pPr>
              <w:jc w:val="center"/>
              <w:rPr>
                <w:kern w:val="0"/>
                <w:sz w:val="18"/>
                <w:szCs w:val="16"/>
              </w:rPr>
            </w:pPr>
            <w:r>
              <w:rPr>
                <w:kern w:val="0"/>
                <w:sz w:val="18"/>
                <w:szCs w:val="16"/>
              </w:rPr>
              <w:t>水溶性盐总量</w:t>
            </w:r>
            <w:r>
              <w:rPr>
                <w:kern w:val="0"/>
                <w:sz w:val="18"/>
                <w:szCs w:val="16"/>
              </w:rPr>
              <w:t>g/kg</w:t>
            </w:r>
          </w:p>
        </w:tc>
        <w:tc>
          <w:tcPr>
            <w:tcW w:w="0" w:type="auto"/>
            <w:tcBorders>
              <w:left w:val="nil"/>
              <w:right w:val="nil"/>
            </w:tcBorders>
          </w:tcPr>
          <w:p w14:paraId="022C4301" w14:textId="77777777" w:rsidR="00891A2A" w:rsidRDefault="00000000">
            <w:pPr>
              <w:jc w:val="center"/>
              <w:rPr>
                <w:kern w:val="0"/>
                <w:sz w:val="18"/>
                <w:szCs w:val="16"/>
              </w:rPr>
            </w:pPr>
            <w:r>
              <w:rPr>
                <w:kern w:val="0"/>
                <w:sz w:val="18"/>
                <w:szCs w:val="16"/>
              </w:rPr>
              <w:t>土壤有机质</w:t>
            </w:r>
            <w:r>
              <w:rPr>
                <w:kern w:val="0"/>
                <w:sz w:val="18"/>
                <w:szCs w:val="16"/>
              </w:rPr>
              <w:t>g/kg</w:t>
            </w:r>
          </w:p>
        </w:tc>
        <w:tc>
          <w:tcPr>
            <w:tcW w:w="0" w:type="auto"/>
            <w:tcBorders>
              <w:left w:val="nil"/>
              <w:right w:val="nil"/>
            </w:tcBorders>
          </w:tcPr>
          <w:p w14:paraId="771327EB" w14:textId="77777777" w:rsidR="00891A2A" w:rsidRDefault="00000000">
            <w:pPr>
              <w:jc w:val="center"/>
              <w:rPr>
                <w:kern w:val="0"/>
                <w:sz w:val="18"/>
                <w:szCs w:val="16"/>
              </w:rPr>
            </w:pPr>
            <w:r>
              <w:rPr>
                <w:kern w:val="0"/>
                <w:sz w:val="18"/>
                <w:szCs w:val="16"/>
              </w:rPr>
              <w:t>全氮</w:t>
            </w:r>
            <w:r>
              <w:rPr>
                <w:kern w:val="0"/>
                <w:sz w:val="18"/>
                <w:szCs w:val="16"/>
              </w:rPr>
              <w:t>g/kg</w:t>
            </w:r>
          </w:p>
        </w:tc>
        <w:tc>
          <w:tcPr>
            <w:tcW w:w="0" w:type="auto"/>
            <w:tcBorders>
              <w:left w:val="nil"/>
              <w:right w:val="nil"/>
            </w:tcBorders>
          </w:tcPr>
          <w:p w14:paraId="34EF692C" w14:textId="77777777" w:rsidR="00891A2A" w:rsidRDefault="00000000">
            <w:pPr>
              <w:jc w:val="center"/>
              <w:rPr>
                <w:kern w:val="0"/>
                <w:sz w:val="18"/>
                <w:szCs w:val="16"/>
              </w:rPr>
            </w:pPr>
            <w:r>
              <w:rPr>
                <w:kern w:val="0"/>
                <w:sz w:val="18"/>
                <w:szCs w:val="16"/>
              </w:rPr>
              <w:t>有效磷</w:t>
            </w:r>
            <w:r>
              <w:rPr>
                <w:kern w:val="0"/>
                <w:sz w:val="18"/>
                <w:szCs w:val="16"/>
              </w:rPr>
              <w:t>mg/kg</w:t>
            </w:r>
          </w:p>
        </w:tc>
        <w:tc>
          <w:tcPr>
            <w:tcW w:w="0" w:type="auto"/>
            <w:tcBorders>
              <w:left w:val="nil"/>
              <w:right w:val="nil"/>
            </w:tcBorders>
          </w:tcPr>
          <w:p w14:paraId="5FA27EB2" w14:textId="77777777" w:rsidR="00891A2A" w:rsidRDefault="00000000">
            <w:pPr>
              <w:jc w:val="center"/>
              <w:rPr>
                <w:kern w:val="0"/>
                <w:sz w:val="18"/>
                <w:szCs w:val="16"/>
              </w:rPr>
            </w:pPr>
            <w:r>
              <w:rPr>
                <w:kern w:val="0"/>
                <w:sz w:val="18"/>
                <w:szCs w:val="16"/>
              </w:rPr>
              <w:t>速效钾</w:t>
            </w:r>
            <w:r>
              <w:rPr>
                <w:kern w:val="0"/>
                <w:sz w:val="18"/>
                <w:szCs w:val="16"/>
              </w:rPr>
              <w:t>mg/kg</w:t>
            </w:r>
          </w:p>
        </w:tc>
        <w:tc>
          <w:tcPr>
            <w:tcW w:w="0" w:type="auto"/>
            <w:tcBorders>
              <w:left w:val="nil"/>
              <w:right w:val="nil"/>
            </w:tcBorders>
          </w:tcPr>
          <w:p w14:paraId="77E357F7" w14:textId="77777777" w:rsidR="00891A2A" w:rsidRDefault="00000000">
            <w:pPr>
              <w:jc w:val="center"/>
              <w:rPr>
                <w:kern w:val="0"/>
                <w:sz w:val="18"/>
                <w:szCs w:val="16"/>
              </w:rPr>
            </w:pPr>
            <w:r>
              <w:rPr>
                <w:kern w:val="0"/>
                <w:sz w:val="18"/>
                <w:szCs w:val="16"/>
              </w:rPr>
              <w:t>pH</w:t>
            </w:r>
          </w:p>
        </w:tc>
      </w:tr>
      <w:tr w:rsidR="00891A2A" w14:paraId="7421367B" w14:textId="77777777">
        <w:trPr>
          <w:jc w:val="center"/>
        </w:trPr>
        <w:tc>
          <w:tcPr>
            <w:tcW w:w="0" w:type="auto"/>
            <w:vMerge w:val="restart"/>
            <w:tcBorders>
              <w:left w:val="nil"/>
              <w:bottom w:val="nil"/>
              <w:right w:val="nil"/>
            </w:tcBorders>
            <w:vAlign w:val="center"/>
          </w:tcPr>
          <w:p w14:paraId="481B2481" w14:textId="77777777" w:rsidR="00891A2A" w:rsidRDefault="00000000">
            <w:pPr>
              <w:jc w:val="center"/>
              <w:rPr>
                <w:kern w:val="0"/>
                <w:sz w:val="24"/>
              </w:rPr>
            </w:pPr>
            <w:r>
              <w:rPr>
                <w:kern w:val="0"/>
                <w:sz w:val="18"/>
                <w:szCs w:val="18"/>
              </w:rPr>
              <w:t>兰西</w:t>
            </w:r>
          </w:p>
        </w:tc>
        <w:tc>
          <w:tcPr>
            <w:tcW w:w="0" w:type="auto"/>
            <w:tcBorders>
              <w:left w:val="nil"/>
              <w:bottom w:val="nil"/>
              <w:right w:val="nil"/>
            </w:tcBorders>
          </w:tcPr>
          <w:p w14:paraId="54545103" w14:textId="77777777" w:rsidR="00891A2A" w:rsidRDefault="00000000">
            <w:pPr>
              <w:jc w:val="center"/>
              <w:rPr>
                <w:kern w:val="0"/>
                <w:sz w:val="18"/>
                <w:szCs w:val="16"/>
              </w:rPr>
            </w:pPr>
            <w:r>
              <w:rPr>
                <w:kern w:val="0"/>
                <w:sz w:val="18"/>
                <w:szCs w:val="16"/>
              </w:rPr>
              <w:t>CK</w:t>
            </w:r>
          </w:p>
        </w:tc>
        <w:tc>
          <w:tcPr>
            <w:tcW w:w="0" w:type="auto"/>
            <w:tcBorders>
              <w:left w:val="nil"/>
              <w:bottom w:val="nil"/>
              <w:right w:val="nil"/>
            </w:tcBorders>
          </w:tcPr>
          <w:p w14:paraId="41B4CC5D" w14:textId="77777777" w:rsidR="00891A2A" w:rsidRDefault="00000000">
            <w:pPr>
              <w:jc w:val="center"/>
              <w:rPr>
                <w:kern w:val="0"/>
                <w:sz w:val="18"/>
                <w:szCs w:val="16"/>
              </w:rPr>
            </w:pPr>
            <w:r>
              <w:rPr>
                <w:kern w:val="0"/>
                <w:sz w:val="18"/>
                <w:szCs w:val="16"/>
              </w:rPr>
              <w:t>7.53±1.14</w:t>
            </w:r>
          </w:p>
        </w:tc>
        <w:tc>
          <w:tcPr>
            <w:tcW w:w="0" w:type="auto"/>
            <w:tcBorders>
              <w:left w:val="nil"/>
              <w:bottom w:val="nil"/>
              <w:right w:val="nil"/>
            </w:tcBorders>
          </w:tcPr>
          <w:p w14:paraId="5010D151" w14:textId="77777777" w:rsidR="00891A2A" w:rsidRDefault="00000000">
            <w:pPr>
              <w:jc w:val="center"/>
              <w:rPr>
                <w:kern w:val="0"/>
                <w:sz w:val="18"/>
                <w:szCs w:val="16"/>
              </w:rPr>
            </w:pPr>
            <w:r>
              <w:rPr>
                <w:kern w:val="0"/>
                <w:sz w:val="18"/>
                <w:szCs w:val="16"/>
              </w:rPr>
              <w:t>7.36±2.08</w:t>
            </w:r>
          </w:p>
        </w:tc>
        <w:tc>
          <w:tcPr>
            <w:tcW w:w="0" w:type="auto"/>
            <w:tcBorders>
              <w:left w:val="nil"/>
              <w:bottom w:val="nil"/>
              <w:right w:val="nil"/>
            </w:tcBorders>
          </w:tcPr>
          <w:p w14:paraId="303AFFD8" w14:textId="77777777" w:rsidR="00891A2A" w:rsidRDefault="00000000">
            <w:pPr>
              <w:jc w:val="center"/>
              <w:rPr>
                <w:kern w:val="0"/>
                <w:sz w:val="18"/>
                <w:szCs w:val="16"/>
              </w:rPr>
            </w:pPr>
            <w:r>
              <w:rPr>
                <w:kern w:val="0"/>
                <w:sz w:val="18"/>
                <w:szCs w:val="16"/>
              </w:rPr>
              <w:t>0.67±0.24</w:t>
            </w:r>
          </w:p>
        </w:tc>
        <w:tc>
          <w:tcPr>
            <w:tcW w:w="0" w:type="auto"/>
            <w:tcBorders>
              <w:left w:val="nil"/>
              <w:bottom w:val="nil"/>
              <w:right w:val="nil"/>
            </w:tcBorders>
          </w:tcPr>
          <w:p w14:paraId="6275DF21" w14:textId="77777777" w:rsidR="00891A2A" w:rsidRDefault="00000000">
            <w:pPr>
              <w:jc w:val="center"/>
              <w:rPr>
                <w:kern w:val="0"/>
                <w:sz w:val="18"/>
                <w:szCs w:val="16"/>
              </w:rPr>
            </w:pPr>
            <w:r>
              <w:rPr>
                <w:kern w:val="0"/>
                <w:sz w:val="18"/>
                <w:szCs w:val="16"/>
              </w:rPr>
              <w:t>3.50±0.76</w:t>
            </w:r>
          </w:p>
        </w:tc>
        <w:tc>
          <w:tcPr>
            <w:tcW w:w="0" w:type="auto"/>
            <w:tcBorders>
              <w:left w:val="nil"/>
              <w:bottom w:val="nil"/>
              <w:right w:val="nil"/>
            </w:tcBorders>
          </w:tcPr>
          <w:p w14:paraId="5EFDD0C6" w14:textId="77777777" w:rsidR="00891A2A" w:rsidRDefault="00000000">
            <w:pPr>
              <w:jc w:val="center"/>
              <w:rPr>
                <w:kern w:val="0"/>
                <w:sz w:val="18"/>
                <w:szCs w:val="16"/>
              </w:rPr>
            </w:pPr>
            <w:r>
              <w:rPr>
                <w:kern w:val="0"/>
                <w:sz w:val="18"/>
                <w:szCs w:val="16"/>
              </w:rPr>
              <w:t>121.87±4.54</w:t>
            </w:r>
          </w:p>
        </w:tc>
        <w:tc>
          <w:tcPr>
            <w:tcW w:w="0" w:type="auto"/>
            <w:tcBorders>
              <w:left w:val="nil"/>
              <w:bottom w:val="nil"/>
              <w:right w:val="nil"/>
            </w:tcBorders>
          </w:tcPr>
          <w:p w14:paraId="4A3F2953" w14:textId="77777777" w:rsidR="00891A2A" w:rsidRDefault="00000000">
            <w:pPr>
              <w:jc w:val="center"/>
              <w:rPr>
                <w:kern w:val="0"/>
                <w:sz w:val="18"/>
                <w:szCs w:val="16"/>
              </w:rPr>
            </w:pPr>
            <w:r>
              <w:rPr>
                <w:kern w:val="0"/>
                <w:sz w:val="18"/>
                <w:szCs w:val="16"/>
              </w:rPr>
              <w:t>8.77±0.23</w:t>
            </w:r>
          </w:p>
        </w:tc>
      </w:tr>
      <w:tr w:rsidR="00891A2A" w14:paraId="77D4C16B" w14:textId="77777777">
        <w:trPr>
          <w:jc w:val="center"/>
        </w:trPr>
        <w:tc>
          <w:tcPr>
            <w:tcW w:w="0" w:type="auto"/>
            <w:vMerge/>
            <w:tcBorders>
              <w:top w:val="nil"/>
              <w:left w:val="nil"/>
              <w:bottom w:val="nil"/>
              <w:right w:val="nil"/>
            </w:tcBorders>
            <w:vAlign w:val="center"/>
          </w:tcPr>
          <w:p w14:paraId="39340B03" w14:textId="77777777" w:rsidR="00891A2A" w:rsidRDefault="00891A2A">
            <w:pPr>
              <w:jc w:val="center"/>
              <w:rPr>
                <w:kern w:val="0"/>
                <w:sz w:val="18"/>
                <w:szCs w:val="18"/>
              </w:rPr>
            </w:pPr>
          </w:p>
        </w:tc>
        <w:tc>
          <w:tcPr>
            <w:tcW w:w="0" w:type="auto"/>
            <w:tcBorders>
              <w:top w:val="nil"/>
              <w:left w:val="nil"/>
              <w:bottom w:val="nil"/>
              <w:right w:val="nil"/>
            </w:tcBorders>
          </w:tcPr>
          <w:p w14:paraId="1C975586" w14:textId="77777777" w:rsidR="00891A2A" w:rsidRDefault="00000000">
            <w:pPr>
              <w:jc w:val="center"/>
              <w:rPr>
                <w:kern w:val="0"/>
                <w:sz w:val="18"/>
                <w:szCs w:val="16"/>
              </w:rPr>
            </w:pPr>
            <w:r>
              <w:rPr>
                <w:kern w:val="0"/>
                <w:sz w:val="18"/>
                <w:szCs w:val="16"/>
              </w:rPr>
              <w:t>L1</w:t>
            </w:r>
          </w:p>
        </w:tc>
        <w:tc>
          <w:tcPr>
            <w:tcW w:w="0" w:type="auto"/>
            <w:tcBorders>
              <w:top w:val="nil"/>
              <w:left w:val="nil"/>
              <w:bottom w:val="nil"/>
              <w:right w:val="nil"/>
            </w:tcBorders>
          </w:tcPr>
          <w:p w14:paraId="74B8AA94" w14:textId="77777777" w:rsidR="00891A2A" w:rsidRDefault="00000000">
            <w:pPr>
              <w:jc w:val="center"/>
              <w:rPr>
                <w:kern w:val="0"/>
                <w:sz w:val="18"/>
                <w:szCs w:val="16"/>
              </w:rPr>
            </w:pPr>
            <w:r>
              <w:rPr>
                <w:kern w:val="0"/>
                <w:sz w:val="18"/>
                <w:szCs w:val="16"/>
              </w:rPr>
              <w:t>3.18±0.72</w:t>
            </w:r>
          </w:p>
        </w:tc>
        <w:tc>
          <w:tcPr>
            <w:tcW w:w="0" w:type="auto"/>
            <w:tcBorders>
              <w:top w:val="nil"/>
              <w:left w:val="nil"/>
              <w:bottom w:val="nil"/>
              <w:right w:val="nil"/>
            </w:tcBorders>
          </w:tcPr>
          <w:p w14:paraId="6B74D2BE" w14:textId="77777777" w:rsidR="00891A2A" w:rsidRDefault="00000000">
            <w:pPr>
              <w:jc w:val="center"/>
              <w:rPr>
                <w:kern w:val="0"/>
                <w:sz w:val="18"/>
                <w:szCs w:val="16"/>
              </w:rPr>
            </w:pPr>
            <w:r>
              <w:rPr>
                <w:kern w:val="0"/>
                <w:sz w:val="18"/>
                <w:szCs w:val="16"/>
              </w:rPr>
              <w:t>18.23±4.10</w:t>
            </w:r>
          </w:p>
        </w:tc>
        <w:tc>
          <w:tcPr>
            <w:tcW w:w="0" w:type="auto"/>
            <w:tcBorders>
              <w:top w:val="nil"/>
              <w:left w:val="nil"/>
              <w:bottom w:val="nil"/>
              <w:right w:val="nil"/>
            </w:tcBorders>
          </w:tcPr>
          <w:p w14:paraId="7BC5C146" w14:textId="77777777" w:rsidR="00891A2A" w:rsidRDefault="00000000">
            <w:pPr>
              <w:jc w:val="center"/>
              <w:rPr>
                <w:kern w:val="0"/>
                <w:sz w:val="18"/>
                <w:szCs w:val="16"/>
              </w:rPr>
            </w:pPr>
            <w:r>
              <w:rPr>
                <w:kern w:val="0"/>
                <w:sz w:val="18"/>
                <w:szCs w:val="16"/>
              </w:rPr>
              <w:t>1.35±0.43</w:t>
            </w:r>
          </w:p>
        </w:tc>
        <w:tc>
          <w:tcPr>
            <w:tcW w:w="0" w:type="auto"/>
            <w:tcBorders>
              <w:top w:val="nil"/>
              <w:left w:val="nil"/>
              <w:bottom w:val="nil"/>
              <w:right w:val="nil"/>
            </w:tcBorders>
          </w:tcPr>
          <w:p w14:paraId="6C949D2D" w14:textId="77777777" w:rsidR="00891A2A" w:rsidRDefault="00000000">
            <w:pPr>
              <w:jc w:val="center"/>
              <w:rPr>
                <w:kern w:val="0"/>
                <w:sz w:val="18"/>
                <w:szCs w:val="16"/>
              </w:rPr>
            </w:pPr>
            <w:r>
              <w:rPr>
                <w:kern w:val="0"/>
                <w:sz w:val="18"/>
                <w:szCs w:val="16"/>
              </w:rPr>
              <w:t>6.64±3.86</w:t>
            </w:r>
          </w:p>
        </w:tc>
        <w:tc>
          <w:tcPr>
            <w:tcW w:w="0" w:type="auto"/>
            <w:tcBorders>
              <w:top w:val="nil"/>
              <w:left w:val="nil"/>
              <w:bottom w:val="nil"/>
              <w:right w:val="nil"/>
            </w:tcBorders>
          </w:tcPr>
          <w:p w14:paraId="1C5EC634" w14:textId="77777777" w:rsidR="00891A2A" w:rsidRDefault="00000000">
            <w:pPr>
              <w:jc w:val="center"/>
              <w:rPr>
                <w:kern w:val="0"/>
                <w:sz w:val="18"/>
                <w:szCs w:val="16"/>
              </w:rPr>
            </w:pPr>
            <w:r>
              <w:rPr>
                <w:kern w:val="0"/>
                <w:sz w:val="18"/>
                <w:szCs w:val="16"/>
              </w:rPr>
              <w:t>148.98±6.65</w:t>
            </w:r>
          </w:p>
        </w:tc>
        <w:tc>
          <w:tcPr>
            <w:tcW w:w="0" w:type="auto"/>
            <w:tcBorders>
              <w:top w:val="nil"/>
              <w:left w:val="nil"/>
              <w:bottom w:val="nil"/>
              <w:right w:val="nil"/>
            </w:tcBorders>
          </w:tcPr>
          <w:p w14:paraId="7AE6804B" w14:textId="77777777" w:rsidR="00891A2A" w:rsidRDefault="00000000">
            <w:pPr>
              <w:jc w:val="center"/>
              <w:rPr>
                <w:kern w:val="0"/>
                <w:sz w:val="18"/>
                <w:szCs w:val="16"/>
              </w:rPr>
            </w:pPr>
            <w:r>
              <w:rPr>
                <w:kern w:val="0"/>
                <w:sz w:val="18"/>
                <w:szCs w:val="16"/>
              </w:rPr>
              <w:t>9.44±0.35</w:t>
            </w:r>
          </w:p>
        </w:tc>
      </w:tr>
      <w:tr w:rsidR="00891A2A" w14:paraId="1048486A" w14:textId="77777777">
        <w:trPr>
          <w:trHeight w:val="90"/>
          <w:jc w:val="center"/>
        </w:trPr>
        <w:tc>
          <w:tcPr>
            <w:tcW w:w="0" w:type="auto"/>
            <w:vMerge/>
            <w:tcBorders>
              <w:top w:val="nil"/>
              <w:left w:val="nil"/>
              <w:bottom w:val="nil"/>
              <w:right w:val="nil"/>
            </w:tcBorders>
            <w:vAlign w:val="center"/>
          </w:tcPr>
          <w:p w14:paraId="380D0F99" w14:textId="77777777" w:rsidR="00891A2A" w:rsidRDefault="00891A2A">
            <w:pPr>
              <w:jc w:val="center"/>
              <w:rPr>
                <w:kern w:val="0"/>
                <w:sz w:val="18"/>
                <w:szCs w:val="18"/>
              </w:rPr>
            </w:pPr>
          </w:p>
        </w:tc>
        <w:tc>
          <w:tcPr>
            <w:tcW w:w="0" w:type="auto"/>
            <w:tcBorders>
              <w:top w:val="nil"/>
              <w:left w:val="nil"/>
              <w:bottom w:val="nil"/>
              <w:right w:val="nil"/>
            </w:tcBorders>
          </w:tcPr>
          <w:p w14:paraId="681C1F72" w14:textId="77777777" w:rsidR="00891A2A" w:rsidRDefault="00000000">
            <w:pPr>
              <w:jc w:val="center"/>
              <w:rPr>
                <w:kern w:val="0"/>
                <w:sz w:val="18"/>
                <w:szCs w:val="16"/>
              </w:rPr>
            </w:pPr>
            <w:r>
              <w:rPr>
                <w:kern w:val="0"/>
                <w:sz w:val="18"/>
                <w:szCs w:val="16"/>
              </w:rPr>
              <w:t>L2</w:t>
            </w:r>
          </w:p>
        </w:tc>
        <w:tc>
          <w:tcPr>
            <w:tcW w:w="0" w:type="auto"/>
            <w:tcBorders>
              <w:top w:val="nil"/>
              <w:left w:val="nil"/>
              <w:bottom w:val="nil"/>
              <w:right w:val="nil"/>
            </w:tcBorders>
          </w:tcPr>
          <w:p w14:paraId="19EF4177" w14:textId="77777777" w:rsidR="00891A2A" w:rsidRDefault="00000000">
            <w:pPr>
              <w:jc w:val="center"/>
              <w:rPr>
                <w:kern w:val="0"/>
                <w:sz w:val="18"/>
                <w:szCs w:val="16"/>
              </w:rPr>
            </w:pPr>
            <w:r>
              <w:rPr>
                <w:kern w:val="0"/>
                <w:sz w:val="18"/>
                <w:szCs w:val="16"/>
              </w:rPr>
              <w:t>2.76±1.19</w:t>
            </w:r>
          </w:p>
        </w:tc>
        <w:tc>
          <w:tcPr>
            <w:tcW w:w="0" w:type="auto"/>
            <w:tcBorders>
              <w:top w:val="nil"/>
              <w:left w:val="nil"/>
              <w:bottom w:val="nil"/>
              <w:right w:val="nil"/>
            </w:tcBorders>
          </w:tcPr>
          <w:p w14:paraId="0AAF3F09" w14:textId="77777777" w:rsidR="00891A2A" w:rsidRDefault="00000000">
            <w:pPr>
              <w:jc w:val="center"/>
              <w:rPr>
                <w:kern w:val="0"/>
                <w:sz w:val="18"/>
                <w:szCs w:val="16"/>
              </w:rPr>
            </w:pPr>
            <w:r>
              <w:rPr>
                <w:kern w:val="0"/>
                <w:sz w:val="18"/>
                <w:szCs w:val="16"/>
              </w:rPr>
              <w:t>28.91±8.27</w:t>
            </w:r>
          </w:p>
        </w:tc>
        <w:tc>
          <w:tcPr>
            <w:tcW w:w="0" w:type="auto"/>
            <w:tcBorders>
              <w:top w:val="nil"/>
              <w:left w:val="nil"/>
              <w:bottom w:val="nil"/>
              <w:right w:val="nil"/>
            </w:tcBorders>
          </w:tcPr>
          <w:p w14:paraId="0011F6B8" w14:textId="77777777" w:rsidR="00891A2A" w:rsidRDefault="00000000">
            <w:pPr>
              <w:jc w:val="center"/>
              <w:rPr>
                <w:kern w:val="0"/>
                <w:sz w:val="18"/>
                <w:szCs w:val="16"/>
              </w:rPr>
            </w:pPr>
            <w:r>
              <w:rPr>
                <w:kern w:val="0"/>
                <w:sz w:val="18"/>
                <w:szCs w:val="16"/>
              </w:rPr>
              <w:t>1.81±0.57</w:t>
            </w:r>
          </w:p>
        </w:tc>
        <w:tc>
          <w:tcPr>
            <w:tcW w:w="0" w:type="auto"/>
            <w:tcBorders>
              <w:top w:val="nil"/>
              <w:left w:val="nil"/>
              <w:bottom w:val="nil"/>
              <w:right w:val="nil"/>
            </w:tcBorders>
          </w:tcPr>
          <w:p w14:paraId="4C329808" w14:textId="77777777" w:rsidR="00891A2A" w:rsidRDefault="00000000">
            <w:pPr>
              <w:jc w:val="center"/>
              <w:rPr>
                <w:kern w:val="0"/>
                <w:sz w:val="18"/>
                <w:szCs w:val="16"/>
              </w:rPr>
            </w:pPr>
            <w:r>
              <w:rPr>
                <w:kern w:val="0"/>
                <w:sz w:val="18"/>
                <w:szCs w:val="16"/>
              </w:rPr>
              <w:t>7.72±2.81</w:t>
            </w:r>
          </w:p>
        </w:tc>
        <w:tc>
          <w:tcPr>
            <w:tcW w:w="0" w:type="auto"/>
            <w:tcBorders>
              <w:top w:val="nil"/>
              <w:left w:val="nil"/>
              <w:bottom w:val="nil"/>
              <w:right w:val="nil"/>
            </w:tcBorders>
          </w:tcPr>
          <w:p w14:paraId="4BFF44AC" w14:textId="77777777" w:rsidR="00891A2A" w:rsidRDefault="00000000">
            <w:pPr>
              <w:jc w:val="center"/>
              <w:rPr>
                <w:kern w:val="0"/>
                <w:sz w:val="18"/>
                <w:szCs w:val="16"/>
              </w:rPr>
            </w:pPr>
            <w:r>
              <w:rPr>
                <w:kern w:val="0"/>
                <w:sz w:val="18"/>
                <w:szCs w:val="16"/>
              </w:rPr>
              <w:t>201.99±41.19</w:t>
            </w:r>
          </w:p>
        </w:tc>
        <w:tc>
          <w:tcPr>
            <w:tcW w:w="0" w:type="auto"/>
            <w:tcBorders>
              <w:top w:val="nil"/>
              <w:left w:val="nil"/>
              <w:bottom w:val="nil"/>
              <w:right w:val="nil"/>
            </w:tcBorders>
          </w:tcPr>
          <w:p w14:paraId="1AFA52D4" w14:textId="77777777" w:rsidR="00891A2A" w:rsidRDefault="00000000">
            <w:pPr>
              <w:jc w:val="center"/>
              <w:rPr>
                <w:kern w:val="0"/>
                <w:sz w:val="18"/>
                <w:szCs w:val="16"/>
              </w:rPr>
            </w:pPr>
            <w:r>
              <w:rPr>
                <w:kern w:val="0"/>
                <w:sz w:val="18"/>
                <w:szCs w:val="16"/>
              </w:rPr>
              <w:t>8.92±0.50</w:t>
            </w:r>
          </w:p>
        </w:tc>
      </w:tr>
      <w:tr w:rsidR="00891A2A" w14:paraId="619FB5C1" w14:textId="77777777">
        <w:trPr>
          <w:trHeight w:val="90"/>
          <w:jc w:val="center"/>
        </w:trPr>
        <w:tc>
          <w:tcPr>
            <w:tcW w:w="0" w:type="auto"/>
            <w:vMerge w:val="restart"/>
            <w:tcBorders>
              <w:top w:val="nil"/>
              <w:left w:val="nil"/>
              <w:right w:val="nil"/>
            </w:tcBorders>
            <w:vAlign w:val="center"/>
          </w:tcPr>
          <w:p w14:paraId="400EC33B" w14:textId="77777777" w:rsidR="00891A2A" w:rsidRDefault="00000000">
            <w:pPr>
              <w:jc w:val="center"/>
              <w:rPr>
                <w:kern w:val="0"/>
                <w:sz w:val="18"/>
                <w:szCs w:val="18"/>
              </w:rPr>
            </w:pPr>
            <w:r>
              <w:rPr>
                <w:kern w:val="0"/>
                <w:sz w:val="18"/>
                <w:szCs w:val="18"/>
              </w:rPr>
              <w:t>大安</w:t>
            </w:r>
          </w:p>
        </w:tc>
        <w:tc>
          <w:tcPr>
            <w:tcW w:w="0" w:type="auto"/>
            <w:tcBorders>
              <w:top w:val="nil"/>
              <w:left w:val="nil"/>
              <w:bottom w:val="nil"/>
              <w:right w:val="nil"/>
            </w:tcBorders>
          </w:tcPr>
          <w:p w14:paraId="1164752B" w14:textId="77777777" w:rsidR="00891A2A" w:rsidRDefault="00000000">
            <w:pPr>
              <w:jc w:val="center"/>
              <w:rPr>
                <w:kern w:val="0"/>
                <w:sz w:val="18"/>
                <w:szCs w:val="16"/>
              </w:rPr>
            </w:pPr>
            <w:r>
              <w:rPr>
                <w:kern w:val="0"/>
                <w:sz w:val="18"/>
                <w:szCs w:val="16"/>
              </w:rPr>
              <w:t>CK</w:t>
            </w:r>
          </w:p>
        </w:tc>
        <w:tc>
          <w:tcPr>
            <w:tcW w:w="0" w:type="auto"/>
            <w:tcBorders>
              <w:top w:val="nil"/>
              <w:left w:val="nil"/>
              <w:bottom w:val="nil"/>
              <w:right w:val="nil"/>
            </w:tcBorders>
          </w:tcPr>
          <w:p w14:paraId="55EFB814" w14:textId="77777777" w:rsidR="00891A2A" w:rsidRDefault="00000000">
            <w:pPr>
              <w:jc w:val="center"/>
              <w:rPr>
                <w:kern w:val="0"/>
                <w:sz w:val="18"/>
                <w:szCs w:val="16"/>
              </w:rPr>
            </w:pPr>
            <w:r>
              <w:rPr>
                <w:kern w:val="0"/>
                <w:sz w:val="18"/>
                <w:szCs w:val="16"/>
              </w:rPr>
              <w:t>1.15±0.14</w:t>
            </w:r>
          </w:p>
        </w:tc>
        <w:tc>
          <w:tcPr>
            <w:tcW w:w="0" w:type="auto"/>
            <w:tcBorders>
              <w:top w:val="nil"/>
              <w:left w:val="nil"/>
              <w:bottom w:val="nil"/>
              <w:right w:val="nil"/>
            </w:tcBorders>
          </w:tcPr>
          <w:p w14:paraId="6875BFB7" w14:textId="77777777" w:rsidR="00891A2A" w:rsidRDefault="00000000">
            <w:pPr>
              <w:jc w:val="center"/>
              <w:rPr>
                <w:kern w:val="0"/>
                <w:sz w:val="18"/>
                <w:szCs w:val="16"/>
              </w:rPr>
            </w:pPr>
            <w:r>
              <w:rPr>
                <w:kern w:val="0"/>
                <w:sz w:val="18"/>
                <w:szCs w:val="16"/>
              </w:rPr>
              <w:t>20.89±1.66</w:t>
            </w:r>
          </w:p>
        </w:tc>
        <w:tc>
          <w:tcPr>
            <w:tcW w:w="0" w:type="auto"/>
            <w:tcBorders>
              <w:top w:val="nil"/>
              <w:left w:val="nil"/>
              <w:bottom w:val="nil"/>
              <w:right w:val="nil"/>
            </w:tcBorders>
          </w:tcPr>
          <w:p w14:paraId="0848B144" w14:textId="77777777" w:rsidR="00891A2A" w:rsidRDefault="00000000">
            <w:pPr>
              <w:jc w:val="center"/>
              <w:rPr>
                <w:kern w:val="0"/>
                <w:sz w:val="18"/>
                <w:szCs w:val="16"/>
              </w:rPr>
            </w:pPr>
            <w:r>
              <w:rPr>
                <w:kern w:val="0"/>
                <w:sz w:val="18"/>
                <w:szCs w:val="16"/>
              </w:rPr>
              <w:t>1.51±0.17</w:t>
            </w:r>
          </w:p>
        </w:tc>
        <w:tc>
          <w:tcPr>
            <w:tcW w:w="0" w:type="auto"/>
            <w:tcBorders>
              <w:top w:val="nil"/>
              <w:left w:val="nil"/>
              <w:bottom w:val="nil"/>
              <w:right w:val="nil"/>
            </w:tcBorders>
          </w:tcPr>
          <w:p w14:paraId="67C532C0" w14:textId="77777777" w:rsidR="00891A2A" w:rsidRDefault="00000000">
            <w:pPr>
              <w:jc w:val="center"/>
              <w:rPr>
                <w:kern w:val="0"/>
                <w:sz w:val="18"/>
                <w:szCs w:val="16"/>
              </w:rPr>
            </w:pPr>
            <w:r>
              <w:rPr>
                <w:kern w:val="0"/>
                <w:sz w:val="18"/>
                <w:szCs w:val="16"/>
              </w:rPr>
              <w:t>4.02±0.38</w:t>
            </w:r>
          </w:p>
        </w:tc>
        <w:tc>
          <w:tcPr>
            <w:tcW w:w="0" w:type="auto"/>
            <w:tcBorders>
              <w:top w:val="nil"/>
              <w:left w:val="nil"/>
              <w:bottom w:val="nil"/>
              <w:right w:val="nil"/>
            </w:tcBorders>
          </w:tcPr>
          <w:p w14:paraId="1338E0AC" w14:textId="77777777" w:rsidR="00891A2A" w:rsidRDefault="00000000">
            <w:pPr>
              <w:jc w:val="center"/>
              <w:rPr>
                <w:kern w:val="0"/>
                <w:sz w:val="18"/>
                <w:szCs w:val="16"/>
              </w:rPr>
            </w:pPr>
            <w:r>
              <w:rPr>
                <w:kern w:val="0"/>
                <w:sz w:val="18"/>
                <w:szCs w:val="16"/>
              </w:rPr>
              <w:t>119.41±21.67</w:t>
            </w:r>
          </w:p>
        </w:tc>
        <w:tc>
          <w:tcPr>
            <w:tcW w:w="0" w:type="auto"/>
            <w:tcBorders>
              <w:top w:val="nil"/>
              <w:left w:val="nil"/>
              <w:bottom w:val="nil"/>
              <w:right w:val="nil"/>
            </w:tcBorders>
          </w:tcPr>
          <w:p w14:paraId="080FCFB3" w14:textId="77777777" w:rsidR="00891A2A" w:rsidRDefault="00000000">
            <w:pPr>
              <w:jc w:val="center"/>
              <w:rPr>
                <w:kern w:val="0"/>
                <w:sz w:val="18"/>
                <w:szCs w:val="16"/>
              </w:rPr>
            </w:pPr>
            <w:r>
              <w:rPr>
                <w:kern w:val="0"/>
                <w:sz w:val="18"/>
                <w:szCs w:val="16"/>
              </w:rPr>
              <w:t>7.85±0.02</w:t>
            </w:r>
          </w:p>
        </w:tc>
      </w:tr>
      <w:tr w:rsidR="00891A2A" w14:paraId="009D90E6" w14:textId="77777777">
        <w:trPr>
          <w:trHeight w:val="90"/>
          <w:jc w:val="center"/>
        </w:trPr>
        <w:tc>
          <w:tcPr>
            <w:tcW w:w="0" w:type="auto"/>
            <w:vMerge/>
            <w:tcBorders>
              <w:left w:val="nil"/>
              <w:right w:val="nil"/>
            </w:tcBorders>
            <w:vAlign w:val="center"/>
          </w:tcPr>
          <w:p w14:paraId="470CA200" w14:textId="77777777" w:rsidR="00891A2A" w:rsidRDefault="00891A2A">
            <w:pPr>
              <w:jc w:val="center"/>
              <w:rPr>
                <w:kern w:val="0"/>
                <w:sz w:val="18"/>
                <w:szCs w:val="18"/>
              </w:rPr>
            </w:pPr>
          </w:p>
        </w:tc>
        <w:tc>
          <w:tcPr>
            <w:tcW w:w="0" w:type="auto"/>
            <w:tcBorders>
              <w:top w:val="nil"/>
              <w:left w:val="nil"/>
              <w:bottom w:val="nil"/>
              <w:right w:val="nil"/>
            </w:tcBorders>
          </w:tcPr>
          <w:p w14:paraId="4AAFC1A0" w14:textId="77777777" w:rsidR="00891A2A" w:rsidRDefault="00000000">
            <w:pPr>
              <w:jc w:val="center"/>
              <w:rPr>
                <w:kern w:val="0"/>
                <w:sz w:val="18"/>
                <w:szCs w:val="16"/>
              </w:rPr>
            </w:pPr>
            <w:r>
              <w:rPr>
                <w:kern w:val="0"/>
                <w:sz w:val="18"/>
                <w:szCs w:val="16"/>
              </w:rPr>
              <w:t>L1</w:t>
            </w:r>
          </w:p>
        </w:tc>
        <w:tc>
          <w:tcPr>
            <w:tcW w:w="0" w:type="auto"/>
            <w:tcBorders>
              <w:top w:val="nil"/>
              <w:left w:val="nil"/>
              <w:bottom w:val="nil"/>
              <w:right w:val="nil"/>
            </w:tcBorders>
          </w:tcPr>
          <w:p w14:paraId="53A3F8FB" w14:textId="77777777" w:rsidR="00891A2A" w:rsidRDefault="00000000">
            <w:pPr>
              <w:jc w:val="center"/>
              <w:rPr>
                <w:kern w:val="0"/>
                <w:sz w:val="18"/>
                <w:szCs w:val="16"/>
              </w:rPr>
            </w:pPr>
            <w:r>
              <w:rPr>
                <w:kern w:val="0"/>
                <w:sz w:val="18"/>
                <w:szCs w:val="16"/>
              </w:rPr>
              <w:t>1.37±0.71</w:t>
            </w:r>
          </w:p>
        </w:tc>
        <w:tc>
          <w:tcPr>
            <w:tcW w:w="0" w:type="auto"/>
            <w:tcBorders>
              <w:top w:val="nil"/>
              <w:left w:val="nil"/>
              <w:bottom w:val="nil"/>
              <w:right w:val="nil"/>
            </w:tcBorders>
          </w:tcPr>
          <w:p w14:paraId="54939790" w14:textId="77777777" w:rsidR="00891A2A" w:rsidRDefault="00000000">
            <w:pPr>
              <w:jc w:val="center"/>
              <w:rPr>
                <w:kern w:val="0"/>
                <w:sz w:val="18"/>
                <w:szCs w:val="16"/>
              </w:rPr>
            </w:pPr>
            <w:r>
              <w:rPr>
                <w:kern w:val="0"/>
                <w:sz w:val="18"/>
                <w:szCs w:val="16"/>
              </w:rPr>
              <w:t>23.49±3.23</w:t>
            </w:r>
          </w:p>
        </w:tc>
        <w:tc>
          <w:tcPr>
            <w:tcW w:w="0" w:type="auto"/>
            <w:tcBorders>
              <w:top w:val="nil"/>
              <w:left w:val="nil"/>
              <w:bottom w:val="nil"/>
              <w:right w:val="nil"/>
            </w:tcBorders>
          </w:tcPr>
          <w:p w14:paraId="3D2A5C1C" w14:textId="77777777" w:rsidR="00891A2A" w:rsidRDefault="00000000">
            <w:pPr>
              <w:jc w:val="center"/>
              <w:rPr>
                <w:kern w:val="0"/>
                <w:sz w:val="18"/>
                <w:szCs w:val="16"/>
              </w:rPr>
            </w:pPr>
            <w:r>
              <w:rPr>
                <w:kern w:val="0"/>
                <w:sz w:val="18"/>
                <w:szCs w:val="16"/>
              </w:rPr>
              <w:t>1.70±0.23</w:t>
            </w:r>
          </w:p>
        </w:tc>
        <w:tc>
          <w:tcPr>
            <w:tcW w:w="0" w:type="auto"/>
            <w:tcBorders>
              <w:top w:val="nil"/>
              <w:left w:val="nil"/>
              <w:bottom w:val="nil"/>
              <w:right w:val="nil"/>
            </w:tcBorders>
          </w:tcPr>
          <w:p w14:paraId="1D1C6E1F" w14:textId="77777777" w:rsidR="00891A2A" w:rsidRDefault="00000000">
            <w:pPr>
              <w:jc w:val="center"/>
              <w:rPr>
                <w:kern w:val="0"/>
                <w:sz w:val="18"/>
                <w:szCs w:val="16"/>
              </w:rPr>
            </w:pPr>
            <w:r>
              <w:rPr>
                <w:kern w:val="0"/>
                <w:sz w:val="18"/>
                <w:szCs w:val="16"/>
              </w:rPr>
              <w:t>7.72±4.27</w:t>
            </w:r>
          </w:p>
        </w:tc>
        <w:tc>
          <w:tcPr>
            <w:tcW w:w="0" w:type="auto"/>
            <w:tcBorders>
              <w:top w:val="nil"/>
              <w:left w:val="nil"/>
              <w:bottom w:val="nil"/>
              <w:right w:val="nil"/>
            </w:tcBorders>
          </w:tcPr>
          <w:p w14:paraId="66B96DD5" w14:textId="77777777" w:rsidR="00891A2A" w:rsidRDefault="00000000">
            <w:pPr>
              <w:jc w:val="center"/>
              <w:rPr>
                <w:kern w:val="0"/>
                <w:sz w:val="18"/>
                <w:szCs w:val="16"/>
              </w:rPr>
            </w:pPr>
            <w:r>
              <w:rPr>
                <w:kern w:val="0"/>
                <w:sz w:val="18"/>
                <w:szCs w:val="16"/>
              </w:rPr>
              <w:t>142.95±31.76</w:t>
            </w:r>
          </w:p>
        </w:tc>
        <w:tc>
          <w:tcPr>
            <w:tcW w:w="0" w:type="auto"/>
            <w:tcBorders>
              <w:top w:val="nil"/>
              <w:left w:val="nil"/>
              <w:bottom w:val="nil"/>
              <w:right w:val="nil"/>
            </w:tcBorders>
          </w:tcPr>
          <w:p w14:paraId="72B764A9" w14:textId="77777777" w:rsidR="00891A2A" w:rsidRDefault="00000000">
            <w:pPr>
              <w:jc w:val="center"/>
              <w:rPr>
                <w:kern w:val="0"/>
                <w:sz w:val="18"/>
                <w:szCs w:val="16"/>
              </w:rPr>
            </w:pPr>
            <w:r>
              <w:rPr>
                <w:kern w:val="0"/>
                <w:sz w:val="18"/>
                <w:szCs w:val="16"/>
              </w:rPr>
              <w:t>7.62±0.19</w:t>
            </w:r>
          </w:p>
        </w:tc>
      </w:tr>
      <w:tr w:rsidR="00891A2A" w14:paraId="32CFAD56" w14:textId="77777777">
        <w:trPr>
          <w:trHeight w:val="90"/>
          <w:jc w:val="center"/>
        </w:trPr>
        <w:tc>
          <w:tcPr>
            <w:tcW w:w="0" w:type="auto"/>
            <w:vMerge/>
            <w:tcBorders>
              <w:left w:val="nil"/>
              <w:right w:val="nil"/>
            </w:tcBorders>
            <w:vAlign w:val="center"/>
          </w:tcPr>
          <w:p w14:paraId="37CC7171" w14:textId="77777777" w:rsidR="00891A2A" w:rsidRDefault="00891A2A">
            <w:pPr>
              <w:jc w:val="center"/>
              <w:rPr>
                <w:kern w:val="0"/>
                <w:sz w:val="18"/>
                <w:szCs w:val="18"/>
              </w:rPr>
            </w:pPr>
          </w:p>
        </w:tc>
        <w:tc>
          <w:tcPr>
            <w:tcW w:w="0" w:type="auto"/>
            <w:tcBorders>
              <w:top w:val="nil"/>
              <w:left w:val="nil"/>
              <w:right w:val="nil"/>
            </w:tcBorders>
          </w:tcPr>
          <w:p w14:paraId="3928C422" w14:textId="77777777" w:rsidR="00891A2A" w:rsidRDefault="00000000">
            <w:pPr>
              <w:jc w:val="center"/>
              <w:rPr>
                <w:kern w:val="0"/>
                <w:sz w:val="18"/>
                <w:szCs w:val="16"/>
              </w:rPr>
            </w:pPr>
            <w:r>
              <w:rPr>
                <w:kern w:val="0"/>
                <w:sz w:val="18"/>
                <w:szCs w:val="16"/>
              </w:rPr>
              <w:t>L2</w:t>
            </w:r>
          </w:p>
        </w:tc>
        <w:tc>
          <w:tcPr>
            <w:tcW w:w="0" w:type="auto"/>
            <w:tcBorders>
              <w:top w:val="nil"/>
              <w:left w:val="nil"/>
              <w:right w:val="nil"/>
            </w:tcBorders>
          </w:tcPr>
          <w:p w14:paraId="6BF9279D" w14:textId="77777777" w:rsidR="00891A2A" w:rsidRDefault="00000000">
            <w:pPr>
              <w:jc w:val="center"/>
              <w:rPr>
                <w:kern w:val="0"/>
                <w:sz w:val="18"/>
                <w:szCs w:val="16"/>
              </w:rPr>
            </w:pPr>
            <w:r>
              <w:rPr>
                <w:kern w:val="0"/>
                <w:sz w:val="18"/>
                <w:szCs w:val="16"/>
              </w:rPr>
              <w:t>1.12±0.33</w:t>
            </w:r>
          </w:p>
        </w:tc>
        <w:tc>
          <w:tcPr>
            <w:tcW w:w="0" w:type="auto"/>
            <w:tcBorders>
              <w:top w:val="nil"/>
              <w:left w:val="nil"/>
              <w:right w:val="nil"/>
            </w:tcBorders>
          </w:tcPr>
          <w:p w14:paraId="50719504" w14:textId="77777777" w:rsidR="00891A2A" w:rsidRDefault="00000000">
            <w:pPr>
              <w:jc w:val="center"/>
              <w:rPr>
                <w:kern w:val="0"/>
                <w:sz w:val="18"/>
                <w:szCs w:val="16"/>
              </w:rPr>
            </w:pPr>
            <w:r>
              <w:rPr>
                <w:kern w:val="0"/>
                <w:sz w:val="18"/>
                <w:szCs w:val="16"/>
              </w:rPr>
              <w:t>20.78±3.52</w:t>
            </w:r>
          </w:p>
        </w:tc>
        <w:tc>
          <w:tcPr>
            <w:tcW w:w="0" w:type="auto"/>
            <w:tcBorders>
              <w:top w:val="nil"/>
              <w:left w:val="nil"/>
              <w:right w:val="nil"/>
            </w:tcBorders>
          </w:tcPr>
          <w:p w14:paraId="306E9258" w14:textId="77777777" w:rsidR="00891A2A" w:rsidRDefault="00000000">
            <w:pPr>
              <w:jc w:val="center"/>
              <w:rPr>
                <w:kern w:val="0"/>
                <w:sz w:val="18"/>
                <w:szCs w:val="16"/>
              </w:rPr>
            </w:pPr>
            <w:r>
              <w:rPr>
                <w:kern w:val="0"/>
                <w:sz w:val="18"/>
                <w:szCs w:val="16"/>
              </w:rPr>
              <w:t>1.59±0.18</w:t>
            </w:r>
          </w:p>
        </w:tc>
        <w:tc>
          <w:tcPr>
            <w:tcW w:w="0" w:type="auto"/>
            <w:tcBorders>
              <w:top w:val="nil"/>
              <w:left w:val="nil"/>
              <w:right w:val="nil"/>
            </w:tcBorders>
          </w:tcPr>
          <w:p w14:paraId="1CF11648" w14:textId="77777777" w:rsidR="00891A2A" w:rsidRDefault="00000000">
            <w:pPr>
              <w:jc w:val="center"/>
              <w:rPr>
                <w:kern w:val="0"/>
                <w:sz w:val="18"/>
                <w:szCs w:val="16"/>
              </w:rPr>
            </w:pPr>
            <w:r>
              <w:rPr>
                <w:kern w:val="0"/>
                <w:sz w:val="18"/>
                <w:szCs w:val="16"/>
              </w:rPr>
              <w:t>3.87±0.23</w:t>
            </w:r>
          </w:p>
        </w:tc>
        <w:tc>
          <w:tcPr>
            <w:tcW w:w="0" w:type="auto"/>
            <w:tcBorders>
              <w:top w:val="nil"/>
              <w:left w:val="nil"/>
              <w:right w:val="nil"/>
            </w:tcBorders>
          </w:tcPr>
          <w:p w14:paraId="67F0999A" w14:textId="77777777" w:rsidR="00891A2A" w:rsidRDefault="00000000">
            <w:pPr>
              <w:jc w:val="center"/>
              <w:rPr>
                <w:kern w:val="0"/>
                <w:sz w:val="18"/>
                <w:szCs w:val="16"/>
              </w:rPr>
            </w:pPr>
            <w:r>
              <w:rPr>
                <w:kern w:val="0"/>
                <w:sz w:val="18"/>
                <w:szCs w:val="16"/>
              </w:rPr>
              <w:t>118.76±25.87</w:t>
            </w:r>
          </w:p>
        </w:tc>
        <w:tc>
          <w:tcPr>
            <w:tcW w:w="0" w:type="auto"/>
            <w:tcBorders>
              <w:top w:val="nil"/>
              <w:left w:val="nil"/>
              <w:right w:val="nil"/>
            </w:tcBorders>
          </w:tcPr>
          <w:p w14:paraId="144193CC" w14:textId="77777777" w:rsidR="00891A2A" w:rsidRDefault="00000000">
            <w:pPr>
              <w:jc w:val="center"/>
              <w:rPr>
                <w:kern w:val="0"/>
                <w:sz w:val="18"/>
                <w:szCs w:val="16"/>
              </w:rPr>
            </w:pPr>
            <w:r>
              <w:rPr>
                <w:kern w:val="0"/>
                <w:sz w:val="18"/>
                <w:szCs w:val="16"/>
              </w:rPr>
              <w:t>7.75±0.08</w:t>
            </w:r>
          </w:p>
        </w:tc>
      </w:tr>
    </w:tbl>
    <w:p w14:paraId="643986DE" w14:textId="77777777" w:rsidR="00891A2A" w:rsidRDefault="00000000">
      <w:pPr>
        <w:spacing w:line="360" w:lineRule="auto"/>
        <w:ind w:firstLineChars="200" w:firstLine="480"/>
        <w:rPr>
          <w:sz w:val="24"/>
          <w:szCs w:val="24"/>
        </w:rPr>
      </w:pPr>
      <w:r>
        <w:rPr>
          <w:sz w:val="24"/>
          <w:szCs w:val="24"/>
        </w:rPr>
        <w:t>由图</w:t>
      </w:r>
      <w:r>
        <w:rPr>
          <w:rFonts w:hint="eastAsia"/>
          <w:sz w:val="24"/>
          <w:szCs w:val="24"/>
        </w:rPr>
        <w:t>2</w:t>
      </w:r>
      <w:r>
        <w:rPr>
          <w:sz w:val="24"/>
          <w:szCs w:val="24"/>
        </w:rPr>
        <w:t>可知，</w:t>
      </w:r>
      <w:r>
        <w:rPr>
          <w:sz w:val="24"/>
          <w:szCs w:val="24"/>
        </w:rPr>
        <w:t>L1</w:t>
      </w:r>
      <w:r>
        <w:rPr>
          <w:sz w:val="24"/>
          <w:szCs w:val="24"/>
        </w:rPr>
        <w:t>和</w:t>
      </w:r>
      <w:r>
        <w:rPr>
          <w:sz w:val="24"/>
          <w:szCs w:val="24"/>
        </w:rPr>
        <w:t>L2</w:t>
      </w:r>
      <w:r>
        <w:rPr>
          <w:sz w:val="24"/>
          <w:szCs w:val="24"/>
        </w:rPr>
        <w:t>处理的粗蛋白含量均较对照处理有所下降。各处理粗纤维含量均较对照处理有所上升，两地</w:t>
      </w:r>
      <w:r>
        <w:rPr>
          <w:sz w:val="24"/>
          <w:szCs w:val="24"/>
        </w:rPr>
        <w:t>L2</w:t>
      </w:r>
      <w:r>
        <w:rPr>
          <w:sz w:val="24"/>
          <w:szCs w:val="24"/>
        </w:rPr>
        <w:t>处理和兰西</w:t>
      </w:r>
      <w:r>
        <w:rPr>
          <w:sz w:val="24"/>
          <w:szCs w:val="24"/>
        </w:rPr>
        <w:t>L1</w:t>
      </w:r>
      <w:r>
        <w:rPr>
          <w:sz w:val="24"/>
          <w:szCs w:val="24"/>
        </w:rPr>
        <w:t>处理土壤紧实度较对照处理均有所下降。其中兰西</w:t>
      </w:r>
      <w:r>
        <w:rPr>
          <w:sz w:val="24"/>
          <w:szCs w:val="24"/>
        </w:rPr>
        <w:t>L2</w:t>
      </w:r>
      <w:r>
        <w:rPr>
          <w:sz w:val="24"/>
          <w:szCs w:val="24"/>
        </w:rPr>
        <w:t>处理土壤紧实度含量下降了</w:t>
      </w:r>
      <w:r>
        <w:rPr>
          <w:sz w:val="24"/>
          <w:szCs w:val="24"/>
        </w:rPr>
        <w:t>17.76 %</w:t>
      </w:r>
      <w:r>
        <w:rPr>
          <w:sz w:val="24"/>
          <w:szCs w:val="24"/>
        </w:rPr>
        <w:t>，大安</w:t>
      </w:r>
      <w:r>
        <w:rPr>
          <w:sz w:val="24"/>
          <w:szCs w:val="24"/>
        </w:rPr>
        <w:t>L2</w:t>
      </w:r>
      <w:r>
        <w:rPr>
          <w:sz w:val="24"/>
          <w:szCs w:val="24"/>
        </w:rPr>
        <w:t>处理土壤紧实度含量下降了</w:t>
      </w:r>
      <w:r>
        <w:rPr>
          <w:sz w:val="24"/>
          <w:szCs w:val="24"/>
        </w:rPr>
        <w:t>1.66 %</w:t>
      </w:r>
      <w:r>
        <w:rPr>
          <w:sz w:val="24"/>
          <w:szCs w:val="24"/>
        </w:rPr>
        <w:t>。</w:t>
      </w:r>
    </w:p>
    <w:p w14:paraId="0DF7EF8F" w14:textId="77777777" w:rsidR="00891A2A" w:rsidRDefault="00000000">
      <w:pPr>
        <w:jc w:val="center"/>
      </w:pPr>
      <w:r>
        <w:rPr>
          <w:noProof/>
        </w:rPr>
        <w:drawing>
          <wp:inline distT="0" distB="0" distL="114300" distR="114300" wp14:anchorId="72F4F8F3" wp14:editId="3AFF701F">
            <wp:extent cx="4958715" cy="2520315"/>
            <wp:effectExtent l="0" t="0" r="13335" b="133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958715" cy="2520315"/>
                    </a:xfrm>
                    <a:prstGeom prst="rect">
                      <a:avLst/>
                    </a:prstGeom>
                    <a:noFill/>
                    <a:ln>
                      <a:noFill/>
                    </a:ln>
                  </pic:spPr>
                </pic:pic>
              </a:graphicData>
            </a:graphic>
          </wp:inline>
        </w:drawing>
      </w:r>
    </w:p>
    <w:p w14:paraId="7BADEC8E" w14:textId="77777777" w:rsidR="00891A2A" w:rsidRDefault="00000000">
      <w:pPr>
        <w:jc w:val="center"/>
        <w:rPr>
          <w:sz w:val="18"/>
          <w:szCs w:val="18"/>
        </w:rPr>
      </w:pPr>
      <w:r>
        <w:rPr>
          <w:sz w:val="18"/>
          <w:szCs w:val="18"/>
        </w:rPr>
        <w:t>图</w:t>
      </w:r>
      <w:r>
        <w:rPr>
          <w:rFonts w:hint="eastAsia"/>
          <w:sz w:val="18"/>
          <w:szCs w:val="18"/>
        </w:rPr>
        <w:t>2</w:t>
      </w:r>
      <w:r>
        <w:rPr>
          <w:sz w:val="18"/>
          <w:szCs w:val="18"/>
        </w:rPr>
        <w:t xml:space="preserve"> </w:t>
      </w:r>
      <w:r>
        <w:rPr>
          <w:sz w:val="18"/>
          <w:szCs w:val="18"/>
        </w:rPr>
        <w:t>不同处理下草品质和土壤紧实度较对照变化</w:t>
      </w:r>
    </w:p>
    <w:p w14:paraId="5A58F8D9" w14:textId="77777777" w:rsidR="00891A2A" w:rsidRDefault="00000000">
      <w:pPr>
        <w:spacing w:line="360" w:lineRule="auto"/>
        <w:ind w:firstLineChars="200" w:firstLine="480"/>
        <w:rPr>
          <w:sz w:val="24"/>
        </w:rPr>
      </w:pPr>
      <w:r>
        <w:rPr>
          <w:sz w:val="24"/>
          <w:szCs w:val="24"/>
        </w:rPr>
        <w:t>综合上述分析可表明，</w:t>
      </w:r>
      <w:r>
        <w:rPr>
          <w:rFonts w:hint="eastAsia"/>
          <w:sz w:val="24"/>
          <w:szCs w:val="24"/>
        </w:rPr>
        <w:t>免耕补播</w:t>
      </w:r>
      <w:r>
        <w:rPr>
          <w:sz w:val="24"/>
          <w:szCs w:val="24"/>
        </w:rPr>
        <w:t>对</w:t>
      </w:r>
      <w:r>
        <w:rPr>
          <w:rFonts w:hint="eastAsia"/>
          <w:sz w:val="24"/>
          <w:szCs w:val="24"/>
        </w:rPr>
        <w:t>割草地</w:t>
      </w:r>
      <w:r>
        <w:rPr>
          <w:sz w:val="24"/>
          <w:szCs w:val="24"/>
        </w:rPr>
        <w:t>草产量提高、土壤紧实度下降有积极作用。</w:t>
      </w:r>
    </w:p>
    <w:p w14:paraId="224F8103" w14:textId="77777777" w:rsidR="00891A2A" w:rsidRDefault="00000000">
      <w:pPr>
        <w:spacing w:beforeLines="50" w:before="156" w:afterLines="50" w:after="156" w:line="440" w:lineRule="exact"/>
        <w:rPr>
          <w:b/>
          <w:color w:val="000000"/>
          <w:sz w:val="28"/>
          <w:szCs w:val="28"/>
        </w:rPr>
      </w:pPr>
      <w:r>
        <w:rPr>
          <w:rFonts w:hint="eastAsia"/>
          <w:b/>
          <w:color w:val="000000"/>
          <w:sz w:val="28"/>
          <w:szCs w:val="28"/>
        </w:rPr>
        <w:t>四</w:t>
      </w:r>
      <w:r>
        <w:rPr>
          <w:b/>
          <w:color w:val="000000"/>
          <w:sz w:val="28"/>
          <w:szCs w:val="28"/>
        </w:rPr>
        <w:t>、</w:t>
      </w:r>
      <w:r>
        <w:rPr>
          <w:rFonts w:hint="eastAsia"/>
          <w:b/>
          <w:color w:val="000000"/>
          <w:sz w:val="28"/>
          <w:szCs w:val="28"/>
        </w:rPr>
        <w:t>采用的国际标准</w:t>
      </w:r>
    </w:p>
    <w:p w14:paraId="5F15244F" w14:textId="77777777" w:rsidR="00891A2A" w:rsidRDefault="00000000">
      <w:pPr>
        <w:spacing w:beforeLines="50" w:before="156" w:line="360" w:lineRule="auto"/>
        <w:ind w:firstLine="482"/>
        <w:rPr>
          <w:color w:val="000000"/>
          <w:sz w:val="24"/>
        </w:rPr>
      </w:pPr>
      <w:r>
        <w:rPr>
          <w:color w:val="000000"/>
          <w:sz w:val="24"/>
        </w:rPr>
        <w:t>无。</w:t>
      </w:r>
    </w:p>
    <w:p w14:paraId="491ECAD5" w14:textId="77777777" w:rsidR="00891A2A" w:rsidRDefault="00000000">
      <w:pPr>
        <w:spacing w:beforeLines="50" w:before="156" w:afterLines="50" w:after="156" w:line="440" w:lineRule="exact"/>
        <w:rPr>
          <w:b/>
          <w:color w:val="000000"/>
          <w:sz w:val="28"/>
          <w:szCs w:val="28"/>
        </w:rPr>
      </w:pPr>
      <w:r>
        <w:rPr>
          <w:rFonts w:hint="eastAsia"/>
          <w:b/>
          <w:color w:val="000000"/>
          <w:sz w:val="28"/>
          <w:szCs w:val="28"/>
        </w:rPr>
        <w:t>五</w:t>
      </w:r>
      <w:r>
        <w:rPr>
          <w:b/>
          <w:color w:val="000000"/>
          <w:sz w:val="28"/>
          <w:szCs w:val="28"/>
        </w:rPr>
        <w:t>、</w:t>
      </w:r>
      <w:r>
        <w:rPr>
          <w:rFonts w:hint="eastAsia"/>
          <w:b/>
          <w:color w:val="000000"/>
          <w:sz w:val="28"/>
          <w:szCs w:val="28"/>
        </w:rPr>
        <w:t>与现行法律法规和强制性标准的关系</w:t>
      </w:r>
    </w:p>
    <w:p w14:paraId="3D5828F1" w14:textId="77777777" w:rsidR="00891A2A" w:rsidRDefault="00000000">
      <w:pPr>
        <w:spacing w:beforeLines="50" w:before="156" w:line="360" w:lineRule="auto"/>
        <w:ind w:firstLine="482"/>
        <w:rPr>
          <w:sz w:val="24"/>
        </w:rPr>
      </w:pPr>
      <w:r>
        <w:rPr>
          <w:color w:val="000000"/>
          <w:sz w:val="24"/>
        </w:rPr>
        <w:t>本标准与现行法律法规和强制性标准没有冲突</w:t>
      </w:r>
      <w:r>
        <w:rPr>
          <w:sz w:val="24"/>
        </w:rPr>
        <w:t>。</w:t>
      </w:r>
    </w:p>
    <w:p w14:paraId="7A277E0A" w14:textId="77777777" w:rsidR="00891A2A" w:rsidRDefault="00000000">
      <w:pPr>
        <w:spacing w:beforeLines="50" w:before="156" w:afterLines="50" w:after="156" w:line="440" w:lineRule="exact"/>
        <w:rPr>
          <w:b/>
          <w:color w:val="000000"/>
          <w:sz w:val="28"/>
          <w:szCs w:val="28"/>
        </w:rPr>
      </w:pPr>
      <w:r>
        <w:rPr>
          <w:rFonts w:hint="eastAsia"/>
          <w:b/>
          <w:color w:val="000000"/>
          <w:sz w:val="28"/>
          <w:szCs w:val="28"/>
        </w:rPr>
        <w:t>六</w:t>
      </w:r>
      <w:r>
        <w:rPr>
          <w:b/>
          <w:color w:val="000000"/>
          <w:sz w:val="28"/>
          <w:szCs w:val="28"/>
        </w:rPr>
        <w:t>、</w:t>
      </w:r>
      <w:r>
        <w:rPr>
          <w:rFonts w:hint="eastAsia"/>
          <w:b/>
          <w:color w:val="000000"/>
          <w:sz w:val="28"/>
          <w:szCs w:val="28"/>
        </w:rPr>
        <w:t>重大分歧意见的处理经过和依据</w:t>
      </w:r>
    </w:p>
    <w:p w14:paraId="581B3354" w14:textId="77777777" w:rsidR="00891A2A" w:rsidRDefault="00000000">
      <w:pPr>
        <w:spacing w:beforeLines="50" w:before="156" w:line="360" w:lineRule="auto"/>
        <w:ind w:firstLine="482"/>
        <w:rPr>
          <w:sz w:val="24"/>
        </w:rPr>
      </w:pPr>
      <w:r>
        <w:rPr>
          <w:color w:val="000000"/>
          <w:sz w:val="24"/>
        </w:rPr>
        <w:t>无</w:t>
      </w:r>
      <w:r>
        <w:rPr>
          <w:sz w:val="24"/>
        </w:rPr>
        <w:t>。</w:t>
      </w:r>
    </w:p>
    <w:p w14:paraId="268CF45C" w14:textId="77777777" w:rsidR="00891A2A" w:rsidRDefault="00000000">
      <w:pPr>
        <w:spacing w:beforeLines="50" w:before="156" w:afterLines="50" w:after="156" w:line="440" w:lineRule="exact"/>
        <w:rPr>
          <w:b/>
          <w:color w:val="000000"/>
          <w:sz w:val="28"/>
          <w:szCs w:val="28"/>
        </w:rPr>
      </w:pPr>
      <w:r>
        <w:rPr>
          <w:b/>
          <w:color w:val="000000"/>
          <w:sz w:val="28"/>
          <w:szCs w:val="28"/>
        </w:rPr>
        <w:t>七、标准作为强制性或推荐性标准的意见</w:t>
      </w:r>
    </w:p>
    <w:p w14:paraId="088734E8" w14:textId="77777777" w:rsidR="00891A2A" w:rsidRDefault="00000000">
      <w:pPr>
        <w:spacing w:beforeLines="50" w:before="156" w:line="360" w:lineRule="auto"/>
        <w:ind w:firstLine="482"/>
        <w:rPr>
          <w:color w:val="000000"/>
          <w:sz w:val="24"/>
        </w:rPr>
      </w:pPr>
      <w:r>
        <w:rPr>
          <w:color w:val="000000"/>
          <w:sz w:val="24"/>
        </w:rPr>
        <w:t>建议将本标准作为推荐性标准发布实施，并加强标准的宣贯。</w:t>
      </w:r>
    </w:p>
    <w:p w14:paraId="460566B2" w14:textId="77777777" w:rsidR="00891A2A" w:rsidRDefault="00000000">
      <w:pPr>
        <w:spacing w:beforeLines="50" w:before="156" w:afterLines="50" w:after="156" w:line="440" w:lineRule="exact"/>
        <w:rPr>
          <w:b/>
          <w:color w:val="000000"/>
          <w:sz w:val="28"/>
          <w:szCs w:val="28"/>
        </w:rPr>
      </w:pPr>
      <w:r>
        <w:rPr>
          <w:b/>
          <w:color w:val="000000"/>
          <w:sz w:val="28"/>
          <w:szCs w:val="28"/>
        </w:rPr>
        <w:t>八、贯彻标准的要求和措施建议</w:t>
      </w:r>
    </w:p>
    <w:p w14:paraId="5841A044" w14:textId="77777777" w:rsidR="00891A2A" w:rsidRDefault="00000000">
      <w:pPr>
        <w:spacing w:line="360" w:lineRule="auto"/>
        <w:ind w:firstLineChars="225" w:firstLine="540"/>
        <w:rPr>
          <w:sz w:val="24"/>
        </w:rPr>
      </w:pPr>
      <w:r>
        <w:rPr>
          <w:rFonts w:hint="eastAsia"/>
          <w:sz w:val="24"/>
        </w:rPr>
        <w:t>1</w:t>
      </w:r>
      <w:r>
        <w:rPr>
          <w:rFonts w:hint="eastAsia"/>
          <w:sz w:val="24"/>
        </w:rPr>
        <w:t>、</w:t>
      </w:r>
      <w:r>
        <w:rPr>
          <w:sz w:val="24"/>
        </w:rPr>
        <w:t>本标准属于</w:t>
      </w:r>
      <w:r>
        <w:rPr>
          <w:rFonts w:hint="eastAsia"/>
          <w:sz w:val="24"/>
        </w:rPr>
        <w:t>北京华夏草业产业技术创新战略联盟团体标准</w:t>
      </w:r>
      <w:r>
        <w:rPr>
          <w:sz w:val="24"/>
        </w:rPr>
        <w:t>，</w:t>
      </w:r>
      <w:r>
        <w:rPr>
          <w:rFonts w:hint="eastAsia"/>
          <w:sz w:val="24"/>
        </w:rPr>
        <w:t>为成功实施</w:t>
      </w:r>
      <w:r>
        <w:rPr>
          <w:rFonts w:hAnsi="宋体" w:hint="eastAsia"/>
          <w:sz w:val="24"/>
        </w:rPr>
        <w:t>黑龙江草甸草原割草地免耕补播技术</w:t>
      </w:r>
      <w:r>
        <w:rPr>
          <w:rFonts w:hint="eastAsia"/>
          <w:sz w:val="24"/>
        </w:rPr>
        <w:t>，应认真执行本标准的相关技术要求。</w:t>
      </w:r>
    </w:p>
    <w:p w14:paraId="68AE363B" w14:textId="77777777" w:rsidR="00891A2A" w:rsidRDefault="00000000">
      <w:pPr>
        <w:spacing w:line="360" w:lineRule="auto"/>
        <w:ind w:firstLineChars="225" w:firstLine="540"/>
        <w:rPr>
          <w:sz w:val="24"/>
        </w:rPr>
      </w:pPr>
      <w:r>
        <w:rPr>
          <w:rFonts w:hint="eastAsia"/>
          <w:sz w:val="24"/>
        </w:rPr>
        <w:t>2</w:t>
      </w:r>
      <w:r>
        <w:rPr>
          <w:rFonts w:hint="eastAsia"/>
          <w:sz w:val="24"/>
        </w:rPr>
        <w:t>、应</w:t>
      </w:r>
      <w:r>
        <w:rPr>
          <w:sz w:val="24"/>
        </w:rPr>
        <w:t>加强对标准的宣传、讲解</w:t>
      </w:r>
      <w:r>
        <w:rPr>
          <w:rFonts w:hint="eastAsia"/>
          <w:sz w:val="24"/>
        </w:rPr>
        <w:t>和技术指导，促进实施者</w:t>
      </w:r>
      <w:r>
        <w:rPr>
          <w:sz w:val="24"/>
        </w:rPr>
        <w:t>熟练掌握标准中的技术规范，保证</w:t>
      </w:r>
      <w:r>
        <w:rPr>
          <w:rFonts w:hint="eastAsia"/>
          <w:sz w:val="24"/>
        </w:rPr>
        <w:t>本标准的广泛推广应用</w:t>
      </w:r>
      <w:r>
        <w:rPr>
          <w:sz w:val="24"/>
        </w:rPr>
        <w:t>。</w:t>
      </w:r>
    </w:p>
    <w:p w14:paraId="7E6353FD" w14:textId="77777777" w:rsidR="00891A2A" w:rsidRDefault="00000000">
      <w:pPr>
        <w:spacing w:line="360" w:lineRule="auto"/>
        <w:ind w:firstLineChars="225" w:firstLine="540"/>
        <w:rPr>
          <w:sz w:val="24"/>
        </w:rPr>
      </w:pPr>
      <w:r>
        <w:rPr>
          <w:rFonts w:hint="eastAsia"/>
          <w:sz w:val="24"/>
        </w:rPr>
        <w:t>3</w:t>
      </w:r>
      <w:r>
        <w:rPr>
          <w:rFonts w:hint="eastAsia"/>
          <w:sz w:val="24"/>
        </w:rPr>
        <w:t>、</w:t>
      </w:r>
      <w:r>
        <w:rPr>
          <w:sz w:val="24"/>
        </w:rPr>
        <w:t>随着</w:t>
      </w:r>
      <w:r>
        <w:rPr>
          <w:rFonts w:hint="eastAsia"/>
          <w:sz w:val="24"/>
        </w:rPr>
        <w:t>科技发展，本标准中的技术规范势必会出现过时的情况，也会出现新的技术要求，因此本</w:t>
      </w:r>
      <w:r>
        <w:rPr>
          <w:sz w:val="24"/>
        </w:rPr>
        <w:t>标准执行过程中</w:t>
      </w:r>
      <w:r>
        <w:rPr>
          <w:rFonts w:hint="eastAsia"/>
          <w:sz w:val="24"/>
        </w:rPr>
        <w:t>要不断对</w:t>
      </w:r>
      <w:r>
        <w:rPr>
          <w:sz w:val="24"/>
        </w:rPr>
        <w:t>内容进行修订</w:t>
      </w:r>
      <w:r>
        <w:rPr>
          <w:rFonts w:hint="eastAsia"/>
          <w:sz w:val="24"/>
        </w:rPr>
        <w:t>和补充</w:t>
      </w:r>
      <w:r>
        <w:rPr>
          <w:sz w:val="24"/>
        </w:rPr>
        <w:t>。</w:t>
      </w:r>
    </w:p>
    <w:p w14:paraId="439A19F4" w14:textId="77777777" w:rsidR="00891A2A" w:rsidRDefault="00000000">
      <w:pPr>
        <w:spacing w:line="360" w:lineRule="auto"/>
        <w:ind w:firstLine="482"/>
        <w:rPr>
          <w:rFonts w:asciiTheme="majorEastAsia" w:eastAsiaTheme="majorEastAsia" w:hAnsiTheme="majorEastAsia" w:cstheme="majorEastAsia" w:hint="eastAsia"/>
          <w:sz w:val="24"/>
        </w:rPr>
      </w:pPr>
      <w:r>
        <w:rPr>
          <w:rFonts w:hint="eastAsia"/>
          <w:sz w:val="24"/>
        </w:rPr>
        <w:t>4</w:t>
      </w:r>
      <w:r>
        <w:rPr>
          <w:rFonts w:asciiTheme="majorEastAsia" w:eastAsiaTheme="majorEastAsia" w:hAnsiTheme="majorEastAsia" w:cstheme="majorEastAsia" w:hint="eastAsia"/>
          <w:sz w:val="24"/>
        </w:rPr>
        <w:t>、希望应用本标准的单位在使用过程中对其中出现的问题和不足给予反馈，以便再进行修订和补充。</w:t>
      </w:r>
    </w:p>
    <w:p w14:paraId="09E28806" w14:textId="77777777" w:rsidR="00891A2A" w:rsidRDefault="00000000">
      <w:pPr>
        <w:spacing w:line="360" w:lineRule="auto"/>
        <w:ind w:firstLine="482"/>
        <w:rPr>
          <w:rFonts w:asciiTheme="majorEastAsia" w:eastAsiaTheme="majorEastAsia" w:hAnsiTheme="majorEastAsia" w:cstheme="majorEastAsia" w:hint="eastAsia"/>
          <w:color w:val="000000"/>
          <w:sz w:val="24"/>
        </w:rPr>
      </w:pPr>
      <w:r>
        <w:rPr>
          <w:rFonts w:hint="eastAsia"/>
          <w:sz w:val="24"/>
        </w:rPr>
        <w:t>5</w:t>
      </w:r>
      <w:r>
        <w:rPr>
          <w:rFonts w:hint="eastAsia"/>
          <w:sz w:val="24"/>
        </w:rPr>
        <w:t>、</w:t>
      </w:r>
      <w:r>
        <w:rPr>
          <w:rFonts w:asciiTheme="majorEastAsia" w:eastAsiaTheme="majorEastAsia" w:hAnsiTheme="majorEastAsia" w:cstheme="majorEastAsia" w:hint="eastAsia"/>
          <w:color w:val="000000"/>
          <w:sz w:val="24"/>
        </w:rPr>
        <w:t>组织学习团体标准，加大对标准的宣传及贯彻力度，标准委员会作为企业之间的桥梁，做好沟通，推进行业的进一步发展。</w:t>
      </w:r>
    </w:p>
    <w:p w14:paraId="5289149D" w14:textId="77777777" w:rsidR="00891A2A" w:rsidRDefault="00000000">
      <w:pPr>
        <w:spacing w:beforeLines="50" w:before="156" w:afterLines="50" w:after="156" w:line="440" w:lineRule="exact"/>
        <w:rPr>
          <w:b/>
          <w:color w:val="000000"/>
          <w:sz w:val="28"/>
          <w:szCs w:val="28"/>
        </w:rPr>
      </w:pPr>
      <w:r>
        <w:rPr>
          <w:b/>
          <w:color w:val="000000"/>
          <w:sz w:val="28"/>
          <w:szCs w:val="28"/>
        </w:rPr>
        <w:t>九、废止现行有关标准的建议</w:t>
      </w:r>
    </w:p>
    <w:p w14:paraId="6FE89AFB" w14:textId="77777777" w:rsidR="00891A2A" w:rsidRDefault="00000000">
      <w:pPr>
        <w:spacing w:beforeLines="50" w:before="156" w:line="360" w:lineRule="auto"/>
        <w:ind w:firstLine="482"/>
        <w:rPr>
          <w:color w:val="000000"/>
          <w:sz w:val="24"/>
        </w:rPr>
      </w:pPr>
      <w:r>
        <w:rPr>
          <w:color w:val="000000"/>
          <w:sz w:val="24"/>
        </w:rPr>
        <w:t>无。</w:t>
      </w:r>
    </w:p>
    <w:p w14:paraId="498E881E" w14:textId="77777777" w:rsidR="00891A2A" w:rsidRDefault="00000000">
      <w:pPr>
        <w:spacing w:beforeLines="50" w:before="156" w:afterLines="50" w:after="156" w:line="440" w:lineRule="exact"/>
        <w:rPr>
          <w:b/>
          <w:color w:val="000000"/>
          <w:sz w:val="28"/>
          <w:szCs w:val="28"/>
        </w:rPr>
      </w:pPr>
      <w:r>
        <w:rPr>
          <w:b/>
          <w:color w:val="000000"/>
          <w:sz w:val="28"/>
          <w:szCs w:val="28"/>
        </w:rPr>
        <w:t>十、其他应予说明的事项</w:t>
      </w:r>
    </w:p>
    <w:p w14:paraId="7C08C754" w14:textId="77777777" w:rsidR="00891A2A" w:rsidRDefault="00000000">
      <w:pPr>
        <w:spacing w:beforeLines="50" w:before="156" w:line="360" w:lineRule="auto"/>
        <w:ind w:firstLine="482"/>
        <w:rPr>
          <w:color w:val="000000"/>
          <w:sz w:val="24"/>
        </w:rPr>
      </w:pPr>
      <w:r>
        <w:rPr>
          <w:color w:val="000000"/>
          <w:sz w:val="24"/>
        </w:rPr>
        <w:t>无。</w:t>
      </w:r>
    </w:p>
    <w:sectPr w:rsidR="00891A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847C1" w14:textId="77777777" w:rsidR="00C735C0" w:rsidRDefault="00C735C0" w:rsidP="00D4506A">
      <w:r>
        <w:separator/>
      </w:r>
    </w:p>
  </w:endnote>
  <w:endnote w:type="continuationSeparator" w:id="0">
    <w:p w14:paraId="51A3ED66" w14:textId="77777777" w:rsidR="00C735C0" w:rsidRDefault="00C735C0" w:rsidP="00D4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3F09E" w14:textId="77777777" w:rsidR="00C735C0" w:rsidRDefault="00C735C0" w:rsidP="00D4506A">
      <w:r>
        <w:separator/>
      </w:r>
    </w:p>
  </w:footnote>
  <w:footnote w:type="continuationSeparator" w:id="0">
    <w:p w14:paraId="4152667C" w14:textId="77777777" w:rsidR="00C735C0" w:rsidRDefault="00C735C0" w:rsidP="00D45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B95F2"/>
    <w:multiLevelType w:val="singleLevel"/>
    <w:tmpl w:val="155B95F2"/>
    <w:lvl w:ilvl="0">
      <w:start w:val="1"/>
      <w:numFmt w:val="decimal"/>
      <w:lvlText w:val="[%1]"/>
      <w:lvlJc w:val="left"/>
      <w:pPr>
        <w:tabs>
          <w:tab w:val="left" w:pos="312"/>
        </w:tabs>
      </w:pPr>
    </w:lvl>
  </w:abstractNum>
  <w:abstractNum w:abstractNumId="1" w15:restartNumberingAfterBreak="0">
    <w:nsid w:val="25EB5F88"/>
    <w:multiLevelType w:val="multilevel"/>
    <w:tmpl w:val="25EB5F88"/>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FB719B"/>
    <w:multiLevelType w:val="singleLevel"/>
    <w:tmpl w:val="49FB719B"/>
    <w:lvl w:ilvl="0">
      <w:start w:val="1"/>
      <w:numFmt w:val="decimal"/>
      <w:suff w:val="space"/>
      <w:lvlText w:val="%1."/>
      <w:lvlJc w:val="left"/>
    </w:lvl>
  </w:abstractNum>
  <w:num w:numId="1" w16cid:durableId="8221215">
    <w:abstractNumId w:val="1"/>
  </w:num>
  <w:num w:numId="2" w16cid:durableId="792679098">
    <w:abstractNumId w:val="0"/>
  </w:num>
  <w:num w:numId="3" w16cid:durableId="784275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yMzEyYTE1MWEzMzEyN2NmOTk5MjEwYzVkMzgzY2QifQ=="/>
  </w:docVars>
  <w:rsids>
    <w:rsidRoot w:val="7C03611D"/>
    <w:rsid w:val="00891A2A"/>
    <w:rsid w:val="00992420"/>
    <w:rsid w:val="00C735C0"/>
    <w:rsid w:val="00D4506A"/>
    <w:rsid w:val="00FA3D45"/>
    <w:rsid w:val="0154186A"/>
    <w:rsid w:val="019F636B"/>
    <w:rsid w:val="02921E9E"/>
    <w:rsid w:val="031F78F6"/>
    <w:rsid w:val="060F1F58"/>
    <w:rsid w:val="09D77FCA"/>
    <w:rsid w:val="0A1026E6"/>
    <w:rsid w:val="0BED101D"/>
    <w:rsid w:val="0F15630F"/>
    <w:rsid w:val="15AF3924"/>
    <w:rsid w:val="1C4D30C4"/>
    <w:rsid w:val="23786361"/>
    <w:rsid w:val="2A182A1D"/>
    <w:rsid w:val="30811FEF"/>
    <w:rsid w:val="31CD5FC5"/>
    <w:rsid w:val="33437332"/>
    <w:rsid w:val="3BD64F66"/>
    <w:rsid w:val="3FB07C10"/>
    <w:rsid w:val="3FEC053E"/>
    <w:rsid w:val="410858E9"/>
    <w:rsid w:val="42F62B8D"/>
    <w:rsid w:val="43430E5B"/>
    <w:rsid w:val="43A30B18"/>
    <w:rsid w:val="48D37982"/>
    <w:rsid w:val="4C74222C"/>
    <w:rsid w:val="4D9D59FA"/>
    <w:rsid w:val="50907909"/>
    <w:rsid w:val="513A05EC"/>
    <w:rsid w:val="5262282F"/>
    <w:rsid w:val="5293282E"/>
    <w:rsid w:val="55121E51"/>
    <w:rsid w:val="5636178A"/>
    <w:rsid w:val="5B994CED"/>
    <w:rsid w:val="5D977071"/>
    <w:rsid w:val="5FF37B54"/>
    <w:rsid w:val="608417C6"/>
    <w:rsid w:val="61CD42B9"/>
    <w:rsid w:val="67A96E8E"/>
    <w:rsid w:val="67C13335"/>
    <w:rsid w:val="68F16ADF"/>
    <w:rsid w:val="6D0E6718"/>
    <w:rsid w:val="6D5935CC"/>
    <w:rsid w:val="6DCF3167"/>
    <w:rsid w:val="6E3E374F"/>
    <w:rsid w:val="71133130"/>
    <w:rsid w:val="73F97452"/>
    <w:rsid w:val="74F80587"/>
    <w:rsid w:val="757815B0"/>
    <w:rsid w:val="79021475"/>
    <w:rsid w:val="7A0E5017"/>
    <w:rsid w:val="7AC65AED"/>
    <w:rsid w:val="7C03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F1110"/>
  <w15:docId w15:val="{6B0D5A37-57C7-427B-A6E4-3869D21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unhideWhenUsed="1" w:qFormat="1"/>
    <w:lsdException w:name="page number"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Plain Text"/>
    <w:basedOn w:val="a"/>
    <w:uiPriority w:val="99"/>
    <w:qFormat/>
    <w:rPr>
      <w:rFonts w:ascii="宋体" w:hAnsi="Courier New" w:cs="宋体"/>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page number"/>
    <w:basedOn w:val="a0"/>
    <w:qFormat/>
  </w:style>
  <w:style w:type="character" w:styleId="a9">
    <w:name w:val="Hyperlink"/>
    <w:basedOn w:val="a0"/>
    <w:uiPriority w:val="99"/>
    <w:unhideWhenUsed/>
    <w:qFormat/>
    <w:rPr>
      <w:color w:val="0026E5" w:themeColor="hyperlink"/>
      <w:u w:val="single"/>
    </w:rPr>
  </w:style>
  <w:style w:type="paragraph" w:styleId="aa">
    <w:name w:val="List Paragraph"/>
    <w:basedOn w:val="a"/>
    <w:uiPriority w:val="34"/>
    <w:qFormat/>
    <w:pPr>
      <w:ind w:firstLineChars="200" w:firstLine="420"/>
    </w:pPr>
  </w:style>
  <w:style w:type="paragraph" w:customStyle="1" w:styleId="ab">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c">
    <w:name w:val="图标标题"/>
    <w:basedOn w:val="a3"/>
    <w:qFormat/>
    <w:pPr>
      <w:jc w:val="center"/>
    </w:pPr>
    <w:rPr>
      <w:sz w:val="21"/>
    </w:rPr>
  </w:style>
  <w:style w:type="character" w:customStyle="1" w:styleId="apple-style-span">
    <w:name w:val="apple-style-span"/>
    <w:basedOn w:val="a0"/>
    <w:semiHidden/>
    <w:qFormat/>
  </w:style>
  <w:style w:type="paragraph" w:styleId="ad">
    <w:name w:val="header"/>
    <w:basedOn w:val="a"/>
    <w:link w:val="ae"/>
    <w:rsid w:val="00D4506A"/>
    <w:pPr>
      <w:tabs>
        <w:tab w:val="center" w:pos="4153"/>
        <w:tab w:val="right" w:pos="8306"/>
      </w:tabs>
      <w:snapToGrid w:val="0"/>
      <w:jc w:val="center"/>
    </w:pPr>
    <w:rPr>
      <w:sz w:val="18"/>
      <w:szCs w:val="18"/>
    </w:rPr>
  </w:style>
  <w:style w:type="character" w:customStyle="1" w:styleId="ae">
    <w:name w:val="页眉 字符"/>
    <w:basedOn w:val="a0"/>
    <w:link w:val="ad"/>
    <w:rsid w:val="00D450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2856</Words>
  <Characters>2942</Characters>
  <Application>Microsoft Office Word</Application>
  <DocSecurity>0</DocSecurity>
  <Lines>140</Lines>
  <Paragraphs>123</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刘杰淋</dc:creator>
  <cp:lastModifiedBy>ThinkPad</cp:lastModifiedBy>
  <cp:revision>2</cp:revision>
  <dcterms:created xsi:type="dcterms:W3CDTF">2024-06-14T00:15:00Z</dcterms:created>
  <dcterms:modified xsi:type="dcterms:W3CDTF">2025-08-20T11:07:00Z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990EA09F1C5D46A884E2FF36C83D95D2_13</vt:lpwstr>
  </property>
  <property fmtid="{D5CDD505-2E9C-101B-9397-08002B2CF9AE}" pid="4" name="KSOTemplateDocerSaveRecord">
    <vt:lpwstr>eyJoZGlkIjoiMjgyMzEyYTE1MWEzMzEyN2NmOTk5MjEwYzVkMzgzY2QiLCJ1c2VySWQiOiIzMDA5NDYzMzkifQ==</vt:lpwstr>
  </property>
</Properties>
</file>