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F03AC" w14:textId="77777777" w:rsidR="00B552FE" w:rsidRDefault="00B552FE">
      <w:pPr>
        <w:spacing w:line="360" w:lineRule="auto"/>
        <w:ind w:right="160"/>
        <w:jc w:val="center"/>
        <w:rPr>
          <w:rFonts w:cs="宋体"/>
          <w:b/>
          <w:bCs/>
          <w:color w:val="000000"/>
          <w:sz w:val="48"/>
          <w:szCs w:val="48"/>
        </w:rPr>
      </w:pPr>
      <w:bookmarkStart w:id="0" w:name="_Hlk203162657"/>
      <w:bookmarkStart w:id="1" w:name="_Hlk528261495"/>
      <w:bookmarkEnd w:id="0"/>
    </w:p>
    <w:p w14:paraId="193CD2AD" w14:textId="77777777" w:rsidR="00B552FE" w:rsidRDefault="00B552FE">
      <w:pPr>
        <w:spacing w:line="360" w:lineRule="auto"/>
        <w:ind w:right="160"/>
        <w:jc w:val="center"/>
        <w:rPr>
          <w:rFonts w:cs="宋体"/>
          <w:b/>
          <w:bCs/>
          <w:color w:val="000000"/>
          <w:sz w:val="48"/>
          <w:szCs w:val="48"/>
        </w:rPr>
      </w:pPr>
    </w:p>
    <w:p w14:paraId="4D6AED9F" w14:textId="77777777" w:rsidR="00B552FE" w:rsidRDefault="00B552FE">
      <w:pPr>
        <w:spacing w:line="360" w:lineRule="auto"/>
        <w:ind w:right="160"/>
        <w:jc w:val="center"/>
        <w:rPr>
          <w:rFonts w:cs="宋体"/>
          <w:b/>
          <w:bCs/>
          <w:color w:val="000000"/>
          <w:sz w:val="48"/>
          <w:szCs w:val="48"/>
        </w:rPr>
      </w:pPr>
    </w:p>
    <w:p w14:paraId="1A2ABE23" w14:textId="77777777" w:rsidR="00B552FE" w:rsidRDefault="00B552FE">
      <w:pPr>
        <w:spacing w:line="360" w:lineRule="auto"/>
        <w:ind w:right="160"/>
        <w:jc w:val="center"/>
        <w:rPr>
          <w:rFonts w:cs="宋体"/>
          <w:b/>
          <w:bCs/>
          <w:color w:val="000000"/>
          <w:sz w:val="48"/>
          <w:szCs w:val="48"/>
        </w:rPr>
      </w:pPr>
    </w:p>
    <w:p w14:paraId="0834C352" w14:textId="77777777" w:rsidR="00125B9C" w:rsidRPr="00A306AD" w:rsidRDefault="00125B9C" w:rsidP="00125B9C">
      <w:pPr>
        <w:spacing w:beforeLines="50" w:before="156" w:afterLines="50" w:after="156" w:line="360" w:lineRule="auto"/>
        <w:ind w:right="159"/>
        <w:jc w:val="center"/>
        <w:rPr>
          <w:rFonts w:cs="宋体"/>
          <w:b/>
          <w:bCs/>
          <w:color w:val="000000"/>
          <w:sz w:val="52"/>
          <w:szCs w:val="52"/>
        </w:rPr>
      </w:pPr>
      <w:r w:rsidRPr="00A306AD">
        <w:rPr>
          <w:rFonts w:cs="宋体" w:hint="eastAsia"/>
          <w:b/>
          <w:bCs/>
          <w:color w:val="000000"/>
          <w:sz w:val="52"/>
          <w:szCs w:val="52"/>
        </w:rPr>
        <w:t>团体标准</w:t>
      </w:r>
    </w:p>
    <w:p w14:paraId="521A117F" w14:textId="77777777" w:rsidR="00125B9C" w:rsidRDefault="00125B9C">
      <w:pPr>
        <w:spacing w:line="360" w:lineRule="auto"/>
        <w:ind w:right="160"/>
        <w:jc w:val="center"/>
        <w:rPr>
          <w:rFonts w:cs="宋体"/>
          <w:b/>
          <w:bCs/>
          <w:color w:val="000000"/>
          <w:sz w:val="48"/>
          <w:szCs w:val="48"/>
        </w:rPr>
      </w:pPr>
    </w:p>
    <w:bookmarkEnd w:id="1"/>
    <w:p w14:paraId="74CD023A" w14:textId="64F892E5" w:rsidR="00B552FE" w:rsidRDefault="00125B9C" w:rsidP="00FD3621">
      <w:pPr>
        <w:spacing w:beforeLines="50" w:before="156" w:afterLines="50" w:after="156" w:line="360" w:lineRule="auto"/>
        <w:ind w:right="159"/>
        <w:jc w:val="center"/>
        <w:rPr>
          <w:rFonts w:cs="宋体"/>
          <w:b/>
          <w:bCs/>
          <w:color w:val="000000"/>
          <w:sz w:val="48"/>
          <w:szCs w:val="48"/>
        </w:rPr>
      </w:pPr>
      <w:r>
        <w:rPr>
          <w:rFonts w:cs="宋体" w:hint="eastAsia"/>
          <w:b/>
          <w:bCs/>
          <w:color w:val="000000"/>
          <w:sz w:val="48"/>
          <w:szCs w:val="48"/>
        </w:rPr>
        <w:t>《</w:t>
      </w:r>
      <w:r w:rsidR="00FD3621">
        <w:rPr>
          <w:rFonts w:cs="宋体" w:hint="eastAsia"/>
          <w:b/>
          <w:bCs/>
          <w:color w:val="000000"/>
          <w:sz w:val="48"/>
          <w:szCs w:val="48"/>
        </w:rPr>
        <w:t>松嫩平原轻度盐碱退化草地生态修复技术规程</w:t>
      </w:r>
      <w:r>
        <w:rPr>
          <w:rFonts w:cs="宋体" w:hint="eastAsia"/>
          <w:b/>
          <w:bCs/>
          <w:color w:val="000000"/>
          <w:sz w:val="48"/>
          <w:szCs w:val="48"/>
        </w:rPr>
        <w:t>》</w:t>
      </w:r>
    </w:p>
    <w:p w14:paraId="566957CD" w14:textId="77777777" w:rsidR="00B552FE" w:rsidRDefault="00000000">
      <w:pPr>
        <w:spacing w:line="360" w:lineRule="auto"/>
        <w:ind w:right="160"/>
        <w:jc w:val="center"/>
        <w:rPr>
          <w:rFonts w:cs="宋体"/>
          <w:b/>
          <w:bCs/>
          <w:color w:val="000000"/>
          <w:sz w:val="48"/>
          <w:szCs w:val="48"/>
        </w:rPr>
      </w:pPr>
      <w:r>
        <w:rPr>
          <w:rFonts w:cs="宋体" w:hint="eastAsia"/>
          <w:b/>
          <w:bCs/>
          <w:color w:val="000000"/>
          <w:sz w:val="48"/>
          <w:szCs w:val="48"/>
        </w:rPr>
        <w:t>编制说明</w:t>
      </w:r>
    </w:p>
    <w:p w14:paraId="225A4105" w14:textId="77777777" w:rsidR="00B552FE" w:rsidRDefault="00B552FE">
      <w:pPr>
        <w:spacing w:line="360" w:lineRule="auto"/>
        <w:jc w:val="center"/>
        <w:rPr>
          <w:b/>
          <w:bCs/>
          <w:color w:val="000000"/>
        </w:rPr>
      </w:pPr>
    </w:p>
    <w:p w14:paraId="7B7D25B8" w14:textId="77777777" w:rsidR="00B552FE" w:rsidRDefault="00B552FE">
      <w:pPr>
        <w:spacing w:line="360" w:lineRule="auto"/>
        <w:jc w:val="center"/>
        <w:rPr>
          <w:b/>
          <w:bCs/>
          <w:color w:val="000000"/>
        </w:rPr>
      </w:pPr>
    </w:p>
    <w:p w14:paraId="0B1CF9EF" w14:textId="77777777" w:rsidR="00B552FE" w:rsidRDefault="00B552FE">
      <w:pPr>
        <w:spacing w:line="360" w:lineRule="auto"/>
        <w:jc w:val="center"/>
        <w:rPr>
          <w:b/>
          <w:bCs/>
          <w:color w:val="000000"/>
        </w:rPr>
      </w:pPr>
    </w:p>
    <w:p w14:paraId="156BBF0F" w14:textId="77777777" w:rsidR="00B552FE" w:rsidRDefault="00B552FE">
      <w:pPr>
        <w:spacing w:line="360" w:lineRule="auto"/>
        <w:jc w:val="center"/>
        <w:rPr>
          <w:b/>
          <w:bCs/>
          <w:color w:val="000000"/>
        </w:rPr>
      </w:pPr>
    </w:p>
    <w:p w14:paraId="618D649C" w14:textId="77777777" w:rsidR="00B552FE" w:rsidRDefault="00B552FE">
      <w:pPr>
        <w:spacing w:line="360" w:lineRule="auto"/>
        <w:jc w:val="center"/>
        <w:rPr>
          <w:b/>
          <w:bCs/>
          <w:color w:val="000000"/>
        </w:rPr>
      </w:pPr>
    </w:p>
    <w:p w14:paraId="08599D6D" w14:textId="77777777" w:rsidR="00B552FE" w:rsidRDefault="00B552FE">
      <w:pPr>
        <w:spacing w:line="360" w:lineRule="auto"/>
        <w:jc w:val="center"/>
        <w:rPr>
          <w:b/>
          <w:bCs/>
          <w:color w:val="000000"/>
        </w:rPr>
      </w:pPr>
    </w:p>
    <w:p w14:paraId="70F90F86" w14:textId="77777777" w:rsidR="00B552FE" w:rsidRDefault="00B552FE">
      <w:pPr>
        <w:spacing w:line="360" w:lineRule="auto"/>
        <w:jc w:val="center"/>
        <w:rPr>
          <w:b/>
          <w:bCs/>
          <w:color w:val="000000"/>
        </w:rPr>
      </w:pPr>
    </w:p>
    <w:p w14:paraId="1DD578F9" w14:textId="77777777" w:rsidR="00B552FE" w:rsidRDefault="00B552FE">
      <w:pPr>
        <w:spacing w:line="360" w:lineRule="auto"/>
        <w:jc w:val="center"/>
        <w:rPr>
          <w:b/>
          <w:bCs/>
          <w:color w:val="000000"/>
        </w:rPr>
      </w:pPr>
    </w:p>
    <w:p w14:paraId="44751AAA" w14:textId="77777777" w:rsidR="00B552FE" w:rsidRDefault="00B552FE" w:rsidP="00F07605">
      <w:pPr>
        <w:spacing w:line="360" w:lineRule="auto"/>
        <w:jc w:val="center"/>
        <w:rPr>
          <w:b/>
          <w:bCs/>
          <w:color w:val="000000"/>
        </w:rPr>
      </w:pPr>
    </w:p>
    <w:p w14:paraId="07EE1F84" w14:textId="77777777" w:rsidR="00F07605" w:rsidRDefault="00F07605" w:rsidP="00F07605">
      <w:pPr>
        <w:spacing w:line="360" w:lineRule="auto"/>
        <w:jc w:val="center"/>
        <w:rPr>
          <w:b/>
          <w:bCs/>
          <w:color w:val="000000"/>
        </w:rPr>
      </w:pPr>
    </w:p>
    <w:p w14:paraId="72A3157F" w14:textId="77777777" w:rsidR="00F07605" w:rsidRDefault="00F07605" w:rsidP="00F07605">
      <w:pPr>
        <w:spacing w:line="360" w:lineRule="auto"/>
        <w:jc w:val="center"/>
        <w:rPr>
          <w:b/>
          <w:bCs/>
          <w:color w:val="000000"/>
        </w:rPr>
      </w:pPr>
    </w:p>
    <w:p w14:paraId="4A3CE325" w14:textId="77777777" w:rsidR="00F07605" w:rsidRDefault="00F07605" w:rsidP="00F07605">
      <w:pPr>
        <w:spacing w:line="360" w:lineRule="auto"/>
        <w:jc w:val="center"/>
        <w:rPr>
          <w:b/>
          <w:bCs/>
          <w:color w:val="000000"/>
        </w:rPr>
      </w:pPr>
    </w:p>
    <w:p w14:paraId="006CFF83" w14:textId="36AF2CC0" w:rsidR="00F07605" w:rsidRPr="00A306AD" w:rsidRDefault="00F07605" w:rsidP="00F07605">
      <w:pPr>
        <w:ind w:leftChars="-67" w:left="-51" w:rightChars="-182" w:right="-382" w:hangingChars="32" w:hanging="90"/>
        <w:jc w:val="center"/>
        <w:rPr>
          <w:rFonts w:ascii="黑体" w:eastAsia="黑体" w:hAnsi="黑体" w:hint="eastAsia"/>
          <w:b/>
          <w:bCs/>
          <w:color w:val="000000"/>
          <w:sz w:val="28"/>
          <w:szCs w:val="28"/>
        </w:rPr>
      </w:pPr>
      <w:r w:rsidRPr="00A306AD">
        <w:rPr>
          <w:rFonts w:ascii="黑体" w:eastAsia="黑体" w:hAnsi="黑体" w:hint="eastAsia"/>
          <w:bCs/>
          <w:sz w:val="28"/>
          <w:szCs w:val="28"/>
        </w:rPr>
        <w:t>《</w:t>
      </w:r>
      <w:r w:rsidR="00FD3621">
        <w:rPr>
          <w:rFonts w:ascii="黑体" w:eastAsia="黑体" w:hAnsi="黑体" w:hint="eastAsia"/>
          <w:bCs/>
          <w:sz w:val="28"/>
          <w:szCs w:val="28"/>
        </w:rPr>
        <w:t>松嫩平原轻度盐碱退化草地生态修复技术规程</w:t>
      </w:r>
      <w:r w:rsidRPr="00A306AD">
        <w:rPr>
          <w:rFonts w:ascii="黑体" w:eastAsia="黑体" w:hAnsi="黑体" w:hint="eastAsia"/>
          <w:bCs/>
          <w:sz w:val="28"/>
          <w:szCs w:val="28"/>
        </w:rPr>
        <w:t>》团标制定组</w:t>
      </w:r>
    </w:p>
    <w:p w14:paraId="263667B8" w14:textId="3B82DBAE" w:rsidR="00B552FE" w:rsidRDefault="00F07605" w:rsidP="00F07605">
      <w:pPr>
        <w:widowControl/>
        <w:jc w:val="center"/>
        <w:rPr>
          <w:b/>
          <w:color w:val="000000"/>
          <w:sz w:val="28"/>
          <w:szCs w:val="28"/>
        </w:rPr>
        <w:sectPr w:rsidR="00B552FE">
          <w:footerReference w:type="even" r:id="rId8"/>
          <w:footerReference w:type="default" r:id="rId9"/>
          <w:pgSz w:w="11906" w:h="16838"/>
          <w:pgMar w:top="1843" w:right="1558" w:bottom="1702" w:left="1800" w:header="851" w:footer="992" w:gutter="0"/>
          <w:cols w:space="425"/>
          <w:docGrid w:type="lines" w:linePitch="312"/>
        </w:sectPr>
      </w:pPr>
      <w:r w:rsidRPr="00A306AD">
        <w:rPr>
          <w:rFonts w:ascii="黑体" w:eastAsia="黑体" w:hAnsi="黑体" w:cs="宋体" w:hint="eastAsia"/>
          <w:color w:val="000000"/>
          <w:sz w:val="28"/>
          <w:szCs w:val="28"/>
        </w:rPr>
        <w:t>二〇二五年</w:t>
      </w:r>
      <w:r>
        <w:rPr>
          <w:rFonts w:ascii="黑体" w:eastAsia="黑体" w:hAnsi="黑体" w:cs="宋体" w:hint="eastAsia"/>
          <w:color w:val="000000"/>
          <w:sz w:val="28"/>
          <w:szCs w:val="28"/>
        </w:rPr>
        <w:t>八</w:t>
      </w:r>
      <w:r w:rsidRPr="00A306AD">
        <w:rPr>
          <w:rFonts w:ascii="黑体" w:eastAsia="黑体" w:hAnsi="黑体" w:cs="宋体" w:hint="eastAsia"/>
          <w:color w:val="000000"/>
          <w:sz w:val="28"/>
          <w:szCs w:val="28"/>
        </w:rPr>
        <w:t>月</w:t>
      </w:r>
      <w:r>
        <w:rPr>
          <w:rFonts w:cs="宋体"/>
          <w:b/>
          <w:bCs/>
          <w:color w:val="000000"/>
          <w:sz w:val="44"/>
          <w:szCs w:val="44"/>
        </w:rPr>
        <w:br w:type="page"/>
      </w:r>
    </w:p>
    <w:p w14:paraId="05A3F879" w14:textId="77777777" w:rsidR="00B552FE" w:rsidRDefault="00000000" w:rsidP="007F03B2">
      <w:pPr>
        <w:pStyle w:val="af3"/>
        <w:numPr>
          <w:ilvl w:val="0"/>
          <w:numId w:val="1"/>
        </w:numPr>
        <w:spacing w:beforeLines="100" w:before="312" w:afterLines="50" w:after="156" w:line="420" w:lineRule="exact"/>
        <w:ind w:left="578" w:firstLineChars="0" w:hanging="578"/>
        <w:rPr>
          <w:b/>
          <w:color w:val="000000"/>
          <w:sz w:val="28"/>
          <w:szCs w:val="28"/>
        </w:rPr>
      </w:pPr>
      <w:r>
        <w:rPr>
          <w:b/>
          <w:color w:val="000000"/>
          <w:sz w:val="28"/>
          <w:szCs w:val="28"/>
        </w:rPr>
        <w:lastRenderedPageBreak/>
        <w:t>任务来源及标准制定背景</w:t>
      </w:r>
    </w:p>
    <w:p w14:paraId="7E7FF572" w14:textId="77777777" w:rsidR="00B552FE" w:rsidRPr="007F03B2" w:rsidRDefault="00000000" w:rsidP="007F03B2">
      <w:pPr>
        <w:spacing w:line="360" w:lineRule="auto"/>
        <w:ind w:firstLineChars="200" w:firstLine="482"/>
        <w:rPr>
          <w:b/>
          <w:sz w:val="24"/>
          <w:szCs w:val="24"/>
        </w:rPr>
      </w:pPr>
      <w:r w:rsidRPr="007F03B2">
        <w:rPr>
          <w:rFonts w:hint="eastAsia"/>
          <w:b/>
          <w:sz w:val="24"/>
          <w:szCs w:val="24"/>
        </w:rPr>
        <w:t>1</w:t>
      </w:r>
      <w:r w:rsidRPr="007F03B2">
        <w:rPr>
          <w:rFonts w:hint="eastAsia"/>
          <w:b/>
          <w:sz w:val="24"/>
          <w:szCs w:val="24"/>
        </w:rPr>
        <w:t>、任务来源</w:t>
      </w:r>
    </w:p>
    <w:p w14:paraId="0DF81F29" w14:textId="77777777" w:rsidR="00B552FE" w:rsidRDefault="00000000">
      <w:pPr>
        <w:spacing w:line="360" w:lineRule="auto"/>
        <w:ind w:firstLineChars="200" w:firstLine="480"/>
        <w:rPr>
          <w:sz w:val="24"/>
        </w:rPr>
      </w:pPr>
      <w:r>
        <w:rPr>
          <w:rFonts w:hint="eastAsia"/>
          <w:sz w:val="24"/>
        </w:rPr>
        <w:t>本技术规程由东北师范大学和中国科学院东北地理与农业生态研究所，在国家重点项目“黑土区退化草地植被恢复与防风固沙功能提升关键技术”的资助和支持下完成。</w:t>
      </w:r>
      <w:r>
        <w:rPr>
          <w:rFonts w:hint="eastAsia"/>
          <w:sz w:val="24"/>
        </w:rPr>
        <w:t xml:space="preserve"> </w:t>
      </w:r>
    </w:p>
    <w:p w14:paraId="02D02E68" w14:textId="77777777" w:rsidR="00B552FE" w:rsidRPr="007F03B2" w:rsidRDefault="00000000" w:rsidP="007F03B2">
      <w:pPr>
        <w:spacing w:line="360" w:lineRule="auto"/>
        <w:ind w:firstLineChars="200" w:firstLine="482"/>
        <w:rPr>
          <w:b/>
          <w:sz w:val="24"/>
          <w:szCs w:val="24"/>
        </w:rPr>
      </w:pPr>
      <w:r w:rsidRPr="007F03B2">
        <w:rPr>
          <w:rFonts w:hint="eastAsia"/>
          <w:b/>
          <w:sz w:val="24"/>
          <w:szCs w:val="24"/>
        </w:rPr>
        <w:t>2</w:t>
      </w:r>
      <w:r w:rsidRPr="007F03B2">
        <w:rPr>
          <w:rFonts w:hint="eastAsia"/>
          <w:b/>
          <w:sz w:val="24"/>
          <w:szCs w:val="24"/>
        </w:rPr>
        <w:t>、标准制定背景</w:t>
      </w:r>
    </w:p>
    <w:p w14:paraId="2F4C4019" w14:textId="77777777" w:rsidR="00B552FE" w:rsidRDefault="00000000">
      <w:pPr>
        <w:spacing w:line="360" w:lineRule="auto"/>
        <w:ind w:firstLineChars="200" w:firstLine="480"/>
        <w:rPr>
          <w:bCs/>
          <w:sz w:val="24"/>
          <w:szCs w:val="24"/>
        </w:rPr>
      </w:pPr>
      <w:bookmarkStart w:id="2" w:name="OLE_LINK6"/>
      <w:r>
        <w:rPr>
          <w:rFonts w:hint="eastAsia"/>
          <w:bCs/>
          <w:sz w:val="24"/>
          <w:szCs w:val="24"/>
        </w:rPr>
        <w:t>草地作为国家生态安全的重要屏障和畜牧业发展的基础资源，在维持生态系统服务功能和生物多样性方面发挥着不可替代的作用。然而，受气候变化、不合理人为活动（如过度放牧、垦殖）及自然因素的综合影响，我国盐碱草地退化问题日益严重，导致草地生产力下降、生态功能退化，直接威胁区域生态安全和农牧民生计。近年来，国家高度重视盐碱地治理与生态修复。</w:t>
      </w:r>
      <w:r>
        <w:rPr>
          <w:rFonts w:hint="eastAsia"/>
          <w:bCs/>
          <w:sz w:val="24"/>
          <w:szCs w:val="24"/>
        </w:rPr>
        <w:t>2021</w:t>
      </w:r>
      <w:r>
        <w:rPr>
          <w:rFonts w:hint="eastAsia"/>
          <w:bCs/>
          <w:sz w:val="24"/>
          <w:szCs w:val="24"/>
        </w:rPr>
        <w:t>年国务院发布的《关于加强草原保护修复的若干意见》（国办发〔</w:t>
      </w:r>
      <w:r>
        <w:rPr>
          <w:rFonts w:hint="eastAsia"/>
          <w:bCs/>
          <w:sz w:val="24"/>
          <w:szCs w:val="24"/>
        </w:rPr>
        <w:t>2021</w:t>
      </w:r>
      <w:r>
        <w:rPr>
          <w:rFonts w:hint="eastAsia"/>
          <w:bCs/>
          <w:sz w:val="24"/>
          <w:szCs w:val="24"/>
        </w:rPr>
        <w:t>〕</w:t>
      </w:r>
      <w:r>
        <w:rPr>
          <w:rFonts w:hint="eastAsia"/>
          <w:bCs/>
          <w:sz w:val="24"/>
          <w:szCs w:val="24"/>
        </w:rPr>
        <w:t>7</w:t>
      </w:r>
      <w:r>
        <w:rPr>
          <w:rFonts w:hint="eastAsia"/>
          <w:bCs/>
          <w:sz w:val="24"/>
          <w:szCs w:val="24"/>
        </w:rPr>
        <w:t>号）明确提出“加强退化草原修复，实施盐碱化草地治理工程”。</w:t>
      </w:r>
      <w:r>
        <w:rPr>
          <w:rFonts w:hint="eastAsia"/>
          <w:bCs/>
          <w:sz w:val="24"/>
          <w:szCs w:val="24"/>
        </w:rPr>
        <w:t>2023</w:t>
      </w:r>
      <w:r>
        <w:rPr>
          <w:rFonts w:hint="eastAsia"/>
          <w:bCs/>
          <w:sz w:val="24"/>
          <w:szCs w:val="24"/>
        </w:rPr>
        <w:t>年中央一号文件进一步强调“推进盐碱地等耕地后备资源综合利用”，要求“研发盐碱地植被恢复技术，提升生态功能与生产潜力”。此外，《东北黑土地保护规划纲要（</w:t>
      </w:r>
      <w:r>
        <w:rPr>
          <w:rFonts w:hint="eastAsia"/>
          <w:bCs/>
          <w:sz w:val="24"/>
          <w:szCs w:val="24"/>
        </w:rPr>
        <w:t>2017-2030</w:t>
      </w:r>
      <w:r>
        <w:rPr>
          <w:rFonts w:hint="eastAsia"/>
          <w:bCs/>
          <w:sz w:val="24"/>
          <w:szCs w:val="24"/>
        </w:rPr>
        <w:t>年）》和《国家黑土地保护工程实施方案（</w:t>
      </w:r>
      <w:r>
        <w:rPr>
          <w:rFonts w:hint="eastAsia"/>
          <w:bCs/>
          <w:sz w:val="24"/>
          <w:szCs w:val="24"/>
        </w:rPr>
        <w:t>2021-2025</w:t>
      </w:r>
      <w:r>
        <w:rPr>
          <w:rFonts w:hint="eastAsia"/>
          <w:bCs/>
          <w:sz w:val="24"/>
          <w:szCs w:val="24"/>
        </w:rPr>
        <w:t>年）》均将盐碱草地修复列为黑土区生态屏障构建的重点任务，亟需形成科学、可推广的技术体系。</w:t>
      </w:r>
    </w:p>
    <w:p w14:paraId="5A6AEB1E" w14:textId="77777777" w:rsidR="00B552FE" w:rsidRDefault="00000000">
      <w:pPr>
        <w:spacing w:line="360" w:lineRule="auto"/>
        <w:ind w:firstLineChars="200" w:firstLine="480"/>
        <w:rPr>
          <w:bCs/>
          <w:sz w:val="24"/>
          <w:szCs w:val="24"/>
        </w:rPr>
      </w:pPr>
      <w:r>
        <w:rPr>
          <w:rFonts w:hint="eastAsia"/>
          <w:bCs/>
          <w:sz w:val="24"/>
          <w:szCs w:val="24"/>
        </w:rPr>
        <w:t>松嫩草地是我国重点牧区之一，其产草量是我国重点牧区平均产草量的</w:t>
      </w:r>
      <w:r>
        <w:rPr>
          <w:rFonts w:hint="eastAsia"/>
          <w:bCs/>
          <w:sz w:val="24"/>
          <w:szCs w:val="24"/>
        </w:rPr>
        <w:t>1.5</w:t>
      </w:r>
      <w:r>
        <w:rPr>
          <w:rFonts w:hint="eastAsia"/>
          <w:bCs/>
          <w:sz w:val="24"/>
          <w:szCs w:val="24"/>
        </w:rPr>
        <w:t>倍，是我国重要的草地畜牧业生产基地。该区域盐碱草地因地下水位高、蒸发强烈，土壤盐分地表聚集现象显著，传统治理技术（如水利工程、化学改良）成本高且可持续性差</w:t>
      </w:r>
      <w:r>
        <w:rPr>
          <w:bCs/>
          <w:sz w:val="24"/>
          <w:szCs w:val="24"/>
        </w:rPr>
        <w:t>等局限，亟需建立系统化解决方案。</w:t>
      </w:r>
    </w:p>
    <w:bookmarkEnd w:id="2"/>
    <w:p w14:paraId="7BDB5C3E" w14:textId="77777777" w:rsidR="00B552FE" w:rsidRDefault="00000000">
      <w:pPr>
        <w:spacing w:line="360" w:lineRule="auto"/>
        <w:ind w:firstLineChars="200" w:firstLine="480"/>
        <w:rPr>
          <w:bCs/>
          <w:sz w:val="24"/>
          <w:szCs w:val="24"/>
        </w:rPr>
      </w:pPr>
      <w:r>
        <w:rPr>
          <w:rFonts w:hint="eastAsia"/>
          <w:bCs/>
          <w:sz w:val="24"/>
          <w:szCs w:val="24"/>
        </w:rPr>
        <w:t>本项目基于东北师范大学和中国科学院东北地理与农业生态研究所在松嫩盐碱草地多年的定位观测与修复试验，构建了以耐盐碱乡土植物为基础，物理改良与化学调控相结合的盐碱草地综合治理技术体系。本文件适用于松嫩平原及类似气候区的盐碱草地退化修复，主要技术内容包括：盐碱草地退化程度评估与分区；土壤盐渍化物理</w:t>
      </w:r>
      <w:r>
        <w:rPr>
          <w:rFonts w:hint="eastAsia"/>
          <w:bCs/>
          <w:sz w:val="24"/>
          <w:szCs w:val="24"/>
        </w:rPr>
        <w:t>-</w:t>
      </w:r>
      <w:r>
        <w:rPr>
          <w:rFonts w:hint="eastAsia"/>
          <w:bCs/>
          <w:sz w:val="24"/>
          <w:szCs w:val="24"/>
        </w:rPr>
        <w:t>化学联合改良技术；植被恢复与可持续管理技术；修复效果监测与评价方法。本技术规程将为松嫩平原及类似气候区盐碱草地修复提供标准化指导，推</w:t>
      </w:r>
      <w:r>
        <w:rPr>
          <w:rFonts w:hint="eastAsia"/>
          <w:bCs/>
          <w:sz w:val="24"/>
          <w:szCs w:val="24"/>
        </w:rPr>
        <w:lastRenderedPageBreak/>
        <w:t>动草牧业高质量发展和生态安全屏障建设。</w:t>
      </w:r>
    </w:p>
    <w:p w14:paraId="41A5AC44" w14:textId="77777777" w:rsidR="00B552FE" w:rsidRDefault="00000000" w:rsidP="00472EEC">
      <w:pPr>
        <w:pStyle w:val="af3"/>
        <w:numPr>
          <w:ilvl w:val="0"/>
          <w:numId w:val="1"/>
        </w:numPr>
        <w:spacing w:beforeLines="50" w:before="156" w:afterLines="50" w:after="156" w:line="420" w:lineRule="exact"/>
        <w:ind w:left="578" w:firstLineChars="0" w:hanging="578"/>
        <w:rPr>
          <w:b/>
          <w:color w:val="000000"/>
          <w:sz w:val="28"/>
          <w:szCs w:val="28"/>
        </w:rPr>
      </w:pPr>
      <w:r>
        <w:rPr>
          <w:rFonts w:hint="eastAsia"/>
          <w:b/>
          <w:color w:val="000000"/>
          <w:sz w:val="28"/>
          <w:szCs w:val="28"/>
        </w:rPr>
        <w:t>主要工作过程</w:t>
      </w:r>
    </w:p>
    <w:p w14:paraId="699D3654" w14:textId="77777777" w:rsidR="00472EEC" w:rsidRPr="00CC730D" w:rsidRDefault="00000000" w:rsidP="00CC730D">
      <w:pPr>
        <w:spacing w:line="360" w:lineRule="auto"/>
        <w:ind w:firstLineChars="200" w:firstLine="482"/>
        <w:rPr>
          <w:b/>
          <w:sz w:val="24"/>
          <w:szCs w:val="24"/>
        </w:rPr>
      </w:pPr>
      <w:r w:rsidRPr="00CC730D">
        <w:rPr>
          <w:b/>
          <w:sz w:val="24"/>
          <w:szCs w:val="24"/>
        </w:rPr>
        <w:t>1</w:t>
      </w:r>
      <w:r w:rsidRPr="00CC730D">
        <w:rPr>
          <w:b/>
          <w:sz w:val="24"/>
          <w:szCs w:val="24"/>
        </w:rPr>
        <w:t>、</w:t>
      </w:r>
      <w:r w:rsidR="00472EEC" w:rsidRPr="00CC730D">
        <w:rPr>
          <w:rFonts w:hint="eastAsia"/>
          <w:b/>
          <w:sz w:val="24"/>
          <w:szCs w:val="24"/>
        </w:rPr>
        <w:t>预研</w:t>
      </w:r>
      <w:r w:rsidRPr="00CC730D">
        <w:rPr>
          <w:b/>
          <w:sz w:val="24"/>
          <w:szCs w:val="24"/>
        </w:rPr>
        <w:t>阶段</w:t>
      </w:r>
    </w:p>
    <w:p w14:paraId="32EE6AD8" w14:textId="3A38ABB0" w:rsidR="00B552FE" w:rsidRPr="00CC730D" w:rsidRDefault="00000000" w:rsidP="00CC730D">
      <w:pPr>
        <w:pStyle w:val="af4"/>
        <w:spacing w:line="360" w:lineRule="auto"/>
        <w:ind w:firstLineChars="177" w:firstLine="425"/>
        <w:rPr>
          <w:rFonts w:ascii="Times New Roman"/>
          <w:bCs/>
          <w:kern w:val="2"/>
          <w:sz w:val="24"/>
          <w:szCs w:val="24"/>
        </w:rPr>
      </w:pPr>
      <w:r w:rsidRPr="00CC730D">
        <w:rPr>
          <w:rFonts w:ascii="Times New Roman" w:hint="eastAsia"/>
          <w:bCs/>
          <w:kern w:val="2"/>
          <w:sz w:val="24"/>
          <w:szCs w:val="24"/>
        </w:rPr>
        <w:t>东北师范大学作为牵头单位，根据北京华夏草业产业技术创新战略联盟关于团体标准制定的工作要求，组织研究团队系统梳理了在松嫩草地多年盐碱修复实验中获得的研究数据和成果。经过充分讨论和论证，确定将</w:t>
      </w:r>
      <w:proofErr w:type="gramStart"/>
      <w:r w:rsidRPr="00CC730D">
        <w:rPr>
          <w:rFonts w:ascii="Times New Roman" w:hint="eastAsia"/>
          <w:bCs/>
          <w:kern w:val="2"/>
          <w:sz w:val="24"/>
          <w:szCs w:val="24"/>
        </w:rPr>
        <w:t>"</w:t>
      </w:r>
      <w:r w:rsidR="00FD3621">
        <w:rPr>
          <w:rFonts w:ascii="Times New Roman" w:hint="eastAsia"/>
          <w:bCs/>
          <w:kern w:val="2"/>
          <w:sz w:val="24"/>
          <w:szCs w:val="24"/>
        </w:rPr>
        <w:t>松</w:t>
      </w:r>
      <w:proofErr w:type="gramEnd"/>
      <w:r w:rsidR="00FD3621">
        <w:rPr>
          <w:rFonts w:ascii="Times New Roman" w:hint="eastAsia"/>
          <w:bCs/>
          <w:kern w:val="2"/>
          <w:sz w:val="24"/>
          <w:szCs w:val="24"/>
        </w:rPr>
        <w:t>嫩平原轻度盐碱退化草地生态修复技术</w:t>
      </w:r>
      <w:proofErr w:type="gramStart"/>
      <w:r w:rsidR="00FD3621">
        <w:rPr>
          <w:rFonts w:ascii="Times New Roman" w:hint="eastAsia"/>
          <w:bCs/>
          <w:kern w:val="2"/>
          <w:sz w:val="24"/>
          <w:szCs w:val="24"/>
        </w:rPr>
        <w:t>规程</w:t>
      </w:r>
      <w:r w:rsidRPr="00CC730D">
        <w:rPr>
          <w:rFonts w:ascii="Times New Roman" w:hint="eastAsia"/>
          <w:bCs/>
          <w:kern w:val="2"/>
          <w:sz w:val="24"/>
          <w:szCs w:val="24"/>
        </w:rPr>
        <w:t>"</w:t>
      </w:r>
      <w:proofErr w:type="gramEnd"/>
      <w:r w:rsidRPr="00CC730D">
        <w:rPr>
          <w:rFonts w:ascii="Times New Roman" w:hint="eastAsia"/>
          <w:bCs/>
          <w:kern w:val="2"/>
          <w:sz w:val="24"/>
          <w:szCs w:val="24"/>
        </w:rPr>
        <w:t>作为标准制定方向，并完成项目建议书和标准草案的编制工作，正式向联盟秘书处提交立项申请。</w:t>
      </w:r>
    </w:p>
    <w:p w14:paraId="0F0B8DC9" w14:textId="77777777" w:rsidR="00472EEC" w:rsidRPr="00CC730D" w:rsidRDefault="00000000" w:rsidP="00CC730D">
      <w:pPr>
        <w:spacing w:line="360" w:lineRule="auto"/>
        <w:ind w:firstLineChars="200" w:firstLine="482"/>
        <w:rPr>
          <w:b/>
          <w:sz w:val="24"/>
          <w:szCs w:val="24"/>
        </w:rPr>
      </w:pPr>
      <w:r w:rsidRPr="00CC730D">
        <w:rPr>
          <w:b/>
          <w:sz w:val="24"/>
          <w:szCs w:val="24"/>
        </w:rPr>
        <w:t>2</w:t>
      </w:r>
      <w:r w:rsidRPr="00CC730D">
        <w:rPr>
          <w:rFonts w:hint="eastAsia"/>
          <w:b/>
          <w:sz w:val="24"/>
          <w:szCs w:val="24"/>
        </w:rPr>
        <w:t>、</w:t>
      </w:r>
      <w:r w:rsidRPr="00CC730D">
        <w:rPr>
          <w:b/>
          <w:sz w:val="24"/>
          <w:szCs w:val="24"/>
        </w:rPr>
        <w:t>立项阶段</w:t>
      </w:r>
    </w:p>
    <w:p w14:paraId="5F7E7C70" w14:textId="04C830FA" w:rsidR="00B552FE" w:rsidRDefault="00000000">
      <w:pPr>
        <w:pStyle w:val="af4"/>
        <w:spacing w:line="360" w:lineRule="auto"/>
        <w:ind w:firstLineChars="177" w:firstLine="425"/>
        <w:rPr>
          <w:rFonts w:ascii="Times New Roman"/>
          <w:bCs/>
          <w:kern w:val="2"/>
          <w:sz w:val="24"/>
          <w:szCs w:val="24"/>
        </w:rPr>
      </w:pPr>
      <w:r>
        <w:rPr>
          <w:rFonts w:ascii="Times New Roman" w:hint="eastAsia"/>
          <w:bCs/>
          <w:kern w:val="2"/>
          <w:sz w:val="24"/>
          <w:szCs w:val="24"/>
        </w:rPr>
        <w:t>北京华夏草业产业技术创新战略联盟组织专家对申报项目进行专业评审。评审专家一致认为该项目基于长期实验数据，研究方法科学，实用性强，具有重要的推广应用价值，批准该项目立项。</w:t>
      </w:r>
    </w:p>
    <w:p w14:paraId="415BF7FD" w14:textId="77777777" w:rsidR="00472EEC" w:rsidRPr="00CC730D" w:rsidRDefault="00000000" w:rsidP="00CC730D">
      <w:pPr>
        <w:spacing w:line="360" w:lineRule="auto"/>
        <w:ind w:firstLineChars="200" w:firstLine="482"/>
        <w:rPr>
          <w:b/>
          <w:sz w:val="24"/>
          <w:szCs w:val="24"/>
        </w:rPr>
      </w:pPr>
      <w:r w:rsidRPr="00CC730D">
        <w:rPr>
          <w:rFonts w:hint="eastAsia"/>
          <w:b/>
          <w:sz w:val="24"/>
          <w:szCs w:val="24"/>
        </w:rPr>
        <w:t>3</w:t>
      </w:r>
      <w:r w:rsidRPr="00CC730D">
        <w:rPr>
          <w:rFonts w:hint="eastAsia"/>
          <w:b/>
          <w:sz w:val="24"/>
          <w:szCs w:val="24"/>
        </w:rPr>
        <w:t>、</w:t>
      </w:r>
      <w:r w:rsidRPr="00CC730D">
        <w:rPr>
          <w:b/>
          <w:sz w:val="24"/>
          <w:szCs w:val="24"/>
        </w:rPr>
        <w:t>起草阶段</w:t>
      </w:r>
    </w:p>
    <w:p w14:paraId="1C99DD75" w14:textId="6CA91B72" w:rsidR="00B552FE" w:rsidRDefault="00000000">
      <w:pPr>
        <w:pStyle w:val="af4"/>
        <w:spacing w:line="360" w:lineRule="auto"/>
        <w:ind w:firstLineChars="177" w:firstLine="425"/>
        <w:rPr>
          <w:rFonts w:ascii="Times New Roman"/>
          <w:bCs/>
          <w:kern w:val="2"/>
          <w:sz w:val="24"/>
          <w:szCs w:val="24"/>
        </w:rPr>
      </w:pPr>
      <w:r>
        <w:rPr>
          <w:rFonts w:ascii="Times New Roman"/>
          <w:bCs/>
          <w:kern w:val="2"/>
          <w:sz w:val="24"/>
          <w:szCs w:val="24"/>
        </w:rPr>
        <w:t>项目组在前期研究基础上，进一步整合分析松嫩草地多年</w:t>
      </w:r>
      <w:r w:rsidRPr="00CC730D">
        <w:rPr>
          <w:rFonts w:ascii="Times New Roman" w:hint="eastAsia"/>
          <w:bCs/>
          <w:kern w:val="2"/>
          <w:sz w:val="24"/>
          <w:szCs w:val="24"/>
        </w:rPr>
        <w:t>盐碱修复</w:t>
      </w:r>
      <w:r>
        <w:rPr>
          <w:rFonts w:ascii="Times New Roman"/>
          <w:bCs/>
          <w:kern w:val="2"/>
          <w:sz w:val="24"/>
          <w:szCs w:val="24"/>
        </w:rPr>
        <w:t>实验数据，系统梳理国内外相关技术文献，经过多轮研讨和修改完善，形成了《</w:t>
      </w:r>
      <w:r w:rsidR="00FD3621">
        <w:rPr>
          <w:rFonts w:ascii="Times New Roman" w:hint="eastAsia"/>
          <w:bCs/>
          <w:kern w:val="2"/>
          <w:sz w:val="24"/>
          <w:szCs w:val="24"/>
        </w:rPr>
        <w:t>松嫩平原轻度盐碱退化草地生态修复技术规程</w:t>
      </w:r>
      <w:r>
        <w:rPr>
          <w:rFonts w:ascii="Times New Roman"/>
          <w:bCs/>
          <w:kern w:val="2"/>
          <w:sz w:val="24"/>
          <w:szCs w:val="24"/>
        </w:rPr>
        <w:t>》团体标准征求意见稿及其编制说明。该征求意见稿明确了标准的技术内容、适用范围和操作方法，为后续的征求意见和审查工作奠定了基础。</w:t>
      </w:r>
    </w:p>
    <w:p w14:paraId="37993BAD" w14:textId="77777777" w:rsidR="00B552FE" w:rsidRDefault="00000000" w:rsidP="0025397E">
      <w:pPr>
        <w:pStyle w:val="af3"/>
        <w:numPr>
          <w:ilvl w:val="0"/>
          <w:numId w:val="1"/>
        </w:numPr>
        <w:spacing w:beforeLines="50" w:before="156" w:afterLines="50" w:after="156" w:line="420" w:lineRule="exact"/>
        <w:ind w:left="578" w:firstLineChars="0" w:hanging="578"/>
        <w:rPr>
          <w:b/>
          <w:color w:val="000000"/>
          <w:sz w:val="28"/>
          <w:szCs w:val="28"/>
        </w:rPr>
      </w:pPr>
      <w:r>
        <w:rPr>
          <w:b/>
          <w:color w:val="000000"/>
          <w:sz w:val="28"/>
          <w:szCs w:val="28"/>
        </w:rPr>
        <w:t>标准编制原则和主要技术内容确定的依据</w:t>
      </w:r>
    </w:p>
    <w:p w14:paraId="0C93388A" w14:textId="77777777" w:rsidR="00B552FE" w:rsidRPr="0025397E" w:rsidRDefault="00000000" w:rsidP="0025397E">
      <w:pPr>
        <w:spacing w:line="360" w:lineRule="auto"/>
        <w:ind w:firstLineChars="200" w:firstLine="482"/>
        <w:rPr>
          <w:b/>
          <w:sz w:val="24"/>
          <w:szCs w:val="24"/>
        </w:rPr>
      </w:pPr>
      <w:r w:rsidRPr="0025397E">
        <w:rPr>
          <w:rFonts w:hint="eastAsia"/>
          <w:b/>
          <w:sz w:val="24"/>
          <w:szCs w:val="24"/>
        </w:rPr>
        <w:t>1</w:t>
      </w:r>
      <w:r w:rsidRPr="0025397E">
        <w:rPr>
          <w:rFonts w:hint="eastAsia"/>
          <w:b/>
          <w:sz w:val="24"/>
          <w:szCs w:val="24"/>
        </w:rPr>
        <w:t>、标准编制</w:t>
      </w:r>
      <w:r w:rsidRPr="0025397E">
        <w:rPr>
          <w:b/>
          <w:sz w:val="24"/>
          <w:szCs w:val="24"/>
        </w:rPr>
        <w:t>原则</w:t>
      </w:r>
    </w:p>
    <w:p w14:paraId="6866BAF5" w14:textId="77777777" w:rsidR="00B552FE" w:rsidRDefault="00000000">
      <w:pPr>
        <w:spacing w:line="360" w:lineRule="auto"/>
        <w:ind w:firstLineChars="200" w:firstLine="480"/>
        <w:rPr>
          <w:bCs/>
          <w:sz w:val="24"/>
          <w:szCs w:val="24"/>
        </w:rPr>
      </w:pPr>
      <w:r>
        <w:rPr>
          <w:rFonts w:hint="eastAsia"/>
          <w:bCs/>
          <w:sz w:val="24"/>
          <w:szCs w:val="24"/>
        </w:rPr>
        <w:t>本标准严格依照</w:t>
      </w:r>
      <w:r>
        <w:rPr>
          <w:rFonts w:hint="eastAsia"/>
          <w:bCs/>
          <w:sz w:val="24"/>
          <w:szCs w:val="24"/>
        </w:rPr>
        <w:t>GB/T 1.1-2009</w:t>
      </w:r>
      <w:r>
        <w:rPr>
          <w:rFonts w:hint="eastAsia"/>
          <w:bCs/>
          <w:sz w:val="24"/>
          <w:szCs w:val="24"/>
        </w:rPr>
        <w:t>《标准化工作导则</w:t>
      </w:r>
      <w:r>
        <w:rPr>
          <w:rFonts w:hint="eastAsia"/>
          <w:bCs/>
          <w:sz w:val="24"/>
          <w:szCs w:val="24"/>
        </w:rPr>
        <w:t xml:space="preserve"> </w:t>
      </w:r>
      <w:r>
        <w:rPr>
          <w:rFonts w:hint="eastAsia"/>
          <w:bCs/>
          <w:sz w:val="24"/>
          <w:szCs w:val="24"/>
        </w:rPr>
        <w:t>第</w:t>
      </w:r>
      <w:r>
        <w:rPr>
          <w:rFonts w:hint="eastAsia"/>
          <w:bCs/>
          <w:sz w:val="24"/>
          <w:szCs w:val="24"/>
        </w:rPr>
        <w:t>1</w:t>
      </w:r>
      <w:r>
        <w:rPr>
          <w:rFonts w:hint="eastAsia"/>
          <w:bCs/>
          <w:sz w:val="24"/>
          <w:szCs w:val="24"/>
        </w:rPr>
        <w:t>部分：标准的结构和编写》的相关规定和要求进行编制。在编制过程中，我们始终坚持三项基本原则：首先，秉持科学性原则，所有技术内容均基于松嫩草地历时十余年积累的长期定位观测以及盐碱修复数据；其次，贯彻实用性原则，确保标准内容与松嫩平原盐碱草地恢复工程的实际需求紧密结合；最后，遵循先进性原则，充分吸收和借鉴国内外最新的研究成果与技术方法。</w:t>
      </w:r>
    </w:p>
    <w:p w14:paraId="26E34909" w14:textId="77777777" w:rsidR="00B552FE" w:rsidRPr="0025397E" w:rsidRDefault="00000000">
      <w:pPr>
        <w:spacing w:line="360" w:lineRule="auto"/>
        <w:ind w:firstLineChars="200" w:firstLine="480"/>
        <w:rPr>
          <w:bCs/>
          <w:sz w:val="24"/>
          <w:szCs w:val="24"/>
        </w:rPr>
      </w:pPr>
      <w:r w:rsidRPr="0025397E">
        <w:rPr>
          <w:rFonts w:hint="eastAsia"/>
          <w:bCs/>
          <w:sz w:val="24"/>
          <w:szCs w:val="24"/>
        </w:rPr>
        <w:t>本标准的制定建立在扎实的科研基础之上，主要技术来源包括三个方面：第一，</w:t>
      </w:r>
      <w:r w:rsidRPr="0025397E">
        <w:rPr>
          <w:rFonts w:hint="eastAsia"/>
          <w:bCs/>
          <w:sz w:val="24"/>
          <w:szCs w:val="24"/>
        </w:rPr>
        <w:lastRenderedPageBreak/>
        <w:t>系统整理了松嫩草地生态站积累的长期定位观测和改良数据；第二，充分吸收了典型示范区工程实践的验证结果；第三，全面对比分析了国内外相关标准和技术文献的先进经验。这些工作为标准的科学性、实用性和先进性提供了坚实保障。</w:t>
      </w:r>
    </w:p>
    <w:p w14:paraId="1462AFBF" w14:textId="77777777" w:rsidR="00B552FE" w:rsidRPr="0025397E" w:rsidRDefault="00000000" w:rsidP="0025397E">
      <w:pPr>
        <w:spacing w:line="360" w:lineRule="auto"/>
        <w:ind w:firstLineChars="200" w:firstLine="482"/>
        <w:rPr>
          <w:b/>
          <w:sz w:val="24"/>
          <w:szCs w:val="24"/>
        </w:rPr>
      </w:pPr>
      <w:r w:rsidRPr="0025397E">
        <w:rPr>
          <w:rFonts w:hint="eastAsia"/>
          <w:b/>
          <w:sz w:val="24"/>
          <w:szCs w:val="24"/>
        </w:rPr>
        <w:t>2</w:t>
      </w:r>
      <w:r w:rsidRPr="0025397E">
        <w:rPr>
          <w:rFonts w:hint="eastAsia"/>
          <w:b/>
          <w:sz w:val="24"/>
          <w:szCs w:val="24"/>
        </w:rPr>
        <w:t>、主要技术内容确定的</w:t>
      </w:r>
      <w:r w:rsidRPr="0025397E">
        <w:rPr>
          <w:b/>
          <w:sz w:val="24"/>
          <w:szCs w:val="24"/>
        </w:rPr>
        <w:t>论据</w:t>
      </w:r>
    </w:p>
    <w:p w14:paraId="28FCEB69" w14:textId="77777777" w:rsidR="00B552FE" w:rsidRDefault="00000000">
      <w:pPr>
        <w:spacing w:line="360" w:lineRule="auto"/>
        <w:ind w:firstLineChars="200" w:firstLine="480"/>
        <w:jc w:val="left"/>
        <w:rPr>
          <w:sz w:val="24"/>
        </w:rPr>
      </w:pPr>
      <w:r>
        <w:rPr>
          <w:rFonts w:hint="eastAsia"/>
          <w:sz w:val="24"/>
        </w:rPr>
        <w:t>（</w:t>
      </w:r>
      <w:r>
        <w:rPr>
          <w:rFonts w:hint="eastAsia"/>
          <w:sz w:val="24"/>
        </w:rPr>
        <w:t>1</w:t>
      </w:r>
      <w:r>
        <w:rPr>
          <w:rFonts w:hint="eastAsia"/>
          <w:sz w:val="24"/>
        </w:rPr>
        <w:t>）适用范围</w:t>
      </w:r>
    </w:p>
    <w:p w14:paraId="0F32A914" w14:textId="77777777" w:rsidR="00B552FE" w:rsidRDefault="00000000">
      <w:pPr>
        <w:spacing w:line="360" w:lineRule="auto"/>
        <w:ind w:firstLineChars="200" w:firstLine="480"/>
        <w:rPr>
          <w:sz w:val="24"/>
        </w:rPr>
      </w:pPr>
      <w:r>
        <w:rPr>
          <w:rFonts w:hint="eastAsia"/>
          <w:sz w:val="24"/>
        </w:rPr>
        <w:t>本标准规定了盐碱化草原生态恢复的术语和定义、盐碱化程度诊断、恢复技术体系、后期管护、生态恢复效果评价及生产档案管理等技术要求。本标准适用于松嫩盐碱化草原的生态修复工程，涵盖盐碱化草原的治理与恢复。</w:t>
      </w:r>
    </w:p>
    <w:p w14:paraId="6B56CC4D" w14:textId="77777777" w:rsidR="00B552FE" w:rsidRDefault="00000000">
      <w:pPr>
        <w:spacing w:line="360" w:lineRule="auto"/>
        <w:ind w:firstLineChars="200" w:firstLine="480"/>
        <w:jc w:val="left"/>
        <w:rPr>
          <w:sz w:val="24"/>
        </w:rPr>
      </w:pPr>
      <w:r>
        <w:rPr>
          <w:rFonts w:hint="eastAsia"/>
          <w:sz w:val="24"/>
        </w:rPr>
        <w:t>（</w:t>
      </w:r>
      <w:r>
        <w:rPr>
          <w:rFonts w:hint="eastAsia"/>
          <w:sz w:val="24"/>
        </w:rPr>
        <w:t>2</w:t>
      </w:r>
      <w:r>
        <w:rPr>
          <w:rFonts w:hint="eastAsia"/>
          <w:sz w:val="24"/>
        </w:rPr>
        <w:t>）规范性引用文件</w:t>
      </w:r>
    </w:p>
    <w:p w14:paraId="7BE88FEB" w14:textId="77777777" w:rsidR="00B552FE" w:rsidRDefault="00000000">
      <w:pPr>
        <w:spacing w:line="360" w:lineRule="auto"/>
        <w:ind w:firstLineChars="200" w:firstLine="480"/>
        <w:jc w:val="left"/>
        <w:rPr>
          <w:sz w:val="24"/>
        </w:rPr>
      </w:pPr>
      <w:r>
        <w:rPr>
          <w:rFonts w:hint="eastAsia"/>
          <w:sz w:val="24"/>
        </w:rPr>
        <w:t>本标准制定时，参照了</w:t>
      </w:r>
      <w:r>
        <w:rPr>
          <w:rFonts w:hint="eastAsia"/>
          <w:sz w:val="24"/>
        </w:rPr>
        <w:t xml:space="preserve">GB/T 19377 </w:t>
      </w:r>
      <w:r>
        <w:rPr>
          <w:rFonts w:hint="eastAsia"/>
          <w:sz w:val="24"/>
        </w:rPr>
        <w:t>天然草地退化、沙化、盐渍化的分级指标、</w:t>
      </w:r>
      <w:r>
        <w:rPr>
          <w:rFonts w:hint="eastAsia"/>
          <w:sz w:val="24"/>
        </w:rPr>
        <w:t xml:space="preserve">GB/T 21439 </w:t>
      </w:r>
      <w:r>
        <w:rPr>
          <w:rFonts w:hint="eastAsia"/>
          <w:sz w:val="24"/>
        </w:rPr>
        <w:t>草原健康状况评价、</w:t>
      </w:r>
      <w:r>
        <w:rPr>
          <w:rFonts w:hint="eastAsia"/>
          <w:sz w:val="24"/>
        </w:rPr>
        <w:t xml:space="preserve">LY/T 3323 </w:t>
      </w:r>
      <w:r>
        <w:rPr>
          <w:rFonts w:hint="eastAsia"/>
          <w:sz w:val="24"/>
        </w:rPr>
        <w:t>草原生态修复技术规程和</w:t>
      </w:r>
      <w:r>
        <w:rPr>
          <w:rFonts w:hint="eastAsia"/>
          <w:sz w:val="24"/>
        </w:rPr>
        <w:t xml:space="preserve">DB 22/T 2476 </w:t>
      </w:r>
      <w:r>
        <w:rPr>
          <w:rFonts w:hint="eastAsia"/>
          <w:sz w:val="24"/>
        </w:rPr>
        <w:t>盐碱化草地恢复定量评价技术规程。</w:t>
      </w:r>
    </w:p>
    <w:p w14:paraId="23E62495" w14:textId="77777777" w:rsidR="00B552FE" w:rsidRDefault="00000000">
      <w:pPr>
        <w:spacing w:line="360" w:lineRule="auto"/>
        <w:ind w:firstLineChars="200" w:firstLine="480"/>
        <w:jc w:val="left"/>
        <w:rPr>
          <w:sz w:val="24"/>
        </w:rPr>
      </w:pPr>
      <w:r>
        <w:rPr>
          <w:rFonts w:hint="eastAsia"/>
          <w:sz w:val="24"/>
        </w:rPr>
        <w:t>（</w:t>
      </w:r>
      <w:r>
        <w:rPr>
          <w:rFonts w:hint="eastAsia"/>
          <w:sz w:val="24"/>
        </w:rPr>
        <w:t>3</w:t>
      </w:r>
      <w:r>
        <w:rPr>
          <w:rFonts w:hint="eastAsia"/>
          <w:sz w:val="24"/>
        </w:rPr>
        <w:t>）术语与定义</w:t>
      </w:r>
    </w:p>
    <w:p w14:paraId="4F16257F" w14:textId="77777777" w:rsidR="00B552FE" w:rsidRDefault="00000000">
      <w:pPr>
        <w:spacing w:line="360" w:lineRule="auto"/>
        <w:ind w:firstLineChars="200" w:firstLine="480"/>
        <w:jc w:val="left"/>
        <w:rPr>
          <w:sz w:val="24"/>
        </w:rPr>
      </w:pPr>
      <w:r>
        <w:rPr>
          <w:rFonts w:hint="eastAsia"/>
          <w:sz w:val="24"/>
        </w:rPr>
        <w:t>本标准中出现的术语和定义依据国内外相关文献资料，结合标准起草组的研究结果和实践应用经验，最后经参编人员讨论确定了本标准的术语为“松嫩盐碱化草原、近自然恢复、人工干预恢复、土壤有机碳、土壤无机碳、土壤呼吸、土壤呼吸的温度敏感性”，并给出相应定义。</w:t>
      </w:r>
    </w:p>
    <w:p w14:paraId="1FA949E9" w14:textId="77777777" w:rsidR="00B552FE" w:rsidRDefault="00000000">
      <w:pPr>
        <w:spacing w:line="360" w:lineRule="auto"/>
        <w:ind w:firstLineChars="200" w:firstLine="480"/>
        <w:jc w:val="left"/>
        <w:rPr>
          <w:sz w:val="24"/>
        </w:rPr>
      </w:pPr>
      <w:r>
        <w:rPr>
          <w:rFonts w:hint="eastAsia"/>
          <w:sz w:val="24"/>
        </w:rPr>
        <w:t>（</w:t>
      </w:r>
      <w:r>
        <w:rPr>
          <w:rFonts w:hint="eastAsia"/>
          <w:sz w:val="24"/>
        </w:rPr>
        <w:t>4</w:t>
      </w:r>
      <w:r>
        <w:rPr>
          <w:rFonts w:hint="eastAsia"/>
          <w:sz w:val="24"/>
        </w:rPr>
        <w:t>）主要技术指标确定的依据</w:t>
      </w:r>
    </w:p>
    <w:p w14:paraId="5569E3B1" w14:textId="77777777" w:rsidR="00AC3EB1" w:rsidRDefault="00000000">
      <w:pPr>
        <w:spacing w:line="360" w:lineRule="auto"/>
        <w:ind w:firstLineChars="200" w:firstLine="480"/>
        <w:jc w:val="left"/>
        <w:rPr>
          <w:sz w:val="24"/>
        </w:rPr>
      </w:pPr>
      <w:r>
        <w:rPr>
          <w:rFonts w:hint="eastAsia"/>
          <w:sz w:val="24"/>
        </w:rPr>
        <w:t>本技术规程主要技术指标的确定基于东北师范大学</w:t>
      </w:r>
      <w:r>
        <w:rPr>
          <w:rFonts w:hint="eastAsia"/>
          <w:sz w:val="24"/>
        </w:rPr>
        <w:t>20</w:t>
      </w:r>
      <w:r>
        <w:rPr>
          <w:rFonts w:hint="eastAsia"/>
          <w:sz w:val="24"/>
        </w:rPr>
        <w:t>余年来在松嫩盐碱草地生态恢复领域的系统研究成果。自</w:t>
      </w:r>
      <w:r>
        <w:rPr>
          <w:rFonts w:hint="eastAsia"/>
          <w:sz w:val="24"/>
        </w:rPr>
        <w:t>2000</w:t>
      </w:r>
      <w:r>
        <w:rPr>
          <w:rFonts w:hint="eastAsia"/>
          <w:sz w:val="24"/>
        </w:rPr>
        <w:t>年起，研究团队先后承担了多项国家级和省级重点科研项目，包括</w:t>
      </w:r>
      <w:r w:rsidR="00C62995" w:rsidRPr="00657D1D">
        <w:rPr>
          <w:rFonts w:hint="eastAsia"/>
          <w:sz w:val="24"/>
        </w:rPr>
        <w:t>重点研发计划</w:t>
      </w:r>
      <w:r w:rsidR="00C62995">
        <w:rPr>
          <w:rFonts w:hint="eastAsia"/>
          <w:sz w:val="24"/>
        </w:rPr>
        <w:t>“</w:t>
      </w:r>
      <w:r w:rsidR="00C62995" w:rsidRPr="00657D1D">
        <w:rPr>
          <w:rFonts w:hint="eastAsia"/>
          <w:sz w:val="24"/>
        </w:rPr>
        <w:t>农牧交错区退化草地近自然修复及稳定性维持关键技术集成应用</w:t>
      </w:r>
      <w:r w:rsidR="00C62995">
        <w:rPr>
          <w:rFonts w:hint="eastAsia"/>
          <w:sz w:val="24"/>
        </w:rPr>
        <w:t>”（</w:t>
      </w:r>
      <w:r w:rsidR="00C62995" w:rsidRPr="00657D1D">
        <w:rPr>
          <w:sz w:val="24"/>
        </w:rPr>
        <w:t>2024YFD1301103</w:t>
      </w:r>
      <w:r w:rsidR="00C62995">
        <w:rPr>
          <w:rFonts w:hint="eastAsia"/>
          <w:sz w:val="24"/>
        </w:rPr>
        <w:t>，</w:t>
      </w:r>
      <w:r w:rsidR="00C62995">
        <w:rPr>
          <w:rFonts w:hint="eastAsia"/>
          <w:sz w:val="24"/>
        </w:rPr>
        <w:t>170</w:t>
      </w:r>
      <w:r w:rsidR="00C62995">
        <w:rPr>
          <w:rFonts w:hint="eastAsia"/>
          <w:sz w:val="24"/>
        </w:rPr>
        <w:t>万）、</w:t>
      </w:r>
      <w:r>
        <w:rPr>
          <w:rFonts w:hint="eastAsia"/>
          <w:sz w:val="24"/>
        </w:rPr>
        <w:t>吉林省科技发展计划重大科技专项</w:t>
      </w:r>
      <w:r w:rsidR="0042108D">
        <w:rPr>
          <w:rFonts w:hint="eastAsia"/>
          <w:sz w:val="24"/>
        </w:rPr>
        <w:t>“</w:t>
      </w:r>
      <w:r>
        <w:rPr>
          <w:rFonts w:hint="eastAsia"/>
          <w:sz w:val="24"/>
        </w:rPr>
        <w:t>吉林西部生态脆弱区功能提升与绿色发展重大科技专项</w:t>
      </w:r>
      <w:r>
        <w:rPr>
          <w:rFonts w:hint="eastAsia"/>
          <w:sz w:val="24"/>
        </w:rPr>
        <w:t>-</w:t>
      </w:r>
      <w:r>
        <w:rPr>
          <w:rFonts w:hint="eastAsia"/>
          <w:sz w:val="24"/>
        </w:rPr>
        <w:t>退化草地生态恢复与功能提升技术研发及应用</w:t>
      </w:r>
      <w:r w:rsidR="0042108D">
        <w:rPr>
          <w:rFonts w:hint="eastAsia"/>
          <w:sz w:val="24"/>
        </w:rPr>
        <w:t>”</w:t>
      </w:r>
      <w:r>
        <w:rPr>
          <w:rFonts w:hint="eastAsia"/>
          <w:sz w:val="24"/>
        </w:rPr>
        <w:t>（</w:t>
      </w:r>
      <w:r>
        <w:rPr>
          <w:rFonts w:hint="eastAsia"/>
          <w:sz w:val="24"/>
        </w:rPr>
        <w:t>20230303008SF</w:t>
      </w:r>
      <w:r>
        <w:rPr>
          <w:rFonts w:hint="eastAsia"/>
          <w:sz w:val="24"/>
        </w:rPr>
        <w:t>，</w:t>
      </w:r>
      <w:r>
        <w:rPr>
          <w:rFonts w:hint="eastAsia"/>
          <w:sz w:val="24"/>
        </w:rPr>
        <w:t>260</w:t>
      </w:r>
      <w:r>
        <w:rPr>
          <w:rFonts w:hint="eastAsia"/>
          <w:sz w:val="24"/>
        </w:rPr>
        <w:t>万元）、国家重点研发计划项目</w:t>
      </w:r>
      <w:r w:rsidR="0042108D">
        <w:rPr>
          <w:rFonts w:hint="eastAsia"/>
          <w:sz w:val="24"/>
        </w:rPr>
        <w:t>“</w:t>
      </w:r>
      <w:r>
        <w:rPr>
          <w:rFonts w:hint="eastAsia"/>
          <w:sz w:val="24"/>
        </w:rPr>
        <w:t>北方草甸退化草地系统恢复机理及技术基础</w:t>
      </w:r>
      <w:r w:rsidR="0042108D">
        <w:rPr>
          <w:rFonts w:hint="eastAsia"/>
          <w:sz w:val="24"/>
        </w:rPr>
        <w:t>”</w:t>
      </w:r>
      <w:r>
        <w:rPr>
          <w:rFonts w:hint="eastAsia"/>
          <w:sz w:val="24"/>
        </w:rPr>
        <w:t>（</w:t>
      </w:r>
      <w:r>
        <w:rPr>
          <w:rFonts w:hint="eastAsia"/>
          <w:sz w:val="24"/>
        </w:rPr>
        <w:t>2016YFC0500602</w:t>
      </w:r>
      <w:r>
        <w:rPr>
          <w:rFonts w:hint="eastAsia"/>
          <w:sz w:val="24"/>
        </w:rPr>
        <w:t>，</w:t>
      </w:r>
      <w:r>
        <w:rPr>
          <w:rFonts w:hint="eastAsia"/>
          <w:sz w:val="24"/>
        </w:rPr>
        <w:t>40</w:t>
      </w:r>
      <w:r>
        <w:rPr>
          <w:rFonts w:hint="eastAsia"/>
          <w:sz w:val="24"/>
        </w:rPr>
        <w:t>万元）、国家重点基础研究发展计划</w:t>
      </w:r>
      <w:r w:rsidR="0042108D">
        <w:rPr>
          <w:rFonts w:hint="eastAsia"/>
          <w:sz w:val="24"/>
        </w:rPr>
        <w:t>“</w:t>
      </w:r>
      <w:r>
        <w:rPr>
          <w:rFonts w:hint="eastAsia"/>
          <w:sz w:val="24"/>
        </w:rPr>
        <w:t>典型优质牧草（羊草和紫花苜蓿等）抗逆（盐碱、干旱、养分贫瘠及低温）生物学机制</w:t>
      </w:r>
      <w:r w:rsidR="0042108D">
        <w:rPr>
          <w:rFonts w:hint="eastAsia"/>
          <w:sz w:val="24"/>
        </w:rPr>
        <w:t>”</w:t>
      </w:r>
      <w:r>
        <w:rPr>
          <w:rFonts w:hint="eastAsia"/>
          <w:sz w:val="24"/>
        </w:rPr>
        <w:t>（</w:t>
      </w:r>
      <w:r>
        <w:rPr>
          <w:rFonts w:hint="eastAsia"/>
          <w:sz w:val="24"/>
        </w:rPr>
        <w:t>2015CB150801-02</w:t>
      </w:r>
      <w:r>
        <w:rPr>
          <w:rFonts w:hint="eastAsia"/>
          <w:sz w:val="24"/>
        </w:rPr>
        <w:t>，</w:t>
      </w:r>
      <w:r>
        <w:rPr>
          <w:rFonts w:hint="eastAsia"/>
          <w:sz w:val="24"/>
        </w:rPr>
        <w:t>90</w:t>
      </w:r>
      <w:r>
        <w:rPr>
          <w:rFonts w:hint="eastAsia"/>
          <w:sz w:val="24"/>
        </w:rPr>
        <w:t>万元）以及吉林省发改委项目</w:t>
      </w:r>
      <w:r w:rsidR="0042108D">
        <w:rPr>
          <w:rFonts w:hint="eastAsia"/>
          <w:sz w:val="24"/>
        </w:rPr>
        <w:t>“</w:t>
      </w:r>
      <w:r>
        <w:rPr>
          <w:rFonts w:hint="eastAsia"/>
          <w:sz w:val="24"/>
        </w:rPr>
        <w:t>东北西部紫花苜蓿良种繁育关键技术研究与应用</w:t>
      </w:r>
      <w:r w:rsidR="0042108D">
        <w:rPr>
          <w:rFonts w:hint="eastAsia"/>
          <w:sz w:val="24"/>
        </w:rPr>
        <w:t>”</w:t>
      </w:r>
      <w:r>
        <w:rPr>
          <w:rFonts w:hint="eastAsia"/>
          <w:sz w:val="24"/>
        </w:rPr>
        <w:t>（</w:t>
      </w:r>
      <w:r>
        <w:rPr>
          <w:rFonts w:hint="eastAsia"/>
          <w:sz w:val="24"/>
        </w:rPr>
        <w:t>25</w:t>
      </w:r>
      <w:r>
        <w:rPr>
          <w:rFonts w:hint="eastAsia"/>
          <w:sz w:val="24"/>
        </w:rPr>
        <w:t>万</w:t>
      </w:r>
      <w:r>
        <w:rPr>
          <w:rFonts w:hint="eastAsia"/>
          <w:sz w:val="24"/>
        </w:rPr>
        <w:lastRenderedPageBreak/>
        <w:t>元）等项目</w:t>
      </w:r>
      <w:r w:rsidR="00AC3EB1">
        <w:rPr>
          <w:rFonts w:hint="eastAsia"/>
          <w:sz w:val="24"/>
        </w:rPr>
        <w:t>。</w:t>
      </w:r>
    </w:p>
    <w:p w14:paraId="2B19949C" w14:textId="6DB5D1D0" w:rsidR="00B552FE" w:rsidRPr="00AC3EB1" w:rsidRDefault="00000000" w:rsidP="00AC3EB1">
      <w:pPr>
        <w:spacing w:line="360" w:lineRule="auto"/>
        <w:ind w:firstLineChars="200" w:firstLine="482"/>
        <w:jc w:val="left"/>
        <w:rPr>
          <w:b/>
          <w:bCs/>
          <w:sz w:val="24"/>
        </w:rPr>
      </w:pPr>
      <w:r w:rsidRPr="00AC3EB1">
        <w:rPr>
          <w:rFonts w:hint="eastAsia"/>
          <w:b/>
          <w:bCs/>
          <w:sz w:val="24"/>
        </w:rPr>
        <w:t>相关研究论文：</w:t>
      </w:r>
    </w:p>
    <w:p w14:paraId="7BFE582F" w14:textId="77777777" w:rsidR="00B552FE" w:rsidRPr="003E5401" w:rsidRDefault="00000000">
      <w:pPr>
        <w:pStyle w:val="af3"/>
        <w:numPr>
          <w:ilvl w:val="0"/>
          <w:numId w:val="2"/>
        </w:numPr>
        <w:ind w:firstLineChars="0"/>
        <w:rPr>
          <w:rFonts w:eastAsia="仿宋"/>
          <w:sz w:val="24"/>
          <w:szCs w:val="24"/>
        </w:rPr>
      </w:pPr>
      <w:r w:rsidRPr="003E5401">
        <w:rPr>
          <w:rFonts w:eastAsia="仿宋"/>
          <w:sz w:val="24"/>
          <w:szCs w:val="24"/>
          <w:lang w:val="es-ES"/>
        </w:rPr>
        <w:t xml:space="preserve">Cui H., Sun W.*, Delgado-Baquerizo M.*, Song W., Ma J., Wang K. &amp; Ling X. 2021. </w:t>
      </w:r>
      <w:r w:rsidRPr="003E5401">
        <w:rPr>
          <w:rFonts w:eastAsia="仿宋"/>
          <w:sz w:val="24"/>
          <w:szCs w:val="24"/>
        </w:rPr>
        <w:t>Cascading effects of N fertilization activate biologically driven mechanisms promoting P availability in a semi-arid grassland ecosystem. Functional Ecology 35: 1001-1011. IF=5.0</w:t>
      </w:r>
    </w:p>
    <w:p w14:paraId="678A0BAB" w14:textId="77777777" w:rsidR="00B552FE" w:rsidRPr="003E5401" w:rsidRDefault="00000000">
      <w:pPr>
        <w:pStyle w:val="af3"/>
        <w:numPr>
          <w:ilvl w:val="0"/>
          <w:numId w:val="2"/>
        </w:numPr>
        <w:ind w:firstLineChars="0"/>
        <w:rPr>
          <w:rFonts w:eastAsia="仿宋"/>
          <w:sz w:val="24"/>
          <w:szCs w:val="24"/>
        </w:rPr>
      </w:pPr>
      <w:r w:rsidRPr="003E5401">
        <w:rPr>
          <w:rFonts w:eastAsia="仿宋"/>
          <w:sz w:val="24"/>
          <w:szCs w:val="24"/>
          <w:lang w:val="es-ES"/>
        </w:rPr>
        <w:t xml:space="preserve">Cui Y. Q., Ma J. Y. &amp; Sun W. 2011. </w:t>
      </w:r>
      <w:r w:rsidRPr="003E5401">
        <w:rPr>
          <w:rFonts w:eastAsia="仿宋"/>
          <w:sz w:val="24"/>
          <w:szCs w:val="24"/>
        </w:rPr>
        <w:t>Application of stable isotope techniques to the study of soil salinization. Journal of Arid Land 3: 285-291. IF=1.4</w:t>
      </w:r>
    </w:p>
    <w:p w14:paraId="35EE7E0E" w14:textId="77777777" w:rsidR="00B552FE" w:rsidRPr="003E5401" w:rsidRDefault="00000000">
      <w:pPr>
        <w:pStyle w:val="af3"/>
        <w:numPr>
          <w:ilvl w:val="0"/>
          <w:numId w:val="2"/>
        </w:numPr>
        <w:ind w:firstLineChars="0"/>
        <w:rPr>
          <w:rFonts w:eastAsia="仿宋"/>
          <w:sz w:val="24"/>
          <w:szCs w:val="24"/>
        </w:rPr>
      </w:pPr>
      <w:r w:rsidRPr="003E5401">
        <w:rPr>
          <w:rFonts w:eastAsia="仿宋"/>
          <w:sz w:val="24"/>
          <w:szCs w:val="24"/>
        </w:rPr>
        <w:t>Diao H., Chen X., Wang G., Ning Q., Hu S., Sun W., Dong K. &amp; Wang C.*. 2022. The response of soil respiration to different N compounds addition in a saline-alkaline grassland of northern China. Journal of Plant Ecology 15(5): 897-910. IF=1.9</w:t>
      </w:r>
    </w:p>
    <w:p w14:paraId="1966BE3F" w14:textId="77777777" w:rsidR="00B552FE" w:rsidRPr="003E5401" w:rsidRDefault="00000000">
      <w:pPr>
        <w:pStyle w:val="af3"/>
        <w:numPr>
          <w:ilvl w:val="0"/>
          <w:numId w:val="2"/>
        </w:numPr>
        <w:ind w:firstLineChars="0"/>
        <w:rPr>
          <w:rFonts w:eastAsia="仿宋"/>
          <w:sz w:val="24"/>
          <w:szCs w:val="24"/>
        </w:rPr>
      </w:pPr>
      <w:r w:rsidRPr="003E5401">
        <w:rPr>
          <w:rFonts w:eastAsia="仿宋"/>
          <w:sz w:val="24"/>
          <w:szCs w:val="24"/>
        </w:rPr>
        <w:t>Li J., Meng B., Chai H., Yang X., Song W., Li S., Lu A., Zhang T.* &amp; Sun W.*. 2019. Arbuscular mycorrhizal fungi alleviate drought stress in C</w:t>
      </w:r>
      <w:r w:rsidRPr="003E5401">
        <w:rPr>
          <w:rFonts w:eastAsia="仿宋"/>
          <w:sz w:val="24"/>
          <w:szCs w:val="24"/>
          <w:vertAlign w:val="subscript"/>
        </w:rPr>
        <w:t>3</w:t>
      </w:r>
      <w:r w:rsidRPr="003E5401">
        <w:rPr>
          <w:rFonts w:eastAsia="仿宋"/>
          <w:sz w:val="24"/>
          <w:szCs w:val="24"/>
        </w:rPr>
        <w:t xml:space="preserve"> (</w:t>
      </w:r>
      <w:proofErr w:type="spellStart"/>
      <w:r w:rsidRPr="003E5401">
        <w:rPr>
          <w:rFonts w:eastAsia="仿宋"/>
          <w:i/>
          <w:iCs/>
          <w:sz w:val="24"/>
          <w:szCs w:val="24"/>
        </w:rPr>
        <w:t>Leymus</w:t>
      </w:r>
      <w:proofErr w:type="spellEnd"/>
      <w:r w:rsidRPr="003E5401">
        <w:rPr>
          <w:rFonts w:eastAsia="仿宋"/>
          <w:i/>
          <w:iCs/>
          <w:sz w:val="24"/>
          <w:szCs w:val="24"/>
        </w:rPr>
        <w:t xml:space="preserve"> chinensis</w:t>
      </w:r>
      <w:r w:rsidRPr="003E5401">
        <w:rPr>
          <w:rFonts w:eastAsia="仿宋"/>
          <w:sz w:val="24"/>
          <w:szCs w:val="24"/>
        </w:rPr>
        <w:t>) and C</w:t>
      </w:r>
      <w:r w:rsidRPr="003E5401">
        <w:rPr>
          <w:rFonts w:eastAsia="仿宋"/>
          <w:sz w:val="24"/>
          <w:szCs w:val="24"/>
          <w:vertAlign w:val="subscript"/>
        </w:rPr>
        <w:t>4</w:t>
      </w:r>
      <w:r w:rsidRPr="003E5401">
        <w:rPr>
          <w:rFonts w:eastAsia="仿宋"/>
          <w:sz w:val="24"/>
          <w:szCs w:val="24"/>
        </w:rPr>
        <w:t xml:space="preserve"> (</w:t>
      </w:r>
      <w:proofErr w:type="spellStart"/>
      <w:r w:rsidRPr="003E5401">
        <w:rPr>
          <w:rFonts w:eastAsia="仿宋"/>
          <w:i/>
          <w:iCs/>
          <w:sz w:val="24"/>
          <w:szCs w:val="24"/>
        </w:rPr>
        <w:t>Hemarthria</w:t>
      </w:r>
      <w:proofErr w:type="spellEnd"/>
      <w:r w:rsidRPr="003E5401">
        <w:rPr>
          <w:rFonts w:eastAsia="仿宋"/>
          <w:i/>
          <w:iCs/>
          <w:sz w:val="24"/>
          <w:szCs w:val="24"/>
        </w:rPr>
        <w:t xml:space="preserve"> altissima</w:t>
      </w:r>
      <w:r w:rsidRPr="003E5401">
        <w:rPr>
          <w:rFonts w:eastAsia="仿宋"/>
          <w:sz w:val="24"/>
          <w:szCs w:val="24"/>
        </w:rPr>
        <w:t>) grasses via altering antioxidant enzyme activities and photosynthesis. Frontiers in Plant Science 10: 499. IF=3.7</w:t>
      </w:r>
    </w:p>
    <w:p w14:paraId="159D4497" w14:textId="77777777" w:rsidR="00B552FE" w:rsidRPr="003E5401" w:rsidRDefault="00000000">
      <w:pPr>
        <w:pStyle w:val="af3"/>
        <w:numPr>
          <w:ilvl w:val="0"/>
          <w:numId w:val="2"/>
        </w:numPr>
        <w:ind w:firstLineChars="0"/>
        <w:rPr>
          <w:rFonts w:eastAsia="仿宋"/>
          <w:sz w:val="24"/>
          <w:szCs w:val="24"/>
        </w:rPr>
      </w:pPr>
      <w:r w:rsidRPr="003E5401">
        <w:rPr>
          <w:rFonts w:eastAsia="仿宋"/>
          <w:sz w:val="24"/>
          <w:szCs w:val="24"/>
        </w:rPr>
        <w:t xml:space="preserve">Ma J. Y., Sun W., </w:t>
      </w:r>
      <w:proofErr w:type="spellStart"/>
      <w:r w:rsidRPr="003E5401">
        <w:rPr>
          <w:rFonts w:eastAsia="仿宋"/>
          <w:sz w:val="24"/>
          <w:szCs w:val="24"/>
        </w:rPr>
        <w:t>Koteyeva</w:t>
      </w:r>
      <w:proofErr w:type="spellEnd"/>
      <w:r w:rsidRPr="003E5401">
        <w:rPr>
          <w:rFonts w:eastAsia="仿宋"/>
          <w:sz w:val="24"/>
          <w:szCs w:val="24"/>
        </w:rPr>
        <w:t xml:space="preserve"> N. K., </w:t>
      </w:r>
      <w:proofErr w:type="spellStart"/>
      <w:r w:rsidRPr="003E5401">
        <w:rPr>
          <w:rFonts w:eastAsia="仿宋"/>
          <w:sz w:val="24"/>
          <w:szCs w:val="24"/>
        </w:rPr>
        <w:t>Voznesenskaya</w:t>
      </w:r>
      <w:proofErr w:type="spellEnd"/>
      <w:r w:rsidRPr="003E5401">
        <w:rPr>
          <w:rFonts w:eastAsia="仿宋"/>
          <w:sz w:val="24"/>
          <w:szCs w:val="24"/>
        </w:rPr>
        <w:t xml:space="preserve"> E., Stutz S. S., Gandin A., Smith-Moritz A. M., </w:t>
      </w:r>
      <w:proofErr w:type="spellStart"/>
      <w:r w:rsidRPr="003E5401">
        <w:rPr>
          <w:rFonts w:eastAsia="仿宋"/>
          <w:sz w:val="24"/>
          <w:szCs w:val="24"/>
        </w:rPr>
        <w:t>Heazlewood</w:t>
      </w:r>
      <w:proofErr w:type="spellEnd"/>
      <w:r w:rsidRPr="003E5401">
        <w:rPr>
          <w:rFonts w:eastAsia="仿宋"/>
          <w:sz w:val="24"/>
          <w:szCs w:val="24"/>
        </w:rPr>
        <w:t xml:space="preserve"> J. L. &amp; Cousins A. B. 2017. Influence of light and nitrogen on the photosynthetic efficiency in the C</w:t>
      </w:r>
      <w:r w:rsidRPr="003E5401">
        <w:rPr>
          <w:rFonts w:eastAsia="仿宋"/>
          <w:sz w:val="24"/>
          <w:szCs w:val="24"/>
          <w:vertAlign w:val="subscript"/>
        </w:rPr>
        <w:t>4</w:t>
      </w:r>
      <w:r w:rsidRPr="003E5401">
        <w:rPr>
          <w:rFonts w:eastAsia="仿宋"/>
          <w:sz w:val="24"/>
          <w:szCs w:val="24"/>
        </w:rPr>
        <w:t xml:space="preserve"> plant Miscanthus × giganteus. Photosynthesis Research 131:1-13. IF=3.5</w:t>
      </w:r>
    </w:p>
    <w:p w14:paraId="4D5D1631" w14:textId="77777777" w:rsidR="00B552FE" w:rsidRPr="003E5401" w:rsidRDefault="00000000">
      <w:pPr>
        <w:pStyle w:val="af3"/>
        <w:numPr>
          <w:ilvl w:val="0"/>
          <w:numId w:val="2"/>
        </w:numPr>
        <w:ind w:firstLineChars="0"/>
        <w:rPr>
          <w:rFonts w:eastAsia="仿宋"/>
          <w:sz w:val="24"/>
          <w:szCs w:val="24"/>
        </w:rPr>
      </w:pPr>
      <w:r w:rsidRPr="003E5401">
        <w:rPr>
          <w:rFonts w:eastAsia="仿宋"/>
          <w:sz w:val="24"/>
          <w:szCs w:val="24"/>
        </w:rPr>
        <w:t>Min X., Wang S., Ma J.-Y.* &amp; Sun W. 2019. Contrasting water sources and water-use efficiency in coexisting desert plants in two saline-sodic soils in northwest China. Plant Biology 21: 1150-1158. IF=2.2</w:t>
      </w:r>
    </w:p>
    <w:p w14:paraId="07293EA1" w14:textId="77777777" w:rsidR="00B552FE" w:rsidRPr="003E5401" w:rsidRDefault="00000000">
      <w:pPr>
        <w:pStyle w:val="af3"/>
        <w:numPr>
          <w:ilvl w:val="0"/>
          <w:numId w:val="2"/>
        </w:numPr>
        <w:ind w:firstLineChars="0"/>
        <w:rPr>
          <w:rFonts w:eastAsia="仿宋"/>
          <w:sz w:val="24"/>
          <w:szCs w:val="24"/>
        </w:rPr>
      </w:pPr>
      <w:r w:rsidRPr="003E5401">
        <w:rPr>
          <w:rFonts w:eastAsia="仿宋"/>
          <w:sz w:val="24"/>
          <w:szCs w:val="24"/>
        </w:rPr>
        <w:t>Shi B., Fu X., Qu Y. Smith M. D., Knapp A. L., Wang C., Xu W., Chai H. &amp; Sun W.*. 2022. Autotrophic respiration is more sensitive to nitrogen addition and grazing than heterotrophic respiration in a meadow steppe. Catena 213: 106207. IF=5.2</w:t>
      </w:r>
    </w:p>
    <w:p w14:paraId="54545E62" w14:textId="77777777" w:rsidR="00B552FE" w:rsidRPr="003E5401" w:rsidRDefault="00000000">
      <w:pPr>
        <w:pStyle w:val="af3"/>
        <w:numPr>
          <w:ilvl w:val="0"/>
          <w:numId w:val="2"/>
        </w:numPr>
        <w:ind w:firstLineChars="0"/>
        <w:rPr>
          <w:rFonts w:eastAsia="仿宋"/>
          <w:sz w:val="24"/>
          <w:szCs w:val="24"/>
        </w:rPr>
      </w:pPr>
      <w:r w:rsidRPr="003E5401">
        <w:rPr>
          <w:rFonts w:eastAsia="仿宋"/>
          <w:sz w:val="24"/>
          <w:szCs w:val="24"/>
        </w:rPr>
        <w:t>Shi B., Ling X., Cui H., Song W., Gao Y. &amp; Sun W.*. 2020. Response of nutrient resorption of Leymus chinensis to nitrogen and phosphorus addition in a meadow steppe of northeast China. Plant Biology 22(6): 1123-1132. IF=2.4</w:t>
      </w:r>
    </w:p>
    <w:p w14:paraId="43B5C2C6" w14:textId="77777777" w:rsidR="00B552FE" w:rsidRPr="003E5401" w:rsidRDefault="00000000">
      <w:pPr>
        <w:pStyle w:val="af3"/>
        <w:numPr>
          <w:ilvl w:val="0"/>
          <w:numId w:val="2"/>
        </w:numPr>
        <w:ind w:firstLineChars="0"/>
        <w:rPr>
          <w:rFonts w:eastAsia="仿宋"/>
          <w:sz w:val="24"/>
          <w:szCs w:val="24"/>
        </w:rPr>
      </w:pPr>
      <w:r w:rsidRPr="003E5401">
        <w:rPr>
          <w:rFonts w:eastAsia="仿宋"/>
          <w:sz w:val="24"/>
          <w:szCs w:val="24"/>
        </w:rPr>
        <w:t>Wang Y., Jiang Q., Yang Z., Sun W.* &amp; Wang D.* 2015. Effects of water and nitrogen addition on ecosystem carbon exchange in a meadow steppe. PLoS ONE 10(5): e0127695. IF=3.5</w:t>
      </w:r>
    </w:p>
    <w:p w14:paraId="2EFDF25C" w14:textId="77777777" w:rsidR="00B552FE" w:rsidRPr="003E5401" w:rsidRDefault="00000000">
      <w:pPr>
        <w:pStyle w:val="af3"/>
        <w:numPr>
          <w:ilvl w:val="0"/>
          <w:numId w:val="2"/>
        </w:numPr>
        <w:ind w:firstLineChars="0"/>
        <w:rPr>
          <w:rFonts w:eastAsia="仿宋"/>
          <w:sz w:val="24"/>
          <w:szCs w:val="24"/>
        </w:rPr>
      </w:pPr>
      <w:r w:rsidRPr="003E5401">
        <w:rPr>
          <w:rFonts w:eastAsia="仿宋"/>
          <w:sz w:val="24"/>
          <w:szCs w:val="24"/>
        </w:rPr>
        <w:t>Yang X., Zhu K., Loik M. E. &amp; Sun W.*. 2021. Differential responses of soil bacteria and fungi to altered precipitation in a meadow steppe. Geoderma 384: 114812. IF=4.3</w:t>
      </w:r>
    </w:p>
    <w:p w14:paraId="5F477163" w14:textId="77777777" w:rsidR="00B552FE" w:rsidRPr="003E5401" w:rsidRDefault="00000000">
      <w:pPr>
        <w:pStyle w:val="af3"/>
        <w:numPr>
          <w:ilvl w:val="0"/>
          <w:numId w:val="2"/>
        </w:numPr>
        <w:ind w:firstLineChars="0"/>
        <w:rPr>
          <w:rFonts w:eastAsia="仿宋"/>
          <w:sz w:val="24"/>
          <w:szCs w:val="24"/>
        </w:rPr>
      </w:pPr>
      <w:r w:rsidRPr="003E5401">
        <w:rPr>
          <w:rFonts w:eastAsia="仿宋"/>
          <w:sz w:val="24"/>
          <w:szCs w:val="24"/>
        </w:rPr>
        <w:t>Yao Y., Chen J., Li F., Sun M., Yang X., Wang G., Ma J.* &amp; Sun W.*. 2022. Exchangeable Ca</w:t>
      </w:r>
      <w:r w:rsidRPr="003E5401">
        <w:rPr>
          <w:rFonts w:eastAsia="仿宋"/>
          <w:sz w:val="24"/>
          <w:szCs w:val="24"/>
          <w:vertAlign w:val="superscript"/>
        </w:rPr>
        <w:t>2+</w:t>
      </w:r>
      <w:r w:rsidRPr="003E5401">
        <w:rPr>
          <w:rFonts w:eastAsia="仿宋"/>
          <w:sz w:val="24"/>
          <w:szCs w:val="24"/>
        </w:rPr>
        <w:t xml:space="preserve"> content and soil aggregate stability control the soil organic carbon content in degraded Horqin grassland. Ecological Indicators 134: 108507. IF=5.0</w:t>
      </w:r>
    </w:p>
    <w:p w14:paraId="52D5C51F" w14:textId="77777777" w:rsidR="00B552FE" w:rsidRPr="003E5401" w:rsidRDefault="00000000">
      <w:pPr>
        <w:pStyle w:val="af3"/>
        <w:numPr>
          <w:ilvl w:val="0"/>
          <w:numId w:val="2"/>
        </w:numPr>
        <w:ind w:firstLineChars="0"/>
        <w:rPr>
          <w:rFonts w:eastAsia="仿宋"/>
          <w:sz w:val="24"/>
          <w:szCs w:val="24"/>
        </w:rPr>
      </w:pPr>
      <w:r w:rsidRPr="003E5401">
        <w:rPr>
          <w:rFonts w:eastAsia="仿宋"/>
          <w:sz w:val="24"/>
          <w:szCs w:val="24"/>
        </w:rPr>
        <w:t>Zhang T., Guo R., Gao S., Guo J.* &amp; Sun W.* 2015. Response of plant community composition and productivity to warming and nitrogen deposition in a temperate meadow ecosystem. PLoS ONE 10(4): e0123160. IF=3.5</w:t>
      </w:r>
    </w:p>
    <w:p w14:paraId="6DF80E26" w14:textId="77777777" w:rsidR="00B552FE" w:rsidRPr="003E5401" w:rsidRDefault="00000000">
      <w:pPr>
        <w:pStyle w:val="af3"/>
        <w:numPr>
          <w:ilvl w:val="0"/>
          <w:numId w:val="2"/>
        </w:numPr>
        <w:ind w:firstLineChars="0"/>
        <w:rPr>
          <w:rFonts w:eastAsia="仿宋"/>
        </w:rPr>
      </w:pPr>
      <w:r w:rsidRPr="003E5401">
        <w:rPr>
          <w:rFonts w:eastAsia="仿宋"/>
          <w:sz w:val="24"/>
          <w:szCs w:val="24"/>
        </w:rPr>
        <w:t xml:space="preserve">Zhong S., Xu Y., Meng B., Loik M.E., Ma J.-Y.* &amp; Sun W.*. 2019. Nitrogen addition increases the sensitivity of photosynthesis to drought and re-watering differentially in </w:t>
      </w:r>
      <w:r w:rsidRPr="003E5401">
        <w:rPr>
          <w:rFonts w:eastAsia="仿宋"/>
          <w:sz w:val="24"/>
          <w:szCs w:val="24"/>
        </w:rPr>
        <w:lastRenderedPageBreak/>
        <w:t>C</w:t>
      </w:r>
      <w:r w:rsidRPr="003E5401">
        <w:rPr>
          <w:rFonts w:eastAsia="仿宋"/>
          <w:sz w:val="24"/>
          <w:szCs w:val="24"/>
          <w:vertAlign w:val="subscript"/>
        </w:rPr>
        <w:t>3</w:t>
      </w:r>
      <w:r w:rsidRPr="003E5401">
        <w:rPr>
          <w:rFonts w:eastAsia="仿宋"/>
          <w:sz w:val="24"/>
          <w:szCs w:val="24"/>
        </w:rPr>
        <w:t xml:space="preserve"> versus C</w:t>
      </w:r>
      <w:r w:rsidRPr="003E5401">
        <w:rPr>
          <w:rFonts w:eastAsia="仿宋"/>
          <w:sz w:val="24"/>
          <w:szCs w:val="24"/>
          <w:vertAlign w:val="subscript"/>
        </w:rPr>
        <w:t>4</w:t>
      </w:r>
      <w:r w:rsidRPr="003E5401">
        <w:rPr>
          <w:rFonts w:eastAsia="仿宋"/>
          <w:sz w:val="24"/>
          <w:szCs w:val="24"/>
        </w:rPr>
        <w:t xml:space="preserve"> grass species. Frontiers in Plant Science 10: 815. IF=3.7</w:t>
      </w:r>
    </w:p>
    <w:p w14:paraId="6043CA7A" w14:textId="77777777" w:rsidR="00B552FE" w:rsidRPr="003E5401" w:rsidRDefault="00000000">
      <w:pPr>
        <w:pStyle w:val="af3"/>
        <w:numPr>
          <w:ilvl w:val="0"/>
          <w:numId w:val="2"/>
        </w:numPr>
        <w:ind w:firstLineChars="0"/>
        <w:rPr>
          <w:sz w:val="24"/>
          <w:szCs w:val="24"/>
        </w:rPr>
      </w:pPr>
      <w:r w:rsidRPr="003E5401">
        <w:rPr>
          <w:sz w:val="24"/>
          <w:szCs w:val="24"/>
        </w:rPr>
        <w:t>姚远，徐月乔，王贵，孙伟</w:t>
      </w:r>
      <w:proofErr w:type="gramStart"/>
      <w:r w:rsidRPr="003E5401">
        <w:rPr>
          <w:sz w:val="24"/>
          <w:szCs w:val="24"/>
        </w:rPr>
        <w:t>*.</w:t>
      </w:r>
      <w:proofErr w:type="gramEnd"/>
      <w:r w:rsidRPr="003E5401">
        <w:rPr>
          <w:sz w:val="24"/>
          <w:szCs w:val="24"/>
        </w:rPr>
        <w:t xml:space="preserve"> 2020. </w:t>
      </w:r>
      <w:r w:rsidRPr="003E5401">
        <w:rPr>
          <w:sz w:val="24"/>
          <w:szCs w:val="24"/>
        </w:rPr>
        <w:t>盐碱胁迫条件下松嫩草地两种生态型羊草根际效应及光合生理</w:t>
      </w:r>
      <w:proofErr w:type="gramStart"/>
      <w:r w:rsidRPr="003E5401">
        <w:rPr>
          <w:sz w:val="24"/>
          <w:szCs w:val="24"/>
        </w:rPr>
        <w:t>响应</w:t>
      </w:r>
      <w:r w:rsidRPr="003E5401">
        <w:rPr>
          <w:sz w:val="24"/>
          <w:szCs w:val="24"/>
        </w:rPr>
        <w:t>.</w:t>
      </w:r>
      <w:proofErr w:type="gramEnd"/>
      <w:r w:rsidRPr="003E5401">
        <w:rPr>
          <w:sz w:val="24"/>
          <w:szCs w:val="24"/>
        </w:rPr>
        <w:t xml:space="preserve"> </w:t>
      </w:r>
      <w:r w:rsidRPr="003E5401">
        <w:rPr>
          <w:sz w:val="24"/>
          <w:szCs w:val="24"/>
        </w:rPr>
        <w:t>中国农业科学</w:t>
      </w:r>
      <w:r w:rsidRPr="003E5401">
        <w:rPr>
          <w:sz w:val="24"/>
          <w:szCs w:val="24"/>
        </w:rPr>
        <w:t xml:space="preserve"> 53: 2584-2594.</w:t>
      </w:r>
    </w:p>
    <w:p w14:paraId="58FA0CC7" w14:textId="09DA2C47" w:rsidR="00B552FE" w:rsidRPr="00001D0C" w:rsidRDefault="00000000" w:rsidP="00001D0C">
      <w:pPr>
        <w:pStyle w:val="af3"/>
        <w:numPr>
          <w:ilvl w:val="0"/>
          <w:numId w:val="4"/>
        </w:numPr>
        <w:spacing w:line="360" w:lineRule="auto"/>
        <w:ind w:firstLineChars="0"/>
        <w:rPr>
          <w:b/>
          <w:sz w:val="24"/>
          <w:szCs w:val="24"/>
        </w:rPr>
      </w:pPr>
      <w:r w:rsidRPr="00001D0C">
        <w:rPr>
          <w:rFonts w:hint="eastAsia"/>
          <w:b/>
          <w:sz w:val="24"/>
          <w:szCs w:val="24"/>
        </w:rPr>
        <w:t>实验示范点情况</w:t>
      </w:r>
    </w:p>
    <w:p w14:paraId="0BC90956" w14:textId="236EC949" w:rsidR="00B552FE" w:rsidRPr="003E5401" w:rsidRDefault="00001D0C" w:rsidP="00001D0C">
      <w:pPr>
        <w:spacing w:line="360" w:lineRule="auto"/>
        <w:ind w:left="480"/>
        <w:jc w:val="left"/>
        <w:rPr>
          <w:sz w:val="24"/>
        </w:rPr>
      </w:pPr>
      <w:r>
        <w:rPr>
          <w:rFonts w:hint="eastAsia"/>
          <w:sz w:val="24"/>
        </w:rPr>
        <w:t>（</w:t>
      </w:r>
      <w:r>
        <w:rPr>
          <w:rFonts w:hint="eastAsia"/>
          <w:sz w:val="24"/>
        </w:rPr>
        <w:t>1</w:t>
      </w:r>
      <w:r>
        <w:rPr>
          <w:rFonts w:hint="eastAsia"/>
          <w:sz w:val="24"/>
        </w:rPr>
        <w:t>）</w:t>
      </w:r>
      <w:r w:rsidRPr="003E5401">
        <w:rPr>
          <w:rFonts w:hint="eastAsia"/>
          <w:sz w:val="24"/>
        </w:rPr>
        <w:t>实验示范点航拍图以及平面示意图</w:t>
      </w:r>
    </w:p>
    <w:p w14:paraId="4E06CA03" w14:textId="77777777" w:rsidR="00B552FE" w:rsidRDefault="00000000">
      <w:pPr>
        <w:spacing w:line="360" w:lineRule="auto"/>
        <w:jc w:val="left"/>
        <w:rPr>
          <w:sz w:val="24"/>
        </w:rPr>
      </w:pPr>
      <w:r>
        <w:rPr>
          <w:noProof/>
          <w:sz w:val="24"/>
        </w:rPr>
        <w:drawing>
          <wp:inline distT="0" distB="0" distL="0" distR="0" wp14:anchorId="2BA02D8B" wp14:editId="3AFFFF05">
            <wp:extent cx="5272405" cy="4339590"/>
            <wp:effectExtent l="0" t="0" r="4445" b="3810"/>
            <wp:docPr id="21448195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19591" name="图片 2"/>
                    <pic:cNvPicPr>
                      <a:picLocks noChangeAspect="1" noChangeArrowheads="1"/>
                    </pic:cNvPicPr>
                  </pic:nvPicPr>
                  <pic:blipFill>
                    <a:blip r:embed="rId10">
                      <a:extLst>
                        <a:ext uri="{28A0092B-C50C-407E-A947-70E740481C1C}">
                          <a14:useLocalDpi xmlns:a14="http://schemas.microsoft.com/office/drawing/2010/main" val="0"/>
                        </a:ext>
                      </a:extLst>
                    </a:blip>
                    <a:srcRect b="5923"/>
                    <a:stretch>
                      <a:fillRect/>
                    </a:stretch>
                  </pic:blipFill>
                  <pic:spPr>
                    <a:xfrm>
                      <a:off x="0" y="0"/>
                      <a:ext cx="5289737" cy="4354255"/>
                    </a:xfrm>
                    <a:prstGeom prst="rect">
                      <a:avLst/>
                    </a:prstGeom>
                    <a:noFill/>
                    <a:ln>
                      <a:noFill/>
                    </a:ln>
                  </pic:spPr>
                </pic:pic>
              </a:graphicData>
            </a:graphic>
          </wp:inline>
        </w:drawing>
      </w:r>
      <w:r>
        <w:rPr>
          <w:noProof/>
          <w:sz w:val="24"/>
        </w:rPr>
        <w:drawing>
          <wp:inline distT="0" distB="0" distL="0" distR="0" wp14:anchorId="09E72E46" wp14:editId="04E6E38A">
            <wp:extent cx="5272405" cy="2096135"/>
            <wp:effectExtent l="0" t="0" r="4445" b="0"/>
            <wp:docPr id="1648887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87176" name="图片 1"/>
                    <pic:cNvPicPr>
                      <a:picLocks noChangeAspect="1"/>
                    </pic:cNvPicPr>
                  </pic:nvPicPr>
                  <pic:blipFill>
                    <a:blip r:embed="rId11"/>
                    <a:stretch>
                      <a:fillRect/>
                    </a:stretch>
                  </pic:blipFill>
                  <pic:spPr>
                    <a:xfrm>
                      <a:off x="0" y="0"/>
                      <a:ext cx="5275034" cy="2097180"/>
                    </a:xfrm>
                    <a:prstGeom prst="rect">
                      <a:avLst/>
                    </a:prstGeom>
                  </pic:spPr>
                </pic:pic>
              </a:graphicData>
            </a:graphic>
          </wp:inline>
        </w:drawing>
      </w:r>
    </w:p>
    <w:p w14:paraId="24BEBBA9" w14:textId="77777777" w:rsidR="00B552FE" w:rsidRDefault="00000000">
      <w:pPr>
        <w:spacing w:line="360" w:lineRule="auto"/>
        <w:ind w:firstLineChars="400" w:firstLine="960"/>
        <w:jc w:val="center"/>
        <w:rPr>
          <w:rFonts w:ascii="微软雅黑" w:eastAsia="微软雅黑" w:hAnsi="微软雅黑" w:hint="eastAsia"/>
          <w:b/>
          <w:bCs/>
          <w:sz w:val="24"/>
          <w:szCs w:val="24"/>
        </w:rPr>
        <w:sectPr w:rsidR="00B552FE">
          <w:pgSz w:w="11906" w:h="16838"/>
          <w:pgMar w:top="1843" w:right="1558" w:bottom="1702" w:left="1800" w:header="851" w:footer="992" w:gutter="0"/>
          <w:cols w:space="425"/>
          <w:docGrid w:type="lines" w:linePitch="312"/>
        </w:sectPr>
      </w:pPr>
      <w:r w:rsidRPr="00F37943">
        <w:rPr>
          <w:rFonts w:hint="eastAsia"/>
          <w:sz w:val="24"/>
        </w:rPr>
        <w:t>图</w:t>
      </w:r>
      <w:r w:rsidRPr="00F37943">
        <w:rPr>
          <w:rFonts w:hint="eastAsia"/>
          <w:sz w:val="24"/>
        </w:rPr>
        <w:t>1</w:t>
      </w:r>
      <w:r>
        <w:rPr>
          <w:rFonts w:hint="eastAsia"/>
          <w:sz w:val="24"/>
        </w:rPr>
        <w:t>实验示范点航拍图以及平面示意图</w:t>
      </w:r>
    </w:p>
    <w:p w14:paraId="45FE3F06" w14:textId="0764F17E" w:rsidR="00B552FE" w:rsidRDefault="00001D0C" w:rsidP="00001D0C">
      <w:pPr>
        <w:spacing w:line="360" w:lineRule="auto"/>
        <w:ind w:firstLineChars="200" w:firstLine="480"/>
        <w:jc w:val="left"/>
        <w:rPr>
          <w:sz w:val="24"/>
        </w:rPr>
      </w:pPr>
      <w:r>
        <w:rPr>
          <w:rFonts w:hint="eastAsia"/>
          <w:sz w:val="24"/>
        </w:rPr>
        <w:lastRenderedPageBreak/>
        <w:t>（</w:t>
      </w:r>
      <w:r>
        <w:rPr>
          <w:rFonts w:hint="eastAsia"/>
          <w:sz w:val="24"/>
        </w:rPr>
        <w:t>2</w:t>
      </w:r>
      <w:r>
        <w:rPr>
          <w:rFonts w:hint="eastAsia"/>
          <w:sz w:val="24"/>
        </w:rPr>
        <w:t>）实验示范点修复措施示意图</w:t>
      </w:r>
    </w:p>
    <w:p w14:paraId="732916FB" w14:textId="77777777" w:rsidR="00B552FE" w:rsidRDefault="00000000">
      <w:pPr>
        <w:spacing w:line="360" w:lineRule="auto"/>
        <w:jc w:val="center"/>
        <w:rPr>
          <w:sz w:val="24"/>
        </w:rPr>
      </w:pPr>
      <w:r>
        <w:rPr>
          <w:noProof/>
          <w:sz w:val="24"/>
        </w:rPr>
        <w:drawing>
          <wp:inline distT="0" distB="0" distL="0" distR="0" wp14:anchorId="28B3C9C6" wp14:editId="145083F4">
            <wp:extent cx="4840605" cy="5517515"/>
            <wp:effectExtent l="0" t="0" r="0" b="6985"/>
            <wp:docPr id="7104502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50285"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840605" cy="5517515"/>
                    </a:xfrm>
                    <a:prstGeom prst="rect">
                      <a:avLst/>
                    </a:prstGeom>
                    <a:noFill/>
                  </pic:spPr>
                </pic:pic>
              </a:graphicData>
            </a:graphic>
          </wp:inline>
        </w:drawing>
      </w:r>
    </w:p>
    <w:p w14:paraId="52931E67" w14:textId="77777777" w:rsidR="00B552FE" w:rsidRDefault="00000000">
      <w:pPr>
        <w:spacing w:line="360" w:lineRule="auto"/>
        <w:ind w:firstLineChars="400" w:firstLine="960"/>
        <w:jc w:val="center"/>
        <w:rPr>
          <w:sz w:val="24"/>
        </w:rPr>
        <w:sectPr w:rsidR="00B552FE">
          <w:pgSz w:w="11906" w:h="16838"/>
          <w:pgMar w:top="1843" w:right="1558" w:bottom="1702" w:left="1800" w:header="851" w:footer="992" w:gutter="0"/>
          <w:cols w:space="425"/>
          <w:docGrid w:type="lines" w:linePitch="312"/>
        </w:sectPr>
      </w:pPr>
      <w:r w:rsidRPr="00001D0C">
        <w:rPr>
          <w:rFonts w:hint="eastAsia"/>
          <w:sz w:val="24"/>
        </w:rPr>
        <w:t>图</w:t>
      </w:r>
      <w:r w:rsidRPr="00001D0C">
        <w:rPr>
          <w:rFonts w:hint="eastAsia"/>
          <w:sz w:val="24"/>
        </w:rPr>
        <w:t>2</w:t>
      </w:r>
      <w:r>
        <w:rPr>
          <w:rFonts w:hint="eastAsia"/>
          <w:sz w:val="24"/>
        </w:rPr>
        <w:t>实验示范点修复措施示意图</w:t>
      </w:r>
    </w:p>
    <w:p w14:paraId="6FC19987" w14:textId="0DE4DD24" w:rsidR="00B552FE" w:rsidRPr="00001D0C" w:rsidRDefault="00000000" w:rsidP="00001D0C">
      <w:pPr>
        <w:pStyle w:val="af3"/>
        <w:numPr>
          <w:ilvl w:val="0"/>
          <w:numId w:val="4"/>
        </w:numPr>
        <w:spacing w:line="360" w:lineRule="auto"/>
        <w:ind w:firstLineChars="0"/>
        <w:rPr>
          <w:b/>
          <w:sz w:val="24"/>
          <w:szCs w:val="24"/>
        </w:rPr>
      </w:pPr>
      <w:r w:rsidRPr="00001D0C">
        <w:rPr>
          <w:rFonts w:hint="eastAsia"/>
          <w:b/>
          <w:sz w:val="24"/>
          <w:szCs w:val="24"/>
        </w:rPr>
        <w:lastRenderedPageBreak/>
        <w:t>盐碱地修复效果评价</w:t>
      </w:r>
    </w:p>
    <w:p w14:paraId="2A97BB25" w14:textId="6F0D1881" w:rsidR="00B552FE" w:rsidRPr="00DF28C4" w:rsidRDefault="00001D0C" w:rsidP="00001D0C">
      <w:pPr>
        <w:spacing w:line="360" w:lineRule="auto"/>
        <w:ind w:firstLineChars="200" w:firstLine="480"/>
        <w:jc w:val="left"/>
        <w:rPr>
          <w:sz w:val="24"/>
        </w:rPr>
      </w:pPr>
      <w:r>
        <w:rPr>
          <w:rFonts w:hint="eastAsia"/>
          <w:sz w:val="24"/>
        </w:rPr>
        <w:t>（</w:t>
      </w:r>
      <w:r>
        <w:rPr>
          <w:rFonts w:hint="eastAsia"/>
          <w:sz w:val="24"/>
        </w:rPr>
        <w:t>1</w:t>
      </w:r>
      <w:r>
        <w:rPr>
          <w:rFonts w:hint="eastAsia"/>
          <w:sz w:val="24"/>
        </w:rPr>
        <w:t>）</w:t>
      </w:r>
      <w:r w:rsidRPr="00DF28C4">
        <w:rPr>
          <w:rFonts w:hint="eastAsia"/>
          <w:sz w:val="24"/>
        </w:rPr>
        <w:t>基于不同修复措施下植被变化</w:t>
      </w:r>
    </w:p>
    <w:p w14:paraId="2F88A3EE" w14:textId="11486769" w:rsidR="00B552FE" w:rsidRDefault="00997744">
      <w:pPr>
        <w:spacing w:line="360" w:lineRule="auto"/>
        <w:ind w:firstLineChars="200" w:firstLine="480"/>
        <w:rPr>
          <w:sz w:val="24"/>
        </w:rPr>
      </w:pPr>
      <w:r w:rsidRPr="00997744">
        <w:rPr>
          <w:sz w:val="24"/>
        </w:rPr>
        <w:t>如图</w:t>
      </w:r>
      <w:r w:rsidRPr="00997744">
        <w:rPr>
          <w:sz w:val="24"/>
        </w:rPr>
        <w:t>3</w:t>
      </w:r>
      <w:r w:rsidRPr="00997744">
        <w:rPr>
          <w:sz w:val="24"/>
        </w:rPr>
        <w:t>所示，不同修复处理对盐碱草地植被指标均表现出显著改良效果。在植被生产力方面，施氮、深松及其组合处理（深松</w:t>
      </w:r>
      <w:r w:rsidRPr="00997744">
        <w:rPr>
          <w:sz w:val="24"/>
        </w:rPr>
        <w:t>+</w:t>
      </w:r>
      <w:r w:rsidRPr="00997744">
        <w:rPr>
          <w:sz w:val="24"/>
        </w:rPr>
        <w:t>施氮）效果最为突出，地上生物量较对照（</w:t>
      </w:r>
      <w:r w:rsidRPr="00997744">
        <w:rPr>
          <w:sz w:val="24"/>
        </w:rPr>
        <w:t>CK</w:t>
      </w:r>
      <w:r w:rsidRPr="00997744">
        <w:rPr>
          <w:sz w:val="24"/>
        </w:rPr>
        <w:t>）显著提高，其中施氮处理的增幅达到约</w:t>
      </w:r>
      <w:r w:rsidRPr="00997744">
        <w:rPr>
          <w:sz w:val="24"/>
        </w:rPr>
        <w:t>155%</w:t>
      </w:r>
      <w:r w:rsidRPr="00997744">
        <w:rPr>
          <w:sz w:val="24"/>
        </w:rPr>
        <w:t>。这些处理同时显著提升了植物平均高度和鲜草数。相比之下，重耙及其组合处理（重耙</w:t>
      </w:r>
      <w:r w:rsidRPr="00997744">
        <w:rPr>
          <w:sz w:val="24"/>
        </w:rPr>
        <w:t>+</w:t>
      </w:r>
      <w:r w:rsidRPr="00997744">
        <w:rPr>
          <w:sz w:val="24"/>
        </w:rPr>
        <w:t>施氮）的改良效果最弱，地上生物量在所有处理中始终处于最低水平。结果表明，施氮处理以及深松与施氮的协同作用能有效克服盐碱胁迫，显著提升植被生产力，可作为松嫩盐碱草地恢复的最优技术方案。</w:t>
      </w:r>
    </w:p>
    <w:p w14:paraId="252A996B" w14:textId="77777777" w:rsidR="00B552FE" w:rsidRDefault="00000000">
      <w:pPr>
        <w:spacing w:line="360" w:lineRule="auto"/>
        <w:jc w:val="left"/>
        <w:rPr>
          <w:sz w:val="24"/>
        </w:rPr>
      </w:pPr>
      <w:r>
        <w:rPr>
          <w:rFonts w:hint="eastAsia"/>
          <w:noProof/>
          <w:sz w:val="24"/>
        </w:rPr>
        <w:drawing>
          <wp:inline distT="0" distB="0" distL="114300" distR="114300" wp14:anchorId="6FE2E501" wp14:editId="6E784E7F">
            <wp:extent cx="5277485" cy="4568825"/>
            <wp:effectExtent l="0" t="0" r="0" b="0"/>
            <wp:docPr id="1" name="图片 1" descr="{4F944017-666C-4DE7-9029-9B07746EA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F944017-666C-4DE7-9029-9B07746EA864}"/>
                    <pic:cNvPicPr>
                      <a:picLocks noChangeAspect="1"/>
                    </pic:cNvPicPr>
                  </pic:nvPicPr>
                  <pic:blipFill>
                    <a:blip r:embed="rId13"/>
                    <a:srcRect l="2579" b="2993"/>
                    <a:stretch>
                      <a:fillRect/>
                    </a:stretch>
                  </pic:blipFill>
                  <pic:spPr>
                    <a:xfrm>
                      <a:off x="0" y="0"/>
                      <a:ext cx="5277485" cy="4568825"/>
                    </a:xfrm>
                    <a:prstGeom prst="rect">
                      <a:avLst/>
                    </a:prstGeom>
                  </pic:spPr>
                </pic:pic>
              </a:graphicData>
            </a:graphic>
          </wp:inline>
        </w:drawing>
      </w:r>
    </w:p>
    <w:p w14:paraId="5224034A" w14:textId="1C132876" w:rsidR="00B552FE" w:rsidRDefault="00000000">
      <w:pPr>
        <w:spacing w:line="360" w:lineRule="auto"/>
        <w:ind w:firstLineChars="200" w:firstLine="480"/>
        <w:jc w:val="left"/>
        <w:rPr>
          <w:sz w:val="24"/>
        </w:rPr>
        <w:sectPr w:rsidR="00B552FE">
          <w:pgSz w:w="11906" w:h="16838"/>
          <w:pgMar w:top="1843" w:right="1558" w:bottom="1702" w:left="1800" w:header="851" w:footer="992" w:gutter="0"/>
          <w:cols w:space="425"/>
          <w:docGrid w:type="lines" w:linePitch="312"/>
        </w:sectPr>
      </w:pPr>
      <w:r w:rsidRPr="00001D0C">
        <w:rPr>
          <w:rFonts w:hint="eastAsia"/>
          <w:sz w:val="24"/>
        </w:rPr>
        <w:t>图</w:t>
      </w:r>
      <w:r w:rsidRPr="00001D0C">
        <w:rPr>
          <w:rFonts w:hint="eastAsia"/>
          <w:sz w:val="24"/>
        </w:rPr>
        <w:t>3</w:t>
      </w:r>
      <w:r>
        <w:rPr>
          <w:rFonts w:hint="eastAsia"/>
          <w:sz w:val="24"/>
        </w:rPr>
        <w:t xml:space="preserve"> </w:t>
      </w:r>
      <w:r>
        <w:rPr>
          <w:rFonts w:hint="eastAsia"/>
          <w:sz w:val="24"/>
        </w:rPr>
        <w:t>不同修复措施对</w:t>
      </w:r>
      <w:r w:rsidR="00DF28C4">
        <w:rPr>
          <w:rFonts w:hint="eastAsia"/>
          <w:sz w:val="24"/>
        </w:rPr>
        <w:t>盐碱地</w:t>
      </w:r>
      <w:r>
        <w:rPr>
          <w:rFonts w:hint="eastAsia"/>
          <w:sz w:val="24"/>
        </w:rPr>
        <w:t>地上生物量、物种平均高度、植被物种数和鲜草数的影响。</w:t>
      </w:r>
      <w:r>
        <w:rPr>
          <w:rFonts w:hint="eastAsia"/>
          <w:sz w:val="24"/>
        </w:rPr>
        <w:t>CK</w:t>
      </w:r>
      <w:r>
        <w:rPr>
          <w:rFonts w:hint="eastAsia"/>
          <w:sz w:val="24"/>
        </w:rPr>
        <w:t>为对照；</w:t>
      </w:r>
      <w:r>
        <w:rPr>
          <w:rFonts w:hint="eastAsia"/>
          <w:sz w:val="24"/>
        </w:rPr>
        <w:t>F</w:t>
      </w:r>
      <w:r>
        <w:rPr>
          <w:rFonts w:hint="eastAsia"/>
          <w:sz w:val="24"/>
        </w:rPr>
        <w:t>为浅翻耕处理；</w:t>
      </w:r>
      <w:r>
        <w:rPr>
          <w:rFonts w:hint="eastAsia"/>
          <w:sz w:val="24"/>
        </w:rPr>
        <w:t>FN</w:t>
      </w:r>
      <w:r>
        <w:rPr>
          <w:rFonts w:hint="eastAsia"/>
          <w:sz w:val="24"/>
        </w:rPr>
        <w:t>为浅翻耕</w:t>
      </w:r>
      <w:r>
        <w:rPr>
          <w:rFonts w:hint="eastAsia"/>
          <w:sz w:val="24"/>
        </w:rPr>
        <w:t>+</w:t>
      </w:r>
      <w:r>
        <w:rPr>
          <w:rFonts w:hint="eastAsia"/>
          <w:sz w:val="24"/>
        </w:rPr>
        <w:t>施氮处理；</w:t>
      </w:r>
      <w:r>
        <w:rPr>
          <w:rFonts w:hint="eastAsia"/>
          <w:sz w:val="24"/>
        </w:rPr>
        <w:t>N</w:t>
      </w:r>
      <w:r>
        <w:rPr>
          <w:rFonts w:hint="eastAsia"/>
          <w:sz w:val="24"/>
        </w:rPr>
        <w:t>为施氮处理；</w:t>
      </w:r>
      <w:r>
        <w:rPr>
          <w:rFonts w:hint="eastAsia"/>
          <w:sz w:val="24"/>
        </w:rPr>
        <w:t>S</w:t>
      </w:r>
      <w:r>
        <w:rPr>
          <w:rFonts w:hint="eastAsia"/>
          <w:sz w:val="24"/>
        </w:rPr>
        <w:t>为深松处理；</w:t>
      </w:r>
      <w:r>
        <w:rPr>
          <w:rFonts w:hint="eastAsia"/>
          <w:sz w:val="24"/>
        </w:rPr>
        <w:t>SN</w:t>
      </w:r>
      <w:r>
        <w:rPr>
          <w:rFonts w:hint="eastAsia"/>
          <w:sz w:val="24"/>
        </w:rPr>
        <w:t>为深松</w:t>
      </w:r>
      <w:r>
        <w:rPr>
          <w:rFonts w:hint="eastAsia"/>
          <w:sz w:val="24"/>
        </w:rPr>
        <w:t>+</w:t>
      </w:r>
      <w:r>
        <w:rPr>
          <w:rFonts w:hint="eastAsia"/>
          <w:sz w:val="24"/>
        </w:rPr>
        <w:t>施氮处理。</w:t>
      </w:r>
    </w:p>
    <w:p w14:paraId="77FC3E73" w14:textId="1667400E" w:rsidR="00B552FE" w:rsidRPr="00DF28C4" w:rsidRDefault="00001D0C" w:rsidP="00001D0C">
      <w:pPr>
        <w:spacing w:line="360" w:lineRule="auto"/>
        <w:ind w:firstLineChars="200" w:firstLine="480"/>
        <w:jc w:val="left"/>
        <w:rPr>
          <w:sz w:val="24"/>
        </w:rPr>
      </w:pPr>
      <w:r>
        <w:rPr>
          <w:rFonts w:hint="eastAsia"/>
          <w:sz w:val="24"/>
        </w:rPr>
        <w:lastRenderedPageBreak/>
        <w:t>（</w:t>
      </w:r>
      <w:r>
        <w:rPr>
          <w:rFonts w:hint="eastAsia"/>
          <w:sz w:val="24"/>
        </w:rPr>
        <w:t>2</w:t>
      </w:r>
      <w:r>
        <w:rPr>
          <w:rFonts w:hint="eastAsia"/>
          <w:sz w:val="24"/>
        </w:rPr>
        <w:t>）</w:t>
      </w:r>
      <w:r w:rsidRPr="00DF28C4">
        <w:rPr>
          <w:rFonts w:hint="eastAsia"/>
          <w:sz w:val="24"/>
        </w:rPr>
        <w:t>基于不同修复措施下土壤理化性质变化</w:t>
      </w:r>
    </w:p>
    <w:p w14:paraId="0ED2B8B6" w14:textId="271F455E" w:rsidR="00B552FE" w:rsidRDefault="00997744">
      <w:pPr>
        <w:spacing w:line="360" w:lineRule="auto"/>
        <w:ind w:firstLineChars="200" w:firstLine="480"/>
        <w:rPr>
          <w:sz w:val="24"/>
        </w:rPr>
      </w:pPr>
      <w:r w:rsidRPr="00997744">
        <w:rPr>
          <w:rFonts w:hint="eastAsia"/>
          <w:sz w:val="24"/>
        </w:rPr>
        <w:t>如图</w:t>
      </w:r>
      <w:r w:rsidRPr="00997744">
        <w:rPr>
          <w:rFonts w:hint="eastAsia"/>
          <w:sz w:val="24"/>
        </w:rPr>
        <w:t>4</w:t>
      </w:r>
      <w:r w:rsidRPr="00997744">
        <w:rPr>
          <w:rFonts w:hint="eastAsia"/>
          <w:sz w:val="24"/>
        </w:rPr>
        <w:t>所示，不同修复处理对土壤理化性质均产生了显著的改良效果。改良后，土壤</w:t>
      </w:r>
      <w:r w:rsidRPr="00997744">
        <w:rPr>
          <w:rFonts w:hint="eastAsia"/>
          <w:sz w:val="24"/>
        </w:rPr>
        <w:t>pH</w:t>
      </w:r>
      <w:r w:rsidRPr="00997744">
        <w:rPr>
          <w:rFonts w:hint="eastAsia"/>
          <w:sz w:val="24"/>
        </w:rPr>
        <w:t>值和电导率均显著降低，表明这些处理能有效缓解土壤盐碱化程度。其中，翻耕处理（尤其是翻耕结合施氮）的改良效果最为显著，而单一重耙处理虽然能降低电导率，但对</w:t>
      </w:r>
      <w:r w:rsidRPr="00997744">
        <w:rPr>
          <w:rFonts w:hint="eastAsia"/>
          <w:sz w:val="24"/>
        </w:rPr>
        <w:t>pH</w:t>
      </w:r>
      <w:r w:rsidRPr="00997744">
        <w:rPr>
          <w:rFonts w:hint="eastAsia"/>
          <w:sz w:val="24"/>
        </w:rPr>
        <w:t>值的调节作用相对有限。这一结果表明，耕作方式的选择及其与其他措施的配合使用是影响盐碱土改良效果的关键因素。</w:t>
      </w:r>
      <w:r w:rsidR="00DC1074" w:rsidRPr="00DC1074">
        <w:rPr>
          <w:sz w:val="24"/>
        </w:rPr>
        <w:t>在土壤养分方面，各修复处理显著提高了硝态氮和可溶性有机碳含量。其中，重耙</w:t>
      </w:r>
      <w:r w:rsidR="00DC1074" w:rsidRPr="00DC1074">
        <w:rPr>
          <w:sz w:val="24"/>
        </w:rPr>
        <w:t>+</w:t>
      </w:r>
      <w:r w:rsidR="00DC1074" w:rsidRPr="00DC1074">
        <w:rPr>
          <w:sz w:val="24"/>
        </w:rPr>
        <w:t>施氮处理表现最为突出，其硝态氮含量达到各处理最高值，可溶性有机碳含量也同步提升至峰值水平。这一结果表明，重耙与施氮的协同作用不仅能有效提升土壤养分有效性，更能显著改善盐碱土壤环境质量，为盐碱草地生态恢复提供了最有效的改良措施。</w:t>
      </w:r>
    </w:p>
    <w:p w14:paraId="3C30DFF4" w14:textId="77777777" w:rsidR="00B552FE" w:rsidRDefault="00000000">
      <w:pPr>
        <w:spacing w:line="360" w:lineRule="auto"/>
        <w:jc w:val="left"/>
      </w:pPr>
      <w:r>
        <w:rPr>
          <w:noProof/>
        </w:rPr>
        <w:drawing>
          <wp:inline distT="0" distB="0" distL="114300" distR="114300" wp14:anchorId="18685726" wp14:editId="75E40DC4">
            <wp:extent cx="5330825" cy="4439920"/>
            <wp:effectExtent l="0" t="0" r="317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rcRect l="1640"/>
                    <a:stretch>
                      <a:fillRect/>
                    </a:stretch>
                  </pic:blipFill>
                  <pic:spPr>
                    <a:xfrm>
                      <a:off x="0" y="0"/>
                      <a:ext cx="5330825" cy="4439920"/>
                    </a:xfrm>
                    <a:prstGeom prst="rect">
                      <a:avLst/>
                    </a:prstGeom>
                    <a:noFill/>
                    <a:ln>
                      <a:noFill/>
                    </a:ln>
                  </pic:spPr>
                </pic:pic>
              </a:graphicData>
            </a:graphic>
          </wp:inline>
        </w:drawing>
      </w:r>
    </w:p>
    <w:p w14:paraId="18A4389E" w14:textId="66C1B49E" w:rsidR="00B552FE" w:rsidRDefault="00000000">
      <w:pPr>
        <w:spacing w:line="360" w:lineRule="auto"/>
        <w:ind w:firstLineChars="200" w:firstLine="480"/>
        <w:jc w:val="left"/>
        <w:rPr>
          <w:sz w:val="24"/>
        </w:rPr>
        <w:sectPr w:rsidR="00B552FE">
          <w:pgSz w:w="11906" w:h="16838"/>
          <w:pgMar w:top="1843" w:right="1558" w:bottom="1702" w:left="1800" w:header="851" w:footer="992" w:gutter="0"/>
          <w:cols w:space="425"/>
          <w:docGrid w:type="lines" w:linePitch="312"/>
        </w:sectPr>
      </w:pPr>
      <w:r w:rsidRPr="00001D0C">
        <w:rPr>
          <w:rFonts w:hint="eastAsia"/>
          <w:sz w:val="24"/>
        </w:rPr>
        <w:t>图</w:t>
      </w:r>
      <w:r w:rsidRPr="00001D0C">
        <w:rPr>
          <w:rFonts w:hint="eastAsia"/>
          <w:sz w:val="24"/>
        </w:rPr>
        <w:t xml:space="preserve">4 </w:t>
      </w:r>
      <w:r>
        <w:rPr>
          <w:rFonts w:hint="eastAsia"/>
          <w:sz w:val="24"/>
        </w:rPr>
        <w:t>不同修复措施</w:t>
      </w:r>
      <w:r w:rsidR="00DF28C4">
        <w:rPr>
          <w:rFonts w:hint="eastAsia"/>
          <w:sz w:val="24"/>
        </w:rPr>
        <w:t>下</w:t>
      </w:r>
      <w:r>
        <w:rPr>
          <w:rFonts w:hint="eastAsia"/>
          <w:sz w:val="24"/>
        </w:rPr>
        <w:t>盐碱土壤</w:t>
      </w:r>
      <w:r>
        <w:rPr>
          <w:rFonts w:hint="eastAsia"/>
          <w:sz w:val="24"/>
        </w:rPr>
        <w:t>pH</w:t>
      </w:r>
      <w:r>
        <w:rPr>
          <w:rFonts w:hint="eastAsia"/>
          <w:sz w:val="24"/>
        </w:rPr>
        <w:t>、电导率、硝态氮和可溶性有机碳含量的</w:t>
      </w:r>
      <w:r w:rsidR="00DF28C4">
        <w:rPr>
          <w:rFonts w:hint="eastAsia"/>
          <w:sz w:val="24"/>
        </w:rPr>
        <w:t>变化</w:t>
      </w:r>
      <w:r>
        <w:rPr>
          <w:rFonts w:hint="eastAsia"/>
          <w:sz w:val="24"/>
        </w:rPr>
        <w:t>。</w:t>
      </w:r>
      <w:r>
        <w:rPr>
          <w:rFonts w:hint="eastAsia"/>
          <w:sz w:val="24"/>
        </w:rPr>
        <w:t>F</w:t>
      </w:r>
      <w:r>
        <w:rPr>
          <w:rFonts w:hint="eastAsia"/>
          <w:sz w:val="24"/>
        </w:rPr>
        <w:t>为浅翻耕处理；</w:t>
      </w:r>
      <w:r>
        <w:rPr>
          <w:rFonts w:hint="eastAsia"/>
          <w:sz w:val="24"/>
        </w:rPr>
        <w:t>FN</w:t>
      </w:r>
      <w:r>
        <w:rPr>
          <w:rFonts w:hint="eastAsia"/>
          <w:sz w:val="24"/>
        </w:rPr>
        <w:t>为浅翻耕</w:t>
      </w:r>
      <w:r>
        <w:rPr>
          <w:rFonts w:hint="eastAsia"/>
          <w:sz w:val="24"/>
        </w:rPr>
        <w:t>+</w:t>
      </w:r>
      <w:r>
        <w:rPr>
          <w:rFonts w:hint="eastAsia"/>
          <w:sz w:val="24"/>
        </w:rPr>
        <w:t>施氮处理；</w:t>
      </w:r>
      <w:r>
        <w:rPr>
          <w:rFonts w:hint="eastAsia"/>
          <w:sz w:val="24"/>
        </w:rPr>
        <w:t>N</w:t>
      </w:r>
      <w:r>
        <w:rPr>
          <w:rFonts w:hint="eastAsia"/>
          <w:sz w:val="24"/>
        </w:rPr>
        <w:t>为施氮处理；</w:t>
      </w:r>
      <w:r>
        <w:rPr>
          <w:rFonts w:hint="eastAsia"/>
          <w:sz w:val="24"/>
        </w:rPr>
        <w:t>S</w:t>
      </w:r>
      <w:r>
        <w:rPr>
          <w:rFonts w:hint="eastAsia"/>
          <w:sz w:val="24"/>
        </w:rPr>
        <w:t>为深松处理；</w:t>
      </w:r>
      <w:r>
        <w:rPr>
          <w:rFonts w:hint="eastAsia"/>
          <w:sz w:val="24"/>
        </w:rPr>
        <w:t>SN</w:t>
      </w:r>
      <w:r>
        <w:rPr>
          <w:rFonts w:hint="eastAsia"/>
          <w:sz w:val="24"/>
        </w:rPr>
        <w:t>为深松</w:t>
      </w:r>
      <w:r>
        <w:rPr>
          <w:rFonts w:hint="eastAsia"/>
          <w:sz w:val="24"/>
        </w:rPr>
        <w:t>+</w:t>
      </w:r>
      <w:r>
        <w:rPr>
          <w:rFonts w:hint="eastAsia"/>
          <w:sz w:val="24"/>
        </w:rPr>
        <w:t>施氮处理。</w:t>
      </w:r>
    </w:p>
    <w:p w14:paraId="24280755" w14:textId="06F4AD2A" w:rsidR="00B552FE" w:rsidRDefault="00001D0C" w:rsidP="00001D0C">
      <w:pPr>
        <w:spacing w:line="360" w:lineRule="auto"/>
        <w:ind w:firstLineChars="200" w:firstLine="480"/>
        <w:jc w:val="left"/>
        <w:rPr>
          <w:sz w:val="24"/>
        </w:rPr>
      </w:pPr>
      <w:r>
        <w:rPr>
          <w:rFonts w:hint="eastAsia"/>
          <w:sz w:val="24"/>
        </w:rPr>
        <w:lastRenderedPageBreak/>
        <w:t>（</w:t>
      </w:r>
      <w:r>
        <w:rPr>
          <w:rFonts w:hint="eastAsia"/>
          <w:sz w:val="24"/>
        </w:rPr>
        <w:t>3</w:t>
      </w:r>
      <w:r>
        <w:rPr>
          <w:rFonts w:hint="eastAsia"/>
          <w:sz w:val="24"/>
        </w:rPr>
        <w:t>）基于航拍效果图</w:t>
      </w:r>
    </w:p>
    <w:p w14:paraId="74F3C95B" w14:textId="77777777" w:rsidR="00B552FE" w:rsidRDefault="00000000">
      <w:pPr>
        <w:spacing w:line="360" w:lineRule="auto"/>
        <w:jc w:val="left"/>
        <w:rPr>
          <w:sz w:val="24"/>
        </w:rPr>
      </w:pPr>
      <w:r>
        <w:rPr>
          <w:rFonts w:hint="eastAsia"/>
          <w:sz w:val="24"/>
        </w:rPr>
        <w:t>如图</w:t>
      </w:r>
      <w:r>
        <w:rPr>
          <w:rFonts w:hint="eastAsia"/>
          <w:sz w:val="24"/>
        </w:rPr>
        <w:t>5</w:t>
      </w:r>
      <w:r>
        <w:rPr>
          <w:rFonts w:hint="eastAsia"/>
          <w:sz w:val="24"/>
        </w:rPr>
        <w:t>所示，修复后</w:t>
      </w:r>
      <w:r>
        <w:rPr>
          <w:rFonts w:hint="eastAsia"/>
          <w:sz w:val="24"/>
        </w:rPr>
        <w:t>20</w:t>
      </w:r>
      <w:r>
        <w:rPr>
          <w:rFonts w:hint="eastAsia"/>
          <w:sz w:val="24"/>
        </w:rPr>
        <w:t>天与</w:t>
      </w:r>
      <w:r>
        <w:rPr>
          <w:rFonts w:hint="eastAsia"/>
          <w:sz w:val="24"/>
        </w:rPr>
        <w:t>50</w:t>
      </w:r>
      <w:r>
        <w:rPr>
          <w:rFonts w:hint="eastAsia"/>
          <w:sz w:val="24"/>
        </w:rPr>
        <w:t>天的航拍影像显示，植被状况显著改善，盐碱程度明显降低。</w:t>
      </w:r>
    </w:p>
    <w:p w14:paraId="330C5BE5" w14:textId="77777777" w:rsidR="00B552FE" w:rsidRDefault="00B552FE">
      <w:pPr>
        <w:spacing w:line="360" w:lineRule="auto"/>
        <w:jc w:val="left"/>
        <w:rPr>
          <w:sz w:val="24"/>
        </w:rPr>
      </w:pPr>
    </w:p>
    <w:p w14:paraId="651D51E2" w14:textId="77777777" w:rsidR="00B552FE" w:rsidRDefault="00000000">
      <w:pPr>
        <w:spacing w:line="360" w:lineRule="auto"/>
        <w:ind w:firstLineChars="200" w:firstLine="480"/>
        <w:jc w:val="left"/>
        <w:rPr>
          <w:sz w:val="24"/>
        </w:rPr>
      </w:pPr>
      <w:r>
        <w:rPr>
          <w:noProof/>
          <w:sz w:val="24"/>
        </w:rPr>
        <w:drawing>
          <wp:inline distT="0" distB="0" distL="0" distR="0" wp14:anchorId="48F1048D" wp14:editId="614861DF">
            <wp:extent cx="5340350" cy="2487295"/>
            <wp:effectExtent l="0" t="0" r="0" b="8255"/>
            <wp:docPr id="6713142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14253" name="图片 3"/>
                    <pic:cNvPicPr>
                      <a:picLocks noChangeAspect="1" noChangeArrowheads="1"/>
                    </pic:cNvPicPr>
                  </pic:nvPicPr>
                  <pic:blipFill>
                    <a:blip r:embed="rId15">
                      <a:extLst>
                        <a:ext uri="{28A0092B-C50C-407E-A947-70E740481C1C}">
                          <a14:useLocalDpi xmlns:a14="http://schemas.microsoft.com/office/drawing/2010/main" val="0"/>
                        </a:ext>
                      </a:extLst>
                    </a:blip>
                    <a:srcRect b="10727"/>
                    <a:stretch>
                      <a:fillRect/>
                    </a:stretch>
                  </pic:blipFill>
                  <pic:spPr>
                    <a:xfrm>
                      <a:off x="0" y="0"/>
                      <a:ext cx="5340350" cy="2487478"/>
                    </a:xfrm>
                    <a:prstGeom prst="rect">
                      <a:avLst/>
                    </a:prstGeom>
                    <a:noFill/>
                    <a:ln>
                      <a:noFill/>
                    </a:ln>
                  </pic:spPr>
                </pic:pic>
              </a:graphicData>
            </a:graphic>
          </wp:inline>
        </w:drawing>
      </w:r>
    </w:p>
    <w:p w14:paraId="09F0C4A9" w14:textId="77777777" w:rsidR="00B552FE" w:rsidRDefault="00000000">
      <w:pPr>
        <w:spacing w:line="360" w:lineRule="auto"/>
        <w:ind w:firstLineChars="200" w:firstLine="480"/>
        <w:jc w:val="center"/>
        <w:rPr>
          <w:sz w:val="24"/>
        </w:rPr>
      </w:pPr>
      <w:r w:rsidRPr="00F10C45">
        <w:rPr>
          <w:rFonts w:hint="eastAsia"/>
          <w:sz w:val="24"/>
        </w:rPr>
        <w:t>图</w:t>
      </w:r>
      <w:r w:rsidRPr="00F10C45">
        <w:rPr>
          <w:rFonts w:hint="eastAsia"/>
          <w:sz w:val="24"/>
        </w:rPr>
        <w:t xml:space="preserve">5 </w:t>
      </w:r>
      <w:r>
        <w:rPr>
          <w:rFonts w:hint="eastAsia"/>
          <w:sz w:val="24"/>
        </w:rPr>
        <w:t>退化草地修复</w:t>
      </w:r>
      <w:r>
        <w:rPr>
          <w:rFonts w:hint="eastAsia"/>
          <w:sz w:val="24"/>
        </w:rPr>
        <w:t>20</w:t>
      </w:r>
      <w:r>
        <w:rPr>
          <w:rFonts w:hint="eastAsia"/>
          <w:sz w:val="24"/>
        </w:rPr>
        <w:t>天和</w:t>
      </w:r>
      <w:r>
        <w:rPr>
          <w:rFonts w:hint="eastAsia"/>
          <w:sz w:val="24"/>
        </w:rPr>
        <w:t>50</w:t>
      </w:r>
      <w:r>
        <w:rPr>
          <w:rFonts w:hint="eastAsia"/>
          <w:sz w:val="24"/>
        </w:rPr>
        <w:t>天后的航拍效果图</w:t>
      </w:r>
    </w:p>
    <w:p w14:paraId="40C4839E" w14:textId="75C15277" w:rsidR="00B552FE" w:rsidRPr="00312CD4" w:rsidRDefault="00001D0C" w:rsidP="00312CD4">
      <w:pPr>
        <w:pStyle w:val="af3"/>
        <w:numPr>
          <w:ilvl w:val="0"/>
          <w:numId w:val="4"/>
        </w:numPr>
        <w:spacing w:line="360" w:lineRule="auto"/>
        <w:ind w:firstLineChars="0"/>
        <w:rPr>
          <w:b/>
          <w:sz w:val="24"/>
          <w:szCs w:val="24"/>
        </w:rPr>
      </w:pPr>
      <w:r w:rsidRPr="00312CD4">
        <w:rPr>
          <w:rFonts w:hint="eastAsia"/>
          <w:b/>
          <w:sz w:val="24"/>
          <w:szCs w:val="24"/>
        </w:rPr>
        <w:t>结论</w:t>
      </w:r>
    </w:p>
    <w:p w14:paraId="1380FCE3" w14:textId="77777777" w:rsidR="00B552FE" w:rsidRDefault="00000000">
      <w:pPr>
        <w:spacing w:line="360" w:lineRule="auto"/>
        <w:ind w:firstLineChars="200" w:firstLine="480"/>
        <w:jc w:val="left"/>
        <w:rPr>
          <w:sz w:val="24"/>
        </w:rPr>
      </w:pPr>
      <w:r>
        <w:rPr>
          <w:rFonts w:hint="eastAsia"/>
          <w:sz w:val="24"/>
        </w:rPr>
        <w:t>综合植被生长与土壤改良效果，盐碱地修复不仅能显著提高植被生产力，还能有效改善土壤环境（降低</w:t>
      </w:r>
      <w:r>
        <w:rPr>
          <w:rFonts w:hint="eastAsia"/>
          <w:sz w:val="24"/>
        </w:rPr>
        <w:t>pH</w:t>
      </w:r>
      <w:r>
        <w:rPr>
          <w:rFonts w:hint="eastAsia"/>
          <w:sz w:val="24"/>
        </w:rPr>
        <w:t>和盐分）。航拍影像数据进一步证实，经过该处理</w:t>
      </w:r>
      <w:r>
        <w:rPr>
          <w:rFonts w:hint="eastAsia"/>
          <w:sz w:val="24"/>
        </w:rPr>
        <w:t>50</w:t>
      </w:r>
      <w:r>
        <w:rPr>
          <w:rFonts w:hint="eastAsia"/>
          <w:sz w:val="24"/>
        </w:rPr>
        <w:t>天后，植被覆盖度和土壤状况均得到显著改善。</w:t>
      </w:r>
    </w:p>
    <w:p w14:paraId="3D186F12" w14:textId="77777777" w:rsidR="00B552FE" w:rsidRDefault="00000000">
      <w:pPr>
        <w:spacing w:beforeLines="50" w:before="156" w:afterLines="50" w:after="156" w:line="440" w:lineRule="exact"/>
        <w:rPr>
          <w:b/>
          <w:color w:val="000000"/>
          <w:sz w:val="28"/>
          <w:szCs w:val="28"/>
        </w:rPr>
      </w:pPr>
      <w:r>
        <w:rPr>
          <w:rFonts w:hint="eastAsia"/>
          <w:b/>
          <w:color w:val="000000"/>
          <w:sz w:val="28"/>
          <w:szCs w:val="28"/>
        </w:rPr>
        <w:t>四</w:t>
      </w:r>
      <w:r>
        <w:rPr>
          <w:b/>
          <w:color w:val="000000"/>
          <w:sz w:val="28"/>
          <w:szCs w:val="28"/>
        </w:rPr>
        <w:t>、</w:t>
      </w:r>
      <w:r>
        <w:rPr>
          <w:rFonts w:hint="eastAsia"/>
          <w:b/>
          <w:color w:val="000000"/>
          <w:sz w:val="28"/>
          <w:szCs w:val="28"/>
        </w:rPr>
        <w:t>采用的国际标准</w:t>
      </w:r>
    </w:p>
    <w:p w14:paraId="6D69E452" w14:textId="77777777" w:rsidR="00B552FE" w:rsidRDefault="00000000">
      <w:pPr>
        <w:spacing w:beforeLines="50" w:before="156" w:line="360" w:lineRule="auto"/>
        <w:ind w:firstLine="482"/>
        <w:rPr>
          <w:color w:val="000000"/>
          <w:sz w:val="24"/>
        </w:rPr>
      </w:pPr>
      <w:r>
        <w:rPr>
          <w:color w:val="000000"/>
          <w:sz w:val="24"/>
        </w:rPr>
        <w:t>无。</w:t>
      </w:r>
    </w:p>
    <w:p w14:paraId="12691561" w14:textId="77777777" w:rsidR="00B552FE" w:rsidRDefault="00000000">
      <w:pPr>
        <w:spacing w:beforeLines="50" w:before="156" w:afterLines="50" w:after="156" w:line="440" w:lineRule="exact"/>
        <w:rPr>
          <w:b/>
          <w:color w:val="000000"/>
          <w:sz w:val="28"/>
          <w:szCs w:val="28"/>
        </w:rPr>
      </w:pPr>
      <w:r>
        <w:rPr>
          <w:rFonts w:hint="eastAsia"/>
          <w:b/>
          <w:color w:val="000000"/>
          <w:sz w:val="28"/>
          <w:szCs w:val="28"/>
        </w:rPr>
        <w:t>五</w:t>
      </w:r>
      <w:r>
        <w:rPr>
          <w:b/>
          <w:color w:val="000000"/>
          <w:sz w:val="28"/>
          <w:szCs w:val="28"/>
        </w:rPr>
        <w:t>、</w:t>
      </w:r>
      <w:r>
        <w:rPr>
          <w:rFonts w:hint="eastAsia"/>
          <w:b/>
          <w:color w:val="000000"/>
          <w:sz w:val="28"/>
          <w:szCs w:val="28"/>
        </w:rPr>
        <w:t>与现行法律法规和强制性标准的关系</w:t>
      </w:r>
    </w:p>
    <w:p w14:paraId="6465D9D1" w14:textId="77777777" w:rsidR="00B552FE" w:rsidRDefault="00000000">
      <w:pPr>
        <w:spacing w:beforeLines="50" w:before="156" w:afterLines="50" w:after="156" w:line="440" w:lineRule="exact"/>
        <w:ind w:firstLineChars="200" w:firstLine="480"/>
        <w:rPr>
          <w:color w:val="000000" w:themeColor="text1"/>
          <w:sz w:val="24"/>
        </w:rPr>
      </w:pPr>
      <w:r>
        <w:rPr>
          <w:rFonts w:hint="eastAsia"/>
          <w:color w:val="000000" w:themeColor="text1"/>
          <w:sz w:val="24"/>
        </w:rPr>
        <w:t>本标准严格遵循《中华人民共和国草原法》第三十五条（草原禁牧休牧制度）和第四十二条（退化草原治理）的规定要求，符合《中华人民共和国土壤污染防治法》第二十八条关于土壤改良的技术规范，与《中华人民共和国基本农田保护条例》第十七条（地力培肥）的相关条款保持一致。</w:t>
      </w:r>
    </w:p>
    <w:p w14:paraId="32620DE1" w14:textId="77777777" w:rsidR="00B552FE" w:rsidRDefault="00000000">
      <w:pPr>
        <w:spacing w:beforeLines="50" w:before="156" w:afterLines="50" w:after="156" w:line="440" w:lineRule="exact"/>
        <w:rPr>
          <w:b/>
          <w:color w:val="000000"/>
          <w:sz w:val="28"/>
          <w:szCs w:val="28"/>
        </w:rPr>
      </w:pPr>
      <w:r>
        <w:rPr>
          <w:rFonts w:hint="eastAsia"/>
          <w:b/>
          <w:color w:val="000000"/>
          <w:sz w:val="28"/>
          <w:szCs w:val="28"/>
        </w:rPr>
        <w:t>六</w:t>
      </w:r>
      <w:r>
        <w:rPr>
          <w:b/>
          <w:color w:val="000000"/>
          <w:sz w:val="28"/>
          <w:szCs w:val="28"/>
        </w:rPr>
        <w:t>、</w:t>
      </w:r>
      <w:r>
        <w:rPr>
          <w:rFonts w:hint="eastAsia"/>
          <w:b/>
          <w:color w:val="000000"/>
          <w:sz w:val="28"/>
          <w:szCs w:val="28"/>
        </w:rPr>
        <w:t>重大分歧意见的处理经过和依据</w:t>
      </w:r>
    </w:p>
    <w:p w14:paraId="76BB3A3D" w14:textId="77777777" w:rsidR="00B552FE" w:rsidRDefault="00000000">
      <w:pPr>
        <w:spacing w:beforeLines="50" w:before="156" w:line="360" w:lineRule="auto"/>
        <w:ind w:firstLine="482"/>
        <w:rPr>
          <w:sz w:val="24"/>
        </w:rPr>
      </w:pPr>
      <w:r>
        <w:rPr>
          <w:color w:val="000000"/>
          <w:sz w:val="24"/>
        </w:rPr>
        <w:t>无</w:t>
      </w:r>
      <w:r>
        <w:rPr>
          <w:sz w:val="24"/>
        </w:rPr>
        <w:t>。</w:t>
      </w:r>
    </w:p>
    <w:p w14:paraId="07B63DA2" w14:textId="77777777" w:rsidR="00B552FE" w:rsidRDefault="00000000">
      <w:pPr>
        <w:spacing w:beforeLines="50" w:before="156" w:afterLines="50" w:after="156" w:line="440" w:lineRule="exact"/>
        <w:rPr>
          <w:b/>
          <w:color w:val="000000"/>
          <w:sz w:val="28"/>
          <w:szCs w:val="28"/>
        </w:rPr>
      </w:pPr>
      <w:r>
        <w:rPr>
          <w:b/>
          <w:color w:val="000000"/>
          <w:sz w:val="28"/>
          <w:szCs w:val="28"/>
        </w:rPr>
        <w:lastRenderedPageBreak/>
        <w:t>七、标准作为强制性或推荐性标准的意见</w:t>
      </w:r>
    </w:p>
    <w:p w14:paraId="756732E9" w14:textId="77777777" w:rsidR="00B552FE" w:rsidRDefault="00000000">
      <w:pPr>
        <w:spacing w:beforeLines="50" w:before="156" w:line="360" w:lineRule="auto"/>
        <w:ind w:firstLine="482"/>
        <w:rPr>
          <w:color w:val="000000"/>
          <w:sz w:val="24"/>
        </w:rPr>
      </w:pPr>
      <w:r>
        <w:rPr>
          <w:color w:val="000000"/>
          <w:sz w:val="24"/>
        </w:rPr>
        <w:t>建议将本标准作为推荐性标准发布实施，并加强标准的宣贯。</w:t>
      </w:r>
    </w:p>
    <w:p w14:paraId="1319044A" w14:textId="77777777" w:rsidR="00B552FE" w:rsidRDefault="00000000">
      <w:pPr>
        <w:spacing w:beforeLines="50" w:before="156" w:afterLines="50" w:after="156" w:line="440" w:lineRule="exact"/>
        <w:rPr>
          <w:b/>
          <w:color w:val="000000"/>
          <w:sz w:val="28"/>
          <w:szCs w:val="28"/>
        </w:rPr>
      </w:pPr>
      <w:r>
        <w:rPr>
          <w:b/>
          <w:color w:val="000000"/>
          <w:sz w:val="28"/>
          <w:szCs w:val="28"/>
        </w:rPr>
        <w:t>八、贯彻标准的要求和措施建议</w:t>
      </w:r>
    </w:p>
    <w:p w14:paraId="41C6573C" w14:textId="77777777" w:rsidR="00B552FE" w:rsidRDefault="00000000">
      <w:pPr>
        <w:spacing w:line="360" w:lineRule="auto"/>
        <w:ind w:firstLineChars="225" w:firstLine="540"/>
        <w:rPr>
          <w:sz w:val="24"/>
        </w:rPr>
      </w:pPr>
      <w:r>
        <w:rPr>
          <w:rFonts w:hint="eastAsia"/>
          <w:sz w:val="24"/>
        </w:rPr>
        <w:t>1</w:t>
      </w:r>
      <w:r>
        <w:rPr>
          <w:rFonts w:hint="eastAsia"/>
          <w:sz w:val="24"/>
        </w:rPr>
        <w:t>、</w:t>
      </w:r>
      <w:r>
        <w:rPr>
          <w:sz w:val="24"/>
        </w:rPr>
        <w:t>本标准属于</w:t>
      </w:r>
      <w:r>
        <w:rPr>
          <w:rFonts w:hint="eastAsia"/>
          <w:sz w:val="24"/>
        </w:rPr>
        <w:t>北京华夏草业产业技术创新战略联盟团体标准</w:t>
      </w:r>
      <w:r>
        <w:rPr>
          <w:sz w:val="24"/>
        </w:rPr>
        <w:t>，</w:t>
      </w:r>
      <w:r>
        <w:rPr>
          <w:rFonts w:hint="eastAsia"/>
          <w:sz w:val="24"/>
        </w:rPr>
        <w:t>为成功实施</w:t>
      </w:r>
      <w:r>
        <w:rPr>
          <w:rFonts w:hAnsi="宋体" w:hint="eastAsia"/>
          <w:sz w:val="24"/>
        </w:rPr>
        <w:t>松嫩草地轻度退化草地恢复技术</w:t>
      </w:r>
      <w:r>
        <w:rPr>
          <w:rFonts w:hint="eastAsia"/>
          <w:sz w:val="24"/>
        </w:rPr>
        <w:t>，应认真执行本标准的相关技术要求。</w:t>
      </w:r>
    </w:p>
    <w:p w14:paraId="710D7628" w14:textId="77777777" w:rsidR="00B552FE" w:rsidRDefault="00000000">
      <w:pPr>
        <w:spacing w:line="360" w:lineRule="auto"/>
        <w:ind w:firstLineChars="225" w:firstLine="540"/>
        <w:rPr>
          <w:sz w:val="24"/>
        </w:rPr>
      </w:pPr>
      <w:r>
        <w:rPr>
          <w:rFonts w:hint="eastAsia"/>
          <w:sz w:val="24"/>
        </w:rPr>
        <w:t>2</w:t>
      </w:r>
      <w:r>
        <w:rPr>
          <w:rFonts w:hint="eastAsia"/>
          <w:sz w:val="24"/>
        </w:rPr>
        <w:t>、应</w:t>
      </w:r>
      <w:r>
        <w:rPr>
          <w:sz w:val="24"/>
        </w:rPr>
        <w:t>加强对标准的宣传、讲解</w:t>
      </w:r>
      <w:r>
        <w:rPr>
          <w:rFonts w:hint="eastAsia"/>
          <w:sz w:val="24"/>
        </w:rPr>
        <w:t>和技术指导，促进实施者</w:t>
      </w:r>
      <w:r>
        <w:rPr>
          <w:sz w:val="24"/>
        </w:rPr>
        <w:t>熟练掌握标准中的技术规范，保证</w:t>
      </w:r>
      <w:r>
        <w:rPr>
          <w:rFonts w:hint="eastAsia"/>
          <w:sz w:val="24"/>
        </w:rPr>
        <w:t>本标准的广泛推广应用</w:t>
      </w:r>
      <w:r>
        <w:rPr>
          <w:sz w:val="24"/>
        </w:rPr>
        <w:t>。</w:t>
      </w:r>
    </w:p>
    <w:p w14:paraId="2C7AC2CF" w14:textId="77777777" w:rsidR="00B552FE" w:rsidRDefault="00000000">
      <w:pPr>
        <w:spacing w:line="360" w:lineRule="auto"/>
        <w:ind w:firstLineChars="225" w:firstLine="540"/>
        <w:rPr>
          <w:sz w:val="24"/>
        </w:rPr>
      </w:pPr>
      <w:r>
        <w:rPr>
          <w:rFonts w:hint="eastAsia"/>
          <w:sz w:val="24"/>
        </w:rPr>
        <w:t>3</w:t>
      </w:r>
      <w:r>
        <w:rPr>
          <w:rFonts w:hint="eastAsia"/>
          <w:sz w:val="24"/>
        </w:rPr>
        <w:t>、</w:t>
      </w:r>
      <w:r>
        <w:rPr>
          <w:sz w:val="24"/>
        </w:rPr>
        <w:t>随着</w:t>
      </w:r>
      <w:r>
        <w:rPr>
          <w:rFonts w:hint="eastAsia"/>
          <w:sz w:val="24"/>
        </w:rPr>
        <w:t>科技发展，本标准中的技术规范势必会出现过时的情况，也会出现新的技术要求，因此本</w:t>
      </w:r>
      <w:r>
        <w:rPr>
          <w:sz w:val="24"/>
        </w:rPr>
        <w:t>标准执行过程中</w:t>
      </w:r>
      <w:r>
        <w:rPr>
          <w:rFonts w:hint="eastAsia"/>
          <w:sz w:val="24"/>
        </w:rPr>
        <w:t>要不断对</w:t>
      </w:r>
      <w:r>
        <w:rPr>
          <w:sz w:val="24"/>
        </w:rPr>
        <w:t>内容进行修订</w:t>
      </w:r>
      <w:r>
        <w:rPr>
          <w:rFonts w:hint="eastAsia"/>
          <w:sz w:val="24"/>
        </w:rPr>
        <w:t>和补充</w:t>
      </w:r>
      <w:r>
        <w:rPr>
          <w:sz w:val="24"/>
        </w:rPr>
        <w:t>。</w:t>
      </w:r>
    </w:p>
    <w:p w14:paraId="7C9056C9" w14:textId="77777777" w:rsidR="00B552FE" w:rsidRDefault="00000000">
      <w:pPr>
        <w:spacing w:line="360" w:lineRule="auto"/>
        <w:ind w:firstLine="482"/>
        <w:rPr>
          <w:sz w:val="24"/>
        </w:rPr>
      </w:pPr>
      <w:r>
        <w:rPr>
          <w:rFonts w:hint="eastAsia"/>
          <w:sz w:val="24"/>
        </w:rPr>
        <w:t>4</w:t>
      </w:r>
      <w:r>
        <w:rPr>
          <w:rFonts w:hint="eastAsia"/>
          <w:sz w:val="24"/>
        </w:rPr>
        <w:t>、</w:t>
      </w:r>
      <w:r>
        <w:rPr>
          <w:sz w:val="24"/>
        </w:rPr>
        <w:t>希望</w:t>
      </w:r>
      <w:r>
        <w:rPr>
          <w:rFonts w:hint="eastAsia"/>
          <w:sz w:val="24"/>
        </w:rPr>
        <w:t>应用本标准的</w:t>
      </w:r>
      <w:r>
        <w:rPr>
          <w:sz w:val="24"/>
        </w:rPr>
        <w:t>单位</w:t>
      </w:r>
      <w:r>
        <w:rPr>
          <w:rFonts w:hint="eastAsia"/>
          <w:sz w:val="24"/>
        </w:rPr>
        <w:t>在使用过程中</w:t>
      </w:r>
      <w:r>
        <w:rPr>
          <w:sz w:val="24"/>
        </w:rPr>
        <w:t>对</w:t>
      </w:r>
      <w:r>
        <w:rPr>
          <w:rFonts w:hint="eastAsia"/>
          <w:sz w:val="24"/>
        </w:rPr>
        <w:t>其</w:t>
      </w:r>
      <w:r>
        <w:rPr>
          <w:sz w:val="24"/>
        </w:rPr>
        <w:t>中出现的问题</w:t>
      </w:r>
      <w:r>
        <w:rPr>
          <w:rFonts w:hint="eastAsia"/>
          <w:sz w:val="24"/>
        </w:rPr>
        <w:t>和不足</w:t>
      </w:r>
      <w:r>
        <w:rPr>
          <w:sz w:val="24"/>
        </w:rPr>
        <w:t>给予反馈，以便</w:t>
      </w:r>
      <w:r>
        <w:rPr>
          <w:rFonts w:hint="eastAsia"/>
          <w:sz w:val="24"/>
        </w:rPr>
        <w:t>再进行</w:t>
      </w:r>
      <w:r>
        <w:rPr>
          <w:sz w:val="24"/>
        </w:rPr>
        <w:t>修订</w:t>
      </w:r>
      <w:r>
        <w:rPr>
          <w:rFonts w:hint="eastAsia"/>
          <w:sz w:val="24"/>
        </w:rPr>
        <w:t>和</w:t>
      </w:r>
      <w:r>
        <w:rPr>
          <w:sz w:val="24"/>
        </w:rPr>
        <w:t>补充。</w:t>
      </w:r>
    </w:p>
    <w:p w14:paraId="485E6A2F" w14:textId="77777777" w:rsidR="00B552FE" w:rsidRDefault="00000000">
      <w:pPr>
        <w:spacing w:line="360" w:lineRule="auto"/>
        <w:ind w:firstLine="482"/>
        <w:rPr>
          <w:color w:val="000000"/>
          <w:sz w:val="24"/>
        </w:rPr>
      </w:pPr>
      <w:r>
        <w:rPr>
          <w:rFonts w:hint="eastAsia"/>
          <w:sz w:val="24"/>
        </w:rPr>
        <w:t>5</w:t>
      </w:r>
      <w:r>
        <w:rPr>
          <w:rFonts w:hint="eastAsia"/>
          <w:sz w:val="24"/>
        </w:rPr>
        <w:t>、</w:t>
      </w:r>
      <w:r>
        <w:rPr>
          <w:color w:val="000000"/>
          <w:sz w:val="24"/>
        </w:rPr>
        <w:t>组织学习</w:t>
      </w:r>
      <w:r>
        <w:rPr>
          <w:rFonts w:hint="eastAsia"/>
          <w:color w:val="000000"/>
          <w:sz w:val="24"/>
        </w:rPr>
        <w:t>团体</w:t>
      </w:r>
      <w:r>
        <w:rPr>
          <w:color w:val="000000"/>
          <w:sz w:val="24"/>
        </w:rPr>
        <w:t>标准，加大对标准的宣传及贯彻力度，标准委员会作为企业之间的桥梁，做好沟通，推进行业的进一步发展。</w:t>
      </w:r>
    </w:p>
    <w:p w14:paraId="691C6F01" w14:textId="77777777" w:rsidR="00B552FE" w:rsidRDefault="00000000">
      <w:pPr>
        <w:spacing w:beforeLines="50" w:before="156" w:afterLines="50" w:after="156" w:line="440" w:lineRule="exact"/>
        <w:rPr>
          <w:b/>
          <w:color w:val="000000"/>
          <w:sz w:val="28"/>
          <w:szCs w:val="28"/>
        </w:rPr>
      </w:pPr>
      <w:r>
        <w:rPr>
          <w:b/>
          <w:color w:val="000000"/>
          <w:sz w:val="28"/>
          <w:szCs w:val="28"/>
        </w:rPr>
        <w:t>九、废止现行有关标准的建议</w:t>
      </w:r>
    </w:p>
    <w:p w14:paraId="02DB62B7" w14:textId="77777777" w:rsidR="00B552FE" w:rsidRDefault="00000000">
      <w:pPr>
        <w:spacing w:beforeLines="50" w:before="156" w:line="360" w:lineRule="auto"/>
        <w:ind w:firstLine="482"/>
        <w:rPr>
          <w:color w:val="000000"/>
          <w:sz w:val="24"/>
        </w:rPr>
      </w:pPr>
      <w:r>
        <w:rPr>
          <w:color w:val="000000"/>
          <w:sz w:val="24"/>
        </w:rPr>
        <w:t>无。</w:t>
      </w:r>
    </w:p>
    <w:p w14:paraId="3566C8CB" w14:textId="77777777" w:rsidR="00B552FE" w:rsidRDefault="00000000">
      <w:pPr>
        <w:spacing w:beforeLines="50" w:before="156" w:afterLines="50" w:after="156" w:line="440" w:lineRule="exact"/>
        <w:rPr>
          <w:b/>
          <w:color w:val="000000"/>
          <w:sz w:val="28"/>
          <w:szCs w:val="28"/>
        </w:rPr>
      </w:pPr>
      <w:r>
        <w:rPr>
          <w:b/>
          <w:color w:val="000000"/>
          <w:sz w:val="28"/>
          <w:szCs w:val="28"/>
        </w:rPr>
        <w:t>十、其他应予说明的事项</w:t>
      </w:r>
    </w:p>
    <w:p w14:paraId="4331E412" w14:textId="77777777" w:rsidR="00B552FE" w:rsidRDefault="00000000">
      <w:pPr>
        <w:spacing w:beforeLines="50" w:before="156" w:line="360" w:lineRule="auto"/>
        <w:ind w:firstLine="482"/>
        <w:rPr>
          <w:color w:val="000000"/>
          <w:sz w:val="24"/>
        </w:rPr>
      </w:pPr>
      <w:r>
        <w:rPr>
          <w:color w:val="000000"/>
          <w:sz w:val="24"/>
        </w:rPr>
        <w:t>无。</w:t>
      </w:r>
    </w:p>
    <w:sectPr w:rsidR="00B552FE">
      <w:pgSz w:w="11906" w:h="16838"/>
      <w:pgMar w:top="1843" w:right="1558" w:bottom="1702"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9B2E3" w14:textId="77777777" w:rsidR="007A467C" w:rsidRDefault="007A467C">
      <w:r>
        <w:separator/>
      </w:r>
    </w:p>
  </w:endnote>
  <w:endnote w:type="continuationSeparator" w:id="0">
    <w:p w14:paraId="3416FDD6" w14:textId="77777777" w:rsidR="007A467C" w:rsidRDefault="007A4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CAA62" w14:textId="77777777" w:rsidR="00B552FE" w:rsidRDefault="00000000">
    <w:pPr>
      <w:pStyle w:val="aa"/>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476123E1" w14:textId="77777777" w:rsidR="00B552FE" w:rsidRDefault="00B552FE">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FCF54" w14:textId="77777777" w:rsidR="00B552FE" w:rsidRDefault="00000000">
    <w:pPr>
      <w:pStyle w:val="aa"/>
      <w:jc w:val="center"/>
    </w:pPr>
    <w:r>
      <w:fldChar w:fldCharType="begin"/>
    </w:r>
    <w:r>
      <w:instrText xml:space="preserve"> PAGE   \* MERGEFORMAT </w:instrText>
    </w:r>
    <w:r>
      <w:fldChar w:fldCharType="separate"/>
    </w:r>
    <w:r>
      <w:rPr>
        <w:lang w:val="zh-CN"/>
      </w:rPr>
      <w:t>4</w:t>
    </w:r>
    <w:r>
      <w:rPr>
        <w:lang w:val="zh-CN"/>
      </w:rPr>
      <w:fldChar w:fldCharType="end"/>
    </w:r>
  </w:p>
  <w:p w14:paraId="6AC191D2" w14:textId="77777777" w:rsidR="00B552FE" w:rsidRDefault="00B552F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360ED" w14:textId="77777777" w:rsidR="007A467C" w:rsidRDefault="007A467C">
      <w:r>
        <w:separator/>
      </w:r>
    </w:p>
  </w:footnote>
  <w:footnote w:type="continuationSeparator" w:id="0">
    <w:p w14:paraId="062ADB0C" w14:textId="77777777" w:rsidR="007A467C" w:rsidRDefault="007A46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B5F88"/>
    <w:multiLevelType w:val="multilevel"/>
    <w:tmpl w:val="25EB5F88"/>
    <w:lvl w:ilvl="0">
      <w:start w:val="1"/>
      <w:numFmt w:val="japaneseCounting"/>
      <w:lvlText w:val="%1、"/>
      <w:lvlJc w:val="left"/>
      <w:pPr>
        <w:ind w:left="576" w:hanging="576"/>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3E6B59B0"/>
    <w:multiLevelType w:val="hybridMultilevel"/>
    <w:tmpl w:val="0EE272C0"/>
    <w:lvl w:ilvl="0" w:tplc="07280CC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72917DB9"/>
    <w:multiLevelType w:val="multilevel"/>
    <w:tmpl w:val="72917DB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46D48D2"/>
    <w:multiLevelType w:val="hybridMultilevel"/>
    <w:tmpl w:val="9B523B7C"/>
    <w:lvl w:ilvl="0" w:tplc="43D478B0">
      <w:start w:val="3"/>
      <w:numFmt w:val="decimal"/>
      <w:lvlText w:val="%1、"/>
      <w:lvlJc w:val="left"/>
      <w:pPr>
        <w:ind w:left="851" w:hanging="369"/>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num w:numId="1" w16cid:durableId="1743261277">
    <w:abstractNumId w:val="0"/>
  </w:num>
  <w:num w:numId="2" w16cid:durableId="383217536">
    <w:abstractNumId w:val="2"/>
  </w:num>
  <w:num w:numId="3" w16cid:durableId="926115186">
    <w:abstractNumId w:val="1"/>
  </w:num>
  <w:num w:numId="4" w16cid:durableId="20948898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669"/>
    <w:rsid w:val="00000A0D"/>
    <w:rsid w:val="00001D0C"/>
    <w:rsid w:val="00002F89"/>
    <w:rsid w:val="000155DB"/>
    <w:rsid w:val="00017D16"/>
    <w:rsid w:val="000308A3"/>
    <w:rsid w:val="00032402"/>
    <w:rsid w:val="00036A34"/>
    <w:rsid w:val="000434FB"/>
    <w:rsid w:val="00044247"/>
    <w:rsid w:val="0004735E"/>
    <w:rsid w:val="00053BB6"/>
    <w:rsid w:val="00057930"/>
    <w:rsid w:val="000610CF"/>
    <w:rsid w:val="00061E22"/>
    <w:rsid w:val="0006379F"/>
    <w:rsid w:val="00063A17"/>
    <w:rsid w:val="00072881"/>
    <w:rsid w:val="00076D67"/>
    <w:rsid w:val="000B474F"/>
    <w:rsid w:val="000F618C"/>
    <w:rsid w:val="00106067"/>
    <w:rsid w:val="001062D6"/>
    <w:rsid w:val="00112EE8"/>
    <w:rsid w:val="00121232"/>
    <w:rsid w:val="00125B9C"/>
    <w:rsid w:val="00126374"/>
    <w:rsid w:val="0013098F"/>
    <w:rsid w:val="001372F7"/>
    <w:rsid w:val="00137BD4"/>
    <w:rsid w:val="00140742"/>
    <w:rsid w:val="00145E21"/>
    <w:rsid w:val="00147E5E"/>
    <w:rsid w:val="00173D9B"/>
    <w:rsid w:val="0017441B"/>
    <w:rsid w:val="00175FEF"/>
    <w:rsid w:val="001877A5"/>
    <w:rsid w:val="001A3E3C"/>
    <w:rsid w:val="001A7DCB"/>
    <w:rsid w:val="001B67B1"/>
    <w:rsid w:val="001D0503"/>
    <w:rsid w:val="001E428B"/>
    <w:rsid w:val="001E72A2"/>
    <w:rsid w:val="001F1BFE"/>
    <w:rsid w:val="001F1E6B"/>
    <w:rsid w:val="001F5979"/>
    <w:rsid w:val="001F6496"/>
    <w:rsid w:val="001F7C55"/>
    <w:rsid w:val="002034C2"/>
    <w:rsid w:val="002313E0"/>
    <w:rsid w:val="00231604"/>
    <w:rsid w:val="0023169A"/>
    <w:rsid w:val="00232FFF"/>
    <w:rsid w:val="00240E83"/>
    <w:rsid w:val="00246C40"/>
    <w:rsid w:val="002538BD"/>
    <w:rsid w:val="0025397E"/>
    <w:rsid w:val="00255BC8"/>
    <w:rsid w:val="00266508"/>
    <w:rsid w:val="002679DB"/>
    <w:rsid w:val="00267E0C"/>
    <w:rsid w:val="00285B6C"/>
    <w:rsid w:val="0029313D"/>
    <w:rsid w:val="002A1554"/>
    <w:rsid w:val="002A2BE5"/>
    <w:rsid w:val="002A38D8"/>
    <w:rsid w:val="002C1526"/>
    <w:rsid w:val="002C3275"/>
    <w:rsid w:val="002C5FEC"/>
    <w:rsid w:val="002D17E1"/>
    <w:rsid w:val="002D456C"/>
    <w:rsid w:val="002E35C6"/>
    <w:rsid w:val="002E4C63"/>
    <w:rsid w:val="002F1A92"/>
    <w:rsid w:val="002F773B"/>
    <w:rsid w:val="002F78D3"/>
    <w:rsid w:val="00305624"/>
    <w:rsid w:val="00312CD4"/>
    <w:rsid w:val="00312E8B"/>
    <w:rsid w:val="00315468"/>
    <w:rsid w:val="00324544"/>
    <w:rsid w:val="0033768E"/>
    <w:rsid w:val="00353076"/>
    <w:rsid w:val="00354286"/>
    <w:rsid w:val="00355292"/>
    <w:rsid w:val="003577EC"/>
    <w:rsid w:val="00357EA9"/>
    <w:rsid w:val="003616FA"/>
    <w:rsid w:val="0036445F"/>
    <w:rsid w:val="003647ED"/>
    <w:rsid w:val="00371521"/>
    <w:rsid w:val="00384379"/>
    <w:rsid w:val="00391B07"/>
    <w:rsid w:val="00392AFE"/>
    <w:rsid w:val="00397219"/>
    <w:rsid w:val="003B4101"/>
    <w:rsid w:val="003B4925"/>
    <w:rsid w:val="003C0E69"/>
    <w:rsid w:val="003C7697"/>
    <w:rsid w:val="003D311F"/>
    <w:rsid w:val="003D5EFD"/>
    <w:rsid w:val="003E41F0"/>
    <w:rsid w:val="003E5401"/>
    <w:rsid w:val="003F657E"/>
    <w:rsid w:val="004008BE"/>
    <w:rsid w:val="00401F02"/>
    <w:rsid w:val="00412FA3"/>
    <w:rsid w:val="00416669"/>
    <w:rsid w:val="0042108D"/>
    <w:rsid w:val="0042262B"/>
    <w:rsid w:val="004262B4"/>
    <w:rsid w:val="0043644F"/>
    <w:rsid w:val="004369B7"/>
    <w:rsid w:val="00443A22"/>
    <w:rsid w:val="00453EAB"/>
    <w:rsid w:val="004558C5"/>
    <w:rsid w:val="00472EEC"/>
    <w:rsid w:val="0048331E"/>
    <w:rsid w:val="00487AD2"/>
    <w:rsid w:val="00493422"/>
    <w:rsid w:val="004A4D6E"/>
    <w:rsid w:val="004A7EE3"/>
    <w:rsid w:val="004B3418"/>
    <w:rsid w:val="004B6B44"/>
    <w:rsid w:val="004C3612"/>
    <w:rsid w:val="004C40C4"/>
    <w:rsid w:val="004C500C"/>
    <w:rsid w:val="004D3A8C"/>
    <w:rsid w:val="004D7696"/>
    <w:rsid w:val="004E1197"/>
    <w:rsid w:val="004E670F"/>
    <w:rsid w:val="004E6C97"/>
    <w:rsid w:val="004F23E8"/>
    <w:rsid w:val="004F338A"/>
    <w:rsid w:val="004F4E4A"/>
    <w:rsid w:val="004F5898"/>
    <w:rsid w:val="004F7B86"/>
    <w:rsid w:val="00504721"/>
    <w:rsid w:val="00517D24"/>
    <w:rsid w:val="00525526"/>
    <w:rsid w:val="00530419"/>
    <w:rsid w:val="005453DE"/>
    <w:rsid w:val="0055067B"/>
    <w:rsid w:val="0055090C"/>
    <w:rsid w:val="005573B1"/>
    <w:rsid w:val="00564B6D"/>
    <w:rsid w:val="00571E77"/>
    <w:rsid w:val="0057251D"/>
    <w:rsid w:val="00576CFC"/>
    <w:rsid w:val="005850C6"/>
    <w:rsid w:val="00587332"/>
    <w:rsid w:val="00594619"/>
    <w:rsid w:val="00595AF8"/>
    <w:rsid w:val="0059745A"/>
    <w:rsid w:val="00597601"/>
    <w:rsid w:val="005A3DE9"/>
    <w:rsid w:val="005D132F"/>
    <w:rsid w:val="005D377A"/>
    <w:rsid w:val="005D70F9"/>
    <w:rsid w:val="005E07D5"/>
    <w:rsid w:val="005E5829"/>
    <w:rsid w:val="005F0B7B"/>
    <w:rsid w:val="005F21F2"/>
    <w:rsid w:val="00606A2E"/>
    <w:rsid w:val="006136A1"/>
    <w:rsid w:val="00613B1E"/>
    <w:rsid w:val="006150A4"/>
    <w:rsid w:val="00617DE2"/>
    <w:rsid w:val="00617E82"/>
    <w:rsid w:val="006274F4"/>
    <w:rsid w:val="00627BD1"/>
    <w:rsid w:val="006359DA"/>
    <w:rsid w:val="006363C6"/>
    <w:rsid w:val="00642959"/>
    <w:rsid w:val="00644454"/>
    <w:rsid w:val="00647006"/>
    <w:rsid w:val="00662C30"/>
    <w:rsid w:val="00673243"/>
    <w:rsid w:val="00676D14"/>
    <w:rsid w:val="00677237"/>
    <w:rsid w:val="006801B7"/>
    <w:rsid w:val="006876D1"/>
    <w:rsid w:val="006B0030"/>
    <w:rsid w:val="006B0BBA"/>
    <w:rsid w:val="006C52CD"/>
    <w:rsid w:val="006C6553"/>
    <w:rsid w:val="006D3074"/>
    <w:rsid w:val="006D5BF9"/>
    <w:rsid w:val="006E0E00"/>
    <w:rsid w:val="006E1BFF"/>
    <w:rsid w:val="006F1DD4"/>
    <w:rsid w:val="006F2D50"/>
    <w:rsid w:val="006F3702"/>
    <w:rsid w:val="006F5EB9"/>
    <w:rsid w:val="00701F8B"/>
    <w:rsid w:val="007073E0"/>
    <w:rsid w:val="00722A10"/>
    <w:rsid w:val="00732883"/>
    <w:rsid w:val="007465BA"/>
    <w:rsid w:val="007508FD"/>
    <w:rsid w:val="0075399B"/>
    <w:rsid w:val="00761DEB"/>
    <w:rsid w:val="007665CB"/>
    <w:rsid w:val="00777351"/>
    <w:rsid w:val="00783DC3"/>
    <w:rsid w:val="00784E61"/>
    <w:rsid w:val="00792549"/>
    <w:rsid w:val="00792DC1"/>
    <w:rsid w:val="00793A3A"/>
    <w:rsid w:val="007947F5"/>
    <w:rsid w:val="00797839"/>
    <w:rsid w:val="007A1632"/>
    <w:rsid w:val="007A1885"/>
    <w:rsid w:val="007A467C"/>
    <w:rsid w:val="007B75B7"/>
    <w:rsid w:val="007C509A"/>
    <w:rsid w:val="007F03B2"/>
    <w:rsid w:val="007F417F"/>
    <w:rsid w:val="007F7B8C"/>
    <w:rsid w:val="00804EE7"/>
    <w:rsid w:val="008114DA"/>
    <w:rsid w:val="00811AA3"/>
    <w:rsid w:val="008127BC"/>
    <w:rsid w:val="008242BD"/>
    <w:rsid w:val="0082475F"/>
    <w:rsid w:val="00827333"/>
    <w:rsid w:val="00835A6F"/>
    <w:rsid w:val="00835E76"/>
    <w:rsid w:val="00836F37"/>
    <w:rsid w:val="00847886"/>
    <w:rsid w:val="00847A63"/>
    <w:rsid w:val="008535A7"/>
    <w:rsid w:val="00855ABB"/>
    <w:rsid w:val="00860918"/>
    <w:rsid w:val="008678ED"/>
    <w:rsid w:val="00873984"/>
    <w:rsid w:val="0088082F"/>
    <w:rsid w:val="008864EB"/>
    <w:rsid w:val="008961C2"/>
    <w:rsid w:val="008962BA"/>
    <w:rsid w:val="00897E59"/>
    <w:rsid w:val="008A3069"/>
    <w:rsid w:val="008A49C3"/>
    <w:rsid w:val="008C3EDA"/>
    <w:rsid w:val="008C49B7"/>
    <w:rsid w:val="008E5F14"/>
    <w:rsid w:val="008E5F71"/>
    <w:rsid w:val="008E66D9"/>
    <w:rsid w:val="008F2E1B"/>
    <w:rsid w:val="008F773A"/>
    <w:rsid w:val="00904055"/>
    <w:rsid w:val="009077DA"/>
    <w:rsid w:val="00907DBA"/>
    <w:rsid w:val="009215F0"/>
    <w:rsid w:val="00922670"/>
    <w:rsid w:val="009440F1"/>
    <w:rsid w:val="00945B8A"/>
    <w:rsid w:val="0095204F"/>
    <w:rsid w:val="009618A7"/>
    <w:rsid w:val="00973876"/>
    <w:rsid w:val="00980FDD"/>
    <w:rsid w:val="00996782"/>
    <w:rsid w:val="0099686D"/>
    <w:rsid w:val="0099687E"/>
    <w:rsid w:val="00997744"/>
    <w:rsid w:val="009A13B4"/>
    <w:rsid w:val="009A300F"/>
    <w:rsid w:val="009B09CB"/>
    <w:rsid w:val="009C1890"/>
    <w:rsid w:val="009C1E98"/>
    <w:rsid w:val="009C4A21"/>
    <w:rsid w:val="009E0C6B"/>
    <w:rsid w:val="009E25E4"/>
    <w:rsid w:val="009F110C"/>
    <w:rsid w:val="009F31FF"/>
    <w:rsid w:val="009F64A3"/>
    <w:rsid w:val="00A06E3E"/>
    <w:rsid w:val="00A1717E"/>
    <w:rsid w:val="00A21B84"/>
    <w:rsid w:val="00A255CB"/>
    <w:rsid w:val="00A25AE2"/>
    <w:rsid w:val="00A27F7F"/>
    <w:rsid w:val="00A32B24"/>
    <w:rsid w:val="00A427C2"/>
    <w:rsid w:val="00A447CB"/>
    <w:rsid w:val="00A44C95"/>
    <w:rsid w:val="00A464AD"/>
    <w:rsid w:val="00A46547"/>
    <w:rsid w:val="00A5557B"/>
    <w:rsid w:val="00A56B82"/>
    <w:rsid w:val="00A92302"/>
    <w:rsid w:val="00AA7CED"/>
    <w:rsid w:val="00AB1FC9"/>
    <w:rsid w:val="00AB2F98"/>
    <w:rsid w:val="00AB4133"/>
    <w:rsid w:val="00AB46A2"/>
    <w:rsid w:val="00AC27DF"/>
    <w:rsid w:val="00AC3EB1"/>
    <w:rsid w:val="00AD492B"/>
    <w:rsid w:val="00AD5C1F"/>
    <w:rsid w:val="00AD5E18"/>
    <w:rsid w:val="00AD78F8"/>
    <w:rsid w:val="00AE1937"/>
    <w:rsid w:val="00AE3591"/>
    <w:rsid w:val="00AE35CB"/>
    <w:rsid w:val="00B04616"/>
    <w:rsid w:val="00B072C7"/>
    <w:rsid w:val="00B07A07"/>
    <w:rsid w:val="00B101AB"/>
    <w:rsid w:val="00B205D6"/>
    <w:rsid w:val="00B22BBD"/>
    <w:rsid w:val="00B257D4"/>
    <w:rsid w:val="00B27E34"/>
    <w:rsid w:val="00B30B48"/>
    <w:rsid w:val="00B337E6"/>
    <w:rsid w:val="00B34441"/>
    <w:rsid w:val="00B437AA"/>
    <w:rsid w:val="00B438C1"/>
    <w:rsid w:val="00B45989"/>
    <w:rsid w:val="00B52FD1"/>
    <w:rsid w:val="00B552FE"/>
    <w:rsid w:val="00B63763"/>
    <w:rsid w:val="00B737F1"/>
    <w:rsid w:val="00B73841"/>
    <w:rsid w:val="00B74CD9"/>
    <w:rsid w:val="00B90B9B"/>
    <w:rsid w:val="00B9151E"/>
    <w:rsid w:val="00B915FB"/>
    <w:rsid w:val="00B950DE"/>
    <w:rsid w:val="00BA2455"/>
    <w:rsid w:val="00BA2A59"/>
    <w:rsid w:val="00BA5911"/>
    <w:rsid w:val="00BA706B"/>
    <w:rsid w:val="00BB0513"/>
    <w:rsid w:val="00BB71D2"/>
    <w:rsid w:val="00BC0C02"/>
    <w:rsid w:val="00BC1FBE"/>
    <w:rsid w:val="00BD1027"/>
    <w:rsid w:val="00BD385F"/>
    <w:rsid w:val="00BD39E2"/>
    <w:rsid w:val="00BD3CA0"/>
    <w:rsid w:val="00BE23F7"/>
    <w:rsid w:val="00BE3DAB"/>
    <w:rsid w:val="00BE6059"/>
    <w:rsid w:val="00BF1329"/>
    <w:rsid w:val="00BF7605"/>
    <w:rsid w:val="00C00514"/>
    <w:rsid w:val="00C0677E"/>
    <w:rsid w:val="00C16421"/>
    <w:rsid w:val="00C22140"/>
    <w:rsid w:val="00C31237"/>
    <w:rsid w:val="00C3437A"/>
    <w:rsid w:val="00C35D5A"/>
    <w:rsid w:val="00C42D41"/>
    <w:rsid w:val="00C43B8F"/>
    <w:rsid w:val="00C43FAD"/>
    <w:rsid w:val="00C47366"/>
    <w:rsid w:val="00C474C8"/>
    <w:rsid w:val="00C54D42"/>
    <w:rsid w:val="00C61371"/>
    <w:rsid w:val="00C61BCF"/>
    <w:rsid w:val="00C62995"/>
    <w:rsid w:val="00C679AC"/>
    <w:rsid w:val="00C74EBC"/>
    <w:rsid w:val="00C81D94"/>
    <w:rsid w:val="00C82EC1"/>
    <w:rsid w:val="00C9570B"/>
    <w:rsid w:val="00C95B96"/>
    <w:rsid w:val="00CA1927"/>
    <w:rsid w:val="00CA3AB7"/>
    <w:rsid w:val="00CC5868"/>
    <w:rsid w:val="00CC730D"/>
    <w:rsid w:val="00CD0E23"/>
    <w:rsid w:val="00CD41C9"/>
    <w:rsid w:val="00CD6231"/>
    <w:rsid w:val="00CE53AB"/>
    <w:rsid w:val="00CF560E"/>
    <w:rsid w:val="00D00CC8"/>
    <w:rsid w:val="00D23CB6"/>
    <w:rsid w:val="00D253BE"/>
    <w:rsid w:val="00D3529E"/>
    <w:rsid w:val="00D46F1D"/>
    <w:rsid w:val="00D53C06"/>
    <w:rsid w:val="00D60D26"/>
    <w:rsid w:val="00D60EB5"/>
    <w:rsid w:val="00D7788D"/>
    <w:rsid w:val="00D81414"/>
    <w:rsid w:val="00D81CB9"/>
    <w:rsid w:val="00DA3ED9"/>
    <w:rsid w:val="00DA4986"/>
    <w:rsid w:val="00DA7779"/>
    <w:rsid w:val="00DC1074"/>
    <w:rsid w:val="00DD550E"/>
    <w:rsid w:val="00DD56EA"/>
    <w:rsid w:val="00DD694C"/>
    <w:rsid w:val="00DD6B9F"/>
    <w:rsid w:val="00DF28C4"/>
    <w:rsid w:val="00DF666A"/>
    <w:rsid w:val="00DF6EA3"/>
    <w:rsid w:val="00E1556D"/>
    <w:rsid w:val="00E1686F"/>
    <w:rsid w:val="00E21BB5"/>
    <w:rsid w:val="00E33DCF"/>
    <w:rsid w:val="00E4036C"/>
    <w:rsid w:val="00E42362"/>
    <w:rsid w:val="00E52D55"/>
    <w:rsid w:val="00E5609B"/>
    <w:rsid w:val="00E56FB6"/>
    <w:rsid w:val="00E57815"/>
    <w:rsid w:val="00E6292E"/>
    <w:rsid w:val="00E62DD5"/>
    <w:rsid w:val="00E8551F"/>
    <w:rsid w:val="00E92B5C"/>
    <w:rsid w:val="00E93DBA"/>
    <w:rsid w:val="00E94CE8"/>
    <w:rsid w:val="00E9519E"/>
    <w:rsid w:val="00EE1047"/>
    <w:rsid w:val="00EF0176"/>
    <w:rsid w:val="00F07605"/>
    <w:rsid w:val="00F10C45"/>
    <w:rsid w:val="00F10D01"/>
    <w:rsid w:val="00F143A4"/>
    <w:rsid w:val="00F21D5B"/>
    <w:rsid w:val="00F2339E"/>
    <w:rsid w:val="00F32E81"/>
    <w:rsid w:val="00F37943"/>
    <w:rsid w:val="00F4018F"/>
    <w:rsid w:val="00F42DDD"/>
    <w:rsid w:val="00F46585"/>
    <w:rsid w:val="00F465B9"/>
    <w:rsid w:val="00F50FA6"/>
    <w:rsid w:val="00F62E99"/>
    <w:rsid w:val="00F64840"/>
    <w:rsid w:val="00F65A3A"/>
    <w:rsid w:val="00F70A79"/>
    <w:rsid w:val="00F73820"/>
    <w:rsid w:val="00F750CD"/>
    <w:rsid w:val="00F75167"/>
    <w:rsid w:val="00F765AB"/>
    <w:rsid w:val="00F810F1"/>
    <w:rsid w:val="00F8204E"/>
    <w:rsid w:val="00F85661"/>
    <w:rsid w:val="00F85F9B"/>
    <w:rsid w:val="00F938C1"/>
    <w:rsid w:val="00FB5B64"/>
    <w:rsid w:val="00FC2299"/>
    <w:rsid w:val="00FD2844"/>
    <w:rsid w:val="00FD3621"/>
    <w:rsid w:val="00FD4EFA"/>
    <w:rsid w:val="00FD6B91"/>
    <w:rsid w:val="00FE6C94"/>
    <w:rsid w:val="00FF3B58"/>
    <w:rsid w:val="00FF48BF"/>
    <w:rsid w:val="00FF5684"/>
    <w:rsid w:val="02AB5AF9"/>
    <w:rsid w:val="02D3570F"/>
    <w:rsid w:val="07131EBF"/>
    <w:rsid w:val="0B5331D2"/>
    <w:rsid w:val="16027CCE"/>
    <w:rsid w:val="191E6BCD"/>
    <w:rsid w:val="1E711A49"/>
    <w:rsid w:val="2FEB30FC"/>
    <w:rsid w:val="30A071CD"/>
    <w:rsid w:val="35D66C79"/>
    <w:rsid w:val="363F0E23"/>
    <w:rsid w:val="3A410516"/>
    <w:rsid w:val="3EF33504"/>
    <w:rsid w:val="49DE04AE"/>
    <w:rsid w:val="4A592DAD"/>
    <w:rsid w:val="4A851D59"/>
    <w:rsid w:val="4AD420FB"/>
    <w:rsid w:val="52BD4306"/>
    <w:rsid w:val="5420452F"/>
    <w:rsid w:val="5BCA1CC1"/>
    <w:rsid w:val="6F35524C"/>
    <w:rsid w:val="77785FC7"/>
    <w:rsid w:val="777F175A"/>
    <w:rsid w:val="7AC84DF9"/>
    <w:rsid w:val="7FC654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FA9F20"/>
  <w15:docId w15:val="{DEF0CD28-7661-4DE8-996A-2EF8B7A26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Plain Text"/>
    <w:basedOn w:val="a"/>
    <w:uiPriority w:val="99"/>
    <w:qFormat/>
    <w:rPr>
      <w:rFonts w:ascii="宋体" w:hAnsi="Courier New" w:cs="宋体"/>
    </w:rPr>
  </w:style>
  <w:style w:type="paragraph" w:styleId="a6">
    <w:name w:val="Date"/>
    <w:basedOn w:val="a"/>
    <w:next w:val="a"/>
    <w:link w:val="a7"/>
    <w:qFormat/>
    <w:pPr>
      <w:ind w:leftChars="2500" w:left="100"/>
    </w:pPr>
    <w:rPr>
      <w:szCs w:val="24"/>
    </w:rPr>
  </w:style>
  <w:style w:type="paragraph" w:styleId="a8">
    <w:name w:val="Balloon Text"/>
    <w:basedOn w:val="a"/>
    <w:link w:val="a9"/>
    <w:semiHidden/>
    <w:unhideWhenUsed/>
    <w:qFormat/>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nhideWhenUsed/>
    <w:qFormat/>
    <w:pPr>
      <w:pBdr>
        <w:bottom w:val="single" w:sz="6" w:space="1" w:color="auto"/>
      </w:pBdr>
      <w:tabs>
        <w:tab w:val="center" w:pos="4153"/>
        <w:tab w:val="right" w:pos="8306"/>
      </w:tabs>
      <w:snapToGrid w:val="0"/>
      <w:jc w:val="center"/>
    </w:pPr>
    <w:rPr>
      <w:sz w:val="18"/>
      <w:szCs w:val="18"/>
    </w:rPr>
  </w:style>
  <w:style w:type="paragraph" w:styleId="ae">
    <w:name w:val="annotation subject"/>
    <w:basedOn w:val="a3"/>
    <w:next w:val="a3"/>
    <w:link w:val="af"/>
    <w:uiPriority w:val="99"/>
    <w:semiHidden/>
    <w:unhideWhenUsed/>
    <w:qFormat/>
    <w:rPr>
      <w:b/>
      <w:bCs/>
    </w:rPr>
  </w:style>
  <w:style w:type="character" w:styleId="af0">
    <w:name w:val="page number"/>
    <w:basedOn w:val="a0"/>
    <w:qFormat/>
  </w:style>
  <w:style w:type="character" w:styleId="af1">
    <w:name w:val="Hyperlink"/>
    <w:basedOn w:val="a0"/>
    <w:uiPriority w:val="99"/>
    <w:unhideWhenUsed/>
    <w:qFormat/>
    <w:rPr>
      <w:color w:val="0563C1" w:themeColor="hyperlink"/>
      <w:u w:val="single"/>
    </w:rPr>
  </w:style>
  <w:style w:type="character" w:styleId="af2">
    <w:name w:val="annotation reference"/>
    <w:basedOn w:val="a0"/>
    <w:uiPriority w:val="99"/>
    <w:semiHidden/>
    <w:unhideWhenUsed/>
    <w:qFormat/>
    <w:rPr>
      <w:sz w:val="21"/>
      <w:szCs w:val="21"/>
    </w:rPr>
  </w:style>
  <w:style w:type="character" w:customStyle="1" w:styleId="1">
    <w:name w:val="未处理的提及1"/>
    <w:basedOn w:val="a0"/>
    <w:uiPriority w:val="99"/>
    <w:semiHidden/>
    <w:unhideWhenUsed/>
    <w:qFormat/>
    <w:rPr>
      <w:color w:val="605E5C"/>
      <w:shd w:val="clear" w:color="auto" w:fill="E1DFDD"/>
    </w:rPr>
  </w:style>
  <w:style w:type="paragraph" w:styleId="af3">
    <w:name w:val="List Paragraph"/>
    <w:basedOn w:val="a"/>
    <w:uiPriority w:val="34"/>
    <w:qFormat/>
    <w:pPr>
      <w:ind w:firstLineChars="200" w:firstLine="420"/>
    </w:pPr>
  </w:style>
  <w:style w:type="paragraph" w:customStyle="1" w:styleId="af4">
    <w:name w:val="段"/>
    <w:link w:val="Char"/>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
    <w:name w:val="段 Char"/>
    <w:link w:val="af4"/>
    <w:qFormat/>
    <w:rPr>
      <w:rFonts w:ascii="宋体" w:eastAsia="宋体" w:hAnsi="Times New Roman" w:cs="Times New Roman"/>
      <w:kern w:val="0"/>
      <w:szCs w:val="20"/>
    </w:rPr>
  </w:style>
  <w:style w:type="character" w:customStyle="1" w:styleId="ad">
    <w:name w:val="页眉 字符"/>
    <w:basedOn w:val="a0"/>
    <w:link w:val="ac"/>
    <w:qFormat/>
    <w:rPr>
      <w:rFonts w:ascii="Times New Roman" w:eastAsia="宋体" w:hAnsi="Times New Roman" w:cs="Times New Roman"/>
      <w:sz w:val="18"/>
      <w:szCs w:val="18"/>
    </w:rPr>
  </w:style>
  <w:style w:type="character" w:customStyle="1" w:styleId="ab">
    <w:name w:val="页脚 字符"/>
    <w:basedOn w:val="a0"/>
    <w:link w:val="aa"/>
    <w:uiPriority w:val="99"/>
    <w:qFormat/>
    <w:rPr>
      <w:rFonts w:ascii="Times New Roman" w:eastAsia="宋体" w:hAnsi="Times New Roman" w:cs="Times New Roman"/>
      <w:sz w:val="18"/>
      <w:szCs w:val="18"/>
    </w:rPr>
  </w:style>
  <w:style w:type="character" w:customStyle="1" w:styleId="fontstyle01">
    <w:name w:val="fontstyle01"/>
    <w:basedOn w:val="a0"/>
    <w:qFormat/>
    <w:rPr>
      <w:rFonts w:ascii="黑体" w:eastAsia="黑体" w:hAnsi="黑体" w:hint="eastAsia"/>
      <w:color w:val="000000"/>
      <w:sz w:val="32"/>
      <w:szCs w:val="3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a9">
    <w:name w:val="批注框文本 字符"/>
    <w:basedOn w:val="a0"/>
    <w:link w:val="a8"/>
    <w:uiPriority w:val="99"/>
    <w:semiHidden/>
    <w:qFormat/>
    <w:rPr>
      <w:rFonts w:ascii="Times New Roman" w:eastAsia="宋体" w:hAnsi="Times New Roman" w:cs="Times New Roman"/>
      <w:kern w:val="2"/>
      <w:sz w:val="18"/>
      <w:szCs w:val="18"/>
    </w:rPr>
  </w:style>
  <w:style w:type="character" w:customStyle="1" w:styleId="a7">
    <w:name w:val="日期 字符"/>
    <w:basedOn w:val="a0"/>
    <w:link w:val="a6"/>
    <w:qFormat/>
    <w:rPr>
      <w:rFonts w:ascii="Times New Roman" w:eastAsia="宋体" w:hAnsi="Times New Roman" w:cs="Times New Roman"/>
      <w:kern w:val="2"/>
      <w:sz w:val="21"/>
      <w:szCs w:val="24"/>
    </w:rPr>
  </w:style>
  <w:style w:type="paragraph" w:customStyle="1" w:styleId="Char1CharCharCharCharCharCharCharCharChar">
    <w:name w:val="Char1 Char Char Char Char Char Char Char Char Char"/>
    <w:basedOn w:val="a"/>
    <w:qFormat/>
    <w:pPr>
      <w:spacing w:line="360" w:lineRule="auto"/>
    </w:pPr>
    <w:rPr>
      <w:rFonts w:ascii="Tahoma" w:hAnsi="Tahoma"/>
      <w:sz w:val="24"/>
      <w:szCs w:val="20"/>
    </w:rPr>
  </w:style>
  <w:style w:type="paragraph" w:customStyle="1" w:styleId="-11">
    <w:name w:val="彩色列表 - 强调文字颜色 11"/>
    <w:basedOn w:val="a"/>
    <w:uiPriority w:val="34"/>
    <w:qFormat/>
    <w:pPr>
      <w:widowControl/>
      <w:spacing w:after="200" w:line="276" w:lineRule="auto"/>
      <w:ind w:left="720"/>
      <w:contextualSpacing/>
      <w:jc w:val="left"/>
    </w:pPr>
    <w:rPr>
      <w:rFonts w:ascii="Calibri" w:hAnsi="Calibri"/>
      <w:kern w:val="0"/>
      <w:sz w:val="22"/>
      <w:szCs w:val="22"/>
    </w:rPr>
  </w:style>
  <w:style w:type="character" w:customStyle="1" w:styleId="a4">
    <w:name w:val="批注文字 字符"/>
    <w:basedOn w:val="a0"/>
    <w:link w:val="a3"/>
    <w:uiPriority w:val="99"/>
    <w:qFormat/>
    <w:rPr>
      <w:rFonts w:ascii="Times New Roman" w:eastAsia="宋体" w:hAnsi="Times New Roman" w:cs="Times New Roman"/>
      <w:kern w:val="2"/>
      <w:sz w:val="21"/>
      <w:szCs w:val="21"/>
    </w:rPr>
  </w:style>
  <w:style w:type="character" w:customStyle="1" w:styleId="af">
    <w:name w:val="批注主题 字符"/>
    <w:basedOn w:val="a4"/>
    <w:link w:val="ae"/>
    <w:uiPriority w:val="99"/>
    <w:semiHidden/>
    <w:qFormat/>
    <w:rPr>
      <w:rFonts w:ascii="Times New Roman" w:eastAsia="宋体" w:hAnsi="Times New Roman" w:cs="Times New Roman"/>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8F9E3F-C135-4F84-A4D0-3B0CEA2DF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11</Pages>
  <Words>1065</Words>
  <Characters>6072</Characters>
  <Application>Microsoft Office Word</Application>
  <DocSecurity>0</DocSecurity>
  <Lines>50</Lines>
  <Paragraphs>14</Paragraphs>
  <ScaleCrop>false</ScaleCrop>
  <Company>Lenovo</Company>
  <LinksUpToDate>false</LinksUpToDate>
  <CharactersWithSpaces>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丽娜 闫</cp:lastModifiedBy>
  <cp:revision>22</cp:revision>
  <dcterms:created xsi:type="dcterms:W3CDTF">2025-07-23T09:30:00Z</dcterms:created>
  <dcterms:modified xsi:type="dcterms:W3CDTF">2025-08-13T05:50:00Z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eyJoZGlkIjoiYmQ2YjExNDhlZWRjMGJkYmJkYTc1YWZmODUyM2VmNmQiLCJ1c2VySWQiOiIzMDM2NTA3MyJ9</vt:lpwstr>
  </property>
  <property fmtid="{D5CDD505-2E9C-101B-9397-08002B2CF9AE}" pid="4" name="ICV">
    <vt:lpwstr>3F371370DE7340FD95D6B8199B04B2FA_12</vt:lpwstr>
  </property>
</Properties>
</file>