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7BC98" w14:textId="77777777" w:rsidR="00063952" w:rsidRDefault="00000000">
      <w:pPr>
        <w:tabs>
          <w:tab w:val="left" w:pos="7371"/>
        </w:tabs>
        <w:jc w:val="left"/>
      </w:pPr>
      <w:bookmarkStart w:id="0" w:name="_Hlk191990230"/>
      <w:bookmarkStart w:id="1" w:name="_Hlk175905260"/>
      <w:r>
        <w:t>ICS 6</w:t>
      </w:r>
      <w:r>
        <w:rPr>
          <w:rFonts w:hint="eastAsia"/>
        </w:rPr>
        <w:t>5</w:t>
      </w:r>
      <w:r>
        <w:t>.120</w:t>
      </w:r>
    </w:p>
    <w:p w14:paraId="5BDB09E7" w14:textId="77777777" w:rsidR="00063952" w:rsidRDefault="00000000">
      <w:pPr>
        <w:jc w:val="left"/>
      </w:pPr>
      <w:r>
        <w:t xml:space="preserve">B </w:t>
      </w:r>
      <w:r>
        <w:rPr>
          <w:rFonts w:hint="eastAsia"/>
        </w:rPr>
        <w:t>20</w:t>
      </w:r>
    </w:p>
    <w:bookmarkEnd w:id="0"/>
    <w:p w14:paraId="7D17D854" w14:textId="77777777" w:rsidR="00063952" w:rsidRDefault="00063952">
      <w:pPr>
        <w:jc w:val="center"/>
      </w:pPr>
    </w:p>
    <w:p w14:paraId="16D3008F" w14:textId="77777777" w:rsidR="00063952" w:rsidRDefault="00063952">
      <w:pPr>
        <w:jc w:val="center"/>
      </w:pPr>
    </w:p>
    <w:p w14:paraId="37C9331C" w14:textId="77777777" w:rsidR="00063952" w:rsidRDefault="00000000">
      <w:pPr>
        <w:jc w:val="center"/>
        <w:rPr>
          <w:rFonts w:eastAsia="黑体"/>
          <w:sz w:val="84"/>
          <w:szCs w:val="84"/>
        </w:rPr>
      </w:pPr>
      <w:bookmarkStart w:id="2" w:name="_Hlk191991850"/>
      <w:bookmarkStart w:id="3" w:name="_Hlk191990252"/>
      <w:r>
        <w:rPr>
          <w:rFonts w:eastAsia="黑体" w:cs="黑体" w:hint="eastAsia"/>
          <w:sz w:val="84"/>
          <w:szCs w:val="84"/>
        </w:rPr>
        <w:t>团</w:t>
      </w:r>
      <w:r>
        <w:rPr>
          <w:rFonts w:eastAsia="黑体" w:cs="黑体" w:hint="eastAsia"/>
          <w:sz w:val="84"/>
          <w:szCs w:val="84"/>
        </w:rPr>
        <w:t xml:space="preserve"> </w:t>
      </w:r>
      <w:r>
        <w:rPr>
          <w:rFonts w:eastAsia="黑体" w:cs="黑体" w:hint="eastAsia"/>
          <w:sz w:val="84"/>
          <w:szCs w:val="84"/>
        </w:rPr>
        <w:t>体</w:t>
      </w:r>
      <w:r>
        <w:rPr>
          <w:rFonts w:eastAsia="黑体" w:cs="黑体" w:hint="eastAsia"/>
          <w:sz w:val="84"/>
          <w:szCs w:val="84"/>
        </w:rPr>
        <w:t xml:space="preserve"> </w:t>
      </w:r>
      <w:r>
        <w:rPr>
          <w:rFonts w:eastAsia="黑体" w:cs="黑体" w:hint="eastAsia"/>
          <w:sz w:val="84"/>
          <w:szCs w:val="84"/>
        </w:rPr>
        <w:t>标</w:t>
      </w:r>
      <w:r>
        <w:rPr>
          <w:rFonts w:eastAsia="黑体" w:cs="黑体" w:hint="eastAsia"/>
          <w:sz w:val="84"/>
          <w:szCs w:val="84"/>
        </w:rPr>
        <w:t xml:space="preserve"> </w:t>
      </w:r>
      <w:r>
        <w:rPr>
          <w:rFonts w:eastAsia="黑体" w:cs="黑体" w:hint="eastAsia"/>
          <w:sz w:val="84"/>
          <w:szCs w:val="84"/>
        </w:rPr>
        <w:t>准</w:t>
      </w:r>
    </w:p>
    <w:p w14:paraId="3CBA85C0" w14:textId="77777777" w:rsidR="00063952" w:rsidRDefault="00063952">
      <w:pPr>
        <w:jc w:val="center"/>
        <w:rPr>
          <w:sz w:val="84"/>
          <w:szCs w:val="84"/>
        </w:rPr>
      </w:pPr>
    </w:p>
    <w:p w14:paraId="5AA9E2A7" w14:textId="77777777" w:rsidR="00063952" w:rsidRDefault="00000000">
      <w:pPr>
        <w:jc w:val="right"/>
        <w:rPr>
          <w:b/>
          <w:bCs/>
        </w:rPr>
      </w:pPr>
      <w:bookmarkStart w:id="4" w:name="_Hlk191975570"/>
      <w:r>
        <w:rPr>
          <w:b/>
          <w:bCs/>
        </w:rPr>
        <w:t>T/HXCY XXX-</w:t>
      </w:r>
      <w:r>
        <w:rPr>
          <w:rFonts w:hint="eastAsia"/>
          <w:b/>
          <w:bCs/>
        </w:rPr>
        <w:t>2025</w:t>
      </w:r>
    </w:p>
    <w:bookmarkEnd w:id="4"/>
    <w:p w14:paraId="4268FA95" w14:textId="77777777" w:rsidR="00063952" w:rsidRDefault="00000000">
      <w:pPr>
        <w:jc w:val="left"/>
        <w:rPr>
          <w:u w:val="single"/>
        </w:rPr>
      </w:pPr>
      <w:r>
        <w:rPr>
          <w:u w:val="single"/>
        </w:rPr>
        <w:t xml:space="preserve">                                                                               </w:t>
      </w:r>
    </w:p>
    <w:bookmarkEnd w:id="2"/>
    <w:p w14:paraId="5061FEC5" w14:textId="77777777" w:rsidR="00063952" w:rsidRDefault="00063952">
      <w:pPr>
        <w:jc w:val="right"/>
        <w:rPr>
          <w:b/>
          <w:bCs/>
        </w:rPr>
      </w:pPr>
    </w:p>
    <w:bookmarkEnd w:id="3"/>
    <w:p w14:paraId="4C91F4DC" w14:textId="77777777" w:rsidR="00063952" w:rsidRDefault="00000000">
      <w:pPr>
        <w:jc w:val="center"/>
        <w:rPr>
          <w:rFonts w:eastAsia="黑体"/>
          <w:spacing w:val="-17"/>
          <w:sz w:val="48"/>
          <w:szCs w:val="48"/>
        </w:rPr>
      </w:pPr>
      <w:r>
        <w:rPr>
          <w:rFonts w:eastAsia="黑体" w:hint="eastAsia"/>
          <w:spacing w:val="-17"/>
          <w:sz w:val="48"/>
          <w:szCs w:val="48"/>
        </w:rPr>
        <w:t>西南地区箭筈豌豆制种技术规程</w:t>
      </w:r>
    </w:p>
    <w:p w14:paraId="5E1AB88C" w14:textId="77777777" w:rsidR="00063952" w:rsidRDefault="00000000">
      <w:pPr>
        <w:jc w:val="center"/>
        <w:rPr>
          <w:rFonts w:eastAsia="黑体"/>
          <w:b/>
          <w:bCs/>
          <w:sz w:val="28"/>
          <w:szCs w:val="28"/>
        </w:rPr>
      </w:pPr>
      <w:r>
        <w:rPr>
          <w:rFonts w:eastAsia="黑体" w:hint="eastAsia"/>
          <w:b/>
          <w:bCs/>
          <w:sz w:val="28"/>
          <w:szCs w:val="28"/>
        </w:rPr>
        <w:t xml:space="preserve">Technical regulations for seed production of </w:t>
      </w:r>
      <w:r>
        <w:rPr>
          <w:rFonts w:eastAsia="黑体" w:hint="eastAsia"/>
          <w:b/>
          <w:bCs/>
          <w:i/>
          <w:iCs/>
          <w:sz w:val="28"/>
          <w:szCs w:val="28"/>
        </w:rPr>
        <w:t>Vicia sativa</w:t>
      </w:r>
      <w:r>
        <w:rPr>
          <w:rFonts w:eastAsia="黑体" w:hint="eastAsia"/>
          <w:b/>
          <w:bCs/>
          <w:sz w:val="28"/>
          <w:szCs w:val="28"/>
        </w:rPr>
        <w:t xml:space="preserve"> </w:t>
      </w:r>
    </w:p>
    <w:p w14:paraId="5A77A0D5" w14:textId="77777777" w:rsidR="00063952" w:rsidRDefault="00000000">
      <w:pPr>
        <w:jc w:val="center"/>
        <w:rPr>
          <w:rFonts w:eastAsia="黑体"/>
          <w:b/>
          <w:bCs/>
          <w:sz w:val="28"/>
          <w:szCs w:val="28"/>
        </w:rPr>
      </w:pPr>
      <w:r>
        <w:rPr>
          <w:rFonts w:eastAsia="黑体" w:hint="eastAsia"/>
          <w:b/>
          <w:bCs/>
          <w:sz w:val="28"/>
          <w:szCs w:val="28"/>
        </w:rPr>
        <w:t>in southwest China</w:t>
      </w:r>
    </w:p>
    <w:bookmarkEnd w:id="1"/>
    <w:p w14:paraId="3A620058" w14:textId="77777777" w:rsidR="00063952" w:rsidRDefault="00063952">
      <w:pPr>
        <w:jc w:val="center"/>
        <w:rPr>
          <w:rFonts w:eastAsia="黑体"/>
          <w:sz w:val="24"/>
          <w:szCs w:val="24"/>
        </w:rPr>
      </w:pPr>
    </w:p>
    <w:p w14:paraId="5CB3F833" w14:textId="1922498E" w:rsidR="00063952" w:rsidRDefault="00000000">
      <w:pPr>
        <w:jc w:val="center"/>
        <w:rPr>
          <w:rFonts w:eastAsia="黑体"/>
          <w:sz w:val="24"/>
          <w:szCs w:val="24"/>
        </w:rPr>
      </w:pPr>
      <w:r>
        <w:rPr>
          <w:rFonts w:eastAsia="黑体" w:hint="eastAsia"/>
          <w:sz w:val="24"/>
          <w:szCs w:val="24"/>
        </w:rPr>
        <w:t>（</w:t>
      </w:r>
      <w:r w:rsidR="003D3307">
        <w:rPr>
          <w:rFonts w:eastAsia="黑体" w:hint="eastAsia"/>
          <w:sz w:val="24"/>
          <w:szCs w:val="24"/>
        </w:rPr>
        <w:t>征求意见</w:t>
      </w:r>
      <w:r>
        <w:rPr>
          <w:rFonts w:eastAsia="黑体" w:hint="eastAsia"/>
          <w:sz w:val="24"/>
          <w:szCs w:val="24"/>
        </w:rPr>
        <w:t>稿）</w:t>
      </w:r>
    </w:p>
    <w:p w14:paraId="7F459A42" w14:textId="77777777" w:rsidR="00063952" w:rsidRDefault="00063952">
      <w:pPr>
        <w:jc w:val="center"/>
        <w:rPr>
          <w:rFonts w:eastAsia="黑体"/>
          <w:sz w:val="48"/>
          <w:szCs w:val="48"/>
        </w:rPr>
      </w:pPr>
    </w:p>
    <w:p w14:paraId="2C3BDF19" w14:textId="77777777" w:rsidR="00063952" w:rsidRDefault="00063952">
      <w:pPr>
        <w:jc w:val="center"/>
        <w:rPr>
          <w:rFonts w:eastAsia="黑体"/>
          <w:sz w:val="48"/>
          <w:szCs w:val="48"/>
        </w:rPr>
      </w:pPr>
    </w:p>
    <w:p w14:paraId="0FEA8525" w14:textId="77777777" w:rsidR="00063952" w:rsidRDefault="00063952">
      <w:pPr>
        <w:jc w:val="center"/>
        <w:rPr>
          <w:rFonts w:eastAsia="黑体"/>
          <w:sz w:val="48"/>
          <w:szCs w:val="48"/>
        </w:rPr>
      </w:pPr>
    </w:p>
    <w:p w14:paraId="3302A5B9" w14:textId="77777777" w:rsidR="00063952" w:rsidRDefault="00063952">
      <w:pPr>
        <w:jc w:val="center"/>
        <w:rPr>
          <w:rFonts w:eastAsia="黑体"/>
          <w:sz w:val="48"/>
          <w:szCs w:val="48"/>
        </w:rPr>
      </w:pPr>
    </w:p>
    <w:p w14:paraId="079C766A" w14:textId="77777777" w:rsidR="00063952" w:rsidRDefault="00063952">
      <w:pPr>
        <w:jc w:val="center"/>
        <w:rPr>
          <w:rFonts w:eastAsia="黑体"/>
          <w:sz w:val="48"/>
          <w:szCs w:val="48"/>
        </w:rPr>
      </w:pPr>
    </w:p>
    <w:p w14:paraId="18776992" w14:textId="77777777" w:rsidR="00063952" w:rsidRDefault="00063952">
      <w:pPr>
        <w:jc w:val="center"/>
        <w:rPr>
          <w:rFonts w:eastAsia="黑体"/>
          <w:sz w:val="48"/>
          <w:szCs w:val="48"/>
        </w:rPr>
      </w:pPr>
    </w:p>
    <w:p w14:paraId="3819CE32" w14:textId="77777777" w:rsidR="00063952" w:rsidRDefault="00063952">
      <w:pPr>
        <w:spacing w:afterLines="100" w:after="312"/>
        <w:jc w:val="center"/>
        <w:rPr>
          <w:rFonts w:ascii="黑体" w:eastAsia="黑体" w:hAnsi="黑体" w:hint="eastAsia"/>
          <w:sz w:val="48"/>
          <w:szCs w:val="48"/>
        </w:rPr>
      </w:pPr>
    </w:p>
    <w:p w14:paraId="51082AEE" w14:textId="77777777" w:rsidR="00063952" w:rsidRDefault="00063952">
      <w:pPr>
        <w:spacing w:afterLines="100" w:after="312"/>
        <w:jc w:val="center"/>
        <w:rPr>
          <w:rFonts w:ascii="黑体" w:eastAsia="黑体" w:hAnsi="黑体" w:hint="eastAsia"/>
          <w:sz w:val="48"/>
          <w:szCs w:val="48"/>
        </w:rPr>
      </w:pPr>
    </w:p>
    <w:p w14:paraId="4163D356" w14:textId="77777777" w:rsidR="00063952" w:rsidRDefault="00000000">
      <w:pPr>
        <w:jc w:val="left"/>
        <w:rPr>
          <w:rFonts w:ascii="黑体" w:eastAsia="黑体" w:hAnsi="黑体" w:hint="eastAsia"/>
          <w:u w:val="single"/>
        </w:rPr>
      </w:pPr>
      <w:bookmarkStart w:id="5" w:name="_Hlk191975616"/>
      <w:bookmarkStart w:id="6" w:name="_Hlk191991896"/>
      <w:r>
        <w:rPr>
          <w:rFonts w:ascii="黑体" w:eastAsia="黑体" w:hAnsi="黑体" w:hint="eastAsia"/>
          <w:u w:val="single"/>
        </w:rPr>
        <w:t>2025</w:t>
      </w:r>
      <w:bookmarkStart w:id="7" w:name="_Hlk191975599"/>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bookmarkEnd w:id="7"/>
      <w:r>
        <w:rPr>
          <w:rFonts w:ascii="黑体" w:eastAsia="黑体" w:hAnsi="黑体" w:cs="黑体" w:hint="eastAsia"/>
          <w:u w:val="single"/>
        </w:rPr>
        <w:t xml:space="preserve">发布                                                  </w:t>
      </w:r>
      <w:r>
        <w:rPr>
          <w:rFonts w:ascii="黑体" w:eastAsia="黑体" w:hAnsi="黑体"/>
          <w:u w:val="single"/>
        </w:rPr>
        <w:t>202</w:t>
      </w:r>
      <w:r>
        <w:rPr>
          <w:rFonts w:ascii="黑体" w:eastAsia="黑体" w:hAnsi="黑体" w:hint="eastAsia"/>
          <w:u w:val="single"/>
        </w:rPr>
        <w:t>5</w:t>
      </w:r>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r>
        <w:rPr>
          <w:rFonts w:ascii="黑体" w:eastAsia="黑体" w:hAnsi="黑体" w:cs="黑体" w:hint="eastAsia"/>
          <w:u w:val="single"/>
        </w:rPr>
        <w:t>实施</w:t>
      </w:r>
      <w:bookmarkEnd w:id="5"/>
    </w:p>
    <w:p w14:paraId="2DAF7325" w14:textId="77777777" w:rsidR="00063952" w:rsidRDefault="00000000">
      <w:pPr>
        <w:spacing w:beforeLines="100" w:before="312"/>
        <w:jc w:val="center"/>
        <w:sectPr w:rsidR="00063952">
          <w:footerReference w:type="default" r:id="rId6"/>
          <w:pgSz w:w="11906" w:h="16838"/>
          <w:pgMar w:top="1440" w:right="1800" w:bottom="1440" w:left="1800" w:header="851" w:footer="992" w:gutter="0"/>
          <w:pgNumType w:fmt="upperRoman" w:start="1"/>
          <w:cols w:space="720"/>
          <w:docGrid w:type="lines" w:linePitch="312"/>
        </w:sectPr>
      </w:pPr>
      <w:r>
        <w:rPr>
          <w:rFonts w:ascii="黑体" w:eastAsia="黑体" w:hAnsi="黑体" w:cs="黑体" w:hint="eastAsia"/>
        </w:rPr>
        <w:t>北京华夏草业产业技术创新战略联盟发布</w:t>
      </w:r>
      <w:bookmarkStart w:id="8" w:name="_Toc32084"/>
      <w:bookmarkStart w:id="9" w:name="_Toc175908325"/>
    </w:p>
    <w:p w14:paraId="3EE1114E" w14:textId="77777777" w:rsidR="00063952" w:rsidRDefault="00000000">
      <w:pPr>
        <w:pStyle w:val="a5"/>
      </w:pPr>
      <w:bookmarkStart w:id="10" w:name="_Toc26231"/>
      <w:bookmarkStart w:id="11" w:name="_Toc27234"/>
      <w:bookmarkStart w:id="12" w:name="_Toc30731"/>
      <w:bookmarkStart w:id="13" w:name="_Hlk191975698"/>
      <w:bookmarkEnd w:id="6"/>
      <w:r>
        <w:lastRenderedPageBreak/>
        <w:t>目</w:t>
      </w:r>
      <w:r>
        <w:rPr>
          <w:rFonts w:hint="eastAsia"/>
        </w:rPr>
        <w:t xml:space="preserve">  </w:t>
      </w:r>
      <w:bookmarkEnd w:id="8"/>
      <w:bookmarkEnd w:id="9"/>
      <w:bookmarkEnd w:id="10"/>
      <w:bookmarkEnd w:id="11"/>
      <w:bookmarkEnd w:id="12"/>
      <w:r>
        <w:rPr>
          <w:rFonts w:hint="eastAsia"/>
        </w:rPr>
        <w:t>录</w:t>
      </w:r>
    </w:p>
    <w:bookmarkEnd w:id="13"/>
    <w:p w14:paraId="7ED90B14" w14:textId="77777777" w:rsidR="00063952" w:rsidRDefault="00000000">
      <w:pPr>
        <w:pStyle w:val="TOC1"/>
        <w:tabs>
          <w:tab w:val="right" w:leader="dot" w:pos="8306"/>
        </w:tabs>
        <w:spacing w:line="360" w:lineRule="auto"/>
      </w:pPr>
      <w:r>
        <w:fldChar w:fldCharType="begin"/>
      </w:r>
      <w:r>
        <w:instrText xml:space="preserve"> TOC \o "1-3" \h \z \u </w:instrText>
      </w:r>
      <w:r>
        <w:fldChar w:fldCharType="separate"/>
      </w:r>
      <w:hyperlink w:anchor="_Toc26897" w:history="1">
        <w:r>
          <w:rPr>
            <w:rFonts w:hint="eastAsia"/>
          </w:rPr>
          <w:t>前</w:t>
        </w:r>
        <w:r>
          <w:rPr>
            <w:rFonts w:hint="eastAsia"/>
          </w:rPr>
          <w:t xml:space="preserve">  </w:t>
        </w:r>
        <w:r>
          <w:rPr>
            <w:rFonts w:hint="eastAsia"/>
          </w:rPr>
          <w:t>言</w:t>
        </w:r>
        <w:r>
          <w:tab/>
        </w:r>
        <w:r>
          <w:fldChar w:fldCharType="begin"/>
        </w:r>
        <w:r>
          <w:instrText xml:space="preserve"> PAGEREF _Toc26897 \h </w:instrText>
        </w:r>
        <w:r>
          <w:fldChar w:fldCharType="separate"/>
        </w:r>
        <w:r>
          <w:t>II</w:t>
        </w:r>
        <w:r>
          <w:fldChar w:fldCharType="end"/>
        </w:r>
      </w:hyperlink>
    </w:p>
    <w:p w14:paraId="72E25011" w14:textId="77777777" w:rsidR="00063952" w:rsidRDefault="00000000">
      <w:pPr>
        <w:pStyle w:val="TOC1"/>
        <w:tabs>
          <w:tab w:val="right" w:leader="dot" w:pos="8306"/>
        </w:tabs>
        <w:spacing w:line="360" w:lineRule="auto"/>
      </w:pPr>
      <w:hyperlink w:anchor="_Toc15146" w:history="1">
        <w:r>
          <w:rPr>
            <w:rFonts w:hint="eastAsia"/>
          </w:rPr>
          <w:t xml:space="preserve">1 </w:t>
        </w:r>
        <w:r>
          <w:rPr>
            <w:rFonts w:hint="eastAsia"/>
          </w:rPr>
          <w:t>范围</w:t>
        </w:r>
        <w:r>
          <w:tab/>
        </w:r>
        <w:r>
          <w:fldChar w:fldCharType="begin"/>
        </w:r>
        <w:r>
          <w:instrText xml:space="preserve"> PAGEREF _Toc15146 \h </w:instrText>
        </w:r>
        <w:r>
          <w:fldChar w:fldCharType="separate"/>
        </w:r>
        <w:r>
          <w:t>1</w:t>
        </w:r>
        <w:r>
          <w:fldChar w:fldCharType="end"/>
        </w:r>
      </w:hyperlink>
    </w:p>
    <w:p w14:paraId="2773C6E6" w14:textId="77777777" w:rsidR="00063952" w:rsidRDefault="00000000">
      <w:pPr>
        <w:pStyle w:val="TOC1"/>
        <w:tabs>
          <w:tab w:val="right" w:leader="dot" w:pos="8306"/>
        </w:tabs>
        <w:spacing w:line="360" w:lineRule="auto"/>
      </w:pPr>
      <w:hyperlink w:anchor="_Toc1186" w:history="1">
        <w:r>
          <w:rPr>
            <w:rFonts w:hint="eastAsia"/>
          </w:rPr>
          <w:t xml:space="preserve">2 </w:t>
        </w:r>
        <w:r>
          <w:rPr>
            <w:rFonts w:hint="eastAsia"/>
          </w:rPr>
          <w:t>规范性引用文件</w:t>
        </w:r>
        <w:r>
          <w:tab/>
        </w:r>
        <w:r>
          <w:fldChar w:fldCharType="begin"/>
        </w:r>
        <w:r>
          <w:instrText xml:space="preserve"> PAGEREF _Toc1186 \h </w:instrText>
        </w:r>
        <w:r>
          <w:fldChar w:fldCharType="separate"/>
        </w:r>
        <w:r>
          <w:t>1</w:t>
        </w:r>
        <w:r>
          <w:fldChar w:fldCharType="end"/>
        </w:r>
      </w:hyperlink>
    </w:p>
    <w:p w14:paraId="642DC3DA" w14:textId="77777777" w:rsidR="00063952" w:rsidRDefault="00000000">
      <w:pPr>
        <w:pStyle w:val="TOC1"/>
        <w:tabs>
          <w:tab w:val="right" w:leader="dot" w:pos="8306"/>
        </w:tabs>
        <w:spacing w:line="360" w:lineRule="auto"/>
      </w:pPr>
      <w:hyperlink w:anchor="_Toc10852" w:history="1">
        <w:r>
          <w:rPr>
            <w:rFonts w:hint="eastAsia"/>
          </w:rPr>
          <w:t>3</w:t>
        </w:r>
        <w:r>
          <w:rPr>
            <w:rFonts w:hint="eastAsia"/>
          </w:rPr>
          <w:t>术语和定义</w:t>
        </w:r>
        <w:r>
          <w:tab/>
        </w:r>
        <w:r>
          <w:fldChar w:fldCharType="begin"/>
        </w:r>
        <w:r>
          <w:instrText xml:space="preserve"> PAGEREF _Toc10852 \h </w:instrText>
        </w:r>
        <w:r>
          <w:fldChar w:fldCharType="separate"/>
        </w:r>
        <w:r>
          <w:t>1</w:t>
        </w:r>
        <w:r>
          <w:fldChar w:fldCharType="end"/>
        </w:r>
      </w:hyperlink>
    </w:p>
    <w:p w14:paraId="213CCEB5" w14:textId="77777777" w:rsidR="00063952" w:rsidRDefault="00000000">
      <w:pPr>
        <w:pStyle w:val="TOC1"/>
        <w:tabs>
          <w:tab w:val="right" w:leader="dot" w:pos="8306"/>
        </w:tabs>
        <w:spacing w:line="360" w:lineRule="auto"/>
      </w:pPr>
      <w:hyperlink w:anchor="_Toc4089" w:history="1">
        <w:r>
          <w:rPr>
            <w:rFonts w:hint="eastAsia"/>
          </w:rPr>
          <w:t xml:space="preserve">4 </w:t>
        </w:r>
        <w:r>
          <w:rPr>
            <w:rFonts w:hint="eastAsia"/>
          </w:rPr>
          <w:t>选地与整地</w:t>
        </w:r>
        <w:r>
          <w:tab/>
        </w:r>
        <w:r>
          <w:fldChar w:fldCharType="begin"/>
        </w:r>
        <w:r>
          <w:instrText xml:space="preserve"> PAGEREF _Toc4089 \h </w:instrText>
        </w:r>
        <w:r>
          <w:fldChar w:fldCharType="separate"/>
        </w:r>
        <w:r>
          <w:t>1</w:t>
        </w:r>
        <w:r>
          <w:fldChar w:fldCharType="end"/>
        </w:r>
      </w:hyperlink>
    </w:p>
    <w:p w14:paraId="128B851F" w14:textId="77777777" w:rsidR="00063952" w:rsidRDefault="00000000">
      <w:pPr>
        <w:pStyle w:val="TOC1"/>
        <w:tabs>
          <w:tab w:val="right" w:leader="dot" w:pos="8306"/>
        </w:tabs>
        <w:spacing w:line="360" w:lineRule="auto"/>
      </w:pPr>
      <w:hyperlink w:anchor="_Toc31734" w:history="1">
        <w:r>
          <w:rPr>
            <w:rFonts w:hint="eastAsia"/>
          </w:rPr>
          <w:t xml:space="preserve">5 </w:t>
        </w:r>
        <w:r>
          <w:rPr>
            <w:rFonts w:hint="eastAsia"/>
          </w:rPr>
          <w:t>播种方式</w:t>
        </w:r>
        <w:r>
          <w:tab/>
        </w:r>
        <w:r>
          <w:fldChar w:fldCharType="begin"/>
        </w:r>
        <w:r>
          <w:instrText xml:space="preserve"> PAGEREF _Toc31734 \h </w:instrText>
        </w:r>
        <w:r>
          <w:fldChar w:fldCharType="separate"/>
        </w:r>
        <w:r>
          <w:t>2</w:t>
        </w:r>
        <w:r>
          <w:fldChar w:fldCharType="end"/>
        </w:r>
      </w:hyperlink>
    </w:p>
    <w:p w14:paraId="31931676" w14:textId="77777777" w:rsidR="00063952" w:rsidRDefault="00000000">
      <w:pPr>
        <w:pStyle w:val="TOC1"/>
        <w:tabs>
          <w:tab w:val="right" w:leader="dot" w:pos="8306"/>
        </w:tabs>
        <w:spacing w:line="360" w:lineRule="auto"/>
      </w:pPr>
      <w:hyperlink w:anchor="_Toc14694" w:history="1">
        <w:r>
          <w:rPr>
            <w:rFonts w:hint="eastAsia"/>
          </w:rPr>
          <w:t xml:space="preserve">6 </w:t>
        </w:r>
        <w:r>
          <w:rPr>
            <w:rFonts w:hint="eastAsia"/>
          </w:rPr>
          <w:t>田间管理</w:t>
        </w:r>
        <w:r>
          <w:tab/>
        </w:r>
        <w:r>
          <w:fldChar w:fldCharType="begin"/>
        </w:r>
        <w:r>
          <w:instrText xml:space="preserve"> PAGEREF _Toc14694 \h </w:instrText>
        </w:r>
        <w:r>
          <w:fldChar w:fldCharType="separate"/>
        </w:r>
        <w:r>
          <w:t>2</w:t>
        </w:r>
        <w:r>
          <w:fldChar w:fldCharType="end"/>
        </w:r>
      </w:hyperlink>
    </w:p>
    <w:p w14:paraId="69FCBDC8" w14:textId="77777777" w:rsidR="00063952" w:rsidRDefault="00000000">
      <w:pPr>
        <w:pStyle w:val="TOC1"/>
        <w:tabs>
          <w:tab w:val="right" w:leader="dot" w:pos="8306"/>
        </w:tabs>
        <w:spacing w:line="360" w:lineRule="auto"/>
      </w:pPr>
      <w:hyperlink w:anchor="_Toc8075" w:history="1">
        <w:r>
          <w:rPr>
            <w:rFonts w:hint="eastAsia"/>
          </w:rPr>
          <w:t xml:space="preserve">7 </w:t>
        </w:r>
        <w:r>
          <w:rPr>
            <w:rFonts w:hint="eastAsia"/>
          </w:rPr>
          <w:t>种子收获</w:t>
        </w:r>
        <w:r>
          <w:tab/>
        </w:r>
        <w:r>
          <w:fldChar w:fldCharType="begin"/>
        </w:r>
        <w:r>
          <w:instrText xml:space="preserve"> PAGEREF _Toc8075 \h </w:instrText>
        </w:r>
        <w:r>
          <w:fldChar w:fldCharType="separate"/>
        </w:r>
        <w:r>
          <w:t>3</w:t>
        </w:r>
        <w:r>
          <w:fldChar w:fldCharType="end"/>
        </w:r>
      </w:hyperlink>
    </w:p>
    <w:p w14:paraId="66DEE54A" w14:textId="77777777" w:rsidR="00063952" w:rsidRDefault="00000000">
      <w:pPr>
        <w:pStyle w:val="TOC1"/>
        <w:tabs>
          <w:tab w:val="right" w:leader="dot" w:pos="8306"/>
        </w:tabs>
        <w:spacing w:line="360" w:lineRule="auto"/>
      </w:pPr>
      <w:hyperlink w:anchor="_Toc27054" w:history="1">
        <w:r>
          <w:rPr>
            <w:rFonts w:hint="eastAsia"/>
          </w:rPr>
          <w:t xml:space="preserve">8 </w:t>
        </w:r>
        <w:r>
          <w:rPr>
            <w:rFonts w:hint="eastAsia"/>
          </w:rPr>
          <w:t>种子贮藏与包装运输</w:t>
        </w:r>
        <w:r>
          <w:tab/>
        </w:r>
        <w:r>
          <w:fldChar w:fldCharType="begin"/>
        </w:r>
        <w:r>
          <w:instrText xml:space="preserve"> PAGEREF _Toc27054 \h </w:instrText>
        </w:r>
        <w:r>
          <w:fldChar w:fldCharType="separate"/>
        </w:r>
        <w:r>
          <w:t>3</w:t>
        </w:r>
        <w:r>
          <w:fldChar w:fldCharType="end"/>
        </w:r>
      </w:hyperlink>
    </w:p>
    <w:p w14:paraId="56475EBB" w14:textId="77777777" w:rsidR="00063952" w:rsidRDefault="00000000">
      <w:pPr>
        <w:pStyle w:val="TOC1"/>
        <w:tabs>
          <w:tab w:val="right" w:leader="dot" w:pos="8296"/>
        </w:tabs>
        <w:spacing w:line="360" w:lineRule="auto"/>
        <w:rPr>
          <w:rFonts w:asciiTheme="minorHAnsi" w:eastAsiaTheme="minorEastAsia" w:hAnsiTheme="minorHAnsi" w:cstheme="minorBidi"/>
          <w:szCs w:val="22"/>
          <w14:ligatures w14:val="standardContextual"/>
        </w:rPr>
      </w:pPr>
      <w:r>
        <w:rPr>
          <w:bCs/>
          <w:lang w:val="zh-CN"/>
        </w:rPr>
        <w:fldChar w:fldCharType="end"/>
      </w:r>
    </w:p>
    <w:p w14:paraId="0B09FD76" w14:textId="77777777" w:rsidR="00063952" w:rsidRDefault="00063952">
      <w:pPr>
        <w:spacing w:line="360" w:lineRule="auto"/>
      </w:pPr>
    </w:p>
    <w:p w14:paraId="194D3CF6" w14:textId="77777777" w:rsidR="00063952" w:rsidRDefault="00063952">
      <w:pPr>
        <w:pStyle w:val="a5"/>
        <w:jc w:val="right"/>
      </w:pPr>
    </w:p>
    <w:p w14:paraId="43285979" w14:textId="77777777" w:rsidR="00063952" w:rsidRDefault="00000000">
      <w:pPr>
        <w:pStyle w:val="a5"/>
        <w:rPr>
          <w:b w:val="0"/>
          <w:bCs w:val="0"/>
        </w:rPr>
      </w:pPr>
      <w:r>
        <w:br w:type="page"/>
      </w:r>
      <w:bookmarkStart w:id="14" w:name="_Toc26897"/>
      <w:bookmarkStart w:id="15" w:name="_Toc175908326"/>
      <w:r>
        <w:rPr>
          <w:rFonts w:hint="eastAsia"/>
          <w:b w:val="0"/>
          <w:bCs w:val="0"/>
        </w:rPr>
        <w:t>前</w:t>
      </w:r>
      <w:r>
        <w:rPr>
          <w:rFonts w:hint="eastAsia"/>
          <w:b w:val="0"/>
          <w:bCs w:val="0"/>
        </w:rPr>
        <w:t xml:space="preserve">  </w:t>
      </w:r>
      <w:r>
        <w:rPr>
          <w:rFonts w:hint="eastAsia"/>
          <w:b w:val="0"/>
          <w:bCs w:val="0"/>
        </w:rPr>
        <w:t>言</w:t>
      </w:r>
      <w:bookmarkEnd w:id="14"/>
      <w:bookmarkEnd w:id="15"/>
    </w:p>
    <w:p w14:paraId="7DFD41F5" w14:textId="77777777" w:rsidR="00063952" w:rsidRDefault="00000000">
      <w:pPr>
        <w:spacing w:line="360" w:lineRule="auto"/>
        <w:ind w:firstLineChars="200" w:firstLine="420"/>
      </w:pPr>
      <w:bookmarkStart w:id="16" w:name="_Hlk191990623"/>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77D84D62" w14:textId="77777777" w:rsidR="00063952" w:rsidRDefault="00000000">
      <w:pPr>
        <w:spacing w:line="360" w:lineRule="auto"/>
        <w:ind w:firstLineChars="200" w:firstLine="420"/>
      </w:pPr>
      <w:r>
        <w:rPr>
          <w:rFonts w:hint="eastAsia"/>
        </w:rPr>
        <w:t>注：在不引起混淆的情况下，本文件中“标准化文件”简称为“文件”。</w:t>
      </w:r>
    </w:p>
    <w:p w14:paraId="401DB2B2" w14:textId="77777777" w:rsidR="00063952" w:rsidRDefault="00000000">
      <w:pPr>
        <w:spacing w:line="360" w:lineRule="auto"/>
        <w:ind w:firstLineChars="200" w:firstLine="420"/>
      </w:pPr>
      <w:r>
        <w:rPr>
          <w:rFonts w:hint="eastAsia"/>
        </w:rPr>
        <w:t>本文件由北京华夏草业产业技术创新战略联盟提出并归口。</w:t>
      </w:r>
    </w:p>
    <w:p w14:paraId="4E5D2783" w14:textId="77777777" w:rsidR="00063952" w:rsidRDefault="00000000">
      <w:pPr>
        <w:spacing w:line="360" w:lineRule="auto"/>
        <w:ind w:firstLineChars="200" w:firstLine="420"/>
      </w:pPr>
      <w:r>
        <w:rPr>
          <w:rFonts w:hint="eastAsia"/>
        </w:rPr>
        <w:t>本文件起草单位：四川省农业科学院农业资源与环境研究所、</w:t>
      </w:r>
      <w:r>
        <w:t>雅安市农业农村局</w:t>
      </w:r>
      <w:r>
        <w:rPr>
          <w:rFonts w:hint="eastAsia"/>
        </w:rPr>
        <w:t>、洪雅县农业农村局、简阳市农业农村局、理县林草局、宜宾市畜牧产业发展中心、四川省林业和草原发展研究中心（四川省林业和草原信息中心）、四川省农业广播电视学校简阳市分校、筠连县畜牧水产中心。</w:t>
      </w:r>
    </w:p>
    <w:p w14:paraId="71C95EE8" w14:textId="77777777" w:rsidR="00063952" w:rsidRDefault="00000000">
      <w:pPr>
        <w:spacing w:line="360" w:lineRule="auto"/>
        <w:ind w:firstLineChars="200" w:firstLine="420"/>
      </w:pPr>
      <w:r>
        <w:rPr>
          <w:rFonts w:hint="eastAsia"/>
        </w:rPr>
        <w:t>本文件主要起草人∶</w:t>
      </w:r>
      <w:proofErr w:type="gramStart"/>
      <w:r>
        <w:rPr>
          <w:rFonts w:hint="eastAsia"/>
        </w:rPr>
        <w:t>程碧真</w:t>
      </w:r>
      <w:proofErr w:type="gramEnd"/>
      <w:r>
        <w:rPr>
          <w:rFonts w:hint="eastAsia"/>
        </w:rPr>
        <w:t>、朱永群、</w:t>
      </w:r>
      <w:r>
        <w:rPr>
          <w:rFonts w:ascii="宋体" w:hAnsi="宋体" w:cs="宋体" w:hint="eastAsia"/>
          <w:color w:val="000000"/>
          <w:kern w:val="0"/>
          <w:lang w:bidi="ar"/>
        </w:rPr>
        <w:t>张健</w:t>
      </w:r>
      <w:r>
        <w:rPr>
          <w:rFonts w:hint="eastAsia"/>
        </w:rPr>
        <w:t>、王润民、刘影、申洪兵、刘秋旭、王涛、李博、周力、徐娅玲、董顺蓉、李祥艳、朱静、刘又铭、王鸿、钟波、李俊。</w:t>
      </w:r>
      <w:r>
        <w:rPr>
          <w:rFonts w:hint="eastAsia"/>
        </w:rPr>
        <w:t xml:space="preserve"> </w:t>
      </w:r>
    </w:p>
    <w:p w14:paraId="2E0C3C48" w14:textId="77777777" w:rsidR="00063952" w:rsidRDefault="00000000">
      <w:pPr>
        <w:spacing w:line="360" w:lineRule="auto"/>
        <w:ind w:firstLineChars="200" w:firstLine="420"/>
        <w:jc w:val="left"/>
      </w:pPr>
      <w:r>
        <w:rPr>
          <w:rFonts w:hint="eastAsia"/>
        </w:rPr>
        <w:t>本文件为首次发布。</w:t>
      </w:r>
    </w:p>
    <w:p w14:paraId="26715DCA" w14:textId="77777777" w:rsidR="00063952" w:rsidRDefault="00000000">
      <w:pPr>
        <w:spacing w:line="360" w:lineRule="auto"/>
        <w:ind w:firstLineChars="200" w:firstLine="420"/>
        <w:jc w:val="left"/>
      </w:pPr>
      <w:r>
        <w:rPr>
          <w:rFonts w:hint="eastAsia"/>
        </w:rPr>
        <w:t>本文件的某些内容可能涉及专利。本文件的发布机构不承担识别这些专利的责任。</w:t>
      </w:r>
    </w:p>
    <w:bookmarkEnd w:id="16"/>
    <w:p w14:paraId="6627DABC" w14:textId="77777777" w:rsidR="00063952" w:rsidRDefault="00063952">
      <w:pPr>
        <w:spacing w:line="360" w:lineRule="auto"/>
        <w:ind w:firstLineChars="200" w:firstLine="480"/>
        <w:jc w:val="left"/>
        <w:rPr>
          <w:sz w:val="24"/>
        </w:rPr>
        <w:sectPr w:rsidR="00063952">
          <w:headerReference w:type="default" r:id="rId7"/>
          <w:pgSz w:w="11906" w:h="16838"/>
          <w:pgMar w:top="1440" w:right="1800" w:bottom="1440" w:left="1800" w:header="851" w:footer="992" w:gutter="0"/>
          <w:pgNumType w:fmt="upperRoman" w:start="1"/>
          <w:cols w:space="720"/>
          <w:docGrid w:type="lines" w:linePitch="312"/>
        </w:sectPr>
      </w:pPr>
    </w:p>
    <w:p w14:paraId="21FF3BA9" w14:textId="77777777" w:rsidR="00063952" w:rsidRDefault="00000000">
      <w:pPr>
        <w:spacing w:afterLines="100" w:after="312" w:line="360" w:lineRule="auto"/>
        <w:jc w:val="center"/>
        <w:rPr>
          <w:rFonts w:ascii="黑体" w:eastAsia="黑体" w:hAnsi="黑体" w:hint="eastAsia"/>
          <w:sz w:val="32"/>
          <w:szCs w:val="24"/>
        </w:rPr>
      </w:pPr>
      <w:r>
        <w:rPr>
          <w:rFonts w:ascii="黑体" w:eastAsia="黑体" w:hAnsi="黑体" w:hint="eastAsia"/>
          <w:sz w:val="32"/>
          <w:szCs w:val="24"/>
        </w:rPr>
        <w:t>西南地区箭筈豌豆制种技术规程</w:t>
      </w:r>
    </w:p>
    <w:p w14:paraId="57A0824F" w14:textId="77777777" w:rsidR="00063952" w:rsidRDefault="00000000">
      <w:pPr>
        <w:pStyle w:val="a5"/>
        <w:spacing w:beforeLines="50" w:before="156" w:afterLines="50" w:after="156"/>
        <w:jc w:val="left"/>
        <w:rPr>
          <w:b w:val="0"/>
          <w:bCs w:val="0"/>
          <w:sz w:val="21"/>
          <w:szCs w:val="21"/>
        </w:rPr>
      </w:pPr>
      <w:bookmarkStart w:id="17" w:name="_Toc15146"/>
      <w:bookmarkStart w:id="18" w:name="_Toc175908327"/>
      <w:r>
        <w:rPr>
          <w:rFonts w:hint="eastAsia"/>
          <w:b w:val="0"/>
          <w:bCs w:val="0"/>
          <w:sz w:val="21"/>
          <w:szCs w:val="21"/>
        </w:rPr>
        <w:t xml:space="preserve">1 </w:t>
      </w:r>
      <w:r>
        <w:rPr>
          <w:rFonts w:hint="eastAsia"/>
          <w:b w:val="0"/>
          <w:bCs w:val="0"/>
          <w:sz w:val="21"/>
          <w:szCs w:val="21"/>
        </w:rPr>
        <w:t>范围</w:t>
      </w:r>
      <w:bookmarkEnd w:id="17"/>
      <w:bookmarkEnd w:id="18"/>
    </w:p>
    <w:p w14:paraId="43B3E837" w14:textId="77777777" w:rsidR="00063952" w:rsidRDefault="00000000">
      <w:pPr>
        <w:spacing w:line="360" w:lineRule="auto"/>
        <w:ind w:firstLineChars="200" w:firstLine="420"/>
      </w:pPr>
      <w:r>
        <w:rPr>
          <w:rFonts w:hint="eastAsia"/>
        </w:rPr>
        <w:t>本文件规定了西南地区箭筈豌豆制种技术的术语和定义、选地与整地、播种方式、花期调控、田间管理、种子收获、种子贮藏与包装运输的具体方法。</w:t>
      </w:r>
    </w:p>
    <w:p w14:paraId="67E065D0" w14:textId="77777777" w:rsidR="00063952" w:rsidRDefault="00000000">
      <w:pPr>
        <w:spacing w:line="360" w:lineRule="auto"/>
        <w:ind w:firstLineChars="200" w:firstLine="420"/>
      </w:pPr>
      <w:r>
        <w:rPr>
          <w:rFonts w:hint="eastAsia"/>
        </w:rPr>
        <w:t>本文件适用于箭筈豌豆的种子生产。</w:t>
      </w:r>
    </w:p>
    <w:p w14:paraId="26AEC29E" w14:textId="77777777" w:rsidR="00063952" w:rsidRDefault="00000000">
      <w:pPr>
        <w:pStyle w:val="a5"/>
        <w:spacing w:beforeLines="50" w:before="156" w:afterLines="50" w:after="156"/>
        <w:jc w:val="left"/>
        <w:rPr>
          <w:b w:val="0"/>
          <w:bCs w:val="0"/>
          <w:sz w:val="21"/>
          <w:szCs w:val="21"/>
        </w:rPr>
      </w:pPr>
      <w:bookmarkStart w:id="19" w:name="_Toc1186"/>
      <w:r>
        <w:rPr>
          <w:rFonts w:hint="eastAsia"/>
          <w:b w:val="0"/>
          <w:bCs w:val="0"/>
          <w:sz w:val="21"/>
          <w:szCs w:val="21"/>
        </w:rPr>
        <w:t xml:space="preserve">2 </w:t>
      </w:r>
      <w:r>
        <w:rPr>
          <w:rFonts w:hint="eastAsia"/>
          <w:b w:val="0"/>
          <w:bCs w:val="0"/>
          <w:sz w:val="21"/>
          <w:szCs w:val="21"/>
        </w:rPr>
        <w:t>规范性引用文件</w:t>
      </w:r>
      <w:bookmarkEnd w:id="19"/>
    </w:p>
    <w:p w14:paraId="196CEA03" w14:textId="77777777" w:rsidR="00063952" w:rsidRDefault="00000000">
      <w:pPr>
        <w:pStyle w:val="a7"/>
        <w:adjustRightInd w:val="0"/>
        <w:spacing w:line="360" w:lineRule="auto"/>
        <w:ind w:firstLine="420"/>
        <w:contextualSpacing/>
        <w:rPr>
          <w:kern w:val="2"/>
          <w:sz w:val="21"/>
          <w:szCs w:val="21"/>
        </w:rPr>
      </w:pPr>
      <w:r>
        <w:rPr>
          <w:rFonts w:hint="eastAsia"/>
          <w:kern w:val="2"/>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25A3AED" w14:textId="77777777" w:rsidR="00063952" w:rsidRDefault="00000000">
      <w:pPr>
        <w:pStyle w:val="a7"/>
        <w:adjustRightInd w:val="0"/>
        <w:spacing w:line="360" w:lineRule="auto"/>
        <w:ind w:firstLine="420"/>
        <w:contextualSpacing/>
        <w:rPr>
          <w:kern w:val="2"/>
          <w:sz w:val="21"/>
          <w:szCs w:val="21"/>
        </w:rPr>
      </w:pPr>
      <w:r>
        <w:rPr>
          <w:rFonts w:hint="eastAsia"/>
          <w:kern w:val="2"/>
          <w:sz w:val="21"/>
          <w:szCs w:val="21"/>
        </w:rPr>
        <w:t xml:space="preserve">GB 2930.1-2017 </w:t>
      </w:r>
      <w:r>
        <w:rPr>
          <w:rFonts w:hint="eastAsia"/>
          <w:kern w:val="2"/>
          <w:sz w:val="21"/>
          <w:szCs w:val="21"/>
        </w:rPr>
        <w:t>草种子检验规程</w:t>
      </w:r>
    </w:p>
    <w:p w14:paraId="7EBDB5D2" w14:textId="77777777" w:rsidR="00063952" w:rsidRDefault="00000000">
      <w:pPr>
        <w:pStyle w:val="a7"/>
        <w:adjustRightInd w:val="0"/>
        <w:spacing w:line="360" w:lineRule="auto"/>
        <w:ind w:firstLine="420"/>
        <w:contextualSpacing/>
        <w:rPr>
          <w:kern w:val="2"/>
          <w:sz w:val="21"/>
          <w:szCs w:val="21"/>
        </w:rPr>
      </w:pPr>
      <w:r>
        <w:rPr>
          <w:rFonts w:hint="eastAsia"/>
          <w:kern w:val="2"/>
          <w:sz w:val="21"/>
          <w:szCs w:val="21"/>
        </w:rPr>
        <w:t xml:space="preserve">GB 6141-2008 </w:t>
      </w:r>
      <w:r>
        <w:rPr>
          <w:rFonts w:hint="eastAsia"/>
          <w:kern w:val="2"/>
          <w:sz w:val="21"/>
          <w:szCs w:val="21"/>
        </w:rPr>
        <w:t>《豆科草种子质量分级》</w:t>
      </w:r>
    </w:p>
    <w:p w14:paraId="7005440D" w14:textId="77777777" w:rsidR="00063952" w:rsidRDefault="00000000">
      <w:pPr>
        <w:pStyle w:val="a7"/>
        <w:adjustRightInd w:val="0"/>
        <w:spacing w:line="360" w:lineRule="auto"/>
        <w:ind w:firstLine="420"/>
        <w:contextualSpacing/>
        <w:rPr>
          <w:kern w:val="2"/>
          <w:sz w:val="21"/>
          <w:szCs w:val="21"/>
        </w:rPr>
      </w:pPr>
      <w:r>
        <w:rPr>
          <w:rFonts w:hint="eastAsia"/>
          <w:kern w:val="2"/>
          <w:sz w:val="21"/>
          <w:szCs w:val="21"/>
        </w:rPr>
        <w:t xml:space="preserve">NY/T 1210-2006 </w:t>
      </w:r>
      <w:r>
        <w:rPr>
          <w:rFonts w:hint="eastAsia"/>
          <w:kern w:val="2"/>
          <w:sz w:val="21"/>
          <w:szCs w:val="21"/>
        </w:rPr>
        <w:t>《牧草种子生产技术规程》</w:t>
      </w:r>
    </w:p>
    <w:p w14:paraId="5A9354A9" w14:textId="77777777" w:rsidR="00063952" w:rsidRDefault="00000000">
      <w:pPr>
        <w:pStyle w:val="a7"/>
        <w:adjustRightInd w:val="0"/>
        <w:spacing w:line="360" w:lineRule="auto"/>
        <w:ind w:firstLine="420"/>
        <w:contextualSpacing/>
        <w:rPr>
          <w:kern w:val="2"/>
          <w:sz w:val="21"/>
          <w:szCs w:val="21"/>
        </w:rPr>
      </w:pPr>
      <w:r>
        <w:rPr>
          <w:rFonts w:hint="eastAsia"/>
          <w:kern w:val="2"/>
          <w:sz w:val="21"/>
          <w:szCs w:val="21"/>
        </w:rPr>
        <w:t xml:space="preserve">GB 5084-2021 </w:t>
      </w:r>
      <w:r>
        <w:rPr>
          <w:rFonts w:hint="eastAsia"/>
          <w:kern w:val="2"/>
          <w:sz w:val="21"/>
          <w:szCs w:val="21"/>
        </w:rPr>
        <w:t>农田灌溉水质标准</w:t>
      </w:r>
    </w:p>
    <w:p w14:paraId="352D271D" w14:textId="77777777" w:rsidR="00063952" w:rsidRDefault="00000000">
      <w:pPr>
        <w:pStyle w:val="a7"/>
        <w:adjustRightInd w:val="0"/>
        <w:spacing w:line="360" w:lineRule="auto"/>
        <w:ind w:firstLine="420"/>
        <w:contextualSpacing/>
        <w:rPr>
          <w:kern w:val="2"/>
          <w:sz w:val="21"/>
          <w:szCs w:val="21"/>
        </w:rPr>
      </w:pPr>
      <w:r>
        <w:rPr>
          <w:rFonts w:hint="eastAsia"/>
          <w:kern w:val="2"/>
          <w:sz w:val="21"/>
          <w:szCs w:val="21"/>
        </w:rPr>
        <w:t xml:space="preserve">GB 15618-2018 </w:t>
      </w:r>
      <w:r>
        <w:rPr>
          <w:rFonts w:hint="eastAsia"/>
          <w:kern w:val="2"/>
          <w:sz w:val="21"/>
          <w:szCs w:val="21"/>
        </w:rPr>
        <w:t>土壤环境质量农用地土壤污染风险管控标准（试行）</w:t>
      </w:r>
    </w:p>
    <w:p w14:paraId="204259C8" w14:textId="77777777" w:rsidR="00063952" w:rsidRDefault="00000000">
      <w:pPr>
        <w:pStyle w:val="a7"/>
        <w:adjustRightInd w:val="0"/>
        <w:spacing w:line="360" w:lineRule="auto"/>
        <w:ind w:firstLine="420"/>
        <w:contextualSpacing/>
        <w:rPr>
          <w:kern w:val="2"/>
          <w:sz w:val="21"/>
          <w:szCs w:val="21"/>
        </w:rPr>
      </w:pPr>
      <w:r>
        <w:rPr>
          <w:rFonts w:hint="eastAsia"/>
          <w:kern w:val="2"/>
          <w:sz w:val="21"/>
          <w:szCs w:val="21"/>
        </w:rPr>
        <w:t xml:space="preserve">NY/T 1276-2007 </w:t>
      </w:r>
      <w:r>
        <w:rPr>
          <w:rFonts w:hint="eastAsia"/>
          <w:kern w:val="2"/>
          <w:sz w:val="21"/>
          <w:szCs w:val="21"/>
        </w:rPr>
        <w:t>农药安全使用规范总则</w:t>
      </w:r>
    </w:p>
    <w:p w14:paraId="2C7B03C2" w14:textId="77777777" w:rsidR="00063952" w:rsidRDefault="00000000">
      <w:pPr>
        <w:pStyle w:val="a7"/>
        <w:adjustRightInd w:val="0"/>
        <w:spacing w:line="360" w:lineRule="auto"/>
        <w:ind w:firstLine="420"/>
        <w:contextualSpacing/>
        <w:rPr>
          <w:kern w:val="2"/>
          <w:sz w:val="21"/>
          <w:szCs w:val="21"/>
        </w:rPr>
      </w:pPr>
      <w:r>
        <w:rPr>
          <w:rFonts w:hint="eastAsia"/>
          <w:kern w:val="2"/>
          <w:sz w:val="21"/>
          <w:szCs w:val="21"/>
        </w:rPr>
        <w:t xml:space="preserve">NY/T 1577-2007 </w:t>
      </w:r>
      <w:r>
        <w:rPr>
          <w:rFonts w:hint="eastAsia"/>
          <w:kern w:val="2"/>
          <w:sz w:val="21"/>
          <w:szCs w:val="21"/>
        </w:rPr>
        <w:t>草籽包装与标识</w:t>
      </w:r>
    </w:p>
    <w:p w14:paraId="064BE280" w14:textId="77777777" w:rsidR="00063952" w:rsidRDefault="00000000">
      <w:pPr>
        <w:pStyle w:val="a5"/>
        <w:spacing w:beforeLines="50" w:before="156" w:afterLines="50" w:after="156"/>
        <w:jc w:val="left"/>
        <w:rPr>
          <w:b w:val="0"/>
          <w:bCs w:val="0"/>
          <w:sz w:val="21"/>
          <w:szCs w:val="21"/>
        </w:rPr>
      </w:pPr>
      <w:bookmarkStart w:id="20" w:name="_Toc10852"/>
      <w:r>
        <w:rPr>
          <w:rFonts w:hint="eastAsia"/>
          <w:b w:val="0"/>
          <w:bCs w:val="0"/>
          <w:sz w:val="21"/>
          <w:szCs w:val="21"/>
        </w:rPr>
        <w:t>3</w:t>
      </w:r>
      <w:r>
        <w:rPr>
          <w:rFonts w:hint="eastAsia"/>
          <w:b w:val="0"/>
          <w:bCs w:val="0"/>
          <w:sz w:val="21"/>
          <w:szCs w:val="21"/>
        </w:rPr>
        <w:t>术语和定义</w:t>
      </w:r>
      <w:bookmarkEnd w:id="20"/>
    </w:p>
    <w:p w14:paraId="283D04BE" w14:textId="77777777" w:rsidR="00063952" w:rsidRDefault="00000000">
      <w:pPr>
        <w:pStyle w:val="a7"/>
        <w:adjustRightInd w:val="0"/>
        <w:spacing w:line="360" w:lineRule="auto"/>
        <w:ind w:firstLine="420"/>
        <w:contextualSpacing/>
        <w:rPr>
          <w:kern w:val="2"/>
          <w:sz w:val="21"/>
          <w:szCs w:val="21"/>
        </w:rPr>
      </w:pPr>
      <w:r>
        <w:rPr>
          <w:rFonts w:hint="eastAsia"/>
          <w:kern w:val="2"/>
          <w:sz w:val="21"/>
          <w:szCs w:val="21"/>
        </w:rPr>
        <w:t>下列术语和定义适用于本文件。</w:t>
      </w:r>
    </w:p>
    <w:p w14:paraId="47EBC85C" w14:textId="77777777" w:rsidR="00063952" w:rsidRDefault="00000000">
      <w:pPr>
        <w:pStyle w:val="a5"/>
        <w:spacing w:before="60"/>
        <w:jc w:val="left"/>
        <w:rPr>
          <w:b w:val="0"/>
          <w:bCs w:val="0"/>
          <w:i/>
          <w:iCs/>
          <w:sz w:val="21"/>
          <w:szCs w:val="21"/>
        </w:rPr>
      </w:pPr>
      <w:bookmarkStart w:id="21" w:name="_Toc176548713"/>
      <w:bookmarkStart w:id="22" w:name="_Toc26286"/>
      <w:bookmarkStart w:id="23" w:name="_Toc2987"/>
      <w:bookmarkStart w:id="24" w:name="_Toc11852"/>
      <w:r>
        <w:rPr>
          <w:rFonts w:hint="eastAsia"/>
          <w:b w:val="0"/>
          <w:bCs w:val="0"/>
          <w:sz w:val="21"/>
          <w:szCs w:val="21"/>
        </w:rPr>
        <w:t>3.1</w:t>
      </w:r>
      <w:r>
        <w:rPr>
          <w:rFonts w:hint="eastAsia"/>
          <w:b w:val="0"/>
          <w:bCs w:val="0"/>
          <w:sz w:val="21"/>
          <w:szCs w:val="21"/>
        </w:rPr>
        <w:t>箭筈豌豆</w:t>
      </w:r>
      <w:r>
        <w:rPr>
          <w:rFonts w:hint="eastAsia"/>
          <w:b w:val="0"/>
          <w:bCs w:val="0"/>
          <w:sz w:val="21"/>
          <w:szCs w:val="21"/>
        </w:rPr>
        <w:t xml:space="preserve"> </w:t>
      </w:r>
      <w:bookmarkEnd w:id="21"/>
      <w:bookmarkEnd w:id="22"/>
      <w:bookmarkEnd w:id="23"/>
      <w:r>
        <w:rPr>
          <w:rFonts w:hint="eastAsia"/>
          <w:b w:val="0"/>
          <w:bCs w:val="0"/>
          <w:i/>
          <w:iCs/>
          <w:sz w:val="21"/>
          <w:szCs w:val="21"/>
        </w:rPr>
        <w:t>Vicia sativa</w:t>
      </w:r>
      <w:bookmarkEnd w:id="24"/>
    </w:p>
    <w:p w14:paraId="3B725B5F" w14:textId="77777777" w:rsidR="00063952" w:rsidRDefault="00000000">
      <w:pPr>
        <w:pStyle w:val="a7"/>
        <w:adjustRightInd w:val="0"/>
        <w:spacing w:line="360" w:lineRule="auto"/>
        <w:ind w:firstLine="420"/>
        <w:contextualSpacing/>
        <w:rPr>
          <w:kern w:val="2"/>
          <w:sz w:val="21"/>
          <w:szCs w:val="21"/>
        </w:rPr>
      </w:pPr>
      <w:r>
        <w:rPr>
          <w:rFonts w:hint="eastAsia"/>
          <w:kern w:val="2"/>
          <w:sz w:val="21"/>
          <w:szCs w:val="21"/>
        </w:rPr>
        <w:t>为豆科野豌豆属一年生或二年生草本植物，为绿肥及优良牧草。</w:t>
      </w:r>
    </w:p>
    <w:p w14:paraId="5D3EE93B" w14:textId="77777777" w:rsidR="00063952" w:rsidRDefault="00000000">
      <w:pPr>
        <w:pStyle w:val="a7"/>
        <w:adjustRightInd w:val="0"/>
        <w:spacing w:line="360" w:lineRule="auto"/>
        <w:ind w:firstLineChars="0" w:firstLine="0"/>
        <w:contextualSpacing/>
        <w:rPr>
          <w:rFonts w:eastAsia="黑体"/>
          <w:kern w:val="2"/>
          <w:sz w:val="21"/>
          <w:szCs w:val="21"/>
        </w:rPr>
      </w:pPr>
      <w:r>
        <w:rPr>
          <w:rFonts w:eastAsia="黑体" w:hint="eastAsia"/>
          <w:kern w:val="2"/>
          <w:sz w:val="21"/>
          <w:szCs w:val="21"/>
        </w:rPr>
        <w:t xml:space="preserve">3.2 </w:t>
      </w:r>
      <w:r>
        <w:rPr>
          <w:rFonts w:eastAsia="黑体" w:hint="eastAsia"/>
          <w:kern w:val="2"/>
          <w:sz w:val="21"/>
          <w:szCs w:val="21"/>
        </w:rPr>
        <w:t>制种隔离区</w:t>
      </w:r>
      <w:r>
        <w:rPr>
          <w:rFonts w:eastAsia="黑体" w:hint="eastAsia"/>
          <w:kern w:val="2"/>
          <w:sz w:val="21"/>
          <w:szCs w:val="21"/>
        </w:rPr>
        <w:t xml:space="preserve"> Seed production isolation area</w:t>
      </w:r>
    </w:p>
    <w:p w14:paraId="3EF0DFA1" w14:textId="77777777" w:rsidR="00063952" w:rsidRDefault="00000000">
      <w:pPr>
        <w:pStyle w:val="a7"/>
        <w:adjustRightInd w:val="0"/>
        <w:spacing w:line="360" w:lineRule="auto"/>
        <w:ind w:firstLine="420"/>
        <w:contextualSpacing/>
        <w:rPr>
          <w:kern w:val="2"/>
          <w:sz w:val="21"/>
          <w:szCs w:val="21"/>
        </w:rPr>
      </w:pPr>
      <w:r>
        <w:rPr>
          <w:rFonts w:hint="eastAsia"/>
          <w:kern w:val="2"/>
          <w:sz w:val="21"/>
          <w:szCs w:val="21"/>
        </w:rPr>
        <w:t>为防止生物学混杂，在制种田周围设置的物理或空间屏障区域。</w:t>
      </w:r>
    </w:p>
    <w:p w14:paraId="4E657406" w14:textId="77777777" w:rsidR="00063952" w:rsidRDefault="00000000">
      <w:pPr>
        <w:pStyle w:val="a7"/>
        <w:adjustRightInd w:val="0"/>
        <w:spacing w:line="360" w:lineRule="auto"/>
        <w:ind w:firstLineChars="0" w:firstLine="0"/>
        <w:contextualSpacing/>
        <w:rPr>
          <w:rFonts w:eastAsia="黑体"/>
          <w:kern w:val="2"/>
          <w:sz w:val="21"/>
          <w:szCs w:val="21"/>
        </w:rPr>
      </w:pPr>
      <w:r>
        <w:rPr>
          <w:rFonts w:eastAsia="黑体" w:hint="eastAsia"/>
          <w:kern w:val="2"/>
          <w:sz w:val="21"/>
          <w:szCs w:val="21"/>
        </w:rPr>
        <w:t xml:space="preserve">3.3 </w:t>
      </w:r>
      <w:r>
        <w:rPr>
          <w:rFonts w:eastAsia="黑体" w:hint="eastAsia"/>
          <w:kern w:val="2"/>
          <w:sz w:val="21"/>
          <w:szCs w:val="21"/>
        </w:rPr>
        <w:t>种子</w:t>
      </w:r>
      <w:proofErr w:type="gramStart"/>
      <w:r>
        <w:rPr>
          <w:rFonts w:eastAsia="黑体" w:hint="eastAsia"/>
          <w:kern w:val="2"/>
          <w:sz w:val="21"/>
          <w:szCs w:val="21"/>
        </w:rPr>
        <w:t>裂荚率</w:t>
      </w:r>
      <w:proofErr w:type="gramEnd"/>
      <w:r>
        <w:rPr>
          <w:rFonts w:eastAsia="黑体" w:hint="eastAsia"/>
          <w:kern w:val="2"/>
          <w:sz w:val="21"/>
          <w:szCs w:val="21"/>
        </w:rPr>
        <w:t xml:space="preserve"> Seed pod cracking rate</w:t>
      </w:r>
    </w:p>
    <w:p w14:paraId="3FF287F6" w14:textId="77777777" w:rsidR="00063952" w:rsidRDefault="00000000">
      <w:pPr>
        <w:pStyle w:val="a7"/>
        <w:adjustRightInd w:val="0"/>
        <w:spacing w:line="360" w:lineRule="auto"/>
        <w:ind w:firstLine="420"/>
        <w:contextualSpacing/>
        <w:rPr>
          <w:kern w:val="2"/>
          <w:sz w:val="21"/>
          <w:szCs w:val="21"/>
        </w:rPr>
      </w:pPr>
      <w:r>
        <w:rPr>
          <w:rFonts w:hint="eastAsia"/>
          <w:kern w:val="2"/>
          <w:sz w:val="21"/>
          <w:szCs w:val="21"/>
        </w:rPr>
        <w:t>成熟种子因豆荚自然开裂导致的损失比率。</w:t>
      </w:r>
    </w:p>
    <w:p w14:paraId="69809192" w14:textId="77777777" w:rsidR="00063952" w:rsidRDefault="00000000">
      <w:pPr>
        <w:pStyle w:val="a5"/>
        <w:spacing w:beforeLines="50" w:before="156" w:afterLines="50" w:after="156"/>
        <w:jc w:val="left"/>
        <w:rPr>
          <w:b w:val="0"/>
          <w:bCs w:val="0"/>
          <w:sz w:val="21"/>
          <w:szCs w:val="21"/>
        </w:rPr>
      </w:pPr>
      <w:bookmarkStart w:id="25" w:name="_Toc4089"/>
      <w:r>
        <w:rPr>
          <w:rFonts w:hint="eastAsia"/>
          <w:b w:val="0"/>
          <w:bCs w:val="0"/>
          <w:sz w:val="21"/>
          <w:szCs w:val="21"/>
        </w:rPr>
        <w:t xml:space="preserve">4 </w:t>
      </w:r>
      <w:r>
        <w:rPr>
          <w:rFonts w:hint="eastAsia"/>
          <w:b w:val="0"/>
          <w:bCs w:val="0"/>
          <w:sz w:val="21"/>
          <w:szCs w:val="21"/>
        </w:rPr>
        <w:t>选地与整地</w:t>
      </w:r>
      <w:bookmarkEnd w:id="25"/>
    </w:p>
    <w:p w14:paraId="045D7778" w14:textId="77777777" w:rsidR="00063952" w:rsidRDefault="00000000">
      <w:pPr>
        <w:spacing w:line="360" w:lineRule="auto"/>
      </w:pPr>
      <w:r>
        <w:rPr>
          <w:rFonts w:hint="eastAsia"/>
        </w:rPr>
        <w:t>4.1</w:t>
      </w:r>
      <w:r>
        <w:rPr>
          <w:rFonts w:hint="eastAsia"/>
        </w:rPr>
        <w:t>选地</w:t>
      </w:r>
    </w:p>
    <w:p w14:paraId="155ABF27" w14:textId="77777777" w:rsidR="00063952" w:rsidRDefault="00000000">
      <w:pPr>
        <w:spacing w:line="360" w:lineRule="auto"/>
        <w:ind w:firstLineChars="200" w:firstLine="420"/>
      </w:pPr>
      <w:r>
        <w:rPr>
          <w:rFonts w:hint="eastAsia"/>
        </w:rPr>
        <w:t>选择地势平坦、耕层深厚、土质肥沃、土壤肥力中、集中连片、保水保肥性能好、有灌溉条件、方便机械作业的地块；前茬非豆科作物，轮作间隔≥</w:t>
      </w:r>
      <w:r>
        <w:rPr>
          <w:rFonts w:hint="eastAsia"/>
        </w:rPr>
        <w:t>2</w:t>
      </w:r>
      <w:r>
        <w:rPr>
          <w:rFonts w:hint="eastAsia"/>
        </w:rPr>
        <w:t>年。土壤环境条件应符合</w:t>
      </w:r>
      <w:r>
        <w:rPr>
          <w:rFonts w:hint="eastAsia"/>
        </w:rPr>
        <w:t>GB 15618-2018</w:t>
      </w:r>
      <w:r>
        <w:rPr>
          <w:rFonts w:hint="eastAsia"/>
        </w:rPr>
        <w:t>二级标准要求。灌溉用水水质条件应符合</w:t>
      </w:r>
      <w:r>
        <w:rPr>
          <w:rFonts w:hint="eastAsia"/>
        </w:rPr>
        <w:t>GB 5084-2021</w:t>
      </w:r>
      <w:r>
        <w:rPr>
          <w:rFonts w:hint="eastAsia"/>
        </w:rPr>
        <w:t>的要求。</w:t>
      </w:r>
    </w:p>
    <w:p w14:paraId="37F142CB" w14:textId="77777777" w:rsidR="00063952" w:rsidRDefault="00000000">
      <w:pPr>
        <w:spacing w:line="360" w:lineRule="auto"/>
      </w:pPr>
      <w:r>
        <w:rPr>
          <w:rFonts w:hint="eastAsia"/>
        </w:rPr>
        <w:t>4.2</w:t>
      </w:r>
      <w:r>
        <w:rPr>
          <w:rFonts w:hint="eastAsia"/>
        </w:rPr>
        <w:t>整地</w:t>
      </w:r>
    </w:p>
    <w:p w14:paraId="5A535513" w14:textId="77777777" w:rsidR="00063952" w:rsidRDefault="00000000">
      <w:pPr>
        <w:spacing w:line="360" w:lineRule="auto"/>
        <w:ind w:firstLineChars="200" w:firstLine="420"/>
      </w:pPr>
      <w:r>
        <w:rPr>
          <w:rFonts w:hint="eastAsia"/>
        </w:rPr>
        <w:t>要深翻耕土地，整地细平，并清除所有杂草及杂物；深耕</w:t>
      </w:r>
      <w:r>
        <w:rPr>
          <w:rFonts w:hint="eastAsia"/>
        </w:rPr>
        <w:t>25~30cm</w:t>
      </w:r>
      <w:r>
        <w:rPr>
          <w:rFonts w:hint="eastAsia"/>
        </w:rPr>
        <w:t>，耙平碎土；亩施优质腐熟农家肥或商品化有机肥</w:t>
      </w:r>
      <w:r>
        <w:rPr>
          <w:rFonts w:hint="eastAsia"/>
        </w:rPr>
        <w:t>1500~2000 kg</w:t>
      </w:r>
      <w:r>
        <w:rPr>
          <w:rFonts w:hint="eastAsia"/>
        </w:rPr>
        <w:t>和过磷酸钙</w:t>
      </w:r>
      <w:r>
        <w:rPr>
          <w:rFonts w:hint="eastAsia"/>
        </w:rPr>
        <w:t>30kg</w:t>
      </w:r>
      <w:r>
        <w:rPr>
          <w:rFonts w:hint="eastAsia"/>
        </w:rPr>
        <w:t>作基肥。多雨区需要开沟作畦，</w:t>
      </w:r>
      <w:proofErr w:type="gramStart"/>
      <w:r>
        <w:rPr>
          <w:rFonts w:hint="eastAsia"/>
        </w:rPr>
        <w:t>畦宽</w:t>
      </w:r>
      <w:proofErr w:type="gramEnd"/>
      <w:r>
        <w:rPr>
          <w:rFonts w:hint="eastAsia"/>
        </w:rPr>
        <w:t>1.2m</w:t>
      </w:r>
      <w:r>
        <w:rPr>
          <w:rFonts w:hint="eastAsia"/>
        </w:rPr>
        <w:t>，沟深</w:t>
      </w:r>
      <w:r>
        <w:rPr>
          <w:rFonts w:hint="eastAsia"/>
        </w:rPr>
        <w:t>20~30cm</w:t>
      </w:r>
      <w:r>
        <w:rPr>
          <w:rFonts w:hint="eastAsia"/>
        </w:rPr>
        <w:t>。</w:t>
      </w:r>
    </w:p>
    <w:p w14:paraId="2CB0A124" w14:textId="77777777" w:rsidR="00063952" w:rsidRDefault="00000000">
      <w:pPr>
        <w:pStyle w:val="a5"/>
        <w:spacing w:beforeLines="50" w:before="156" w:afterLines="50" w:after="156"/>
        <w:jc w:val="left"/>
        <w:rPr>
          <w:b w:val="0"/>
          <w:bCs w:val="0"/>
          <w:sz w:val="21"/>
          <w:szCs w:val="21"/>
        </w:rPr>
      </w:pPr>
      <w:bookmarkStart w:id="26" w:name="_Toc31734"/>
      <w:r>
        <w:rPr>
          <w:rFonts w:hint="eastAsia"/>
          <w:b w:val="0"/>
          <w:bCs w:val="0"/>
          <w:sz w:val="21"/>
          <w:szCs w:val="21"/>
        </w:rPr>
        <w:t xml:space="preserve">5 </w:t>
      </w:r>
      <w:r>
        <w:rPr>
          <w:rFonts w:hint="eastAsia"/>
          <w:b w:val="0"/>
          <w:bCs w:val="0"/>
          <w:sz w:val="21"/>
          <w:szCs w:val="21"/>
        </w:rPr>
        <w:t>播种方式</w:t>
      </w:r>
      <w:bookmarkEnd w:id="26"/>
    </w:p>
    <w:p w14:paraId="0F22B8D9" w14:textId="77777777" w:rsidR="00063952" w:rsidRDefault="00000000">
      <w:pPr>
        <w:spacing w:line="360" w:lineRule="auto"/>
      </w:pPr>
      <w:r>
        <w:rPr>
          <w:rFonts w:hint="eastAsia"/>
        </w:rPr>
        <w:t>5.1</w:t>
      </w:r>
      <w:r>
        <w:rPr>
          <w:rFonts w:hint="eastAsia"/>
        </w:rPr>
        <w:t>隔离</w:t>
      </w:r>
    </w:p>
    <w:p w14:paraId="0AF2A9E9" w14:textId="77777777" w:rsidR="00063952" w:rsidRDefault="00000000">
      <w:pPr>
        <w:spacing w:line="360" w:lineRule="auto"/>
        <w:ind w:firstLineChars="200" w:firstLine="420"/>
      </w:pPr>
      <w:r>
        <w:rPr>
          <w:rFonts w:hint="eastAsia"/>
        </w:rPr>
        <w:t>采用空间隔离时，制种田与野豌豆属植物直线距离大于</w:t>
      </w:r>
      <w:r>
        <w:rPr>
          <w:rFonts w:hint="eastAsia"/>
        </w:rPr>
        <w:t>1000m</w:t>
      </w:r>
      <w:r>
        <w:rPr>
          <w:rFonts w:hint="eastAsia"/>
        </w:rPr>
        <w:t>。采用屏障隔离时，利用山体、林带隔离时距离大于</w:t>
      </w:r>
      <w:r>
        <w:rPr>
          <w:rFonts w:hint="eastAsia"/>
        </w:rPr>
        <w:t>500m</w:t>
      </w:r>
      <w:r>
        <w:rPr>
          <w:rFonts w:hint="eastAsia"/>
        </w:rPr>
        <w:t>。采用时间隔离时，花期间隔时间应在</w:t>
      </w:r>
      <w:r>
        <w:rPr>
          <w:rFonts w:hint="eastAsia"/>
        </w:rPr>
        <w:t>30 d</w:t>
      </w:r>
      <w:r>
        <w:rPr>
          <w:rFonts w:hint="eastAsia"/>
        </w:rPr>
        <w:t>以上；制种田周围</w:t>
      </w:r>
      <w:r>
        <w:rPr>
          <w:rFonts w:hint="eastAsia"/>
        </w:rPr>
        <w:t>1000 m</w:t>
      </w:r>
      <w:r>
        <w:rPr>
          <w:rFonts w:hint="eastAsia"/>
        </w:rPr>
        <w:t>以内禁止种植野豌豆属植物。</w:t>
      </w:r>
    </w:p>
    <w:p w14:paraId="7EE4A1DD" w14:textId="77777777" w:rsidR="00063952" w:rsidRDefault="00000000">
      <w:pPr>
        <w:spacing w:line="360" w:lineRule="auto"/>
      </w:pPr>
      <w:r>
        <w:rPr>
          <w:rFonts w:hint="eastAsia"/>
        </w:rPr>
        <w:t>5.2</w:t>
      </w:r>
      <w:r>
        <w:rPr>
          <w:rFonts w:hint="eastAsia"/>
        </w:rPr>
        <w:t>选种</w:t>
      </w:r>
    </w:p>
    <w:p w14:paraId="12D82AD3" w14:textId="77777777" w:rsidR="00063952" w:rsidRDefault="00000000">
      <w:pPr>
        <w:spacing w:line="360" w:lineRule="auto"/>
        <w:ind w:firstLineChars="200" w:firstLine="420"/>
      </w:pPr>
      <w:r>
        <w:rPr>
          <w:rFonts w:hint="eastAsia"/>
        </w:rPr>
        <w:t>种子应当选择粒大饱满、整齐一致、生活力强、发芽率高的种子，选用符合</w:t>
      </w:r>
      <w:r>
        <w:rPr>
          <w:rFonts w:hint="eastAsia"/>
        </w:rPr>
        <w:t>GB 6141</w:t>
      </w:r>
      <w:r>
        <w:rPr>
          <w:rFonts w:hint="eastAsia"/>
        </w:rPr>
        <w:t>的一级种子，纯度</w:t>
      </w:r>
      <w:r>
        <w:rPr>
          <w:rFonts w:hint="eastAsia"/>
        </w:rPr>
        <w:t>98%</w:t>
      </w:r>
      <w:r>
        <w:rPr>
          <w:rFonts w:hint="eastAsia"/>
        </w:rPr>
        <w:t>以上，发芽率</w:t>
      </w:r>
      <w:r>
        <w:rPr>
          <w:rFonts w:hint="eastAsia"/>
        </w:rPr>
        <w:t>85%</w:t>
      </w:r>
      <w:r>
        <w:rPr>
          <w:rFonts w:hint="eastAsia"/>
        </w:rPr>
        <w:t>以上。播种前晒种</w:t>
      </w:r>
      <w:r>
        <w:rPr>
          <w:rFonts w:hint="eastAsia"/>
        </w:rPr>
        <w:t>2</w:t>
      </w:r>
      <w:r>
        <w:rPr>
          <w:rFonts w:hint="eastAsia"/>
        </w:rPr>
        <w:t>天，</w:t>
      </w:r>
      <w:r>
        <w:rPr>
          <w:rFonts w:hint="eastAsia"/>
        </w:rPr>
        <w:t>50</w:t>
      </w:r>
      <w:r>
        <w:rPr>
          <w:rFonts w:hint="eastAsia"/>
        </w:rPr>
        <w:t>℃温水浸种</w:t>
      </w:r>
      <w:r>
        <w:rPr>
          <w:rFonts w:hint="eastAsia"/>
        </w:rPr>
        <w:t>10</w:t>
      </w:r>
      <w:r>
        <w:rPr>
          <w:rFonts w:hint="eastAsia"/>
        </w:rPr>
        <w:t>分钟预防炭疽病。</w:t>
      </w:r>
    </w:p>
    <w:p w14:paraId="6068C87F" w14:textId="77777777" w:rsidR="00063952" w:rsidRDefault="00000000">
      <w:pPr>
        <w:spacing w:line="360" w:lineRule="auto"/>
      </w:pPr>
      <w:r>
        <w:rPr>
          <w:rFonts w:hint="eastAsia"/>
        </w:rPr>
        <w:t>5.3</w:t>
      </w:r>
      <w:r>
        <w:rPr>
          <w:rFonts w:hint="eastAsia"/>
        </w:rPr>
        <w:t>播种时间</w:t>
      </w:r>
    </w:p>
    <w:p w14:paraId="2EE0AA45" w14:textId="77777777" w:rsidR="00063952" w:rsidRDefault="00000000">
      <w:pPr>
        <w:spacing w:line="360" w:lineRule="auto"/>
      </w:pPr>
      <w:r>
        <w:rPr>
          <w:rFonts w:hint="eastAsia"/>
        </w:rPr>
        <w:t>5.3.1</w:t>
      </w:r>
      <w:r>
        <w:rPr>
          <w:rFonts w:hint="eastAsia"/>
        </w:rPr>
        <w:t>西南地区海拔低于</w:t>
      </w:r>
      <w:r>
        <w:rPr>
          <w:rFonts w:hint="eastAsia"/>
        </w:rPr>
        <w:t>1500m</w:t>
      </w:r>
      <w:r>
        <w:rPr>
          <w:rFonts w:hint="eastAsia"/>
        </w:rPr>
        <w:t>地区</w:t>
      </w:r>
    </w:p>
    <w:p w14:paraId="671F9CCA" w14:textId="77777777" w:rsidR="00063952" w:rsidRDefault="00000000">
      <w:pPr>
        <w:spacing w:line="360" w:lineRule="auto"/>
        <w:ind w:firstLineChars="200" w:firstLine="420"/>
      </w:pPr>
      <w:r>
        <w:rPr>
          <w:rFonts w:hint="eastAsia"/>
        </w:rPr>
        <w:t>一般</w:t>
      </w:r>
      <w:r>
        <w:rPr>
          <w:rFonts w:hint="eastAsia"/>
        </w:rPr>
        <w:t>8</w:t>
      </w:r>
      <w:r>
        <w:rPr>
          <w:rFonts w:hint="eastAsia"/>
        </w:rPr>
        <w:t>月中旬～</w:t>
      </w:r>
      <w:r>
        <w:rPr>
          <w:rFonts w:hint="eastAsia"/>
        </w:rPr>
        <w:t>10</w:t>
      </w:r>
      <w:r>
        <w:rPr>
          <w:rFonts w:hint="eastAsia"/>
        </w:rPr>
        <w:t>月上旬秋播，避开早霜，地温在</w:t>
      </w:r>
      <w:r>
        <w:rPr>
          <w:rFonts w:hint="eastAsia"/>
        </w:rPr>
        <w:t>10</w:t>
      </w:r>
      <w:r>
        <w:rPr>
          <w:rFonts w:hint="eastAsia"/>
        </w:rPr>
        <w:t>℃以上即可播种，最迟不超过</w:t>
      </w:r>
      <w:r>
        <w:rPr>
          <w:rFonts w:hint="eastAsia"/>
        </w:rPr>
        <w:t>11</w:t>
      </w:r>
      <w:r>
        <w:rPr>
          <w:rFonts w:hint="eastAsia"/>
        </w:rPr>
        <w:t>月上旬；行距</w:t>
      </w:r>
      <w:r>
        <w:rPr>
          <w:rFonts w:hint="eastAsia"/>
        </w:rPr>
        <w:t>50cm</w:t>
      </w:r>
      <w:r>
        <w:rPr>
          <w:rFonts w:hint="eastAsia"/>
        </w:rPr>
        <w:t>，条播，亩用种量</w:t>
      </w:r>
      <w:r>
        <w:rPr>
          <w:rFonts w:hint="eastAsia"/>
        </w:rPr>
        <w:t>4~5kg</w:t>
      </w:r>
      <w:r>
        <w:rPr>
          <w:rFonts w:hint="eastAsia"/>
        </w:rPr>
        <w:t>，覆土深度</w:t>
      </w:r>
      <w:r>
        <w:rPr>
          <w:rFonts w:hint="eastAsia"/>
        </w:rPr>
        <w:t>2~3cm</w:t>
      </w:r>
      <w:r>
        <w:rPr>
          <w:rFonts w:hint="eastAsia"/>
        </w:rPr>
        <w:t>。</w:t>
      </w:r>
    </w:p>
    <w:p w14:paraId="6610BB09" w14:textId="77777777" w:rsidR="00063952" w:rsidRDefault="00000000">
      <w:pPr>
        <w:spacing w:line="360" w:lineRule="auto"/>
      </w:pPr>
      <w:r>
        <w:rPr>
          <w:rFonts w:hint="eastAsia"/>
        </w:rPr>
        <w:t>5.3.2</w:t>
      </w:r>
      <w:r>
        <w:rPr>
          <w:rFonts w:hint="eastAsia"/>
        </w:rPr>
        <w:t>西南地区海拔高于</w:t>
      </w:r>
      <w:r>
        <w:rPr>
          <w:rFonts w:hint="eastAsia"/>
        </w:rPr>
        <w:t>1500m</w:t>
      </w:r>
      <w:r>
        <w:rPr>
          <w:rFonts w:hint="eastAsia"/>
        </w:rPr>
        <w:t>地区</w:t>
      </w:r>
    </w:p>
    <w:p w14:paraId="0EF65F5F" w14:textId="77777777" w:rsidR="00063952" w:rsidRDefault="00000000">
      <w:pPr>
        <w:spacing w:line="360" w:lineRule="auto"/>
        <w:ind w:firstLineChars="200" w:firstLine="420"/>
      </w:pPr>
      <w:bookmarkStart w:id="27" w:name="_Toc175908336"/>
      <w:r>
        <w:rPr>
          <w:rFonts w:hint="eastAsia"/>
        </w:rPr>
        <w:t>一般</w:t>
      </w:r>
      <w:r>
        <w:rPr>
          <w:rFonts w:hint="eastAsia"/>
        </w:rPr>
        <w:t>4</w:t>
      </w:r>
      <w:r>
        <w:rPr>
          <w:rFonts w:hint="eastAsia"/>
        </w:rPr>
        <w:t>月下旬～</w:t>
      </w:r>
      <w:r>
        <w:rPr>
          <w:rFonts w:hint="eastAsia"/>
        </w:rPr>
        <w:t>5</w:t>
      </w:r>
      <w:r>
        <w:rPr>
          <w:rFonts w:hint="eastAsia"/>
        </w:rPr>
        <w:t>月上旬春播，地温在</w:t>
      </w:r>
      <w:r>
        <w:rPr>
          <w:rFonts w:hint="eastAsia"/>
        </w:rPr>
        <w:t>10</w:t>
      </w:r>
      <w:r>
        <w:rPr>
          <w:rFonts w:hint="eastAsia"/>
        </w:rPr>
        <w:t>℃以上即可播种，最迟不超过</w:t>
      </w:r>
      <w:r>
        <w:rPr>
          <w:rFonts w:hint="eastAsia"/>
        </w:rPr>
        <w:t>6</w:t>
      </w:r>
      <w:r>
        <w:rPr>
          <w:rFonts w:hint="eastAsia"/>
        </w:rPr>
        <w:t>月上旬；行距</w:t>
      </w:r>
      <w:r>
        <w:rPr>
          <w:rFonts w:hint="eastAsia"/>
        </w:rPr>
        <w:t>50cm</w:t>
      </w:r>
      <w:r>
        <w:rPr>
          <w:rFonts w:hint="eastAsia"/>
        </w:rPr>
        <w:t>，条播，亩用种量</w:t>
      </w:r>
      <w:r>
        <w:rPr>
          <w:rFonts w:hint="eastAsia"/>
        </w:rPr>
        <w:t>4~5kg</w:t>
      </w:r>
      <w:r>
        <w:rPr>
          <w:rFonts w:hint="eastAsia"/>
        </w:rPr>
        <w:t>，覆土深度</w:t>
      </w:r>
      <w:r>
        <w:rPr>
          <w:rFonts w:hint="eastAsia"/>
        </w:rPr>
        <w:t>2~3cm</w:t>
      </w:r>
      <w:r>
        <w:rPr>
          <w:rFonts w:hint="eastAsia"/>
        </w:rPr>
        <w:t>。</w:t>
      </w:r>
    </w:p>
    <w:p w14:paraId="4C685A3A" w14:textId="77777777" w:rsidR="00063952" w:rsidRDefault="00000000">
      <w:pPr>
        <w:pStyle w:val="a5"/>
        <w:spacing w:beforeLines="50" w:before="156" w:afterLines="50" w:after="156"/>
        <w:jc w:val="left"/>
        <w:rPr>
          <w:b w:val="0"/>
          <w:bCs w:val="0"/>
          <w:sz w:val="21"/>
          <w:szCs w:val="21"/>
        </w:rPr>
      </w:pPr>
      <w:bookmarkStart w:id="28" w:name="_Toc14694"/>
      <w:r>
        <w:rPr>
          <w:rFonts w:hint="eastAsia"/>
          <w:b w:val="0"/>
          <w:bCs w:val="0"/>
          <w:sz w:val="21"/>
          <w:szCs w:val="21"/>
        </w:rPr>
        <w:t xml:space="preserve">6 </w:t>
      </w:r>
      <w:r>
        <w:rPr>
          <w:rFonts w:hint="eastAsia"/>
          <w:b w:val="0"/>
          <w:bCs w:val="0"/>
          <w:sz w:val="21"/>
          <w:szCs w:val="21"/>
        </w:rPr>
        <w:t>田间管理</w:t>
      </w:r>
      <w:bookmarkEnd w:id="28"/>
    </w:p>
    <w:p w14:paraId="67C53E1B" w14:textId="77777777" w:rsidR="00063952" w:rsidRDefault="00000000">
      <w:pPr>
        <w:spacing w:line="360" w:lineRule="auto"/>
      </w:pPr>
      <w:r>
        <w:rPr>
          <w:rFonts w:hint="eastAsia"/>
        </w:rPr>
        <w:t xml:space="preserve">6.1 </w:t>
      </w:r>
      <w:r>
        <w:rPr>
          <w:rFonts w:hint="eastAsia"/>
        </w:rPr>
        <w:t>花期管理</w:t>
      </w:r>
    </w:p>
    <w:p w14:paraId="5717CE69" w14:textId="77777777" w:rsidR="00063952" w:rsidRDefault="00000000">
      <w:pPr>
        <w:spacing w:line="360" w:lineRule="auto"/>
        <w:ind w:firstLineChars="200" w:firstLine="420"/>
      </w:pPr>
      <w:r>
        <w:rPr>
          <w:rFonts w:hint="eastAsia"/>
        </w:rPr>
        <w:t>现蕾期可以喷施</w:t>
      </w:r>
      <w:r>
        <w:rPr>
          <w:rFonts w:hint="eastAsia"/>
        </w:rPr>
        <w:t>0.1%</w:t>
      </w:r>
      <w:r>
        <w:rPr>
          <w:rFonts w:hint="eastAsia"/>
        </w:rPr>
        <w:t>硼砂</w:t>
      </w:r>
      <w:r>
        <w:rPr>
          <w:rFonts w:hint="eastAsia"/>
        </w:rPr>
        <w:t>+0.2%</w:t>
      </w:r>
      <w:r>
        <w:rPr>
          <w:rFonts w:hint="eastAsia"/>
        </w:rPr>
        <w:t>磷酸二氢钾，促进花荚发育。干旱地区初花期灌水</w:t>
      </w:r>
      <w:r>
        <w:rPr>
          <w:rFonts w:hint="eastAsia"/>
        </w:rPr>
        <w:t>1</w:t>
      </w:r>
      <w:r>
        <w:rPr>
          <w:rFonts w:hint="eastAsia"/>
        </w:rPr>
        <w:t>次，提高结荚率。</w:t>
      </w:r>
    </w:p>
    <w:p w14:paraId="01E134F9" w14:textId="77777777" w:rsidR="00063952" w:rsidRDefault="00000000">
      <w:pPr>
        <w:spacing w:line="360" w:lineRule="auto"/>
      </w:pPr>
      <w:r>
        <w:rPr>
          <w:rFonts w:hint="eastAsia"/>
        </w:rPr>
        <w:t xml:space="preserve">6.2 </w:t>
      </w:r>
      <w:r>
        <w:rPr>
          <w:rFonts w:hint="eastAsia"/>
        </w:rPr>
        <w:t>合理灌溉</w:t>
      </w:r>
    </w:p>
    <w:p w14:paraId="5A5A38F0" w14:textId="77777777" w:rsidR="00063952" w:rsidRDefault="00000000">
      <w:pPr>
        <w:spacing w:line="360" w:lineRule="auto"/>
        <w:ind w:firstLineChars="200" w:firstLine="420"/>
      </w:pPr>
      <w:r>
        <w:rPr>
          <w:rFonts w:hint="eastAsia"/>
        </w:rPr>
        <w:t>在干旱地区施土壤墒情，适当进行灌溉，苗期保持土壤湿度</w:t>
      </w:r>
      <w:r>
        <w:rPr>
          <w:rFonts w:hint="eastAsia"/>
        </w:rPr>
        <w:t>60%</w:t>
      </w:r>
      <w:r>
        <w:rPr>
          <w:rFonts w:hint="eastAsia"/>
        </w:rPr>
        <w:t>，花期</w:t>
      </w:r>
      <w:r>
        <w:rPr>
          <w:rFonts w:hint="eastAsia"/>
        </w:rPr>
        <w:t>70%</w:t>
      </w:r>
      <w:r>
        <w:rPr>
          <w:rFonts w:hint="eastAsia"/>
        </w:rPr>
        <w:t>，灌水水质符合</w:t>
      </w:r>
      <w:r>
        <w:rPr>
          <w:rFonts w:hint="eastAsia"/>
        </w:rPr>
        <w:t>GB 5084</w:t>
      </w:r>
      <w:r>
        <w:rPr>
          <w:rFonts w:hint="eastAsia"/>
        </w:rPr>
        <w:t>。雨季及时排水防涝。有条件的地区建设排水系统，在多雨的季节引水排放，减少病害的发生。</w:t>
      </w:r>
    </w:p>
    <w:p w14:paraId="0FE9789D" w14:textId="77777777" w:rsidR="00063952" w:rsidRDefault="00000000">
      <w:pPr>
        <w:spacing w:line="360" w:lineRule="auto"/>
      </w:pPr>
      <w:r>
        <w:rPr>
          <w:rFonts w:hint="eastAsia"/>
        </w:rPr>
        <w:t xml:space="preserve">6.3 </w:t>
      </w:r>
      <w:r>
        <w:rPr>
          <w:rFonts w:hint="eastAsia"/>
        </w:rPr>
        <w:t>施肥</w:t>
      </w:r>
    </w:p>
    <w:p w14:paraId="2FD87847" w14:textId="77777777" w:rsidR="00063952" w:rsidRDefault="00000000">
      <w:pPr>
        <w:spacing w:line="360" w:lineRule="auto"/>
        <w:ind w:firstLineChars="200" w:firstLine="420"/>
      </w:pPr>
      <w:r>
        <w:rPr>
          <w:rFonts w:hint="eastAsia"/>
        </w:rPr>
        <w:t>根据苗情，在分枝期每亩追施尿素等速效性氮肥</w:t>
      </w:r>
      <w:r>
        <w:rPr>
          <w:rFonts w:hint="eastAsia"/>
        </w:rPr>
        <w:t>5</w:t>
      </w:r>
      <w:r>
        <w:rPr>
          <w:rFonts w:hint="eastAsia"/>
        </w:rPr>
        <w:t>～</w:t>
      </w:r>
      <w:r>
        <w:rPr>
          <w:rFonts w:hint="eastAsia"/>
        </w:rPr>
        <w:t>8 kg</w:t>
      </w:r>
      <w:r>
        <w:rPr>
          <w:rFonts w:hint="eastAsia"/>
        </w:rPr>
        <w:t>，盛花期可酌情施用磷肥</w:t>
      </w:r>
      <w:r>
        <w:rPr>
          <w:rFonts w:hint="eastAsia"/>
        </w:rPr>
        <w:t>1kg/</w:t>
      </w:r>
      <w:r>
        <w:rPr>
          <w:rFonts w:hint="eastAsia"/>
        </w:rPr>
        <w:t>亩、钾肥</w:t>
      </w:r>
      <w:r>
        <w:rPr>
          <w:rFonts w:hint="eastAsia"/>
        </w:rPr>
        <w:t>10 kg/</w:t>
      </w:r>
      <w:r>
        <w:rPr>
          <w:rFonts w:hint="eastAsia"/>
        </w:rPr>
        <w:t>亩。雨前撒施为宜。</w:t>
      </w:r>
    </w:p>
    <w:p w14:paraId="3CD5315D" w14:textId="77777777" w:rsidR="00063952" w:rsidRDefault="00000000">
      <w:pPr>
        <w:spacing w:line="360" w:lineRule="auto"/>
      </w:pPr>
      <w:r>
        <w:rPr>
          <w:rFonts w:hint="eastAsia"/>
        </w:rPr>
        <w:t xml:space="preserve">6.4 </w:t>
      </w:r>
      <w:r>
        <w:rPr>
          <w:rFonts w:hint="eastAsia"/>
        </w:rPr>
        <w:t>病虫害防治</w:t>
      </w:r>
    </w:p>
    <w:p w14:paraId="59D39AAB" w14:textId="77777777" w:rsidR="00063952" w:rsidRDefault="00000000">
      <w:pPr>
        <w:spacing w:line="360" w:lineRule="auto"/>
        <w:ind w:firstLineChars="200" w:firstLine="420"/>
      </w:pPr>
      <w:r>
        <w:rPr>
          <w:rFonts w:hint="eastAsia"/>
        </w:rPr>
        <w:t>常见病害为白粉病、根腐病等，常见的虫害为蚜虫和豆荚螟。治疗白粉病可以使用</w:t>
      </w:r>
      <w:r>
        <w:rPr>
          <w:rFonts w:hint="eastAsia"/>
        </w:rPr>
        <w:t>15%</w:t>
      </w:r>
      <w:r>
        <w:rPr>
          <w:rFonts w:hint="eastAsia"/>
        </w:rPr>
        <w:t>三唑</w:t>
      </w:r>
      <w:proofErr w:type="gramStart"/>
      <w:r>
        <w:rPr>
          <w:rFonts w:hint="eastAsia"/>
        </w:rPr>
        <w:t>酮</w:t>
      </w:r>
      <w:proofErr w:type="gramEnd"/>
      <w:r>
        <w:rPr>
          <w:rFonts w:hint="eastAsia"/>
        </w:rPr>
        <w:t>稀释</w:t>
      </w:r>
      <w:r>
        <w:rPr>
          <w:rFonts w:hint="eastAsia"/>
        </w:rPr>
        <w:t>1000</w:t>
      </w:r>
      <w:r>
        <w:rPr>
          <w:rFonts w:hint="eastAsia"/>
        </w:rPr>
        <w:t>倍液进行喷雾叶面治疗。治疗根腐病可以使用</w:t>
      </w:r>
      <w:r>
        <w:rPr>
          <w:rFonts w:hint="eastAsia"/>
        </w:rPr>
        <w:t>50%</w:t>
      </w:r>
      <w:r>
        <w:rPr>
          <w:rFonts w:hint="eastAsia"/>
        </w:rPr>
        <w:t>多菌灵稀释</w:t>
      </w:r>
      <w:r>
        <w:rPr>
          <w:rFonts w:hint="eastAsia"/>
        </w:rPr>
        <w:t>500-600</w:t>
      </w:r>
      <w:r>
        <w:rPr>
          <w:rFonts w:hint="eastAsia"/>
        </w:rPr>
        <w:t>倍液</w:t>
      </w:r>
      <w:proofErr w:type="gramStart"/>
      <w:r>
        <w:rPr>
          <w:rFonts w:hint="eastAsia"/>
        </w:rPr>
        <w:t>进行灌根治疗</w:t>
      </w:r>
      <w:proofErr w:type="gramEnd"/>
      <w:r>
        <w:rPr>
          <w:rFonts w:hint="eastAsia"/>
        </w:rPr>
        <w:t>。间隔</w:t>
      </w:r>
      <w:r>
        <w:rPr>
          <w:rFonts w:hint="eastAsia"/>
        </w:rPr>
        <w:t>7d</w:t>
      </w:r>
      <w:r>
        <w:rPr>
          <w:rFonts w:hint="eastAsia"/>
        </w:rPr>
        <w:t>再进行第</w:t>
      </w:r>
      <w:r>
        <w:rPr>
          <w:rFonts w:hint="eastAsia"/>
        </w:rPr>
        <w:t>2</w:t>
      </w:r>
      <w:r>
        <w:rPr>
          <w:rFonts w:hint="eastAsia"/>
        </w:rPr>
        <w:t>次治疗。防治蚜虫可以使用</w:t>
      </w:r>
      <w:r>
        <w:rPr>
          <w:rFonts w:hint="eastAsia"/>
        </w:rPr>
        <w:t>10 %</w:t>
      </w:r>
      <w:proofErr w:type="gramStart"/>
      <w:r>
        <w:rPr>
          <w:rFonts w:hint="eastAsia"/>
        </w:rPr>
        <w:t>吡</w:t>
      </w:r>
      <w:proofErr w:type="gramEnd"/>
      <w:r>
        <w:rPr>
          <w:rFonts w:hint="eastAsia"/>
        </w:rPr>
        <w:t>虫</w:t>
      </w:r>
      <w:proofErr w:type="gramStart"/>
      <w:r>
        <w:rPr>
          <w:rFonts w:hint="eastAsia"/>
        </w:rPr>
        <w:t>啉</w:t>
      </w:r>
      <w:proofErr w:type="gramEnd"/>
      <w:r>
        <w:rPr>
          <w:rFonts w:hint="eastAsia"/>
        </w:rPr>
        <w:t>超微粉剂</w:t>
      </w:r>
      <w:r>
        <w:rPr>
          <w:rFonts w:hint="eastAsia"/>
        </w:rPr>
        <w:t>2000</w:t>
      </w:r>
      <w:r>
        <w:rPr>
          <w:rFonts w:hint="eastAsia"/>
        </w:rPr>
        <w:t>倍液喷雾防治，间隔</w:t>
      </w:r>
      <w:r>
        <w:rPr>
          <w:rFonts w:hint="eastAsia"/>
        </w:rPr>
        <w:t>7 d</w:t>
      </w:r>
      <w:r>
        <w:rPr>
          <w:rFonts w:hint="eastAsia"/>
        </w:rPr>
        <w:t>～</w:t>
      </w:r>
      <w:r>
        <w:rPr>
          <w:rFonts w:hint="eastAsia"/>
        </w:rPr>
        <w:t>10 d</w:t>
      </w:r>
      <w:r>
        <w:rPr>
          <w:rFonts w:hint="eastAsia"/>
        </w:rPr>
        <w:t>再进行第</w:t>
      </w:r>
      <w:r>
        <w:rPr>
          <w:rFonts w:hint="eastAsia"/>
        </w:rPr>
        <w:t>2</w:t>
      </w:r>
      <w:r>
        <w:rPr>
          <w:rFonts w:hint="eastAsia"/>
        </w:rPr>
        <w:t>次治疗。防治豆荚螟可以使用</w:t>
      </w:r>
      <w:proofErr w:type="spellStart"/>
      <w:r>
        <w:rPr>
          <w:rFonts w:hint="eastAsia"/>
        </w:rPr>
        <w:t>Bt</w:t>
      </w:r>
      <w:proofErr w:type="spellEnd"/>
      <w:r>
        <w:rPr>
          <w:rFonts w:hint="eastAsia"/>
        </w:rPr>
        <w:t>乳剂生物防治。药物使用按</w:t>
      </w:r>
      <w:r>
        <w:rPr>
          <w:rFonts w:hint="eastAsia"/>
        </w:rPr>
        <w:t>NY/T 1276-2007</w:t>
      </w:r>
      <w:r>
        <w:rPr>
          <w:rFonts w:hint="eastAsia"/>
        </w:rPr>
        <w:t>的规定执行。</w:t>
      </w:r>
    </w:p>
    <w:p w14:paraId="25E182D1" w14:textId="77777777" w:rsidR="00063952" w:rsidRDefault="00000000">
      <w:pPr>
        <w:pStyle w:val="a5"/>
        <w:spacing w:beforeLines="50" w:before="156" w:afterLines="50" w:after="156"/>
        <w:jc w:val="left"/>
        <w:rPr>
          <w:b w:val="0"/>
          <w:bCs w:val="0"/>
          <w:sz w:val="21"/>
          <w:szCs w:val="21"/>
        </w:rPr>
      </w:pPr>
      <w:bookmarkStart w:id="29" w:name="_Toc8075"/>
      <w:r>
        <w:rPr>
          <w:rFonts w:hint="eastAsia"/>
          <w:b w:val="0"/>
          <w:bCs w:val="0"/>
          <w:sz w:val="21"/>
          <w:szCs w:val="21"/>
        </w:rPr>
        <w:t xml:space="preserve">7 </w:t>
      </w:r>
      <w:r>
        <w:rPr>
          <w:rFonts w:hint="eastAsia"/>
          <w:b w:val="0"/>
          <w:bCs w:val="0"/>
          <w:sz w:val="21"/>
          <w:szCs w:val="21"/>
        </w:rPr>
        <w:t>种子收获</w:t>
      </w:r>
      <w:bookmarkEnd w:id="29"/>
    </w:p>
    <w:p w14:paraId="57644698" w14:textId="77777777" w:rsidR="00063952" w:rsidRDefault="00000000">
      <w:pPr>
        <w:spacing w:line="360" w:lineRule="auto"/>
      </w:pPr>
      <w:r>
        <w:rPr>
          <w:rFonts w:hint="eastAsia"/>
        </w:rPr>
        <w:t xml:space="preserve">7.1 </w:t>
      </w:r>
      <w:r>
        <w:rPr>
          <w:rFonts w:hint="eastAsia"/>
        </w:rPr>
        <w:t>收获时期</w:t>
      </w:r>
    </w:p>
    <w:p w14:paraId="4BF46EBB" w14:textId="77777777" w:rsidR="00063952" w:rsidRDefault="00000000">
      <w:pPr>
        <w:spacing w:line="360" w:lineRule="auto"/>
        <w:ind w:firstLineChars="200" w:firstLine="420"/>
      </w:pPr>
      <w:r>
        <w:rPr>
          <w:rFonts w:hint="eastAsia"/>
        </w:rPr>
        <w:t>当豆荚下部豆荚变褐，中部荚果摇动有声，种子硬度达</w:t>
      </w:r>
      <w:r>
        <w:rPr>
          <w:rFonts w:hint="eastAsia"/>
        </w:rPr>
        <w:t>80%</w:t>
      </w:r>
      <w:r>
        <w:rPr>
          <w:rFonts w:hint="eastAsia"/>
        </w:rPr>
        <w:t>时，为种子收获的最适期。晴天清晨收割，减少裂荚损失。</w:t>
      </w:r>
    </w:p>
    <w:p w14:paraId="219A1540" w14:textId="77777777" w:rsidR="00063952" w:rsidRDefault="00000000">
      <w:pPr>
        <w:spacing w:line="360" w:lineRule="auto"/>
      </w:pPr>
      <w:r>
        <w:rPr>
          <w:rFonts w:hint="eastAsia"/>
        </w:rPr>
        <w:t xml:space="preserve">7.2 </w:t>
      </w:r>
      <w:r>
        <w:rPr>
          <w:rFonts w:hint="eastAsia"/>
        </w:rPr>
        <w:t>晾晒干燥</w:t>
      </w:r>
    </w:p>
    <w:p w14:paraId="1896E2F0" w14:textId="77777777" w:rsidR="00063952" w:rsidRDefault="00000000">
      <w:pPr>
        <w:spacing w:line="360" w:lineRule="auto"/>
        <w:ind w:firstLineChars="200" w:firstLine="420"/>
      </w:pPr>
      <w:r>
        <w:rPr>
          <w:rFonts w:hint="eastAsia"/>
        </w:rPr>
        <w:t>带荚晾晒</w:t>
      </w:r>
      <w:r>
        <w:rPr>
          <w:rFonts w:hint="eastAsia"/>
        </w:rPr>
        <w:t>3~5</w:t>
      </w:r>
      <w:r>
        <w:rPr>
          <w:rFonts w:hint="eastAsia"/>
        </w:rPr>
        <w:t>天至种子含水量不超过</w:t>
      </w:r>
      <w:r>
        <w:rPr>
          <w:rFonts w:hint="eastAsia"/>
        </w:rPr>
        <w:t>14%</w:t>
      </w:r>
      <w:r>
        <w:rPr>
          <w:rFonts w:hint="eastAsia"/>
        </w:rPr>
        <w:t>，忌水泥地暴晒。</w:t>
      </w:r>
    </w:p>
    <w:p w14:paraId="135F4637" w14:textId="77777777" w:rsidR="00063952" w:rsidRDefault="00000000">
      <w:pPr>
        <w:spacing w:line="360" w:lineRule="auto"/>
      </w:pPr>
      <w:r>
        <w:rPr>
          <w:rFonts w:hint="eastAsia"/>
        </w:rPr>
        <w:t xml:space="preserve">7.3 </w:t>
      </w:r>
      <w:r>
        <w:rPr>
          <w:rFonts w:hint="eastAsia"/>
        </w:rPr>
        <w:t>清选与分级</w:t>
      </w:r>
    </w:p>
    <w:p w14:paraId="6B68D503" w14:textId="77777777" w:rsidR="00063952" w:rsidRDefault="00000000">
      <w:pPr>
        <w:spacing w:line="360" w:lineRule="auto"/>
        <w:ind w:firstLineChars="200" w:firstLine="420"/>
      </w:pPr>
      <w:r>
        <w:rPr>
          <w:rFonts w:hint="eastAsia"/>
        </w:rPr>
        <w:t>清选与分级流程为先用机械脱粒，再用风选去除杂质，最后利用比重</w:t>
      </w:r>
      <w:proofErr w:type="gramStart"/>
      <w:r>
        <w:rPr>
          <w:rFonts w:hint="eastAsia"/>
        </w:rPr>
        <w:t>选种机</w:t>
      </w:r>
      <w:proofErr w:type="gramEnd"/>
      <w:r>
        <w:rPr>
          <w:rFonts w:hint="eastAsia"/>
        </w:rPr>
        <w:t>分级种子。种子质量至少达到二级及以上标准。分级按照</w:t>
      </w:r>
      <w:r>
        <w:rPr>
          <w:rFonts w:hint="eastAsia"/>
        </w:rPr>
        <w:t>GB 6142</w:t>
      </w:r>
      <w:r>
        <w:rPr>
          <w:rFonts w:hint="eastAsia"/>
        </w:rPr>
        <w:t>执行。</w:t>
      </w:r>
    </w:p>
    <w:p w14:paraId="546BF822" w14:textId="77777777" w:rsidR="00063952" w:rsidRDefault="00000000">
      <w:pPr>
        <w:pStyle w:val="a5"/>
        <w:spacing w:beforeLines="50" w:before="156" w:afterLines="50" w:after="156"/>
        <w:jc w:val="left"/>
        <w:rPr>
          <w:b w:val="0"/>
          <w:bCs w:val="0"/>
          <w:sz w:val="21"/>
          <w:szCs w:val="21"/>
        </w:rPr>
      </w:pPr>
      <w:bookmarkStart w:id="30" w:name="_Toc27054"/>
      <w:r>
        <w:rPr>
          <w:rFonts w:hint="eastAsia"/>
          <w:b w:val="0"/>
          <w:bCs w:val="0"/>
          <w:sz w:val="21"/>
          <w:szCs w:val="21"/>
        </w:rPr>
        <w:t xml:space="preserve">8 </w:t>
      </w:r>
      <w:r>
        <w:rPr>
          <w:rFonts w:hint="eastAsia"/>
          <w:b w:val="0"/>
          <w:bCs w:val="0"/>
          <w:sz w:val="21"/>
          <w:szCs w:val="21"/>
        </w:rPr>
        <w:t>种子贮藏与包装运输</w:t>
      </w:r>
      <w:bookmarkEnd w:id="30"/>
    </w:p>
    <w:p w14:paraId="4D1B0279" w14:textId="77777777" w:rsidR="00063952" w:rsidRDefault="00000000">
      <w:pPr>
        <w:spacing w:line="360" w:lineRule="auto"/>
      </w:pPr>
      <w:r>
        <w:rPr>
          <w:rFonts w:hint="eastAsia"/>
        </w:rPr>
        <w:t xml:space="preserve">8.1 </w:t>
      </w:r>
      <w:r>
        <w:rPr>
          <w:rFonts w:hint="eastAsia"/>
        </w:rPr>
        <w:t>种子检验</w:t>
      </w:r>
    </w:p>
    <w:p w14:paraId="2A33B29B" w14:textId="77777777" w:rsidR="00063952" w:rsidRDefault="00000000">
      <w:pPr>
        <w:spacing w:line="360" w:lineRule="auto"/>
        <w:ind w:firstLineChars="200" w:firstLine="420"/>
      </w:pPr>
      <w:r>
        <w:rPr>
          <w:rFonts w:hint="eastAsia"/>
        </w:rPr>
        <w:t>按</w:t>
      </w:r>
      <w:r>
        <w:rPr>
          <w:rFonts w:hint="eastAsia"/>
        </w:rPr>
        <w:t>GB 2930.1</w:t>
      </w:r>
      <w:r>
        <w:rPr>
          <w:rFonts w:hint="eastAsia"/>
        </w:rPr>
        <w:t>抽样检测发芽率、净度、水分。</w:t>
      </w:r>
    </w:p>
    <w:p w14:paraId="07D01F9D" w14:textId="77777777" w:rsidR="00063952" w:rsidRDefault="00000000">
      <w:pPr>
        <w:spacing w:line="360" w:lineRule="auto"/>
      </w:pPr>
      <w:r>
        <w:rPr>
          <w:rFonts w:hint="eastAsia"/>
        </w:rPr>
        <w:t>8.2</w:t>
      </w:r>
      <w:r>
        <w:rPr>
          <w:rFonts w:hint="eastAsia"/>
        </w:rPr>
        <w:t>种子贮藏</w:t>
      </w:r>
    </w:p>
    <w:p w14:paraId="51C3040C" w14:textId="77777777" w:rsidR="00063952" w:rsidRDefault="00000000">
      <w:pPr>
        <w:spacing w:line="360" w:lineRule="auto"/>
        <w:ind w:firstLineChars="200" w:firstLine="420"/>
      </w:pPr>
      <w:r>
        <w:rPr>
          <w:rFonts w:hint="eastAsia"/>
        </w:rPr>
        <w:t>环境要求为温度不超过</w:t>
      </w:r>
      <w:r>
        <w:rPr>
          <w:rFonts w:hint="eastAsia"/>
        </w:rPr>
        <w:t>15</w:t>
      </w:r>
      <w:r>
        <w:rPr>
          <w:rFonts w:hint="eastAsia"/>
        </w:rPr>
        <w:t>℃，相对湿度不超过</w:t>
      </w:r>
      <w:r>
        <w:rPr>
          <w:rFonts w:hint="eastAsia"/>
        </w:rPr>
        <w:t>50%</w:t>
      </w:r>
      <w:r>
        <w:rPr>
          <w:rFonts w:hint="eastAsia"/>
        </w:rPr>
        <w:t>，密闭防虫仓库。堆高要求为麻袋堆垛不超过</w:t>
      </w:r>
      <w:r>
        <w:rPr>
          <w:rFonts w:hint="eastAsia"/>
        </w:rPr>
        <w:t>8</w:t>
      </w:r>
      <w:r>
        <w:rPr>
          <w:rFonts w:hint="eastAsia"/>
        </w:rPr>
        <w:t>层，离墙不超过</w:t>
      </w:r>
      <w:r>
        <w:rPr>
          <w:rFonts w:hint="eastAsia"/>
        </w:rPr>
        <w:t>50cm</w:t>
      </w:r>
      <w:r>
        <w:rPr>
          <w:rFonts w:hint="eastAsia"/>
        </w:rPr>
        <w:t>。种子入库前贮库用磷化铝片剂熏蒸杀菌杀虫，用量为每吨种子</w:t>
      </w:r>
      <w:r>
        <w:rPr>
          <w:rFonts w:hint="eastAsia"/>
        </w:rPr>
        <w:t>5</w:t>
      </w:r>
      <w:r>
        <w:rPr>
          <w:rFonts w:hint="eastAsia"/>
        </w:rPr>
        <w:t>片，每片重量为</w:t>
      </w:r>
      <w:r>
        <w:rPr>
          <w:rFonts w:hint="eastAsia"/>
        </w:rPr>
        <w:t>3.2</w:t>
      </w:r>
      <w:r>
        <w:rPr>
          <w:rFonts w:hint="eastAsia"/>
        </w:rPr>
        <w:t>克（</w:t>
      </w:r>
      <w:proofErr w:type="spellStart"/>
      <w:r>
        <w:rPr>
          <w:rFonts w:hint="eastAsia"/>
        </w:rPr>
        <w:t>AlP</w:t>
      </w:r>
      <w:proofErr w:type="spellEnd"/>
      <w:r>
        <w:rPr>
          <w:rFonts w:hint="eastAsia"/>
        </w:rPr>
        <w:t>含量</w:t>
      </w:r>
      <w:r>
        <w:rPr>
          <w:rFonts w:hint="eastAsia"/>
        </w:rPr>
        <w:t>56%</w:t>
      </w:r>
      <w:r>
        <w:rPr>
          <w:rFonts w:hint="eastAsia"/>
        </w:rPr>
        <w:t>）；入库后注意通风换气、防虫防鼠并定期检查。</w:t>
      </w:r>
    </w:p>
    <w:p w14:paraId="406AB0B2" w14:textId="77777777" w:rsidR="00063952" w:rsidRDefault="00000000">
      <w:pPr>
        <w:spacing w:line="360" w:lineRule="auto"/>
      </w:pPr>
      <w:r>
        <w:rPr>
          <w:rFonts w:hint="eastAsia"/>
        </w:rPr>
        <w:t xml:space="preserve">8.3 </w:t>
      </w:r>
      <w:r>
        <w:rPr>
          <w:rFonts w:hint="eastAsia"/>
        </w:rPr>
        <w:t>种子包装</w:t>
      </w:r>
    </w:p>
    <w:p w14:paraId="75629BB3" w14:textId="77777777" w:rsidR="00063952" w:rsidRDefault="00000000">
      <w:pPr>
        <w:spacing w:line="360" w:lineRule="auto"/>
        <w:ind w:firstLineChars="200" w:firstLine="420"/>
      </w:pPr>
      <w:r>
        <w:rPr>
          <w:rFonts w:hint="eastAsia"/>
        </w:rPr>
        <w:t>采用双层包装，内衬聚乙烯袋，外套编织袋，有明确的品种、等级、重量、生产日期、产地等标志。标签符合</w:t>
      </w:r>
      <w:r>
        <w:rPr>
          <w:rFonts w:hint="eastAsia"/>
        </w:rPr>
        <w:t>NY/T 1577</w:t>
      </w:r>
      <w:r>
        <w:rPr>
          <w:rFonts w:hint="eastAsia"/>
        </w:rPr>
        <w:t>。</w:t>
      </w:r>
    </w:p>
    <w:p w14:paraId="7DDA871E" w14:textId="77777777" w:rsidR="00063952" w:rsidRDefault="00000000">
      <w:pPr>
        <w:spacing w:line="360" w:lineRule="auto"/>
      </w:pPr>
      <w:r>
        <w:rPr>
          <w:rFonts w:hint="eastAsia"/>
        </w:rPr>
        <w:t xml:space="preserve">8.4 </w:t>
      </w:r>
      <w:r>
        <w:rPr>
          <w:rFonts w:hint="eastAsia"/>
        </w:rPr>
        <w:t>种子运输</w:t>
      </w:r>
    </w:p>
    <w:p w14:paraId="437E8F59" w14:textId="77777777" w:rsidR="00063952" w:rsidRDefault="00000000">
      <w:pPr>
        <w:spacing w:line="360" w:lineRule="auto"/>
        <w:ind w:firstLineChars="200" w:firstLine="420"/>
        <w:rPr>
          <w:rFonts w:ascii="宋体" w:hAnsi="宋体" w:hint="eastAsia"/>
          <w:color w:val="000000"/>
          <w:sz w:val="22"/>
        </w:rPr>
      </w:pPr>
      <w:r>
        <w:rPr>
          <w:rFonts w:hint="eastAsia"/>
        </w:rPr>
        <w:t>种子运输过程中一定要注意包装的完好程度，利用防雨防潮车厢运输，注意防火，避免与农药、化肥混运。严禁与易燃物、可燃物、酸类或化学品等混装混运。</w:t>
      </w:r>
    </w:p>
    <w:bookmarkEnd w:id="27"/>
    <w:p w14:paraId="7F8FD210" w14:textId="0670C0DB" w:rsidR="00063952" w:rsidRDefault="003D3307">
      <w:pPr>
        <w:spacing w:line="360" w:lineRule="auto"/>
        <w:jc w:val="center"/>
      </w:pPr>
      <w:r>
        <w:rPr>
          <w:noProof/>
        </w:rPr>
        <mc:AlternateContent>
          <mc:Choice Requires="wps">
            <w:drawing>
              <wp:anchor distT="0" distB="0" distL="114300" distR="114300" simplePos="0" relativeHeight="251659264" behindDoc="0" locked="0" layoutInCell="1" allowOverlap="1" wp14:anchorId="2EA34C4E" wp14:editId="5DEDB0FE">
                <wp:simplePos x="0" y="0"/>
                <wp:positionH relativeFrom="column">
                  <wp:posOffset>1337649</wp:posOffset>
                </wp:positionH>
                <wp:positionV relativeFrom="paragraph">
                  <wp:posOffset>131502</wp:posOffset>
                </wp:positionV>
                <wp:extent cx="2507809" cy="0"/>
                <wp:effectExtent l="0" t="0" r="0" b="0"/>
                <wp:wrapNone/>
                <wp:docPr id="530345780" name="直接连接符 1"/>
                <wp:cNvGraphicFramePr/>
                <a:graphic xmlns:a="http://schemas.openxmlformats.org/drawingml/2006/main">
                  <a:graphicData uri="http://schemas.microsoft.com/office/word/2010/wordprocessingShape">
                    <wps:wsp>
                      <wps:cNvCnPr/>
                      <wps:spPr>
                        <a:xfrm>
                          <a:off x="0" y="0"/>
                          <a:ext cx="2507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C7511D"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35pt,10.35pt" to="302.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" strokecolor="black [3200]" strokeweight="1pt">
                <v:stroke joinstyle="miter"/>
              </v:line>
            </w:pict>
          </mc:Fallback>
        </mc:AlternateContent>
      </w:r>
    </w:p>
    <w:sectPr w:rsidR="00063952">
      <w:headerReference w:type="default" r:id="rId8"/>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3131D" w14:textId="77777777" w:rsidR="009704A5" w:rsidRDefault="009704A5">
      <w:r>
        <w:separator/>
      </w:r>
    </w:p>
  </w:endnote>
  <w:endnote w:type="continuationSeparator" w:id="0">
    <w:p w14:paraId="362A1F04" w14:textId="77777777" w:rsidR="009704A5" w:rsidRDefault="0097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1F7B" w14:textId="77777777" w:rsidR="00063952" w:rsidRDefault="00000000">
    <w:pPr>
      <w:pStyle w:val="a4"/>
      <w:jc w:val="right"/>
      <w:rPr>
        <w:rFonts w:hint="eastAsia"/>
      </w:rPr>
    </w:pPr>
    <w:r>
      <w:fldChar w:fldCharType="begin"/>
    </w:r>
    <w:r>
      <w:instrText>PAGE   \* MERGEFORMAT</w:instrText>
    </w:r>
    <w:r>
      <w:fldChar w:fldCharType="separate"/>
    </w:r>
    <w:r>
      <w:rPr>
        <w:lang w:val="zh-CN"/>
      </w:rPr>
      <w:t>2</w:t>
    </w:r>
    <w:r>
      <w:fldChar w:fldCharType="end"/>
    </w:r>
  </w:p>
  <w:p w14:paraId="0C9B786B" w14:textId="77777777" w:rsidR="00063952" w:rsidRDefault="00063952">
    <w:pPr>
      <w:pStyle w:val="a4"/>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BCCA" w14:textId="77777777" w:rsidR="00063952" w:rsidRDefault="00000000">
    <w:pPr>
      <w:pStyle w:val="a4"/>
      <w:jc w:val="right"/>
      <w:rPr>
        <w:rFonts w:hint="eastAsia"/>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14:paraId="185D34E7" w14:textId="77777777" w:rsidR="00063952" w:rsidRDefault="00063952">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81800" w14:textId="77777777" w:rsidR="009704A5" w:rsidRDefault="009704A5">
      <w:r>
        <w:separator/>
      </w:r>
    </w:p>
  </w:footnote>
  <w:footnote w:type="continuationSeparator" w:id="0">
    <w:p w14:paraId="2203E785" w14:textId="77777777" w:rsidR="009704A5" w:rsidRDefault="00970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D8CF7" w14:textId="77777777" w:rsidR="00063952" w:rsidRDefault="00000000">
    <w:pPr>
      <w:spacing w:before="18" w:line="177" w:lineRule="auto"/>
      <w:ind w:right="9"/>
      <w:jc w:val="right"/>
      <w:rPr>
        <w:rFonts w:ascii="黑体" w:eastAsia="黑体" w:hAnsi="黑体" w:cs="黑体" w:hint="eastAsia"/>
      </w:rPr>
    </w:pPr>
    <w:r>
      <w:rPr>
        <w:rFonts w:ascii="黑体" w:eastAsia="黑体" w:hAnsi="黑体" w:cs="黑体" w:hint="eastAsia"/>
        <w:b/>
        <w:bCs/>
        <w:spacing w:val="-2"/>
      </w:rPr>
      <w:t>T/</w:t>
    </w:r>
    <w:r>
      <w:rPr>
        <w:rFonts w:ascii="黑体" w:eastAsia="黑体" w:hAnsi="黑体" w:cs="黑体"/>
        <w:b/>
        <w:bCs/>
        <w:spacing w:val="-2"/>
      </w:rPr>
      <w:t>HXCY</w:t>
    </w:r>
    <w:r>
      <w:rPr>
        <w:rFonts w:ascii="黑体" w:eastAsia="黑体" w:hAnsi="黑体" w:cs="黑体"/>
        <w:spacing w:val="-2"/>
      </w:rPr>
      <w:t xml:space="preserve"> </w:t>
    </w:r>
    <w:r>
      <w:rPr>
        <w:rFonts w:ascii="黑体" w:eastAsia="黑体" w:hAnsi="黑体" w:cs="黑体" w:hint="eastAsia"/>
        <w:b/>
        <w:bCs/>
        <w:spacing w:val="-2"/>
      </w:rPr>
      <w:t>XX</w:t>
    </w:r>
    <w:r>
      <w:rPr>
        <w:rFonts w:eastAsia="Times New Roman"/>
        <w:b/>
        <w:bCs/>
        <w:spacing w:val="-2"/>
      </w:rPr>
      <w:t>—</w:t>
    </w:r>
    <w:r>
      <w:rPr>
        <w:rFonts w:ascii="黑体" w:eastAsia="黑体" w:hAnsi="黑体" w:cs="黑体"/>
        <w:b/>
        <w:bCs/>
        <w:spacing w:val="-2"/>
      </w:rPr>
      <w:t>202</w:t>
    </w:r>
    <w:r>
      <w:rPr>
        <w:rFonts w:ascii="黑体" w:eastAsia="黑体" w:hAnsi="黑体" w:cs="黑体" w:hint="eastAsia"/>
        <w:b/>
        <w:bCs/>
        <w:spacing w:val="-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76456" w14:textId="77777777" w:rsidR="00063952" w:rsidRDefault="00000000">
    <w:pPr>
      <w:spacing w:before="18" w:line="177" w:lineRule="auto"/>
      <w:ind w:right="9"/>
      <w:jc w:val="right"/>
      <w:rPr>
        <w:rFonts w:ascii="黑体" w:eastAsia="黑体" w:hAnsi="黑体" w:cs="黑体" w:hint="eastAsia"/>
      </w:rPr>
    </w:pPr>
    <w:bookmarkStart w:id="31" w:name="_Hlk191990397"/>
    <w:bookmarkStart w:id="32" w:name="_Hlk191990384"/>
    <w:bookmarkStart w:id="33" w:name="_Hlk191990383"/>
    <w:r>
      <w:rPr>
        <w:rFonts w:ascii="黑体" w:eastAsia="黑体" w:hAnsi="黑体" w:cs="黑体" w:hint="eastAsia"/>
        <w:b/>
        <w:bCs/>
        <w:spacing w:val="-2"/>
      </w:rPr>
      <w:t>T/</w:t>
    </w:r>
    <w:r>
      <w:rPr>
        <w:rFonts w:ascii="黑体" w:eastAsia="黑体" w:hAnsi="黑体" w:cs="黑体"/>
        <w:b/>
        <w:bCs/>
        <w:spacing w:val="-2"/>
      </w:rPr>
      <w:t>HXCY</w:t>
    </w:r>
    <w:r>
      <w:rPr>
        <w:rFonts w:ascii="黑体" w:eastAsia="黑体" w:hAnsi="黑体" w:cs="黑体"/>
        <w:spacing w:val="-2"/>
      </w:rPr>
      <w:t xml:space="preserve"> </w:t>
    </w:r>
    <w:r>
      <w:rPr>
        <w:rFonts w:ascii="黑体" w:eastAsia="黑体" w:hAnsi="黑体" w:cs="黑体" w:hint="eastAsia"/>
        <w:b/>
        <w:bCs/>
        <w:spacing w:val="-2"/>
      </w:rPr>
      <w:t>XX</w:t>
    </w:r>
    <w:bookmarkEnd w:id="31"/>
    <w:r>
      <w:rPr>
        <w:rFonts w:eastAsia="Times New Roman"/>
        <w:b/>
        <w:bCs/>
        <w:spacing w:val="-2"/>
      </w:rPr>
      <w:t>—</w:t>
    </w:r>
    <w:r>
      <w:rPr>
        <w:rFonts w:ascii="黑体" w:eastAsia="黑体" w:hAnsi="黑体" w:cs="黑体"/>
        <w:b/>
        <w:bCs/>
        <w:spacing w:val="-2"/>
      </w:rPr>
      <w:t>202</w:t>
    </w:r>
    <w:r>
      <w:rPr>
        <w:rFonts w:ascii="黑体" w:eastAsia="黑体" w:hAnsi="黑体" w:cs="黑体" w:hint="eastAsia"/>
        <w:b/>
        <w:bCs/>
        <w:spacing w:val="-2"/>
      </w:rPr>
      <w:t>5</w:t>
    </w:r>
    <w:bookmarkEnd w:id="32"/>
    <w:bookmarkEnd w:id="3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F7A6CCC"/>
    <w:rsid w:val="00063952"/>
    <w:rsid w:val="003D3307"/>
    <w:rsid w:val="009704A5"/>
    <w:rsid w:val="00F640B0"/>
    <w:rsid w:val="01977957"/>
    <w:rsid w:val="03F23BCF"/>
    <w:rsid w:val="090D1967"/>
    <w:rsid w:val="17525CB0"/>
    <w:rsid w:val="2A2E349C"/>
    <w:rsid w:val="2CEC0CAF"/>
    <w:rsid w:val="2E871367"/>
    <w:rsid w:val="2F3957BB"/>
    <w:rsid w:val="3F7A6CCC"/>
    <w:rsid w:val="40D07EFD"/>
    <w:rsid w:val="44F704BD"/>
    <w:rsid w:val="47B150F7"/>
    <w:rsid w:val="4B55797D"/>
    <w:rsid w:val="51871FAF"/>
    <w:rsid w:val="6B2F1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75B65"/>
  <w15:docId w15:val="{98FC480B-97B1-486E-9DC0-80B704DA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footer" w:uiPriority="99" w:unhideWhenUsed="1" w:qFormat="1"/>
    <w:lsdException w:name="caption" w:semiHidden="1" w:unhideWhenUsed="1" w:qFormat="1"/>
    <w:lsdException w:name="Title" w:uiPriority="10"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680"/>
    </w:pPr>
    <w:rPr>
      <w:sz w:val="32"/>
      <w:szCs w:val="32"/>
    </w:rPr>
  </w:style>
  <w:style w:type="paragraph" w:styleId="a4">
    <w:name w:val="footer"/>
    <w:basedOn w:val="a"/>
    <w:uiPriority w:val="99"/>
    <w:unhideWhenUsed/>
    <w:qFormat/>
    <w:pPr>
      <w:tabs>
        <w:tab w:val="center" w:pos="4153"/>
        <w:tab w:val="right" w:pos="8306"/>
      </w:tabs>
      <w:snapToGrid w:val="0"/>
      <w:jc w:val="left"/>
    </w:pPr>
    <w:rPr>
      <w:rFonts w:ascii="等线" w:eastAsia="等线" w:hAnsi="等线"/>
      <w:sz w:val="18"/>
      <w:szCs w:val="18"/>
    </w:rPr>
  </w:style>
  <w:style w:type="paragraph" w:styleId="TOC1">
    <w:name w:val="toc 1"/>
    <w:basedOn w:val="a"/>
    <w:next w:val="a"/>
    <w:uiPriority w:val="39"/>
    <w:unhideWhenUsed/>
    <w:qFormat/>
  </w:style>
  <w:style w:type="paragraph" w:styleId="a5">
    <w:name w:val="Title"/>
    <w:basedOn w:val="a"/>
    <w:next w:val="a"/>
    <w:uiPriority w:val="10"/>
    <w:qFormat/>
    <w:pPr>
      <w:spacing w:before="240" w:after="60"/>
      <w:jc w:val="center"/>
      <w:outlineLvl w:val="0"/>
    </w:pPr>
    <w:rPr>
      <w:rFonts w:eastAsia="黑体"/>
      <w:b/>
      <w:bCs/>
      <w:sz w:val="32"/>
      <w:szCs w:val="32"/>
    </w:rPr>
  </w:style>
  <w:style w:type="table" w:styleId="a6">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段"/>
    <w:autoRedefine/>
    <w:qFormat/>
    <w:pPr>
      <w:tabs>
        <w:tab w:val="center" w:pos="4201"/>
        <w:tab w:val="right" w:leader="dot" w:pos="9298"/>
      </w:tabs>
      <w:autoSpaceDE w:val="0"/>
      <w:autoSpaceDN w:val="0"/>
      <w:ind w:firstLineChars="200" w:firstLine="56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1594</Words>
  <Characters>1914</Characters>
  <Application>Microsoft Office Word</Application>
  <DocSecurity>0</DocSecurity>
  <Lines>106</Lines>
  <Paragraphs>116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程碧真</dc:creator>
  <cp:lastModifiedBy>ThinkPad</cp:lastModifiedBy>
  <cp:revision>3</cp:revision>
  <dcterms:created xsi:type="dcterms:W3CDTF">2025-07-30T07:21:00Z</dcterms:created>
  <dcterms:modified xsi:type="dcterms:W3CDTF">2025-08-21T01:28:00Z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8891C55B8B4140269D53CF27855954BB_11</vt:lpwstr>
  </property>
  <property fmtid="{D5CDD505-2E9C-101B-9397-08002B2CF9AE}" pid="4" name="KSOTemplateDocerSaveRecord">
    <vt:lpwstr>eyJoZGlkIjoiZDU2MTVjZjYxYWU3ZTA4NWI0MGRiNjJmNzNmOTBhMGQiLCJ1c2VySWQiOiIxNjYxNjg1NDg0In0=</vt:lpwstr>
  </property>
</Properties>
</file>