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1ABA" w14:textId="77777777" w:rsidR="008913A3" w:rsidRDefault="008913A3">
      <w:pPr>
        <w:jc w:val="center"/>
        <w:rPr>
          <w:sz w:val="52"/>
          <w:szCs w:val="52"/>
        </w:rPr>
      </w:pPr>
    </w:p>
    <w:p w14:paraId="42AC1ABB" w14:textId="77777777" w:rsidR="008913A3" w:rsidRDefault="008913A3">
      <w:pPr>
        <w:jc w:val="center"/>
        <w:rPr>
          <w:sz w:val="52"/>
          <w:szCs w:val="52"/>
        </w:rPr>
      </w:pPr>
    </w:p>
    <w:p w14:paraId="42AC1ABC" w14:textId="77777777" w:rsidR="008913A3" w:rsidRDefault="008913A3">
      <w:pPr>
        <w:jc w:val="center"/>
        <w:rPr>
          <w:sz w:val="52"/>
          <w:szCs w:val="52"/>
        </w:rPr>
      </w:pPr>
    </w:p>
    <w:p w14:paraId="42AC1ABD" w14:textId="77777777" w:rsidR="008913A3" w:rsidRDefault="008913A3">
      <w:pPr>
        <w:jc w:val="center"/>
        <w:rPr>
          <w:sz w:val="52"/>
          <w:szCs w:val="52"/>
        </w:rPr>
      </w:pPr>
    </w:p>
    <w:p w14:paraId="42AC1ABE" w14:textId="77777777" w:rsidR="008913A3" w:rsidRDefault="00000000">
      <w:pPr>
        <w:jc w:val="center"/>
        <w:rPr>
          <w:sz w:val="52"/>
          <w:szCs w:val="52"/>
        </w:rPr>
      </w:pPr>
      <w:r>
        <w:rPr>
          <w:rFonts w:hint="eastAsia"/>
          <w:sz w:val="52"/>
          <w:szCs w:val="52"/>
        </w:rPr>
        <w:t>团</w:t>
      </w:r>
      <w:r>
        <w:rPr>
          <w:rFonts w:hint="eastAsia"/>
          <w:sz w:val="52"/>
          <w:szCs w:val="52"/>
        </w:rPr>
        <w:t xml:space="preserve"> </w:t>
      </w:r>
      <w:r>
        <w:rPr>
          <w:rFonts w:hint="eastAsia"/>
          <w:sz w:val="52"/>
          <w:szCs w:val="52"/>
        </w:rPr>
        <w:t>体</w:t>
      </w:r>
      <w:r>
        <w:rPr>
          <w:sz w:val="52"/>
          <w:szCs w:val="52"/>
        </w:rPr>
        <w:t xml:space="preserve"> </w:t>
      </w:r>
      <w:r>
        <w:rPr>
          <w:sz w:val="52"/>
          <w:szCs w:val="52"/>
        </w:rPr>
        <w:t>标</w:t>
      </w:r>
      <w:r>
        <w:rPr>
          <w:sz w:val="52"/>
          <w:szCs w:val="52"/>
        </w:rPr>
        <w:t xml:space="preserve"> </w:t>
      </w:r>
      <w:r>
        <w:rPr>
          <w:sz w:val="52"/>
          <w:szCs w:val="52"/>
        </w:rPr>
        <w:t>准</w:t>
      </w:r>
    </w:p>
    <w:p w14:paraId="42AC1ABF" w14:textId="77777777" w:rsidR="008913A3" w:rsidRDefault="008913A3">
      <w:pPr>
        <w:jc w:val="center"/>
        <w:rPr>
          <w:sz w:val="48"/>
          <w:szCs w:val="48"/>
        </w:rPr>
      </w:pPr>
    </w:p>
    <w:p w14:paraId="42AC1AC0" w14:textId="2B016154" w:rsidR="008913A3" w:rsidRDefault="00000000">
      <w:pPr>
        <w:jc w:val="center"/>
        <w:rPr>
          <w:b/>
          <w:bCs/>
          <w:sz w:val="40"/>
          <w:szCs w:val="40"/>
        </w:rPr>
      </w:pPr>
      <w:r>
        <w:rPr>
          <w:b/>
          <w:bCs/>
          <w:sz w:val="40"/>
          <w:szCs w:val="40"/>
        </w:rPr>
        <w:t>《</w:t>
      </w:r>
      <w:r w:rsidR="00210B8D" w:rsidRPr="00210B8D">
        <w:rPr>
          <w:rFonts w:hint="eastAsia"/>
          <w:b/>
          <w:bCs/>
          <w:sz w:val="40"/>
          <w:szCs w:val="40"/>
        </w:rPr>
        <w:t>南方丘陵地区多年生栽培草地刈牧利用技术规程</w:t>
      </w:r>
      <w:r>
        <w:rPr>
          <w:b/>
          <w:bCs/>
          <w:sz w:val="40"/>
          <w:szCs w:val="40"/>
        </w:rPr>
        <w:t>》</w:t>
      </w:r>
    </w:p>
    <w:p w14:paraId="42AC1AC1" w14:textId="77777777" w:rsidR="008913A3" w:rsidRDefault="00000000">
      <w:pPr>
        <w:spacing w:beforeLines="100" w:before="312" w:afterLines="100" w:after="312" w:line="480" w:lineRule="auto"/>
        <w:ind w:left="-67"/>
        <w:jc w:val="center"/>
        <w:rPr>
          <w:b/>
          <w:bCs/>
          <w:sz w:val="44"/>
          <w:szCs w:val="44"/>
        </w:rPr>
      </w:pPr>
      <w:r>
        <w:rPr>
          <w:b/>
          <w:bCs/>
          <w:sz w:val="44"/>
          <w:szCs w:val="44"/>
        </w:rPr>
        <w:t>编制说明</w:t>
      </w:r>
    </w:p>
    <w:p w14:paraId="42AC1AC2" w14:textId="77777777" w:rsidR="008913A3" w:rsidRDefault="008913A3">
      <w:pPr>
        <w:jc w:val="center"/>
        <w:rPr>
          <w:bCs/>
          <w:sz w:val="36"/>
          <w:szCs w:val="36"/>
        </w:rPr>
      </w:pPr>
    </w:p>
    <w:p w14:paraId="42AC1AC3" w14:textId="77777777" w:rsidR="008913A3" w:rsidRDefault="008913A3">
      <w:pPr>
        <w:jc w:val="center"/>
        <w:rPr>
          <w:bCs/>
          <w:sz w:val="36"/>
          <w:szCs w:val="36"/>
        </w:rPr>
      </w:pPr>
    </w:p>
    <w:p w14:paraId="42AC1AC4" w14:textId="77777777" w:rsidR="008913A3" w:rsidRDefault="008913A3">
      <w:pPr>
        <w:jc w:val="center"/>
        <w:rPr>
          <w:bCs/>
          <w:sz w:val="36"/>
          <w:szCs w:val="36"/>
        </w:rPr>
      </w:pPr>
    </w:p>
    <w:p w14:paraId="42AC1AC5" w14:textId="77777777" w:rsidR="008913A3" w:rsidRDefault="008913A3">
      <w:pPr>
        <w:jc w:val="center"/>
        <w:rPr>
          <w:bCs/>
          <w:sz w:val="36"/>
          <w:szCs w:val="36"/>
        </w:rPr>
      </w:pPr>
    </w:p>
    <w:p w14:paraId="42AC1AC6" w14:textId="77777777" w:rsidR="008913A3" w:rsidRDefault="008913A3">
      <w:pPr>
        <w:jc w:val="center"/>
        <w:rPr>
          <w:bCs/>
          <w:sz w:val="36"/>
          <w:szCs w:val="36"/>
        </w:rPr>
      </w:pPr>
    </w:p>
    <w:p w14:paraId="42AC1AC7" w14:textId="77777777" w:rsidR="008913A3" w:rsidRDefault="008913A3">
      <w:pPr>
        <w:jc w:val="center"/>
        <w:rPr>
          <w:bCs/>
          <w:sz w:val="36"/>
          <w:szCs w:val="36"/>
        </w:rPr>
      </w:pPr>
    </w:p>
    <w:p w14:paraId="42AC1AC8" w14:textId="77777777" w:rsidR="008913A3" w:rsidRDefault="008913A3">
      <w:pPr>
        <w:jc w:val="center"/>
        <w:rPr>
          <w:bCs/>
          <w:sz w:val="36"/>
          <w:szCs w:val="36"/>
        </w:rPr>
      </w:pPr>
    </w:p>
    <w:p w14:paraId="42AC1AC9" w14:textId="77777777" w:rsidR="008913A3" w:rsidRDefault="008913A3">
      <w:pPr>
        <w:widowControl/>
        <w:jc w:val="center"/>
        <w:rPr>
          <w:bCs/>
          <w:sz w:val="44"/>
          <w:szCs w:val="44"/>
        </w:rPr>
      </w:pPr>
    </w:p>
    <w:p w14:paraId="42AC1ACB" w14:textId="77777777" w:rsidR="008913A3" w:rsidRDefault="008913A3" w:rsidP="00210B8D">
      <w:pPr>
        <w:widowControl/>
        <w:rPr>
          <w:rFonts w:hint="eastAsia"/>
          <w:b/>
          <w:sz w:val="44"/>
          <w:szCs w:val="44"/>
        </w:rPr>
      </w:pPr>
    </w:p>
    <w:p w14:paraId="42AC1ACC" w14:textId="5F97B4C7" w:rsidR="008913A3" w:rsidRDefault="00000000">
      <w:pPr>
        <w:ind w:leftChars="-67" w:left="-71" w:rightChars="-182" w:right="-437" w:hangingChars="32" w:hanging="90"/>
        <w:jc w:val="center"/>
        <w:rPr>
          <w:b/>
          <w:sz w:val="28"/>
          <w:szCs w:val="28"/>
        </w:rPr>
      </w:pPr>
      <w:r>
        <w:rPr>
          <w:b/>
          <w:sz w:val="28"/>
          <w:szCs w:val="28"/>
        </w:rPr>
        <w:t>《</w:t>
      </w:r>
      <w:r w:rsidR="00210B8D" w:rsidRPr="00210B8D">
        <w:rPr>
          <w:rFonts w:hint="eastAsia"/>
          <w:b/>
          <w:sz w:val="28"/>
          <w:szCs w:val="28"/>
        </w:rPr>
        <w:t>南方丘陵地区多年生栽培草地刈牧利用技术规程</w:t>
      </w:r>
      <w:r>
        <w:rPr>
          <w:b/>
          <w:sz w:val="28"/>
          <w:szCs w:val="28"/>
        </w:rPr>
        <w:t>》</w:t>
      </w:r>
      <w:r>
        <w:rPr>
          <w:rFonts w:hint="eastAsia"/>
          <w:b/>
          <w:sz w:val="28"/>
          <w:szCs w:val="28"/>
        </w:rPr>
        <w:t>团体</w:t>
      </w:r>
      <w:r>
        <w:rPr>
          <w:b/>
          <w:sz w:val="28"/>
          <w:szCs w:val="28"/>
        </w:rPr>
        <w:t>标准制定组</w:t>
      </w:r>
    </w:p>
    <w:p w14:paraId="42AC1ACD" w14:textId="12867327" w:rsidR="008913A3" w:rsidRDefault="00000000">
      <w:pPr>
        <w:widowControl/>
        <w:jc w:val="center"/>
        <w:rPr>
          <w:b/>
          <w:sz w:val="28"/>
          <w:szCs w:val="28"/>
        </w:rPr>
      </w:pPr>
      <w:r>
        <w:rPr>
          <w:b/>
          <w:sz w:val="28"/>
          <w:szCs w:val="28"/>
        </w:rPr>
        <w:t>二〇二五年</w:t>
      </w:r>
      <w:r w:rsidR="00210B8D">
        <w:rPr>
          <w:rFonts w:hint="eastAsia"/>
          <w:b/>
          <w:sz w:val="28"/>
          <w:szCs w:val="28"/>
        </w:rPr>
        <w:t>八</w:t>
      </w:r>
      <w:r>
        <w:rPr>
          <w:b/>
          <w:sz w:val="28"/>
          <w:szCs w:val="28"/>
        </w:rPr>
        <w:t>月</w:t>
      </w:r>
    </w:p>
    <w:p w14:paraId="42AC1ACE" w14:textId="77777777" w:rsidR="008913A3" w:rsidRDefault="00000000">
      <w:r>
        <w:br w:type="page"/>
      </w:r>
    </w:p>
    <w:p w14:paraId="42AC1ACF" w14:textId="77777777" w:rsidR="008913A3" w:rsidRDefault="008913A3"/>
    <w:sdt>
      <w:sdtPr>
        <w:rPr>
          <w:rFonts w:ascii="宋体" w:hAnsi="宋体"/>
          <w:sz w:val="28"/>
          <w:szCs w:val="28"/>
        </w:rPr>
        <w:id w:val="147472960"/>
        <w15:color w:val="DBDBDB"/>
        <w:docPartObj>
          <w:docPartGallery w:val="Table of Contents"/>
          <w:docPartUnique/>
        </w:docPartObj>
      </w:sdtPr>
      <w:sdtEndPr>
        <w:rPr>
          <w:rFonts w:asciiTheme="minorEastAsia" w:eastAsiaTheme="minorEastAsia" w:hAnsiTheme="minorEastAsia"/>
          <w:sz w:val="24"/>
          <w:szCs w:val="21"/>
        </w:rPr>
      </w:sdtEndPr>
      <w:sdtContent>
        <w:p w14:paraId="42AC1AD0" w14:textId="77777777" w:rsidR="008913A3" w:rsidRDefault="00000000">
          <w:pPr>
            <w:spacing w:line="240" w:lineRule="auto"/>
            <w:jc w:val="center"/>
            <w:rPr>
              <w:rFonts w:ascii="黑体" w:eastAsia="黑体" w:hAnsi="黑体"/>
              <w:sz w:val="32"/>
              <w:szCs w:val="32"/>
            </w:rPr>
          </w:pPr>
          <w:r>
            <w:rPr>
              <w:rFonts w:ascii="黑体" w:eastAsia="黑体" w:hAnsi="黑体"/>
              <w:sz w:val="32"/>
              <w:szCs w:val="32"/>
            </w:rPr>
            <w:t>目</w:t>
          </w:r>
          <w:r>
            <w:rPr>
              <w:rFonts w:ascii="黑体" w:eastAsia="黑体" w:hAnsi="黑体" w:hint="eastAsia"/>
              <w:sz w:val="32"/>
              <w:szCs w:val="32"/>
            </w:rPr>
            <w:t xml:space="preserve">  次</w:t>
          </w:r>
        </w:p>
        <w:p w14:paraId="42AC1AD1" w14:textId="77777777" w:rsidR="008913A3" w:rsidRDefault="00000000">
          <w:pPr>
            <w:pStyle w:val="TOC1"/>
            <w:tabs>
              <w:tab w:val="right" w:leader="dot" w:pos="8296"/>
            </w:tabs>
            <w:rPr>
              <w:rFonts w:asciiTheme="minorEastAsia" w:eastAsiaTheme="minorEastAsia" w:hAnsiTheme="minorEastAsia" w:cstheme="minorBidi"/>
              <w:szCs w:val="24"/>
              <w14:ligatures w14:val="standardContextual"/>
            </w:rPr>
          </w:pPr>
          <w:r>
            <w:rPr>
              <w:rFonts w:asciiTheme="minorEastAsia" w:eastAsiaTheme="minorEastAsia" w:hAnsiTheme="minorEastAsia"/>
              <w:kern w:val="0"/>
              <w:sz w:val="20"/>
              <w:szCs w:val="20"/>
            </w:rPr>
            <w:fldChar w:fldCharType="begin"/>
          </w:r>
          <w:r>
            <w:rPr>
              <w:rFonts w:asciiTheme="minorEastAsia" w:eastAsiaTheme="minorEastAsia" w:hAnsiTheme="minorEastAsia"/>
            </w:rPr>
            <w:instrText xml:space="preserve">TOC \o "1-2" \h \u </w:instrText>
          </w:r>
          <w:r>
            <w:rPr>
              <w:rFonts w:asciiTheme="minorEastAsia" w:eastAsiaTheme="minorEastAsia" w:hAnsiTheme="minorEastAsia"/>
              <w:kern w:val="0"/>
              <w:sz w:val="20"/>
              <w:szCs w:val="20"/>
            </w:rPr>
            <w:fldChar w:fldCharType="separate"/>
          </w:r>
          <w:hyperlink w:anchor="_Toc197503226" w:history="1">
            <w:r>
              <w:rPr>
                <w:rStyle w:val="a7"/>
                <w:rFonts w:asciiTheme="minorEastAsia" w:eastAsiaTheme="minorEastAsia" w:hAnsiTheme="minorEastAsia"/>
                <w:szCs w:val="24"/>
              </w:rPr>
              <w:t>一、任务来源</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_Toc197503226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3</w:t>
            </w:r>
            <w:r>
              <w:rPr>
                <w:rFonts w:asciiTheme="minorEastAsia" w:eastAsiaTheme="minorEastAsia" w:hAnsiTheme="minorEastAsia"/>
                <w:szCs w:val="24"/>
              </w:rPr>
              <w:fldChar w:fldCharType="end"/>
            </w:r>
          </w:hyperlink>
        </w:p>
        <w:p w14:paraId="42AC1AD2" w14:textId="77777777" w:rsidR="008913A3" w:rsidRDefault="00000000">
          <w:pPr>
            <w:pStyle w:val="TOC1"/>
            <w:tabs>
              <w:tab w:val="right" w:leader="dot" w:pos="8296"/>
            </w:tabs>
            <w:rPr>
              <w:rFonts w:asciiTheme="minorEastAsia" w:eastAsiaTheme="minorEastAsia" w:hAnsiTheme="minorEastAsia" w:cstheme="minorBidi"/>
              <w:szCs w:val="24"/>
              <w14:ligatures w14:val="standardContextual"/>
            </w:rPr>
          </w:pPr>
          <w:hyperlink w:anchor="_Toc197503227" w:history="1">
            <w:r>
              <w:rPr>
                <w:rStyle w:val="a7"/>
                <w:rFonts w:asciiTheme="minorEastAsia" w:eastAsiaTheme="minorEastAsia" w:hAnsiTheme="minorEastAsia"/>
                <w:szCs w:val="24"/>
              </w:rPr>
              <w:t>二、编制目的和意义</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_Toc197503227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3</w:t>
            </w:r>
            <w:r>
              <w:rPr>
                <w:rFonts w:asciiTheme="minorEastAsia" w:eastAsiaTheme="minorEastAsia" w:hAnsiTheme="minorEastAsia"/>
                <w:szCs w:val="24"/>
              </w:rPr>
              <w:fldChar w:fldCharType="end"/>
            </w:r>
          </w:hyperlink>
        </w:p>
        <w:p w14:paraId="42AC1AD3" w14:textId="77777777" w:rsidR="008913A3" w:rsidRDefault="00000000">
          <w:pPr>
            <w:pStyle w:val="TOC1"/>
            <w:tabs>
              <w:tab w:val="right" w:leader="dot" w:pos="8296"/>
            </w:tabs>
            <w:rPr>
              <w:rFonts w:asciiTheme="minorEastAsia" w:eastAsiaTheme="minorEastAsia" w:hAnsiTheme="minorEastAsia" w:cstheme="minorBidi"/>
              <w:szCs w:val="24"/>
              <w14:ligatures w14:val="standardContextual"/>
            </w:rPr>
          </w:pPr>
          <w:hyperlink w:anchor="_Toc197503228" w:history="1">
            <w:r>
              <w:rPr>
                <w:rStyle w:val="a7"/>
                <w:rFonts w:asciiTheme="minorEastAsia" w:eastAsiaTheme="minorEastAsia" w:hAnsiTheme="minorEastAsia"/>
                <w:szCs w:val="24"/>
              </w:rPr>
              <w:t>三、编制原则和依据</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_Toc197503228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4</w:t>
            </w:r>
            <w:r>
              <w:rPr>
                <w:rFonts w:asciiTheme="minorEastAsia" w:eastAsiaTheme="minorEastAsia" w:hAnsiTheme="minorEastAsia"/>
                <w:szCs w:val="24"/>
              </w:rPr>
              <w:fldChar w:fldCharType="end"/>
            </w:r>
          </w:hyperlink>
        </w:p>
        <w:p w14:paraId="42AC1AD4" w14:textId="77777777" w:rsidR="008913A3" w:rsidRDefault="00000000">
          <w:pPr>
            <w:pStyle w:val="TOC1"/>
            <w:tabs>
              <w:tab w:val="right" w:leader="dot" w:pos="8296"/>
            </w:tabs>
            <w:rPr>
              <w:rFonts w:asciiTheme="minorEastAsia" w:eastAsiaTheme="minorEastAsia" w:hAnsiTheme="minorEastAsia" w:cstheme="minorBidi"/>
              <w:szCs w:val="24"/>
              <w14:ligatures w14:val="standardContextual"/>
            </w:rPr>
          </w:pPr>
          <w:hyperlink w:anchor="_Toc197503229" w:history="1">
            <w:r>
              <w:rPr>
                <w:rStyle w:val="a7"/>
                <w:rFonts w:asciiTheme="minorEastAsia" w:eastAsiaTheme="minorEastAsia" w:hAnsiTheme="minorEastAsia"/>
                <w:szCs w:val="24"/>
              </w:rPr>
              <w:t>四、主要工作过程</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_Toc197503229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4</w:t>
            </w:r>
            <w:r>
              <w:rPr>
                <w:rFonts w:asciiTheme="minorEastAsia" w:eastAsiaTheme="minorEastAsia" w:hAnsiTheme="minorEastAsia"/>
                <w:szCs w:val="24"/>
              </w:rPr>
              <w:fldChar w:fldCharType="end"/>
            </w:r>
          </w:hyperlink>
        </w:p>
        <w:p w14:paraId="42AC1AD5" w14:textId="77777777" w:rsidR="008913A3" w:rsidRDefault="00000000">
          <w:pPr>
            <w:pStyle w:val="TOC2"/>
            <w:tabs>
              <w:tab w:val="right" w:leader="dot" w:pos="8296"/>
            </w:tabs>
            <w:ind w:left="480"/>
            <w:rPr>
              <w:rFonts w:asciiTheme="minorEastAsia" w:eastAsiaTheme="minorEastAsia" w:hAnsiTheme="minorEastAsia" w:cstheme="minorBidi"/>
              <w:szCs w:val="24"/>
              <w14:ligatures w14:val="standardContextual"/>
            </w:rPr>
          </w:pPr>
          <w:hyperlink w:anchor="_Toc197503230" w:history="1">
            <w:r>
              <w:rPr>
                <w:rStyle w:val="a7"/>
                <w:rFonts w:asciiTheme="minorEastAsia" w:eastAsiaTheme="minorEastAsia" w:hAnsiTheme="minorEastAsia"/>
                <w:szCs w:val="24"/>
              </w:rPr>
              <w:t>1. 成立标准起草工作组</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_Toc197503230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4</w:t>
            </w:r>
            <w:r>
              <w:rPr>
                <w:rFonts w:asciiTheme="minorEastAsia" w:eastAsiaTheme="minorEastAsia" w:hAnsiTheme="minorEastAsia"/>
                <w:szCs w:val="24"/>
              </w:rPr>
              <w:fldChar w:fldCharType="end"/>
            </w:r>
          </w:hyperlink>
        </w:p>
        <w:p w14:paraId="42AC1AD6" w14:textId="77777777" w:rsidR="008913A3" w:rsidRDefault="00000000">
          <w:pPr>
            <w:pStyle w:val="TOC2"/>
            <w:tabs>
              <w:tab w:val="right" w:leader="dot" w:pos="8296"/>
            </w:tabs>
            <w:ind w:left="480"/>
            <w:rPr>
              <w:rFonts w:asciiTheme="minorEastAsia" w:eastAsiaTheme="minorEastAsia" w:hAnsiTheme="minorEastAsia" w:cstheme="minorBidi"/>
              <w:szCs w:val="24"/>
              <w14:ligatures w14:val="standardContextual"/>
            </w:rPr>
          </w:pPr>
          <w:hyperlink w:anchor="_Toc197503231" w:history="1">
            <w:r>
              <w:rPr>
                <w:rStyle w:val="a7"/>
                <w:rFonts w:asciiTheme="minorEastAsia" w:eastAsiaTheme="minorEastAsia" w:hAnsiTheme="minorEastAsia"/>
                <w:szCs w:val="24"/>
              </w:rPr>
              <w:t>2. 资料收集分析、技术准备</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_Toc197503231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5</w:t>
            </w:r>
            <w:r>
              <w:rPr>
                <w:rFonts w:asciiTheme="minorEastAsia" w:eastAsiaTheme="minorEastAsia" w:hAnsiTheme="minorEastAsia"/>
                <w:szCs w:val="24"/>
              </w:rPr>
              <w:fldChar w:fldCharType="end"/>
            </w:r>
          </w:hyperlink>
        </w:p>
        <w:p w14:paraId="42AC1AD7" w14:textId="77777777" w:rsidR="008913A3" w:rsidRDefault="00000000">
          <w:pPr>
            <w:pStyle w:val="TOC2"/>
            <w:tabs>
              <w:tab w:val="right" w:leader="dot" w:pos="8296"/>
            </w:tabs>
            <w:ind w:left="480"/>
            <w:rPr>
              <w:rFonts w:asciiTheme="minorEastAsia" w:eastAsiaTheme="minorEastAsia" w:hAnsiTheme="minorEastAsia" w:cstheme="minorBidi"/>
              <w:szCs w:val="24"/>
              <w14:ligatures w14:val="standardContextual"/>
            </w:rPr>
          </w:pPr>
          <w:hyperlink w:anchor="_Toc197503232" w:history="1">
            <w:r>
              <w:rPr>
                <w:rStyle w:val="a7"/>
                <w:rFonts w:asciiTheme="minorEastAsia" w:eastAsiaTheme="minorEastAsia" w:hAnsiTheme="minorEastAsia"/>
                <w:szCs w:val="24"/>
              </w:rPr>
              <w:t>3. 标准编写，形成技术规程草案</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_Toc197503232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5</w:t>
            </w:r>
            <w:r>
              <w:rPr>
                <w:rFonts w:asciiTheme="minorEastAsia" w:eastAsiaTheme="minorEastAsia" w:hAnsiTheme="minorEastAsia"/>
                <w:szCs w:val="24"/>
              </w:rPr>
              <w:fldChar w:fldCharType="end"/>
            </w:r>
          </w:hyperlink>
        </w:p>
        <w:p w14:paraId="42AC1AD8" w14:textId="77777777" w:rsidR="008913A3" w:rsidRDefault="00000000">
          <w:pPr>
            <w:pStyle w:val="TOC1"/>
            <w:tabs>
              <w:tab w:val="right" w:leader="dot" w:pos="8296"/>
            </w:tabs>
            <w:rPr>
              <w:rFonts w:asciiTheme="minorEastAsia" w:eastAsiaTheme="minorEastAsia" w:hAnsiTheme="minorEastAsia" w:cstheme="minorBidi"/>
              <w:szCs w:val="24"/>
              <w14:ligatures w14:val="standardContextual"/>
            </w:rPr>
          </w:pPr>
          <w:hyperlink w:anchor="_Toc197503233" w:history="1">
            <w:r>
              <w:rPr>
                <w:rStyle w:val="a7"/>
                <w:rFonts w:asciiTheme="minorEastAsia" w:eastAsiaTheme="minorEastAsia" w:hAnsiTheme="minorEastAsia"/>
                <w:szCs w:val="24"/>
                <w:highlight w:val="lightGray"/>
              </w:rPr>
              <w:t>五、</w:t>
            </w:r>
            <w:r>
              <w:rPr>
                <w:rStyle w:val="a7"/>
                <w:rFonts w:asciiTheme="minorEastAsia" w:eastAsiaTheme="minorEastAsia" w:hAnsiTheme="minorEastAsia"/>
                <w:szCs w:val="24"/>
              </w:rPr>
              <w:t>主要技术内容确定的依据</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_Toc197503233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5</w:t>
            </w:r>
            <w:r>
              <w:rPr>
                <w:rFonts w:asciiTheme="minorEastAsia" w:eastAsiaTheme="minorEastAsia" w:hAnsiTheme="minorEastAsia"/>
                <w:szCs w:val="24"/>
              </w:rPr>
              <w:fldChar w:fldCharType="end"/>
            </w:r>
          </w:hyperlink>
        </w:p>
        <w:p w14:paraId="42AC1AD9" w14:textId="77777777" w:rsidR="008913A3" w:rsidRDefault="00000000">
          <w:pPr>
            <w:pStyle w:val="TOC2"/>
            <w:tabs>
              <w:tab w:val="right" w:leader="dot" w:pos="8296"/>
            </w:tabs>
            <w:ind w:left="480"/>
            <w:rPr>
              <w:rFonts w:asciiTheme="minorEastAsia" w:eastAsiaTheme="minorEastAsia" w:hAnsiTheme="minorEastAsia" w:cstheme="minorBidi"/>
              <w:szCs w:val="24"/>
              <w14:ligatures w14:val="standardContextual"/>
            </w:rPr>
          </w:pPr>
          <w:hyperlink w:anchor="_Toc197503234" w:history="1">
            <w:r>
              <w:rPr>
                <w:rStyle w:val="a7"/>
                <w:rFonts w:asciiTheme="minorEastAsia" w:eastAsiaTheme="minorEastAsia" w:hAnsiTheme="minorEastAsia"/>
                <w:szCs w:val="24"/>
              </w:rPr>
              <w:t>1. 适用范围</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_Toc197503234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5</w:t>
            </w:r>
            <w:r>
              <w:rPr>
                <w:rFonts w:asciiTheme="minorEastAsia" w:eastAsiaTheme="minorEastAsia" w:hAnsiTheme="minorEastAsia"/>
                <w:szCs w:val="24"/>
              </w:rPr>
              <w:fldChar w:fldCharType="end"/>
            </w:r>
          </w:hyperlink>
        </w:p>
        <w:p w14:paraId="42AC1ADA" w14:textId="77777777" w:rsidR="008913A3" w:rsidRDefault="00000000">
          <w:pPr>
            <w:pStyle w:val="TOC2"/>
            <w:tabs>
              <w:tab w:val="right" w:leader="dot" w:pos="8296"/>
            </w:tabs>
            <w:ind w:left="480"/>
            <w:rPr>
              <w:rFonts w:asciiTheme="minorEastAsia" w:eastAsiaTheme="minorEastAsia" w:hAnsiTheme="minorEastAsia" w:cstheme="minorBidi"/>
              <w:szCs w:val="24"/>
              <w14:ligatures w14:val="standardContextual"/>
            </w:rPr>
          </w:pPr>
          <w:hyperlink w:anchor="_Toc197503235" w:history="1">
            <w:r>
              <w:rPr>
                <w:rStyle w:val="a7"/>
                <w:rFonts w:asciiTheme="minorEastAsia" w:eastAsiaTheme="minorEastAsia" w:hAnsiTheme="minorEastAsia"/>
                <w:szCs w:val="24"/>
              </w:rPr>
              <w:t>2. 规范性引用文件</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_Toc197503235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5</w:t>
            </w:r>
            <w:r>
              <w:rPr>
                <w:rFonts w:asciiTheme="minorEastAsia" w:eastAsiaTheme="minorEastAsia" w:hAnsiTheme="minorEastAsia"/>
                <w:szCs w:val="24"/>
              </w:rPr>
              <w:fldChar w:fldCharType="end"/>
            </w:r>
          </w:hyperlink>
        </w:p>
        <w:p w14:paraId="42AC1ADB" w14:textId="77777777" w:rsidR="008913A3" w:rsidRDefault="00000000">
          <w:pPr>
            <w:pStyle w:val="TOC2"/>
            <w:tabs>
              <w:tab w:val="right" w:leader="dot" w:pos="8296"/>
            </w:tabs>
            <w:ind w:left="480"/>
            <w:rPr>
              <w:rFonts w:asciiTheme="minorEastAsia" w:eastAsiaTheme="minorEastAsia" w:hAnsiTheme="minorEastAsia" w:cstheme="minorBidi"/>
              <w:szCs w:val="24"/>
              <w14:ligatures w14:val="standardContextual"/>
            </w:rPr>
          </w:pPr>
          <w:hyperlink w:anchor="_Toc197503236" w:history="1">
            <w:r>
              <w:rPr>
                <w:rStyle w:val="a7"/>
                <w:rFonts w:asciiTheme="minorEastAsia" w:eastAsiaTheme="minorEastAsia" w:hAnsiTheme="minorEastAsia"/>
                <w:szCs w:val="24"/>
              </w:rPr>
              <w:t>3. 主要技术指标确定的依据</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_Toc197503236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6</w:t>
            </w:r>
            <w:r>
              <w:rPr>
                <w:rFonts w:asciiTheme="minorEastAsia" w:eastAsiaTheme="minorEastAsia" w:hAnsiTheme="minorEastAsia"/>
                <w:szCs w:val="24"/>
              </w:rPr>
              <w:fldChar w:fldCharType="end"/>
            </w:r>
          </w:hyperlink>
        </w:p>
        <w:p w14:paraId="42AC1ADC" w14:textId="77777777" w:rsidR="008913A3" w:rsidRDefault="00000000">
          <w:pPr>
            <w:pStyle w:val="TOC1"/>
            <w:tabs>
              <w:tab w:val="left" w:pos="880"/>
              <w:tab w:val="right" w:leader="dot" w:pos="8296"/>
            </w:tabs>
            <w:rPr>
              <w:rFonts w:asciiTheme="minorEastAsia" w:eastAsiaTheme="minorEastAsia" w:hAnsiTheme="minorEastAsia" w:cstheme="minorBidi"/>
              <w:szCs w:val="24"/>
              <w14:ligatures w14:val="standardContextual"/>
            </w:rPr>
          </w:pPr>
          <w:hyperlink w:anchor="_Toc197503237" w:history="1">
            <w:r>
              <w:rPr>
                <w:rStyle w:val="a7"/>
                <w:rFonts w:asciiTheme="minorEastAsia" w:eastAsiaTheme="minorEastAsia" w:hAnsiTheme="minorEastAsia"/>
                <w:szCs w:val="24"/>
              </w:rPr>
              <w:t>六、采用的国际标准</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_Toc197503237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6</w:t>
            </w:r>
            <w:r>
              <w:rPr>
                <w:rFonts w:asciiTheme="minorEastAsia" w:eastAsiaTheme="minorEastAsia" w:hAnsiTheme="minorEastAsia"/>
                <w:szCs w:val="24"/>
              </w:rPr>
              <w:fldChar w:fldCharType="end"/>
            </w:r>
          </w:hyperlink>
        </w:p>
        <w:p w14:paraId="42AC1ADD" w14:textId="77777777" w:rsidR="008913A3" w:rsidRDefault="00000000">
          <w:pPr>
            <w:pStyle w:val="TOC1"/>
            <w:tabs>
              <w:tab w:val="right" w:leader="dot" w:pos="8296"/>
            </w:tabs>
            <w:rPr>
              <w:rFonts w:asciiTheme="minorEastAsia" w:eastAsiaTheme="minorEastAsia" w:hAnsiTheme="minorEastAsia" w:cstheme="minorBidi"/>
              <w:szCs w:val="24"/>
              <w14:ligatures w14:val="standardContextual"/>
            </w:rPr>
          </w:pPr>
          <w:hyperlink w:anchor="_Toc197503238" w:history="1">
            <w:r>
              <w:rPr>
                <w:rStyle w:val="a7"/>
                <w:rFonts w:asciiTheme="minorEastAsia" w:eastAsiaTheme="minorEastAsia" w:hAnsiTheme="minorEastAsia"/>
                <w:szCs w:val="24"/>
              </w:rPr>
              <w:t>七、与现行法律法规和强制性标准的关系</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_Toc197503238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6</w:t>
            </w:r>
            <w:r>
              <w:rPr>
                <w:rFonts w:asciiTheme="minorEastAsia" w:eastAsiaTheme="minorEastAsia" w:hAnsiTheme="minorEastAsia"/>
                <w:szCs w:val="24"/>
              </w:rPr>
              <w:fldChar w:fldCharType="end"/>
            </w:r>
          </w:hyperlink>
        </w:p>
        <w:p w14:paraId="42AC1ADE" w14:textId="77777777" w:rsidR="008913A3" w:rsidRDefault="00000000">
          <w:pPr>
            <w:pStyle w:val="TOC1"/>
            <w:tabs>
              <w:tab w:val="right" w:leader="dot" w:pos="8296"/>
            </w:tabs>
            <w:rPr>
              <w:rFonts w:asciiTheme="minorEastAsia" w:eastAsiaTheme="minorEastAsia" w:hAnsiTheme="minorEastAsia" w:cstheme="minorBidi"/>
              <w:szCs w:val="24"/>
              <w14:ligatures w14:val="standardContextual"/>
            </w:rPr>
          </w:pPr>
          <w:hyperlink w:anchor="_Toc197503239" w:history="1">
            <w:r>
              <w:rPr>
                <w:rStyle w:val="a7"/>
                <w:rFonts w:asciiTheme="minorEastAsia" w:eastAsiaTheme="minorEastAsia" w:hAnsiTheme="minorEastAsia"/>
                <w:szCs w:val="24"/>
              </w:rPr>
              <w:t>八、重大分歧意见的处理经过和依据</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_Toc197503239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7</w:t>
            </w:r>
            <w:r>
              <w:rPr>
                <w:rFonts w:asciiTheme="minorEastAsia" w:eastAsiaTheme="minorEastAsia" w:hAnsiTheme="minorEastAsia"/>
                <w:szCs w:val="24"/>
              </w:rPr>
              <w:fldChar w:fldCharType="end"/>
            </w:r>
          </w:hyperlink>
        </w:p>
        <w:p w14:paraId="42AC1ADF" w14:textId="77777777" w:rsidR="008913A3" w:rsidRDefault="00000000">
          <w:pPr>
            <w:pStyle w:val="TOC1"/>
            <w:tabs>
              <w:tab w:val="right" w:leader="dot" w:pos="8296"/>
            </w:tabs>
            <w:rPr>
              <w:rFonts w:asciiTheme="minorEastAsia" w:eastAsiaTheme="minorEastAsia" w:hAnsiTheme="minorEastAsia" w:cstheme="minorBidi"/>
              <w:szCs w:val="24"/>
              <w14:ligatures w14:val="standardContextual"/>
            </w:rPr>
          </w:pPr>
          <w:hyperlink w:anchor="_Toc197503240" w:history="1">
            <w:r>
              <w:rPr>
                <w:rStyle w:val="a7"/>
                <w:rFonts w:asciiTheme="minorEastAsia" w:eastAsiaTheme="minorEastAsia" w:hAnsiTheme="minorEastAsia"/>
                <w:szCs w:val="24"/>
              </w:rPr>
              <w:t>九、标准作为强制性或推荐性标准的意见</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_Toc197503240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7</w:t>
            </w:r>
            <w:r>
              <w:rPr>
                <w:rFonts w:asciiTheme="minorEastAsia" w:eastAsiaTheme="minorEastAsia" w:hAnsiTheme="minorEastAsia"/>
                <w:szCs w:val="24"/>
              </w:rPr>
              <w:fldChar w:fldCharType="end"/>
            </w:r>
          </w:hyperlink>
        </w:p>
        <w:p w14:paraId="42AC1AE0" w14:textId="77777777" w:rsidR="008913A3" w:rsidRDefault="00000000">
          <w:pPr>
            <w:pStyle w:val="TOC1"/>
            <w:tabs>
              <w:tab w:val="right" w:leader="dot" w:pos="8296"/>
            </w:tabs>
            <w:rPr>
              <w:rFonts w:asciiTheme="minorEastAsia" w:eastAsiaTheme="minorEastAsia" w:hAnsiTheme="minorEastAsia" w:cstheme="minorBidi"/>
              <w:szCs w:val="24"/>
              <w14:ligatures w14:val="standardContextual"/>
            </w:rPr>
          </w:pPr>
          <w:hyperlink w:anchor="_Toc197503241" w:history="1">
            <w:r>
              <w:rPr>
                <w:rStyle w:val="a7"/>
                <w:rFonts w:asciiTheme="minorEastAsia" w:eastAsiaTheme="minorEastAsia" w:hAnsiTheme="minorEastAsia"/>
                <w:szCs w:val="24"/>
              </w:rPr>
              <w:t>十、贯彻标准的要求和措施建议</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_Toc197503241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7</w:t>
            </w:r>
            <w:r>
              <w:rPr>
                <w:rFonts w:asciiTheme="minorEastAsia" w:eastAsiaTheme="minorEastAsia" w:hAnsiTheme="minorEastAsia"/>
                <w:szCs w:val="24"/>
              </w:rPr>
              <w:fldChar w:fldCharType="end"/>
            </w:r>
          </w:hyperlink>
        </w:p>
        <w:p w14:paraId="42AC1AE1" w14:textId="77777777" w:rsidR="008913A3" w:rsidRDefault="00000000">
          <w:pPr>
            <w:pStyle w:val="TOC1"/>
            <w:tabs>
              <w:tab w:val="right" w:leader="dot" w:pos="8296"/>
            </w:tabs>
            <w:rPr>
              <w:rFonts w:asciiTheme="minorEastAsia" w:eastAsiaTheme="minorEastAsia" w:hAnsiTheme="minorEastAsia" w:cstheme="minorBidi"/>
              <w:szCs w:val="24"/>
              <w14:ligatures w14:val="standardContextual"/>
            </w:rPr>
          </w:pPr>
          <w:hyperlink w:anchor="_Toc197503242" w:history="1">
            <w:r>
              <w:rPr>
                <w:rStyle w:val="a7"/>
                <w:rFonts w:asciiTheme="minorEastAsia" w:eastAsiaTheme="minorEastAsia" w:hAnsiTheme="minorEastAsia"/>
                <w:szCs w:val="24"/>
              </w:rPr>
              <w:t>十一、废止现行有关标准的建议</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_Toc197503242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7</w:t>
            </w:r>
            <w:r>
              <w:rPr>
                <w:rFonts w:asciiTheme="minorEastAsia" w:eastAsiaTheme="minorEastAsia" w:hAnsiTheme="minorEastAsia"/>
                <w:szCs w:val="24"/>
              </w:rPr>
              <w:fldChar w:fldCharType="end"/>
            </w:r>
          </w:hyperlink>
        </w:p>
        <w:p w14:paraId="42AC1AE2" w14:textId="77777777" w:rsidR="008913A3" w:rsidRDefault="00000000">
          <w:pPr>
            <w:pStyle w:val="TOC1"/>
            <w:tabs>
              <w:tab w:val="right" w:leader="dot" w:pos="8296"/>
            </w:tabs>
            <w:rPr>
              <w:rFonts w:asciiTheme="minorEastAsia" w:eastAsiaTheme="minorEastAsia" w:hAnsiTheme="minorEastAsia" w:cstheme="minorBidi"/>
              <w:szCs w:val="24"/>
              <w14:ligatures w14:val="standardContextual"/>
            </w:rPr>
          </w:pPr>
          <w:hyperlink w:anchor="_Toc197503243" w:history="1">
            <w:r>
              <w:rPr>
                <w:rStyle w:val="a7"/>
                <w:rFonts w:asciiTheme="minorEastAsia" w:eastAsiaTheme="minorEastAsia" w:hAnsiTheme="minorEastAsia"/>
                <w:szCs w:val="24"/>
              </w:rPr>
              <w:t>十二、其他应予说明的事项</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_Toc197503243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7</w:t>
            </w:r>
            <w:r>
              <w:rPr>
                <w:rFonts w:asciiTheme="minorEastAsia" w:eastAsiaTheme="minorEastAsia" w:hAnsiTheme="minorEastAsia"/>
                <w:szCs w:val="24"/>
              </w:rPr>
              <w:fldChar w:fldCharType="end"/>
            </w:r>
          </w:hyperlink>
        </w:p>
        <w:p w14:paraId="42AC1AE3" w14:textId="77777777" w:rsidR="008913A3" w:rsidRDefault="00000000">
          <w:pPr>
            <w:rPr>
              <w:rFonts w:asciiTheme="minorEastAsia" w:eastAsiaTheme="minorEastAsia" w:hAnsiTheme="minorEastAsia"/>
            </w:rPr>
          </w:pPr>
          <w:r>
            <w:rPr>
              <w:rFonts w:asciiTheme="minorEastAsia" w:eastAsiaTheme="minorEastAsia" w:hAnsiTheme="minorEastAsia"/>
            </w:rPr>
            <w:fldChar w:fldCharType="end"/>
          </w:r>
        </w:p>
      </w:sdtContent>
    </w:sdt>
    <w:p w14:paraId="42AC1AE4" w14:textId="77777777" w:rsidR="008913A3" w:rsidRDefault="008913A3">
      <w:pPr>
        <w:rPr>
          <w:b/>
        </w:rPr>
      </w:pPr>
    </w:p>
    <w:p w14:paraId="42AC1AE5" w14:textId="77777777" w:rsidR="008913A3" w:rsidRDefault="00000000">
      <w:bookmarkStart w:id="0" w:name="_Toc404077038"/>
      <w:bookmarkStart w:id="1" w:name="_Toc176456970"/>
      <w:bookmarkStart w:id="2" w:name="_Toc22674793"/>
      <w:bookmarkStart w:id="3" w:name="_Toc22682826"/>
      <w:r>
        <w:br w:type="page"/>
      </w:r>
    </w:p>
    <w:p w14:paraId="42AC1AE6" w14:textId="77777777" w:rsidR="008913A3" w:rsidRDefault="00000000">
      <w:pPr>
        <w:pStyle w:val="1"/>
      </w:pPr>
      <w:bookmarkStart w:id="4" w:name="_Toc197503226"/>
      <w:r>
        <w:lastRenderedPageBreak/>
        <w:t>一、任</w:t>
      </w:r>
      <w:bookmarkStart w:id="5" w:name="OLE_LINK1"/>
      <w:r>
        <w:t>务</w:t>
      </w:r>
      <w:bookmarkEnd w:id="5"/>
      <w:r>
        <w:t>来源</w:t>
      </w:r>
      <w:bookmarkEnd w:id="0"/>
      <w:bookmarkEnd w:id="1"/>
      <w:bookmarkEnd w:id="2"/>
      <w:bookmarkEnd w:id="3"/>
      <w:bookmarkEnd w:id="4"/>
    </w:p>
    <w:p w14:paraId="42AC1AE7" w14:textId="12FC5465" w:rsidR="008913A3" w:rsidRDefault="00AA576E">
      <w:pPr>
        <w:ind w:firstLineChars="200" w:firstLine="480"/>
        <w:rPr>
          <w:szCs w:val="24"/>
        </w:rPr>
      </w:pPr>
      <w:r w:rsidRPr="00AA576E">
        <w:rPr>
          <w:rFonts w:hint="eastAsia"/>
          <w:szCs w:val="24"/>
        </w:rPr>
        <w:t>本标准由</w:t>
      </w:r>
      <w:r w:rsidR="00EE1B98" w:rsidRPr="00E0770A">
        <w:rPr>
          <w:szCs w:val="24"/>
        </w:rPr>
        <w:t>兰州大学</w:t>
      </w:r>
      <w:r w:rsidR="00EE1B98">
        <w:rPr>
          <w:rFonts w:hint="eastAsia"/>
          <w:szCs w:val="24"/>
        </w:rPr>
        <w:t>牵头</w:t>
      </w:r>
      <w:r w:rsidR="003F6F3A">
        <w:rPr>
          <w:rFonts w:hint="eastAsia"/>
          <w:szCs w:val="24"/>
        </w:rPr>
        <w:t>，联合</w:t>
      </w:r>
      <w:r w:rsidR="00CD7670" w:rsidRPr="00CD7670">
        <w:rPr>
          <w:rFonts w:hint="eastAsia"/>
          <w:szCs w:val="24"/>
        </w:rPr>
        <w:t>云南省草地动物科学研究院、云南省种羊繁育推广中心、贵州省草业研究所、贵州大学、全国畜牧总站</w:t>
      </w:r>
      <w:r w:rsidRPr="00AA576E">
        <w:rPr>
          <w:rFonts w:hint="eastAsia"/>
          <w:szCs w:val="24"/>
        </w:rPr>
        <w:t>相关研究人员开展《</w:t>
      </w:r>
      <w:r w:rsidR="003F6F3A" w:rsidRPr="003F6F3A">
        <w:rPr>
          <w:rFonts w:hint="eastAsia"/>
          <w:szCs w:val="24"/>
        </w:rPr>
        <w:t>南方丘陵地区多年生栽培草地刈牧利用技术规程</w:t>
      </w:r>
      <w:r w:rsidRPr="00AA576E">
        <w:rPr>
          <w:rFonts w:hint="eastAsia"/>
          <w:szCs w:val="24"/>
        </w:rPr>
        <w:t>》制定的研究。标准性质为推荐性标准</w:t>
      </w:r>
      <w:r w:rsidR="00000000">
        <w:rPr>
          <w:szCs w:val="24"/>
        </w:rPr>
        <w:t>。</w:t>
      </w:r>
    </w:p>
    <w:p w14:paraId="42AC1AE8" w14:textId="77777777" w:rsidR="008913A3" w:rsidRDefault="00000000">
      <w:pPr>
        <w:pStyle w:val="1"/>
      </w:pPr>
      <w:bookmarkStart w:id="6" w:name="_Toc176456971"/>
      <w:bookmarkStart w:id="7" w:name="_Toc197503227"/>
      <w:r>
        <w:t>二、编制目的和意义</w:t>
      </w:r>
      <w:bookmarkEnd w:id="6"/>
      <w:bookmarkEnd w:id="7"/>
    </w:p>
    <w:p w14:paraId="42AC1AE9" w14:textId="6334AE06" w:rsidR="008913A3" w:rsidRDefault="00DD6D99">
      <w:pPr>
        <w:ind w:firstLineChars="200" w:firstLine="480"/>
        <w:rPr>
          <w:szCs w:val="24"/>
        </w:rPr>
      </w:pPr>
      <w:r w:rsidRPr="00DD6D99">
        <w:rPr>
          <w:rFonts w:hint="eastAsia"/>
          <w:szCs w:val="24"/>
        </w:rPr>
        <w:t>南方丘陵地区多年生栽培草地在畜牧业可持续发展中具有重要作用，但受季风气候、地形条件和管理水平等制约，草地利用效率和生产力仍存在提升空间。编制本规程的目的是建立科学、可操作的刈割与放牧利用技术体系，规范草地利用过程，延长利用年限，提高牧草产量和品质，保障畜产品稳定供给。同时，通过统一技术标准，促进草地管理的规范化与制度化，为地方政府、农牧企业和农户提供可遵循的技术依据。</w:t>
      </w:r>
      <w:r w:rsidR="00000000">
        <w:rPr>
          <w:rFonts w:hint="eastAsia"/>
          <w:szCs w:val="24"/>
        </w:rPr>
        <w:t xml:space="preserve"> </w:t>
      </w:r>
    </w:p>
    <w:p w14:paraId="42AC1AEC" w14:textId="057906BA" w:rsidR="008913A3" w:rsidRDefault="00E54D42">
      <w:pPr>
        <w:ind w:firstLineChars="200" w:firstLine="480"/>
        <w:rPr>
          <w:szCs w:val="24"/>
        </w:rPr>
      </w:pPr>
      <w:r w:rsidRPr="00E54D42">
        <w:rPr>
          <w:rFonts w:hint="eastAsia"/>
          <w:szCs w:val="24"/>
        </w:rPr>
        <w:t>近年来，随着畜牧业不断发展与饲草质量意识提升，南方丘陵地区多年生栽培草地在稳定畜牧生产与生态建设中发挥着关键作用。然而，由于气候季风、坡地地形及管理方式不均衡，该区域草地利用效率偏低、生态退化与产能下降问题突出，制约</w:t>
      </w:r>
      <w:proofErr w:type="gramStart"/>
      <w:r w:rsidRPr="00E54D42">
        <w:rPr>
          <w:rFonts w:hint="eastAsia"/>
          <w:szCs w:val="24"/>
        </w:rPr>
        <w:t>了草</w:t>
      </w:r>
      <w:proofErr w:type="gramEnd"/>
      <w:r w:rsidRPr="00E54D42">
        <w:rPr>
          <w:rFonts w:hint="eastAsia"/>
          <w:szCs w:val="24"/>
        </w:rPr>
        <w:t>畜产业的绿色发展与乡村振兴。针对这一背景，编制本技术规程旨在构建“技术标准</w:t>
      </w:r>
      <w:r w:rsidRPr="00E54D42">
        <w:rPr>
          <w:rFonts w:hint="eastAsia"/>
          <w:szCs w:val="24"/>
        </w:rPr>
        <w:t>+</w:t>
      </w:r>
      <w:r w:rsidRPr="00E54D42">
        <w:rPr>
          <w:rFonts w:hint="eastAsia"/>
          <w:szCs w:val="24"/>
        </w:rPr>
        <w:t>实用体系”，通过规范刈割与放牧相结合的综合利用制度，提升草地的生态功能与生产潜力，实现草地资源的可持续开发与绿色效益最大化。本规程不仅为政府部门、科研机构与农牧主</w:t>
      </w:r>
      <w:proofErr w:type="gramStart"/>
      <w:r w:rsidRPr="00E54D42">
        <w:rPr>
          <w:rFonts w:hint="eastAsia"/>
          <w:szCs w:val="24"/>
        </w:rPr>
        <w:t>体提供</w:t>
      </w:r>
      <w:proofErr w:type="gramEnd"/>
      <w:r w:rsidRPr="00E54D42">
        <w:rPr>
          <w:rFonts w:hint="eastAsia"/>
          <w:szCs w:val="24"/>
        </w:rPr>
        <w:t>统一、可操作的技术依据，推动优良牧草品种与利用方式的有效结合，还能显著增强植被覆盖、促进养分循环、提高饲草产量和营养价值，从而提升畜牧产值与农户收入，助力生态宜居乡村建设和畜牧绿色转型发展，填补该地区多年生草地</w:t>
      </w:r>
      <w:proofErr w:type="gramStart"/>
      <w:r w:rsidRPr="00E54D42">
        <w:rPr>
          <w:rFonts w:hint="eastAsia"/>
          <w:szCs w:val="24"/>
        </w:rPr>
        <w:t>刈牧利用</w:t>
      </w:r>
      <w:proofErr w:type="gramEnd"/>
      <w:r w:rsidRPr="00E54D42">
        <w:rPr>
          <w:rFonts w:hint="eastAsia"/>
          <w:szCs w:val="24"/>
        </w:rPr>
        <w:t>技术标准空白，并推动科技成果融入生产实践。</w:t>
      </w:r>
    </w:p>
    <w:p w14:paraId="42AC1AED" w14:textId="77777777" w:rsidR="008913A3" w:rsidRDefault="00000000">
      <w:pPr>
        <w:pStyle w:val="1"/>
        <w:numPr>
          <w:ilvl w:val="0"/>
          <w:numId w:val="1"/>
        </w:numPr>
      </w:pPr>
      <w:bookmarkStart w:id="8" w:name="_Toc22682828"/>
      <w:bookmarkStart w:id="9" w:name="_Toc22674795"/>
      <w:bookmarkStart w:id="10" w:name="_Toc176456972"/>
      <w:bookmarkStart w:id="11" w:name="_Toc404077040"/>
      <w:bookmarkStart w:id="12" w:name="_Toc197503228"/>
      <w:r>
        <w:t>编制原则和依据</w:t>
      </w:r>
      <w:bookmarkEnd w:id="8"/>
      <w:bookmarkEnd w:id="9"/>
      <w:bookmarkEnd w:id="10"/>
      <w:bookmarkEnd w:id="11"/>
      <w:bookmarkEnd w:id="12"/>
    </w:p>
    <w:p w14:paraId="0208BB53" w14:textId="77777777" w:rsidR="00476CC6" w:rsidRDefault="00476CC6">
      <w:pPr>
        <w:ind w:firstLineChars="202" w:firstLine="485"/>
        <w:rPr>
          <w:szCs w:val="24"/>
        </w:rPr>
      </w:pPr>
      <w:r w:rsidRPr="00476CC6">
        <w:rPr>
          <w:rFonts w:hint="eastAsia"/>
          <w:szCs w:val="24"/>
        </w:rPr>
        <w:t>本标准的编制原则是在本团队在相关科研项目支持下，</w:t>
      </w:r>
      <w:proofErr w:type="gramStart"/>
      <w:r w:rsidRPr="00476CC6">
        <w:rPr>
          <w:rFonts w:hint="eastAsia"/>
          <w:szCs w:val="24"/>
        </w:rPr>
        <w:t>基于近</w:t>
      </w:r>
      <w:proofErr w:type="gramEnd"/>
      <w:r w:rsidRPr="00476CC6">
        <w:rPr>
          <w:rFonts w:hint="eastAsia"/>
          <w:szCs w:val="24"/>
        </w:rPr>
        <w:t>三年来在南方丘陵地区多年生栽培草地刈割与放牧利用方面的研究基础，总结多年草地建设与</w:t>
      </w:r>
      <w:r w:rsidRPr="00476CC6">
        <w:rPr>
          <w:rFonts w:hint="eastAsia"/>
          <w:szCs w:val="24"/>
        </w:rPr>
        <w:lastRenderedPageBreak/>
        <w:t>利用管理的技术经验，系统查阅国内外关于多年生草地刈割、放牧及综合利用的相关技术资料，并依托湖南南山牧场、江西及贵州等地的长期试验示范基地开展了多年定位试验，涵盖草种选择与配置、刈割与放牧制度、草地养护与更新、施肥管理、病虫害防治、饲草收获与加工、利用档案管理等环节，确保技术规程的科学性、实用性和可操作性。在编制过程中，严格遵循国家相关法律法规和行业标准，确保标准的合法性与权威性。同时，充分考虑南方丘陵地区的地形地貌、气候特征及主要多年生牧草的生长习性，使标准更贴近生产实践、便于推广应用。此外，积极借鉴国内外先进的草地</w:t>
      </w:r>
      <w:proofErr w:type="gramStart"/>
      <w:r w:rsidRPr="00476CC6">
        <w:rPr>
          <w:rFonts w:hint="eastAsia"/>
          <w:szCs w:val="24"/>
        </w:rPr>
        <w:t>刈牧利用</w:t>
      </w:r>
      <w:proofErr w:type="gramEnd"/>
      <w:r w:rsidRPr="00476CC6">
        <w:rPr>
          <w:rFonts w:hint="eastAsia"/>
          <w:szCs w:val="24"/>
        </w:rPr>
        <w:t>技术与管理经验，结合区域实际进行创新与完善，力求形成具有权威性、推广性和生产指导价值的多年生栽培草地</w:t>
      </w:r>
      <w:proofErr w:type="gramStart"/>
      <w:r w:rsidRPr="00476CC6">
        <w:rPr>
          <w:rFonts w:hint="eastAsia"/>
          <w:szCs w:val="24"/>
        </w:rPr>
        <w:t>刈牧利用</w:t>
      </w:r>
      <w:proofErr w:type="gramEnd"/>
      <w:r w:rsidRPr="00476CC6">
        <w:rPr>
          <w:rFonts w:hint="eastAsia"/>
          <w:szCs w:val="24"/>
        </w:rPr>
        <w:t>技术规程。</w:t>
      </w:r>
    </w:p>
    <w:p w14:paraId="42AC1AEF" w14:textId="7D86036F" w:rsidR="008913A3" w:rsidRDefault="00000000" w:rsidP="00E159F6">
      <w:pPr>
        <w:ind w:firstLineChars="202" w:firstLine="485"/>
        <w:rPr>
          <w:rFonts w:asciiTheme="minorEastAsia" w:eastAsiaTheme="minorEastAsia" w:hAnsiTheme="minorEastAsia"/>
          <w:szCs w:val="24"/>
        </w:rPr>
      </w:pPr>
      <w:r>
        <w:rPr>
          <w:rFonts w:asciiTheme="minorEastAsia" w:eastAsiaTheme="minorEastAsia" w:hAnsiTheme="minorEastAsia"/>
          <w:szCs w:val="24"/>
        </w:rPr>
        <w:t>标准按照GB/T 1.1-2020《标准化工作导则 第1部分：标准化文件的结构和起草规则》的要求和规定编写内容。在编制时基于</w:t>
      </w:r>
      <w:r>
        <w:rPr>
          <w:rFonts w:asciiTheme="minorEastAsia" w:eastAsiaTheme="minorEastAsia" w:hAnsiTheme="minorEastAsia" w:hint="eastAsia"/>
          <w:szCs w:val="24"/>
        </w:rPr>
        <w:t>近几年项目研究的</w:t>
      </w:r>
      <w:r>
        <w:rPr>
          <w:rFonts w:asciiTheme="minorEastAsia" w:eastAsiaTheme="minorEastAsia" w:hAnsiTheme="minorEastAsia"/>
          <w:szCs w:val="24"/>
        </w:rPr>
        <w:t>试验验证数据</w:t>
      </w:r>
      <w:r>
        <w:rPr>
          <w:rFonts w:asciiTheme="minorEastAsia" w:eastAsiaTheme="minorEastAsia" w:hAnsiTheme="minorEastAsia" w:hint="eastAsia"/>
          <w:szCs w:val="24"/>
        </w:rPr>
        <w:t>和多年的生产实践经验，</w:t>
      </w:r>
      <w:r>
        <w:rPr>
          <w:rFonts w:asciiTheme="minorEastAsia" w:eastAsiaTheme="minorEastAsia" w:hAnsiTheme="minorEastAsia"/>
          <w:szCs w:val="24"/>
        </w:rPr>
        <w:t>同时，</w:t>
      </w:r>
      <w:r>
        <w:rPr>
          <w:rFonts w:asciiTheme="minorEastAsia" w:eastAsiaTheme="minorEastAsia" w:hAnsiTheme="minorEastAsia" w:hint="eastAsia"/>
          <w:szCs w:val="24"/>
        </w:rPr>
        <w:t>结合已有文献数据进行深入分析、归纳、总结。</w:t>
      </w:r>
      <w:r>
        <w:rPr>
          <w:rFonts w:asciiTheme="minorEastAsia" w:eastAsiaTheme="minorEastAsia" w:hAnsiTheme="minorEastAsia"/>
          <w:szCs w:val="24"/>
        </w:rPr>
        <w:t>主要参考了</w:t>
      </w:r>
      <w:r w:rsidR="00E159F6">
        <w:rPr>
          <w:rFonts w:asciiTheme="minorEastAsia" w:eastAsiaTheme="minorEastAsia" w:hAnsiTheme="minorEastAsia" w:hint="eastAsia"/>
          <w:szCs w:val="24"/>
        </w:rPr>
        <w:t>《</w:t>
      </w:r>
      <w:r w:rsidR="00E159F6" w:rsidRPr="00E159F6">
        <w:rPr>
          <w:rFonts w:asciiTheme="minorEastAsia" w:eastAsiaTheme="minorEastAsia" w:hAnsiTheme="minorEastAsia" w:hint="eastAsia"/>
          <w:szCs w:val="24"/>
        </w:rPr>
        <w:t>NY/T 635 天然草地合理载畜量的计算</w:t>
      </w:r>
      <w:r w:rsidR="00E159F6">
        <w:rPr>
          <w:rFonts w:asciiTheme="minorEastAsia" w:eastAsiaTheme="minorEastAsia" w:hAnsiTheme="minorEastAsia" w:hint="eastAsia"/>
          <w:szCs w:val="24"/>
        </w:rPr>
        <w:t>》、《</w:t>
      </w:r>
      <w:r w:rsidR="00E159F6" w:rsidRPr="00E159F6">
        <w:rPr>
          <w:rFonts w:asciiTheme="minorEastAsia" w:eastAsiaTheme="minorEastAsia" w:hAnsiTheme="minorEastAsia" w:hint="eastAsia"/>
          <w:szCs w:val="24"/>
        </w:rPr>
        <w:t>NY/T 1176 休牧和禁牧技术规程</w:t>
      </w:r>
      <w:r w:rsidR="00E159F6">
        <w:rPr>
          <w:rFonts w:asciiTheme="minorEastAsia" w:eastAsiaTheme="minorEastAsia" w:hAnsiTheme="minorEastAsia" w:hint="eastAsia"/>
          <w:szCs w:val="24"/>
        </w:rPr>
        <w:t>》、《</w:t>
      </w:r>
      <w:r w:rsidR="00E159F6" w:rsidRPr="00E159F6">
        <w:rPr>
          <w:rFonts w:asciiTheme="minorEastAsia" w:eastAsiaTheme="minorEastAsia" w:hAnsiTheme="minorEastAsia" w:hint="eastAsia"/>
          <w:szCs w:val="24"/>
        </w:rPr>
        <w:t>NY/T 2997 草地分类</w:t>
      </w:r>
      <w:r w:rsidR="00E159F6">
        <w:rPr>
          <w:rFonts w:asciiTheme="minorEastAsia" w:eastAsiaTheme="minorEastAsia" w:hAnsiTheme="minorEastAsia" w:hint="eastAsia"/>
          <w:szCs w:val="24"/>
        </w:rPr>
        <w:t>》、《</w:t>
      </w:r>
      <w:r w:rsidR="00E159F6" w:rsidRPr="00E159F6">
        <w:rPr>
          <w:rFonts w:asciiTheme="minorEastAsia" w:eastAsiaTheme="minorEastAsia" w:hAnsiTheme="minorEastAsia" w:hint="eastAsia"/>
          <w:szCs w:val="24"/>
        </w:rPr>
        <w:t>NY/T 2736 蝗虫防治技术规范</w:t>
      </w:r>
      <w:r w:rsidR="00E159F6">
        <w:rPr>
          <w:rFonts w:asciiTheme="minorEastAsia" w:eastAsiaTheme="minorEastAsia" w:hAnsiTheme="minorEastAsia" w:hint="eastAsia"/>
          <w:szCs w:val="24"/>
        </w:rPr>
        <w:t>》</w:t>
      </w:r>
      <w:r>
        <w:rPr>
          <w:rFonts w:asciiTheme="minorEastAsia" w:eastAsiaTheme="minorEastAsia" w:hAnsiTheme="minorEastAsia" w:hint="eastAsia"/>
          <w:szCs w:val="24"/>
        </w:rPr>
        <w:t>，以及最新发表的相关文献。</w:t>
      </w:r>
    </w:p>
    <w:p w14:paraId="42AC1AF0" w14:textId="77777777" w:rsidR="008913A3" w:rsidRDefault="00000000">
      <w:pPr>
        <w:pStyle w:val="1"/>
        <w:rPr>
          <w:szCs w:val="28"/>
        </w:rPr>
      </w:pPr>
      <w:bookmarkStart w:id="13" w:name="_Toc197503229"/>
      <w:bookmarkStart w:id="14" w:name="_Toc176453393"/>
      <w:r>
        <w:rPr>
          <w:rFonts w:hint="eastAsia"/>
          <w:szCs w:val="28"/>
        </w:rPr>
        <w:t>四、主要工作过程</w:t>
      </w:r>
      <w:bookmarkEnd w:id="13"/>
      <w:bookmarkEnd w:id="14"/>
    </w:p>
    <w:p w14:paraId="42AC1AF1" w14:textId="77777777" w:rsidR="008913A3" w:rsidRDefault="00000000">
      <w:pPr>
        <w:outlineLvl w:val="1"/>
        <w:rPr>
          <w:b/>
          <w:bCs/>
        </w:rPr>
      </w:pPr>
      <w:bookmarkStart w:id="15" w:name="_Toc197503230"/>
      <w:r>
        <w:rPr>
          <w:rFonts w:hint="eastAsia"/>
          <w:b/>
          <w:bCs/>
        </w:rPr>
        <w:t xml:space="preserve">1. </w:t>
      </w:r>
      <w:r>
        <w:rPr>
          <w:rFonts w:hint="eastAsia"/>
          <w:b/>
          <w:bCs/>
        </w:rPr>
        <w:t>成立标准起草工作组</w:t>
      </w:r>
      <w:bookmarkEnd w:id="15"/>
    </w:p>
    <w:p w14:paraId="42AC1AF2" w14:textId="639C9578" w:rsidR="008913A3" w:rsidRDefault="008516E2">
      <w:pPr>
        <w:ind w:firstLineChars="200" w:firstLine="480"/>
      </w:pPr>
      <w:r w:rsidRPr="008516E2">
        <w:rPr>
          <w:szCs w:val="24"/>
        </w:rPr>
        <w:t>2023</w:t>
      </w:r>
      <w:r w:rsidRPr="008516E2">
        <w:rPr>
          <w:szCs w:val="24"/>
        </w:rPr>
        <w:t>年</w:t>
      </w:r>
      <w:r w:rsidRPr="008516E2">
        <w:rPr>
          <w:szCs w:val="24"/>
        </w:rPr>
        <w:t>1</w:t>
      </w:r>
      <w:r w:rsidRPr="008516E2">
        <w:rPr>
          <w:szCs w:val="24"/>
        </w:rPr>
        <w:t>月</w:t>
      </w:r>
      <w:r w:rsidR="001C0962" w:rsidRPr="001C0962">
        <w:rPr>
          <w:rFonts w:hint="eastAsia"/>
          <w:szCs w:val="24"/>
        </w:rPr>
        <w:t>组建了由兰州大学牵头，多家科研院所专家共同参与的跨单位标准起草工作组，明确了组长、核心成员及职责分工。工作组深入学习了</w:t>
      </w:r>
      <w:r w:rsidR="001C0962" w:rsidRPr="001C0962">
        <w:rPr>
          <w:rFonts w:hint="eastAsia"/>
          <w:szCs w:val="24"/>
        </w:rPr>
        <w:t>GB/T 1.1-2020</w:t>
      </w:r>
      <w:r w:rsidR="001C0962" w:rsidRPr="001C0962">
        <w:rPr>
          <w:rFonts w:hint="eastAsia"/>
          <w:szCs w:val="24"/>
        </w:rPr>
        <w:t>等标准化工作文件。在此基础上，制定了详细的标准编制工作计划、时间节点和编写大纲，为后续工作奠定了坚实基础。</w:t>
      </w:r>
      <w:r w:rsidR="00000000">
        <w:rPr>
          <w:rFonts w:hint="eastAsia"/>
        </w:rPr>
        <w:t>。</w:t>
      </w:r>
    </w:p>
    <w:p w14:paraId="42AC1AF3" w14:textId="77777777" w:rsidR="008913A3" w:rsidRDefault="00000000">
      <w:pPr>
        <w:numPr>
          <w:ilvl w:val="0"/>
          <w:numId w:val="2"/>
        </w:numPr>
        <w:outlineLvl w:val="1"/>
        <w:rPr>
          <w:b/>
          <w:bCs/>
        </w:rPr>
      </w:pPr>
      <w:bookmarkStart w:id="16" w:name="_Toc197503231"/>
      <w:r>
        <w:rPr>
          <w:rFonts w:hint="eastAsia"/>
          <w:b/>
          <w:bCs/>
        </w:rPr>
        <w:t>资料收集分析、技术准备</w:t>
      </w:r>
      <w:bookmarkEnd w:id="16"/>
    </w:p>
    <w:p w14:paraId="42AC1AF5" w14:textId="0E4AA4E4" w:rsidR="008913A3" w:rsidRDefault="004A7F33" w:rsidP="004A7F33">
      <w:r w:rsidRPr="004A7F33">
        <w:rPr>
          <w:rFonts w:hint="eastAsia"/>
        </w:rPr>
        <w:t>团队系统收集并整理了各起草单位在亚热带地区长期定位试验和示范工程中积累的原始数据、研究报告及技术总结，形成了扎实的技术基础。同时，开展了覆盖草地生态学、土壤学、牧草栽培学等多个领域的广泛文献调研，确保内容具有前沿性与科学性。为增强规程的适用性与针对性，</w:t>
      </w:r>
      <w:proofErr w:type="gramStart"/>
      <w:r w:rsidRPr="004A7F33">
        <w:rPr>
          <w:rFonts w:hint="eastAsia"/>
        </w:rPr>
        <w:t>团队赴</w:t>
      </w:r>
      <w:proofErr w:type="gramEnd"/>
      <w:r w:rsidRPr="004A7F33">
        <w:rPr>
          <w:rFonts w:hint="eastAsia"/>
        </w:rPr>
        <w:t>云南、贵州等典型区域开展实地考察和补充调研，并与地方农业技术推广部门、畜牧企业及农牧民代表</w:t>
      </w:r>
      <w:r w:rsidRPr="004A7F33">
        <w:rPr>
          <w:rFonts w:hint="eastAsia"/>
        </w:rPr>
        <w:lastRenderedPageBreak/>
        <w:t>座谈，深入了解生产一线的具体问题、技术需求及成功经验，从而确保规程内容贴近生产实际、可有效解决关键问题</w:t>
      </w:r>
      <w:r w:rsidR="00000000">
        <w:rPr>
          <w:rFonts w:hint="eastAsia"/>
        </w:rPr>
        <w:t>。</w:t>
      </w:r>
    </w:p>
    <w:p w14:paraId="42AC1AF6" w14:textId="77777777" w:rsidR="008913A3" w:rsidRDefault="00000000">
      <w:pPr>
        <w:numPr>
          <w:ilvl w:val="0"/>
          <w:numId w:val="2"/>
        </w:numPr>
        <w:outlineLvl w:val="1"/>
        <w:rPr>
          <w:b/>
          <w:bCs/>
        </w:rPr>
      </w:pPr>
      <w:bookmarkStart w:id="17" w:name="_Toc197503232"/>
      <w:r>
        <w:rPr>
          <w:rFonts w:hint="eastAsia"/>
          <w:b/>
          <w:bCs/>
        </w:rPr>
        <w:t>标准编写，形成技术规程草案</w:t>
      </w:r>
      <w:bookmarkEnd w:id="17"/>
    </w:p>
    <w:p w14:paraId="4F6B9F0B" w14:textId="77777777" w:rsidR="00D15806" w:rsidRPr="00D15806" w:rsidRDefault="00D15806" w:rsidP="00D15806">
      <w:pPr>
        <w:rPr>
          <w:rFonts w:hint="eastAsia"/>
        </w:rPr>
      </w:pPr>
      <w:r w:rsidRPr="00D15806">
        <w:rPr>
          <w:rFonts w:hint="eastAsia"/>
        </w:rPr>
        <w:t xml:space="preserve">2024 </w:t>
      </w:r>
      <w:r w:rsidRPr="00D15806">
        <w:rPr>
          <w:rFonts w:hint="eastAsia"/>
        </w:rPr>
        <w:t>年</w:t>
      </w:r>
      <w:r w:rsidRPr="00D15806">
        <w:rPr>
          <w:rFonts w:hint="eastAsia"/>
        </w:rPr>
        <w:t xml:space="preserve"> 1 </w:t>
      </w:r>
      <w:r w:rsidRPr="00D15806">
        <w:rPr>
          <w:rFonts w:hint="eastAsia"/>
        </w:rPr>
        <w:t>月至</w:t>
      </w:r>
      <w:r w:rsidRPr="00D15806">
        <w:rPr>
          <w:rFonts w:hint="eastAsia"/>
        </w:rPr>
        <w:t xml:space="preserve"> 12 </w:t>
      </w:r>
      <w:r w:rsidRPr="00D15806">
        <w:rPr>
          <w:rFonts w:hint="eastAsia"/>
        </w:rPr>
        <w:t>月，起草工作组完成了标准征求意见稿，并正式向全国范围内的相关科研教学单位、行业协会、重点企业及省级农牧业主管部门等数十家单位发函征求意见。在对各方反馈意见进行汇总与分析的基础上，组织召开由行业权威专家组成的审查会，对征求意见稿进行全面审议。与会专家对标准内容给予高度评价，同时提出了若干建设性修改建议。起草工作组据此对标准文本进行了最后的修改与完善，最终形成报批稿。</w:t>
      </w:r>
    </w:p>
    <w:p w14:paraId="42AC1AF8" w14:textId="4112A7B2" w:rsidR="008913A3" w:rsidRDefault="00000000">
      <w:pPr>
        <w:ind w:firstLineChars="200" w:firstLine="480"/>
      </w:pPr>
      <w:r>
        <w:rPr>
          <w:rFonts w:hint="eastAsia"/>
        </w:rPr>
        <w:t>202</w:t>
      </w:r>
      <w:r w:rsidR="00E22276">
        <w:rPr>
          <w:rFonts w:hint="eastAsia"/>
        </w:rPr>
        <w:t>5</w:t>
      </w:r>
      <w:r>
        <w:rPr>
          <w:rFonts w:hint="eastAsia"/>
        </w:rPr>
        <w:t>年</w:t>
      </w:r>
      <w:r w:rsidR="00D15806">
        <w:rPr>
          <w:rFonts w:hint="eastAsia"/>
        </w:rPr>
        <w:t>1</w:t>
      </w:r>
      <w:r w:rsidR="00D15806">
        <w:rPr>
          <w:rFonts w:hint="eastAsia"/>
        </w:rPr>
        <w:t>月</w:t>
      </w:r>
      <w:r>
        <w:rPr>
          <w:rFonts w:hint="eastAsia"/>
        </w:rPr>
        <w:t>至</w:t>
      </w:r>
      <w:r w:rsidR="00E22276">
        <w:rPr>
          <w:rFonts w:hint="eastAsia"/>
        </w:rPr>
        <w:t>8</w:t>
      </w:r>
      <w:r>
        <w:rPr>
          <w:rFonts w:hint="eastAsia"/>
        </w:rPr>
        <w:t>月，编写征求意见</w:t>
      </w:r>
      <w:proofErr w:type="gramStart"/>
      <w:r>
        <w:rPr>
          <w:rFonts w:hint="eastAsia"/>
        </w:rPr>
        <w:t>稿标准</w:t>
      </w:r>
      <w:proofErr w:type="gramEnd"/>
      <w:r>
        <w:rPr>
          <w:rFonts w:hint="eastAsia"/>
        </w:rPr>
        <w:t>文本，编写《编制说明》。</w:t>
      </w:r>
    </w:p>
    <w:p w14:paraId="42AC1AF9" w14:textId="77777777" w:rsidR="008913A3" w:rsidRDefault="00000000">
      <w:pPr>
        <w:pStyle w:val="1"/>
        <w:rPr>
          <w:szCs w:val="28"/>
        </w:rPr>
      </w:pPr>
      <w:bookmarkStart w:id="18" w:name="_Toc176453397"/>
      <w:bookmarkStart w:id="19" w:name="_Toc197503233"/>
      <w:r>
        <w:rPr>
          <w:rFonts w:hint="eastAsia"/>
          <w:szCs w:val="28"/>
        </w:rPr>
        <w:t>五、主</w:t>
      </w:r>
      <w:r>
        <w:rPr>
          <w:szCs w:val="28"/>
        </w:rPr>
        <w:t>要技术内容确定的依据</w:t>
      </w:r>
      <w:bookmarkEnd w:id="18"/>
      <w:bookmarkEnd w:id="19"/>
    </w:p>
    <w:p w14:paraId="42AC1AFA" w14:textId="77777777" w:rsidR="008913A3" w:rsidRDefault="00000000">
      <w:pPr>
        <w:numPr>
          <w:ilvl w:val="0"/>
          <w:numId w:val="3"/>
        </w:numPr>
        <w:outlineLvl w:val="1"/>
        <w:rPr>
          <w:b/>
          <w:bCs/>
        </w:rPr>
      </w:pPr>
      <w:bookmarkStart w:id="20" w:name="_Toc197503234"/>
      <w:r>
        <w:rPr>
          <w:rFonts w:hint="eastAsia"/>
          <w:b/>
          <w:bCs/>
        </w:rPr>
        <w:t>适用范围</w:t>
      </w:r>
      <w:bookmarkEnd w:id="20"/>
    </w:p>
    <w:p w14:paraId="3DF0A7B4" w14:textId="77777777" w:rsidR="0036516B" w:rsidRDefault="0036516B" w:rsidP="0036516B">
      <w:pPr>
        <w:pStyle w:val="aa"/>
        <w:ind w:left="420" w:firstLineChars="0" w:firstLine="0"/>
      </w:pPr>
      <w:bookmarkStart w:id="21" w:name="_Toc197503235"/>
      <w:r>
        <w:rPr>
          <w:rFonts w:hint="eastAsia"/>
        </w:rPr>
        <w:t>本文件规定了南方栽培草地</w:t>
      </w:r>
      <w:proofErr w:type="gramStart"/>
      <w:r>
        <w:rPr>
          <w:rFonts w:hint="eastAsia"/>
        </w:rPr>
        <w:t>刈牧利用</w:t>
      </w:r>
      <w:proofErr w:type="gramEnd"/>
      <w:r>
        <w:rPr>
          <w:rFonts w:hint="eastAsia"/>
        </w:rPr>
        <w:t>的定义、分类、原则、技术要求、管理措施等内容。</w:t>
      </w:r>
    </w:p>
    <w:p w14:paraId="545E704B" w14:textId="77777777" w:rsidR="0036516B" w:rsidRDefault="0036516B" w:rsidP="0036516B">
      <w:pPr>
        <w:pStyle w:val="aa"/>
        <w:ind w:left="420" w:firstLineChars="0" w:firstLine="0"/>
      </w:pPr>
      <w:r>
        <w:rPr>
          <w:rFonts w:hint="eastAsia"/>
        </w:rPr>
        <w:t>本文件适用于南方地区的各类栽培草地的</w:t>
      </w:r>
      <w:proofErr w:type="gramStart"/>
      <w:r>
        <w:rPr>
          <w:rFonts w:hint="eastAsia"/>
        </w:rPr>
        <w:t>刈</w:t>
      </w:r>
      <w:proofErr w:type="gramEnd"/>
      <w:r>
        <w:rPr>
          <w:rFonts w:hint="eastAsia"/>
        </w:rPr>
        <w:t>牧利用。</w:t>
      </w:r>
    </w:p>
    <w:p w14:paraId="42AC1AFC" w14:textId="77777777" w:rsidR="008913A3" w:rsidRDefault="00000000">
      <w:pPr>
        <w:numPr>
          <w:ilvl w:val="0"/>
          <w:numId w:val="3"/>
        </w:numPr>
        <w:outlineLvl w:val="1"/>
        <w:rPr>
          <w:b/>
          <w:bCs/>
        </w:rPr>
      </w:pPr>
      <w:r>
        <w:rPr>
          <w:b/>
          <w:bCs/>
        </w:rPr>
        <w:t>规范性引用文件</w:t>
      </w:r>
      <w:bookmarkEnd w:id="21"/>
    </w:p>
    <w:p w14:paraId="42AC1AFD" w14:textId="7AEDB6BF" w:rsidR="008913A3" w:rsidRDefault="00000000">
      <w:pPr>
        <w:ind w:firstLineChars="200" w:firstLine="480"/>
      </w:pPr>
      <w:r>
        <w:rPr>
          <w:rFonts w:hint="eastAsia"/>
        </w:rPr>
        <w:t>本标准</w:t>
      </w:r>
      <w:r>
        <w:t>主要参考了</w:t>
      </w:r>
      <w:r w:rsidR="00E0111A">
        <w:rPr>
          <w:rFonts w:asciiTheme="minorEastAsia" w:eastAsiaTheme="minorEastAsia" w:hAnsiTheme="minorEastAsia" w:hint="eastAsia"/>
          <w:szCs w:val="24"/>
        </w:rPr>
        <w:t>《</w:t>
      </w:r>
      <w:r w:rsidR="00E0111A" w:rsidRPr="00E159F6">
        <w:rPr>
          <w:rFonts w:asciiTheme="minorEastAsia" w:eastAsiaTheme="minorEastAsia" w:hAnsiTheme="minorEastAsia" w:hint="eastAsia"/>
          <w:szCs w:val="24"/>
        </w:rPr>
        <w:t>NY/T 635 天然草地合理载畜量的计算</w:t>
      </w:r>
      <w:r w:rsidR="00E0111A">
        <w:rPr>
          <w:rFonts w:asciiTheme="minorEastAsia" w:eastAsiaTheme="minorEastAsia" w:hAnsiTheme="minorEastAsia" w:hint="eastAsia"/>
          <w:szCs w:val="24"/>
        </w:rPr>
        <w:t>》、《</w:t>
      </w:r>
      <w:r w:rsidR="00E0111A" w:rsidRPr="00E159F6">
        <w:rPr>
          <w:rFonts w:asciiTheme="minorEastAsia" w:eastAsiaTheme="minorEastAsia" w:hAnsiTheme="minorEastAsia" w:hint="eastAsia"/>
          <w:szCs w:val="24"/>
        </w:rPr>
        <w:t>NY/T 1176 休牧和禁牧技术规程</w:t>
      </w:r>
      <w:r w:rsidR="00E0111A">
        <w:rPr>
          <w:rFonts w:asciiTheme="minorEastAsia" w:eastAsiaTheme="minorEastAsia" w:hAnsiTheme="minorEastAsia" w:hint="eastAsia"/>
          <w:szCs w:val="24"/>
        </w:rPr>
        <w:t>》、《</w:t>
      </w:r>
      <w:r w:rsidR="00E0111A" w:rsidRPr="00E159F6">
        <w:rPr>
          <w:rFonts w:asciiTheme="minorEastAsia" w:eastAsiaTheme="minorEastAsia" w:hAnsiTheme="minorEastAsia" w:hint="eastAsia"/>
          <w:szCs w:val="24"/>
        </w:rPr>
        <w:t>NY/T 2997 草地分类</w:t>
      </w:r>
      <w:r w:rsidR="00E0111A">
        <w:rPr>
          <w:rFonts w:asciiTheme="minorEastAsia" w:eastAsiaTheme="minorEastAsia" w:hAnsiTheme="minorEastAsia" w:hint="eastAsia"/>
          <w:szCs w:val="24"/>
        </w:rPr>
        <w:t>》、《</w:t>
      </w:r>
      <w:r w:rsidR="00E0111A" w:rsidRPr="00E159F6">
        <w:rPr>
          <w:rFonts w:asciiTheme="minorEastAsia" w:eastAsiaTheme="minorEastAsia" w:hAnsiTheme="minorEastAsia" w:hint="eastAsia"/>
          <w:szCs w:val="24"/>
        </w:rPr>
        <w:t>NY/T 2736 蝗虫防治技术规范</w:t>
      </w:r>
      <w:r w:rsidR="00E0111A">
        <w:rPr>
          <w:rFonts w:asciiTheme="minorEastAsia" w:eastAsiaTheme="minorEastAsia" w:hAnsiTheme="minorEastAsia" w:hint="eastAsia"/>
          <w:szCs w:val="24"/>
        </w:rPr>
        <w:t>》</w:t>
      </w:r>
      <w:r>
        <w:rPr>
          <w:rFonts w:ascii="华文宋体" w:eastAsia="华文宋体" w:hAnsi="华文宋体" w:hint="eastAsia"/>
        </w:rPr>
        <w:t>。</w:t>
      </w:r>
    </w:p>
    <w:p w14:paraId="42AC1AFE" w14:textId="77777777" w:rsidR="008913A3" w:rsidRDefault="00000000">
      <w:pPr>
        <w:numPr>
          <w:ilvl w:val="0"/>
          <w:numId w:val="3"/>
        </w:numPr>
        <w:outlineLvl w:val="1"/>
        <w:rPr>
          <w:b/>
          <w:bCs/>
        </w:rPr>
      </w:pPr>
      <w:bookmarkStart w:id="22" w:name="_Toc197503236"/>
      <w:r>
        <w:rPr>
          <w:b/>
          <w:bCs/>
        </w:rPr>
        <w:t>主要技术指标确定的依据</w:t>
      </w:r>
      <w:bookmarkEnd w:id="22"/>
    </w:p>
    <w:p w14:paraId="0529B942" w14:textId="26429CC6" w:rsidR="008C0FEF" w:rsidRDefault="008C0FEF" w:rsidP="008C0FEF">
      <w:pPr>
        <w:ind w:firstLine="480"/>
      </w:pPr>
      <w:bookmarkStart w:id="23" w:name="_Toc197503237"/>
      <w:bookmarkStart w:id="24" w:name="_Toc176547937"/>
      <w:r>
        <w:rPr>
          <w:rFonts w:hint="eastAsia"/>
        </w:rPr>
        <w:t>本规程主要技术指标的确定，基于以下几方面：</w:t>
      </w:r>
    </w:p>
    <w:p w14:paraId="2CB4CE1A" w14:textId="75165152" w:rsidR="008C0FEF" w:rsidRDefault="008C0FEF" w:rsidP="008C0FEF">
      <w:pPr>
        <w:rPr>
          <w:rFonts w:hint="eastAsia"/>
        </w:rPr>
      </w:pPr>
      <w:r>
        <w:rPr>
          <w:rFonts w:hint="eastAsia"/>
        </w:rPr>
        <w:t>3.1</w:t>
      </w:r>
      <w:r>
        <w:rPr>
          <w:rFonts w:hint="eastAsia"/>
        </w:rPr>
        <w:t>长期定位试验与示范数据</w:t>
      </w:r>
    </w:p>
    <w:p w14:paraId="3353D18C" w14:textId="4CF667C1" w:rsidR="008C0FEF" w:rsidRDefault="008C0FEF" w:rsidP="008C0FEF">
      <w:pPr>
        <w:ind w:firstLine="480"/>
        <w:rPr>
          <w:rFonts w:hint="eastAsia"/>
        </w:rPr>
      </w:pPr>
      <w:r>
        <w:rPr>
          <w:rFonts w:hint="eastAsia"/>
        </w:rPr>
        <w:t>依托南方丘陵地区多个长期定位试验和示范工程，收集了多年生栽培草地在不同刈割高度、放牧强度、轮次安排、施肥制度等条件下的生产力、群落结构、物种多样性、土壤养分及有机质等数据，为技术指标的科学设定提供了实测依据。</w:t>
      </w:r>
    </w:p>
    <w:p w14:paraId="319ABE54" w14:textId="3BA4194E" w:rsidR="008C0FEF" w:rsidRDefault="008C0FEF" w:rsidP="008C0FEF">
      <w:pPr>
        <w:rPr>
          <w:rFonts w:hint="eastAsia"/>
        </w:rPr>
      </w:pPr>
      <w:r>
        <w:rPr>
          <w:rFonts w:hint="eastAsia"/>
        </w:rPr>
        <w:t>3.2</w:t>
      </w:r>
      <w:r>
        <w:rPr>
          <w:rFonts w:hint="eastAsia"/>
        </w:rPr>
        <w:t>国内外研究成果与先进经验</w:t>
      </w:r>
    </w:p>
    <w:p w14:paraId="18846786" w14:textId="77777777" w:rsidR="008C0FEF" w:rsidRDefault="008C0FEF" w:rsidP="008C0FEF">
      <w:pPr>
        <w:ind w:firstLine="480"/>
        <w:rPr>
          <w:rFonts w:hint="eastAsia"/>
        </w:rPr>
      </w:pPr>
      <w:r>
        <w:rPr>
          <w:rFonts w:hint="eastAsia"/>
        </w:rPr>
        <w:t>系统查阅国内外关于多年生草地刈割、放牧及综合利用的最新研究文献和技术标准，参考国外典型草地管理区（如新西兰、澳大利亚等）的成熟模式，结合</w:t>
      </w:r>
      <w:r>
        <w:rPr>
          <w:rFonts w:hint="eastAsia"/>
        </w:rPr>
        <w:lastRenderedPageBreak/>
        <w:t>我国亚热带季风区的气候与地形特点进行适配化修订。</w:t>
      </w:r>
    </w:p>
    <w:p w14:paraId="2BA5C2F9" w14:textId="605A4852" w:rsidR="008C0FEF" w:rsidRDefault="008C0FEF" w:rsidP="008C0FEF">
      <w:pPr>
        <w:rPr>
          <w:rFonts w:hint="eastAsia"/>
        </w:rPr>
      </w:pPr>
      <w:r>
        <w:rPr>
          <w:rFonts w:hint="eastAsia"/>
        </w:rPr>
        <w:t>3.3</w:t>
      </w:r>
      <w:r>
        <w:rPr>
          <w:rFonts w:hint="eastAsia"/>
        </w:rPr>
        <w:t>行业标准与政策文件要求</w:t>
      </w:r>
    </w:p>
    <w:p w14:paraId="11359B3C" w14:textId="77777777" w:rsidR="008C0FEF" w:rsidRDefault="008C0FEF" w:rsidP="008C0FEF">
      <w:pPr>
        <w:ind w:firstLine="480"/>
        <w:rPr>
          <w:rFonts w:hint="eastAsia"/>
        </w:rPr>
      </w:pPr>
      <w:r>
        <w:rPr>
          <w:rFonts w:hint="eastAsia"/>
        </w:rPr>
        <w:t>对照现行国家标准、行业标准及《全国草地保护与建设规划》《全国畜牧业绿色发展规划》等政策文件中对草地利用、生态保护、畜牧业发展提出的目标与要求，确保技术指标符合国家战略导向与管理规范。</w:t>
      </w:r>
    </w:p>
    <w:p w14:paraId="64AA9BC6" w14:textId="599C60A1" w:rsidR="008C0FEF" w:rsidRDefault="008C0FEF" w:rsidP="008C0FEF">
      <w:pPr>
        <w:rPr>
          <w:rFonts w:hint="eastAsia"/>
        </w:rPr>
      </w:pPr>
      <w:r>
        <w:rPr>
          <w:rFonts w:hint="eastAsia"/>
        </w:rPr>
        <w:t>3.4</w:t>
      </w:r>
      <w:r>
        <w:rPr>
          <w:rFonts w:hint="eastAsia"/>
        </w:rPr>
        <w:t>生产实践与专家论证</w:t>
      </w:r>
    </w:p>
    <w:p w14:paraId="0026E88E" w14:textId="77777777" w:rsidR="008C0FEF" w:rsidRDefault="008C0FEF" w:rsidP="008C0FEF">
      <w:pPr>
        <w:ind w:firstLine="480"/>
        <w:rPr>
          <w:rFonts w:hint="eastAsia"/>
        </w:rPr>
      </w:pPr>
      <w:r>
        <w:rPr>
          <w:rFonts w:hint="eastAsia"/>
        </w:rPr>
        <w:t>结合地方农业技术推广部门、畜牧企业及农牧民的生产实践经验，收集一线反馈与需求，并经行业权威专家多轮研讨论证，确保指标既科学合理，又具有可操作性和推广价值。</w:t>
      </w:r>
    </w:p>
    <w:p w14:paraId="42AC1B3B" w14:textId="77777777" w:rsidR="008913A3" w:rsidRDefault="00000000">
      <w:pPr>
        <w:pStyle w:val="1"/>
        <w:numPr>
          <w:ilvl w:val="0"/>
          <w:numId w:val="4"/>
        </w:numPr>
        <w:ind w:left="567" w:hanging="567"/>
      </w:pPr>
      <w:r>
        <w:rPr>
          <w:rFonts w:hint="eastAsia"/>
        </w:rPr>
        <w:t>采用的国际标准</w:t>
      </w:r>
      <w:bookmarkEnd w:id="23"/>
      <w:bookmarkEnd w:id="24"/>
    </w:p>
    <w:p w14:paraId="42AC1B3C" w14:textId="77777777" w:rsidR="008913A3" w:rsidRDefault="00000000">
      <w:pPr>
        <w:ind w:firstLineChars="200" w:firstLine="480"/>
      </w:pPr>
      <w:r>
        <w:rPr>
          <w:rFonts w:hint="eastAsia"/>
        </w:rPr>
        <w:t>无。</w:t>
      </w:r>
    </w:p>
    <w:p w14:paraId="42AC1B3D" w14:textId="77777777" w:rsidR="008913A3" w:rsidRDefault="00000000">
      <w:pPr>
        <w:pStyle w:val="1"/>
      </w:pPr>
      <w:bookmarkStart w:id="25" w:name="_Toc176453405"/>
      <w:bookmarkStart w:id="26" w:name="_Toc197503238"/>
      <w:r>
        <w:rPr>
          <w:rFonts w:hint="eastAsia"/>
        </w:rPr>
        <w:t>七</w:t>
      </w:r>
      <w:r>
        <w:t>、</w:t>
      </w:r>
      <w:r>
        <w:rPr>
          <w:rFonts w:hint="eastAsia"/>
        </w:rPr>
        <w:t>与现行法律法规和强制性标准的关系</w:t>
      </w:r>
      <w:bookmarkEnd w:id="25"/>
      <w:bookmarkEnd w:id="26"/>
    </w:p>
    <w:p w14:paraId="42AC1B3E" w14:textId="77777777" w:rsidR="008913A3" w:rsidRDefault="00000000">
      <w:pPr>
        <w:ind w:firstLineChars="200" w:firstLine="480"/>
        <w:rPr>
          <w:color w:val="000000"/>
          <w:szCs w:val="24"/>
        </w:rPr>
      </w:pPr>
      <w:r>
        <w:rPr>
          <w:color w:val="000000"/>
          <w:szCs w:val="24"/>
        </w:rPr>
        <w:t>本标准与现行法律法规和强制性标准没有冲突。</w:t>
      </w:r>
    </w:p>
    <w:p w14:paraId="42AC1B3F" w14:textId="77777777" w:rsidR="008913A3" w:rsidRDefault="00000000">
      <w:pPr>
        <w:pStyle w:val="1"/>
      </w:pPr>
      <w:bookmarkStart w:id="27" w:name="_Toc176453406"/>
      <w:bookmarkStart w:id="28" w:name="_Toc197503239"/>
      <w:r>
        <w:rPr>
          <w:rFonts w:hint="eastAsia"/>
        </w:rPr>
        <w:t>八</w:t>
      </w:r>
      <w:r>
        <w:t>、</w:t>
      </w:r>
      <w:r>
        <w:rPr>
          <w:rFonts w:hint="eastAsia"/>
        </w:rPr>
        <w:t>重大分歧意见的处理经过和依据</w:t>
      </w:r>
      <w:bookmarkEnd w:id="27"/>
      <w:bookmarkEnd w:id="28"/>
    </w:p>
    <w:p w14:paraId="42AC1B40" w14:textId="77777777" w:rsidR="008913A3" w:rsidRDefault="00000000">
      <w:pPr>
        <w:spacing w:beforeLines="50" w:before="156"/>
        <w:ind w:firstLine="482"/>
        <w:rPr>
          <w:color w:val="000000"/>
          <w:szCs w:val="24"/>
        </w:rPr>
      </w:pPr>
      <w:r>
        <w:rPr>
          <w:color w:val="000000"/>
          <w:szCs w:val="24"/>
        </w:rPr>
        <w:t>无。</w:t>
      </w:r>
    </w:p>
    <w:p w14:paraId="42AC1B41" w14:textId="77777777" w:rsidR="008913A3" w:rsidRDefault="00000000">
      <w:pPr>
        <w:pStyle w:val="1"/>
        <w:rPr>
          <w:rStyle w:val="10"/>
        </w:rPr>
      </w:pPr>
      <w:bookmarkStart w:id="29" w:name="_Toc197503240"/>
      <w:bookmarkStart w:id="30" w:name="_Toc176453407"/>
      <w:r>
        <w:rPr>
          <w:rFonts w:hint="eastAsia"/>
        </w:rPr>
        <w:t>九</w:t>
      </w:r>
      <w:r>
        <w:t>、标准作为强制性或推荐性标准的意见</w:t>
      </w:r>
      <w:bookmarkEnd w:id="29"/>
      <w:bookmarkEnd w:id="30"/>
    </w:p>
    <w:p w14:paraId="42AC1B42" w14:textId="77777777" w:rsidR="008913A3" w:rsidRDefault="00000000">
      <w:pPr>
        <w:spacing w:beforeLines="50" w:before="156"/>
        <w:ind w:firstLine="482"/>
        <w:rPr>
          <w:color w:val="000000"/>
          <w:szCs w:val="24"/>
        </w:rPr>
      </w:pPr>
      <w:r>
        <w:rPr>
          <w:color w:val="000000"/>
          <w:szCs w:val="24"/>
        </w:rPr>
        <w:t>建议将本标准作为推荐性标准发布实施，并加强标准的宣贯。</w:t>
      </w:r>
    </w:p>
    <w:p w14:paraId="42AC1B43" w14:textId="77777777" w:rsidR="008913A3" w:rsidRDefault="00000000">
      <w:pPr>
        <w:pStyle w:val="1"/>
      </w:pPr>
      <w:bookmarkStart w:id="31" w:name="_Toc197503241"/>
      <w:bookmarkStart w:id="32" w:name="_Toc176453408"/>
      <w:r>
        <w:rPr>
          <w:rFonts w:hint="eastAsia"/>
        </w:rPr>
        <w:t>十</w:t>
      </w:r>
      <w:r>
        <w:t>、贯彻标准的要求和措施建议</w:t>
      </w:r>
      <w:bookmarkEnd w:id="31"/>
      <w:bookmarkEnd w:id="32"/>
    </w:p>
    <w:p w14:paraId="42AC1B44" w14:textId="5A52550C" w:rsidR="008913A3" w:rsidRDefault="008E3EFF">
      <w:pPr>
        <w:spacing w:beforeLines="50" w:before="156"/>
        <w:ind w:firstLine="482"/>
        <w:rPr>
          <w:color w:val="000000"/>
          <w:szCs w:val="24"/>
        </w:rPr>
      </w:pPr>
      <w:r w:rsidRPr="008E3EFF">
        <w:rPr>
          <w:rFonts w:hint="eastAsia"/>
          <w:color w:val="000000"/>
          <w:szCs w:val="24"/>
        </w:rPr>
        <w:t>基于务实推广的原则，本规程提出了多项协同措施以确保其能在南方丘陵地区得到广泛采纳并发挥实效。建议通过线上线下结合的专题培训、技术讲座和现场观摩活动，提升农牧管理人员、推广技术员、中层企业负责人及合作社核心成员的掌握度；依托云南、贵州、广西、湖南等地，联合区内政府与龙头企业打造高标准示范基地，发挥“实地教学—效果展示—辐射推广”功能；编写图文并茂、</w:t>
      </w:r>
      <w:r w:rsidRPr="008E3EFF">
        <w:rPr>
          <w:rFonts w:hint="eastAsia"/>
          <w:color w:val="000000"/>
          <w:szCs w:val="24"/>
        </w:rPr>
        <w:lastRenderedPageBreak/>
        <w:t>易于理解的技术手册，同时制作教学短视频，通过农广、</w:t>
      </w:r>
      <w:proofErr w:type="gramStart"/>
      <w:r w:rsidRPr="008E3EFF">
        <w:rPr>
          <w:rFonts w:hint="eastAsia"/>
          <w:color w:val="000000"/>
          <w:szCs w:val="24"/>
        </w:rPr>
        <w:t>社媒等</w:t>
      </w:r>
      <w:proofErr w:type="gramEnd"/>
      <w:r w:rsidRPr="008E3EFF">
        <w:rPr>
          <w:rFonts w:hint="eastAsia"/>
          <w:color w:val="000000"/>
          <w:szCs w:val="24"/>
        </w:rPr>
        <w:t>渠道传播；建议地方政府将本规程纳入生态补偿、退化草地治理及畜牧发展相关政策与项目，通过政策联合资金扶持推动落地；依托起草单位技术优势，建立常态化技术支持服务平台（如热线、</w:t>
      </w:r>
      <w:proofErr w:type="gramStart"/>
      <w:r w:rsidRPr="008E3EFF">
        <w:rPr>
          <w:rFonts w:hint="eastAsia"/>
          <w:color w:val="000000"/>
          <w:szCs w:val="24"/>
        </w:rPr>
        <w:t>微信群</w:t>
      </w:r>
      <w:proofErr w:type="gramEnd"/>
      <w:r w:rsidRPr="008E3EFF">
        <w:rPr>
          <w:rFonts w:hint="eastAsia"/>
          <w:color w:val="000000"/>
          <w:szCs w:val="24"/>
        </w:rPr>
        <w:t>），及时回应生产一线问题，并建立反馈机制，定期收集应用成效与现场反馈，为未来优化标准提供依据，构建“实践—反馈—提升”的良性循环</w:t>
      </w:r>
      <w:r w:rsidR="00000000">
        <w:rPr>
          <w:color w:val="000000"/>
          <w:szCs w:val="24"/>
        </w:rPr>
        <w:t>。</w:t>
      </w:r>
    </w:p>
    <w:p w14:paraId="42AC1B45" w14:textId="77777777" w:rsidR="008913A3" w:rsidRDefault="00000000">
      <w:pPr>
        <w:pStyle w:val="1"/>
      </w:pPr>
      <w:bookmarkStart w:id="33" w:name="_Toc176453409"/>
      <w:bookmarkStart w:id="34" w:name="_Toc197503242"/>
      <w:r>
        <w:rPr>
          <w:rFonts w:hint="eastAsia"/>
        </w:rPr>
        <w:t>十一</w:t>
      </w:r>
      <w:r>
        <w:t>、废止现行有关标准的建议</w:t>
      </w:r>
      <w:bookmarkEnd w:id="33"/>
      <w:bookmarkEnd w:id="34"/>
    </w:p>
    <w:p w14:paraId="42AC1B46" w14:textId="77777777" w:rsidR="008913A3" w:rsidRDefault="00000000">
      <w:pPr>
        <w:spacing w:beforeLines="50" w:before="156"/>
        <w:ind w:firstLine="482"/>
        <w:rPr>
          <w:color w:val="000000"/>
          <w:szCs w:val="24"/>
        </w:rPr>
      </w:pPr>
      <w:r>
        <w:rPr>
          <w:color w:val="000000"/>
          <w:szCs w:val="24"/>
        </w:rPr>
        <w:t>无。</w:t>
      </w:r>
    </w:p>
    <w:p w14:paraId="42AC1B47" w14:textId="77777777" w:rsidR="008913A3" w:rsidRDefault="00000000">
      <w:pPr>
        <w:pStyle w:val="1"/>
      </w:pPr>
      <w:bookmarkStart w:id="35" w:name="_Toc197503243"/>
      <w:bookmarkStart w:id="36" w:name="_Toc176453410"/>
      <w:r>
        <w:t>十</w:t>
      </w:r>
      <w:r>
        <w:rPr>
          <w:rFonts w:hint="eastAsia"/>
        </w:rPr>
        <w:t>二</w:t>
      </w:r>
      <w:r>
        <w:t>、其他应予说明的事项</w:t>
      </w:r>
      <w:bookmarkEnd w:id="35"/>
      <w:bookmarkEnd w:id="36"/>
    </w:p>
    <w:p w14:paraId="42AC1B48" w14:textId="77777777" w:rsidR="008913A3" w:rsidRDefault="00000000">
      <w:pPr>
        <w:spacing w:beforeLines="50" w:before="156"/>
        <w:ind w:firstLine="482"/>
        <w:rPr>
          <w:color w:val="000000"/>
        </w:rPr>
      </w:pPr>
      <w:r>
        <w:rPr>
          <w:color w:val="000000"/>
          <w:szCs w:val="24"/>
        </w:rPr>
        <w:t>无。</w:t>
      </w:r>
      <w:r>
        <w:rPr>
          <w:color w:val="000000"/>
        </w:rPr>
        <w:fldChar w:fldCharType="begin"/>
      </w:r>
      <w:r>
        <w:rPr>
          <w:color w:val="000000"/>
        </w:rPr>
        <w:instrText xml:space="preserve"> ADDIN EN.REFLIST </w:instrText>
      </w:r>
      <w:r>
        <w:rPr>
          <w:color w:val="000000"/>
        </w:rPr>
        <w:fldChar w:fldCharType="separate"/>
      </w:r>
      <w:r>
        <w:rPr>
          <w:color w:val="000000"/>
        </w:rPr>
        <w:fldChar w:fldCharType="end"/>
      </w:r>
    </w:p>
    <w:p w14:paraId="42AC1B49" w14:textId="77777777" w:rsidR="008913A3" w:rsidRDefault="008913A3">
      <w:pPr>
        <w:ind w:firstLineChars="200" w:firstLine="480"/>
        <w:rPr>
          <w:color w:val="000000"/>
          <w:szCs w:val="24"/>
        </w:rPr>
      </w:pPr>
    </w:p>
    <w:p w14:paraId="42AC1B4A" w14:textId="77777777" w:rsidR="008913A3" w:rsidRDefault="008913A3">
      <w:pPr>
        <w:ind w:firstLineChars="200" w:firstLine="480"/>
        <w:rPr>
          <w:szCs w:val="24"/>
        </w:rPr>
      </w:pPr>
    </w:p>
    <w:p w14:paraId="42AC1B4B" w14:textId="77777777" w:rsidR="008913A3" w:rsidRDefault="008913A3">
      <w:pPr>
        <w:ind w:firstLine="480"/>
      </w:pPr>
    </w:p>
    <w:sectPr w:rsidR="00891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D484" w14:textId="77777777" w:rsidR="0038420F" w:rsidRDefault="0038420F">
      <w:pPr>
        <w:spacing w:line="240" w:lineRule="auto"/>
      </w:pPr>
      <w:r>
        <w:separator/>
      </w:r>
    </w:p>
  </w:endnote>
  <w:endnote w:type="continuationSeparator" w:id="0">
    <w:p w14:paraId="3A6857DC" w14:textId="77777777" w:rsidR="0038420F" w:rsidRDefault="00384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73BF6" w14:textId="77777777" w:rsidR="0038420F" w:rsidRDefault="0038420F">
      <w:r>
        <w:separator/>
      </w:r>
    </w:p>
  </w:footnote>
  <w:footnote w:type="continuationSeparator" w:id="0">
    <w:p w14:paraId="7F3E6B73" w14:textId="77777777" w:rsidR="0038420F" w:rsidRDefault="0038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BB303F"/>
    <w:multiLevelType w:val="singleLevel"/>
    <w:tmpl w:val="FBBB303F"/>
    <w:lvl w:ilvl="0">
      <w:start w:val="3"/>
      <w:numFmt w:val="chineseCounting"/>
      <w:suff w:val="nothing"/>
      <w:lvlText w:val="%1、"/>
      <w:lvlJc w:val="left"/>
      <w:rPr>
        <w:rFonts w:hint="eastAsia"/>
      </w:rPr>
    </w:lvl>
  </w:abstractNum>
  <w:abstractNum w:abstractNumId="1" w15:restartNumberingAfterBreak="0">
    <w:nsid w:val="2FB4546B"/>
    <w:multiLevelType w:val="multilevel"/>
    <w:tmpl w:val="2FB4546B"/>
    <w:lvl w:ilvl="0">
      <w:start w:val="6"/>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482ACC36"/>
    <w:multiLevelType w:val="singleLevel"/>
    <w:tmpl w:val="482ACC36"/>
    <w:lvl w:ilvl="0">
      <w:start w:val="1"/>
      <w:numFmt w:val="decimal"/>
      <w:suff w:val="space"/>
      <w:lvlText w:val="%1."/>
      <w:lvlJc w:val="left"/>
    </w:lvl>
  </w:abstractNum>
  <w:abstractNum w:abstractNumId="3" w15:restartNumberingAfterBreak="0">
    <w:nsid w:val="6E980FFD"/>
    <w:multiLevelType w:val="singleLevel"/>
    <w:tmpl w:val="6E980FFD"/>
    <w:lvl w:ilvl="0">
      <w:start w:val="2"/>
      <w:numFmt w:val="decimal"/>
      <w:suff w:val="space"/>
      <w:lvlText w:val="%1."/>
      <w:lvlJc w:val="left"/>
    </w:lvl>
  </w:abstractNum>
  <w:num w:numId="1" w16cid:durableId="1515267303">
    <w:abstractNumId w:val="0"/>
  </w:num>
  <w:num w:numId="2" w16cid:durableId="1828979052">
    <w:abstractNumId w:val="3"/>
  </w:num>
  <w:num w:numId="3" w16cid:durableId="670915049">
    <w:abstractNumId w:val="2"/>
  </w:num>
  <w:num w:numId="4" w16cid:durableId="74281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3YmFhNTA3NmI4NmUyMDNmNDE5YmVlMTRhMTI3MGMifQ=="/>
    <w:docVar w:name="KSO_WPS_MARK_KEY" w:val="145fc5d7-c568-4a10-b233-0146abe21350"/>
  </w:docVars>
  <w:rsids>
    <w:rsidRoot w:val="00172A27"/>
    <w:rsid w:val="00022FCB"/>
    <w:rsid w:val="000F7498"/>
    <w:rsid w:val="001169C3"/>
    <w:rsid w:val="00172A27"/>
    <w:rsid w:val="0017496D"/>
    <w:rsid w:val="00175AF4"/>
    <w:rsid w:val="001C0962"/>
    <w:rsid w:val="00210B8D"/>
    <w:rsid w:val="0023025E"/>
    <w:rsid w:val="002511DF"/>
    <w:rsid w:val="0036516B"/>
    <w:rsid w:val="0038420F"/>
    <w:rsid w:val="003E5618"/>
    <w:rsid w:val="003F6F3A"/>
    <w:rsid w:val="00465378"/>
    <w:rsid w:val="00467591"/>
    <w:rsid w:val="00476CC6"/>
    <w:rsid w:val="004A7F33"/>
    <w:rsid w:val="004B0058"/>
    <w:rsid w:val="005057CB"/>
    <w:rsid w:val="0051682E"/>
    <w:rsid w:val="00526511"/>
    <w:rsid w:val="005B42AE"/>
    <w:rsid w:val="006C5ADC"/>
    <w:rsid w:val="00766D5E"/>
    <w:rsid w:val="007761CA"/>
    <w:rsid w:val="00806202"/>
    <w:rsid w:val="008516E2"/>
    <w:rsid w:val="008913A3"/>
    <w:rsid w:val="008C0FEF"/>
    <w:rsid w:val="008E3EFF"/>
    <w:rsid w:val="009139D9"/>
    <w:rsid w:val="00927A7C"/>
    <w:rsid w:val="009652AD"/>
    <w:rsid w:val="00967CEB"/>
    <w:rsid w:val="00991C40"/>
    <w:rsid w:val="009A48C2"/>
    <w:rsid w:val="009C51DF"/>
    <w:rsid w:val="009D1FDF"/>
    <w:rsid w:val="009D5992"/>
    <w:rsid w:val="00A44339"/>
    <w:rsid w:val="00A501AA"/>
    <w:rsid w:val="00AA576E"/>
    <w:rsid w:val="00B07781"/>
    <w:rsid w:val="00BA42D5"/>
    <w:rsid w:val="00BD568D"/>
    <w:rsid w:val="00BD7567"/>
    <w:rsid w:val="00C051F6"/>
    <w:rsid w:val="00C055C3"/>
    <w:rsid w:val="00C44CFF"/>
    <w:rsid w:val="00CC5905"/>
    <w:rsid w:val="00CD7670"/>
    <w:rsid w:val="00D15806"/>
    <w:rsid w:val="00D621D6"/>
    <w:rsid w:val="00D7600B"/>
    <w:rsid w:val="00DA7DFA"/>
    <w:rsid w:val="00DD6D99"/>
    <w:rsid w:val="00DE6355"/>
    <w:rsid w:val="00E0111A"/>
    <w:rsid w:val="00E159F6"/>
    <w:rsid w:val="00E16917"/>
    <w:rsid w:val="00E22276"/>
    <w:rsid w:val="00E54D42"/>
    <w:rsid w:val="00E603DA"/>
    <w:rsid w:val="00E87445"/>
    <w:rsid w:val="00EC5C55"/>
    <w:rsid w:val="00EE1B98"/>
    <w:rsid w:val="00EE3AE6"/>
    <w:rsid w:val="00F34F50"/>
    <w:rsid w:val="00F91CE7"/>
    <w:rsid w:val="00FE036A"/>
    <w:rsid w:val="0E5C0B86"/>
    <w:rsid w:val="145F04F1"/>
    <w:rsid w:val="15762FB6"/>
    <w:rsid w:val="160C28FB"/>
    <w:rsid w:val="188350F6"/>
    <w:rsid w:val="1B1E70EC"/>
    <w:rsid w:val="1B55313C"/>
    <w:rsid w:val="1DC57394"/>
    <w:rsid w:val="21C81DCC"/>
    <w:rsid w:val="23196D3E"/>
    <w:rsid w:val="26151358"/>
    <w:rsid w:val="2725381D"/>
    <w:rsid w:val="28442F97"/>
    <w:rsid w:val="29E4351B"/>
    <w:rsid w:val="29F85218"/>
    <w:rsid w:val="2CE12CE0"/>
    <w:rsid w:val="2D0D2D89"/>
    <w:rsid w:val="2FBE7CB1"/>
    <w:rsid w:val="311D426F"/>
    <w:rsid w:val="334D0383"/>
    <w:rsid w:val="33B91574"/>
    <w:rsid w:val="3AA77E8B"/>
    <w:rsid w:val="3E9E7CE5"/>
    <w:rsid w:val="4776554D"/>
    <w:rsid w:val="485A1120"/>
    <w:rsid w:val="4AB04516"/>
    <w:rsid w:val="4D3D2E1D"/>
    <w:rsid w:val="50504BB7"/>
    <w:rsid w:val="511931FB"/>
    <w:rsid w:val="5697479B"/>
    <w:rsid w:val="599C3116"/>
    <w:rsid w:val="5AE40D1D"/>
    <w:rsid w:val="5B4F568F"/>
    <w:rsid w:val="5D1458EA"/>
    <w:rsid w:val="5D5E2D2E"/>
    <w:rsid w:val="5E2A16AF"/>
    <w:rsid w:val="5E5F4AA7"/>
    <w:rsid w:val="62570027"/>
    <w:rsid w:val="6C1C3133"/>
    <w:rsid w:val="6E1A53B2"/>
    <w:rsid w:val="6EB938F2"/>
    <w:rsid w:val="70383946"/>
    <w:rsid w:val="7145658E"/>
    <w:rsid w:val="71904AB9"/>
    <w:rsid w:val="719646C8"/>
    <w:rsid w:val="755B1084"/>
    <w:rsid w:val="7A492CF3"/>
    <w:rsid w:val="7B963516"/>
    <w:rsid w:val="7F70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C1ABA"/>
  <w15:docId w15:val="{6BAE4273-AFCE-48A9-84EC-909BEC94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jc w:val="both"/>
    </w:pPr>
    <w:rPr>
      <w:kern w:val="2"/>
      <w:sz w:val="24"/>
      <w:szCs w:val="21"/>
    </w:rPr>
  </w:style>
  <w:style w:type="paragraph" w:styleId="1">
    <w:name w:val="heading 1"/>
    <w:basedOn w:val="a"/>
    <w:next w:val="a"/>
    <w:link w:val="10"/>
    <w:uiPriority w:val="9"/>
    <w:qFormat/>
    <w:pPr>
      <w:keepNext/>
      <w:keepLines/>
      <w:spacing w:before="240" w:after="240"/>
      <w:outlineLvl w:val="0"/>
    </w:pPr>
    <w:rPr>
      <w:b/>
      <w:bCs/>
      <w:kern w:val="44"/>
      <w:sz w:val="28"/>
      <w:szCs w:val="44"/>
    </w:rPr>
  </w:style>
  <w:style w:type="paragraph" w:styleId="2">
    <w:name w:val="heading 2"/>
    <w:basedOn w:val="a"/>
    <w:next w:val="a"/>
    <w:semiHidden/>
    <w:unhideWhenUsed/>
    <w:qFormat/>
    <w:pPr>
      <w:keepNext/>
      <w:keepLines/>
      <w:spacing w:before="260" w:after="260" w:line="413" w:lineRule="auto"/>
      <w:outlineLvl w:val="1"/>
    </w:pPr>
    <w:rPr>
      <w:rFonts w:ascii="Arial" w:hAnsi="Arial"/>
      <w:b/>
      <w:sz w:val="28"/>
    </w:rPr>
  </w:style>
  <w:style w:type="paragraph" w:styleId="3">
    <w:name w:val="heading 3"/>
    <w:basedOn w:val="a"/>
    <w:next w:val="a"/>
    <w:semiHidden/>
    <w:unhideWhenUsed/>
    <w:qFormat/>
    <w:pPr>
      <w:keepNext/>
      <w:keepLines/>
      <w:spacing w:before="260" w:after="260" w:line="413" w:lineRule="auto"/>
      <w:outlineLvl w:val="2"/>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qFormat/>
    <w:pPr>
      <w:spacing w:after="120" w:line="480" w:lineRule="auto"/>
      <w:ind w:leftChars="200" w:left="420"/>
    </w:p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6">
    <w:name w:val="page number"/>
    <w:qFormat/>
  </w:style>
  <w:style w:type="character" w:styleId="a7">
    <w:name w:val="Hyperlink"/>
    <w:basedOn w:val="a0"/>
    <w:uiPriority w:val="99"/>
    <w:unhideWhenUsed/>
    <w:qFormat/>
    <w:rPr>
      <w:color w:val="0026E5" w:themeColor="hyperlink"/>
      <w:u w:val="single"/>
    </w:rPr>
  </w:style>
  <w:style w:type="paragraph" w:customStyle="1" w:styleId="a8">
    <w:name w:val="一级节标题"/>
    <w:basedOn w:val="a"/>
    <w:next w:val="a"/>
    <w:link w:val="Char"/>
    <w:qFormat/>
    <w:pPr>
      <w:snapToGrid w:val="0"/>
      <w:spacing w:before="120" w:after="120"/>
      <w:jc w:val="left"/>
      <w:outlineLvl w:val="1"/>
    </w:pPr>
    <w:rPr>
      <w:b/>
      <w:sz w:val="32"/>
      <w:szCs w:val="36"/>
    </w:rPr>
  </w:style>
  <w:style w:type="character" w:customStyle="1" w:styleId="Char">
    <w:name w:val="一级节标题 Char"/>
    <w:link w:val="a8"/>
    <w:qFormat/>
    <w:rPr>
      <w:rFonts w:ascii="Times New Roman" w:eastAsia="宋体" w:hAnsi="Times New Roman" w:cs="Times New Roman"/>
      <w:b/>
      <w:sz w:val="32"/>
      <w:szCs w:val="36"/>
    </w:rPr>
  </w:style>
  <w:style w:type="paragraph" w:customStyle="1" w:styleId="a9">
    <w:name w:val="标准文件_段"/>
    <w:qFormat/>
    <w:pPr>
      <w:autoSpaceDE w:val="0"/>
      <w:autoSpaceDN w:val="0"/>
      <w:ind w:firstLineChars="200" w:firstLine="200"/>
      <w:jc w:val="both"/>
    </w:pPr>
    <w:rPr>
      <w:rFonts w:ascii="宋体"/>
      <w:sz w:val="21"/>
    </w:rPr>
  </w:style>
  <w:style w:type="character" w:customStyle="1" w:styleId="font11">
    <w:name w:val="font11"/>
    <w:basedOn w:val="a0"/>
    <w:rPr>
      <w:rFonts w:ascii="Times New Roman" w:hAnsi="Times New Roman" w:cs="Times New Roman" w:hint="default"/>
      <w:color w:val="000000"/>
      <w:sz w:val="20"/>
      <w:szCs w:val="20"/>
      <w:u w:val="none"/>
    </w:rPr>
  </w:style>
  <w:style w:type="character" w:customStyle="1" w:styleId="10">
    <w:name w:val="标题 1 字符"/>
    <w:link w:val="1"/>
    <w:uiPriority w:val="9"/>
    <w:qFormat/>
    <w:rPr>
      <w:b/>
      <w:bCs/>
      <w:kern w:val="44"/>
      <w:sz w:val="28"/>
      <w:szCs w:val="44"/>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5">
    <w:name w:val="页眉 字符"/>
    <w:basedOn w:val="a0"/>
    <w:link w:val="a4"/>
    <w:qFormat/>
    <w:rPr>
      <w:kern w:val="2"/>
      <w:sz w:val="18"/>
      <w:szCs w:val="18"/>
    </w:rPr>
  </w:style>
  <w:style w:type="paragraph" w:styleId="aa">
    <w:name w:val="List Paragraph"/>
    <w:basedOn w:val="a"/>
    <w:uiPriority w:val="99"/>
    <w:unhideWhenUsed/>
    <w:rsid w:val="003651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5D9EB-20A6-4DD9-B0D7-67A0BA0A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aLIEz</dc:creator>
  <cp:lastModifiedBy>Bingchen Yuan</cp:lastModifiedBy>
  <cp:revision>45</cp:revision>
  <dcterms:created xsi:type="dcterms:W3CDTF">2025-05-06T01:00:00Z</dcterms:created>
  <dcterms:modified xsi:type="dcterms:W3CDTF">2025-08-09T17:47:00Z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A015ED9B32C8493E8DA1283249B19350_11</vt:lpwstr>
  </property>
  <property fmtid="{D5CDD505-2E9C-101B-9397-08002B2CF9AE}" pid="4" name="KSOTemplateDocerSaveRecord">
    <vt:lpwstr>eyJoZGlkIjoiNTllMGE4MTkwMTE0NGExZGNkZDczMWY0N2M4M2Q5YzQiLCJ1c2VySWQiOiIzODM3MTIyOTQifQ==</vt:lpwstr>
  </property>
</Properties>
</file>