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A035" w14:textId="533DA644" w:rsidR="005154CB" w:rsidRPr="00DE1F5B" w:rsidRDefault="005154CB" w:rsidP="005154CB">
      <w:pPr>
        <w:tabs>
          <w:tab w:val="left" w:pos="7371"/>
        </w:tabs>
        <w:jc w:val="left"/>
      </w:pPr>
      <w:bookmarkStart w:id="0" w:name="_Hlk175905260"/>
      <w:r w:rsidRPr="00DE1F5B">
        <w:t xml:space="preserve">ICS </w:t>
      </w:r>
      <w:r w:rsidR="0092470A" w:rsidRPr="0092470A">
        <w:t>65.020.01</w:t>
      </w:r>
    </w:p>
    <w:p w14:paraId="089ED31F" w14:textId="626B91DB" w:rsidR="005154CB" w:rsidRDefault="005154CB" w:rsidP="005154CB">
      <w:pPr>
        <w:jc w:val="left"/>
        <w:rPr>
          <w:rFonts w:hint="eastAsia"/>
        </w:rPr>
      </w:pPr>
      <w:r w:rsidRPr="00DE1F5B">
        <w:t xml:space="preserve">B </w:t>
      </w:r>
      <w:r w:rsidR="0092470A">
        <w:rPr>
          <w:rFonts w:hint="eastAsia"/>
        </w:rPr>
        <w:t>40/49</w:t>
      </w:r>
    </w:p>
    <w:p w14:paraId="5015F2C6" w14:textId="77777777" w:rsidR="005154CB" w:rsidRDefault="005154CB" w:rsidP="005154CB">
      <w:pPr>
        <w:jc w:val="center"/>
      </w:pPr>
    </w:p>
    <w:p w14:paraId="750F7DB4" w14:textId="77777777" w:rsidR="005154CB" w:rsidRDefault="005154CB" w:rsidP="005154CB">
      <w:pPr>
        <w:jc w:val="center"/>
      </w:pPr>
    </w:p>
    <w:p w14:paraId="6E56522E" w14:textId="77777777" w:rsidR="005154CB" w:rsidRDefault="005154CB" w:rsidP="005154CB">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009BAF38" w14:textId="77777777" w:rsidR="005154CB" w:rsidRDefault="005154CB" w:rsidP="005154CB">
      <w:pPr>
        <w:jc w:val="center"/>
        <w:rPr>
          <w:sz w:val="84"/>
          <w:szCs w:val="84"/>
        </w:rPr>
      </w:pPr>
    </w:p>
    <w:p w14:paraId="6F9D983C" w14:textId="483F95A3" w:rsidR="005154CB" w:rsidRDefault="005154CB" w:rsidP="005154CB">
      <w:pPr>
        <w:jc w:val="right"/>
        <w:rPr>
          <w:b/>
          <w:bCs/>
        </w:rPr>
      </w:pPr>
      <w:r>
        <w:rPr>
          <w:b/>
          <w:bCs/>
        </w:rPr>
        <w:t>T/HXCY XXX-</w:t>
      </w:r>
      <w:r>
        <w:rPr>
          <w:rFonts w:hint="eastAsia"/>
          <w:b/>
          <w:bCs/>
        </w:rPr>
        <w:t>202</w:t>
      </w:r>
      <w:r w:rsidR="00FB4CC0">
        <w:rPr>
          <w:b/>
          <w:bCs/>
        </w:rPr>
        <w:t>5</w:t>
      </w:r>
    </w:p>
    <w:p w14:paraId="0BE62C0A" w14:textId="77777777" w:rsidR="005154CB" w:rsidRDefault="005154CB" w:rsidP="005154CB">
      <w:pPr>
        <w:jc w:val="left"/>
        <w:rPr>
          <w:u w:val="single"/>
        </w:rPr>
      </w:pPr>
      <w:r>
        <w:rPr>
          <w:u w:val="single"/>
        </w:rPr>
        <w:t xml:space="preserve">                                                                               </w:t>
      </w:r>
    </w:p>
    <w:p w14:paraId="18342C6A" w14:textId="77777777" w:rsidR="005154CB" w:rsidRDefault="005154CB" w:rsidP="005154CB">
      <w:pPr>
        <w:jc w:val="right"/>
        <w:rPr>
          <w:b/>
          <w:bCs/>
        </w:rPr>
      </w:pPr>
    </w:p>
    <w:p w14:paraId="24989B80" w14:textId="046C1CCA" w:rsidR="005154CB" w:rsidRPr="007016E5" w:rsidRDefault="0092470A" w:rsidP="005154CB">
      <w:pPr>
        <w:jc w:val="center"/>
        <w:rPr>
          <w:rFonts w:eastAsia="黑体"/>
          <w:sz w:val="48"/>
          <w:szCs w:val="48"/>
        </w:rPr>
      </w:pPr>
      <w:r w:rsidRPr="0092470A">
        <w:rPr>
          <w:rFonts w:eastAsia="黑体" w:hint="eastAsia"/>
          <w:sz w:val="48"/>
          <w:szCs w:val="48"/>
        </w:rPr>
        <w:t>苜蓿品种真实性鉴定</w:t>
      </w:r>
      <w:r w:rsidRPr="0092470A">
        <w:rPr>
          <w:rFonts w:eastAsia="黑体" w:hint="eastAsia"/>
          <w:sz w:val="48"/>
          <w:szCs w:val="48"/>
        </w:rPr>
        <w:t>SNP</w:t>
      </w:r>
      <w:r w:rsidRPr="0092470A">
        <w:rPr>
          <w:rFonts w:eastAsia="黑体" w:hint="eastAsia"/>
          <w:sz w:val="48"/>
          <w:szCs w:val="48"/>
        </w:rPr>
        <w:t>分子标记法</w:t>
      </w:r>
    </w:p>
    <w:p w14:paraId="0D9251CC" w14:textId="7313D0D8" w:rsidR="005154CB" w:rsidRPr="007016E5" w:rsidRDefault="0092470A" w:rsidP="005154CB">
      <w:pPr>
        <w:jc w:val="center"/>
        <w:rPr>
          <w:rFonts w:eastAsia="黑体"/>
          <w:b/>
          <w:bCs/>
          <w:sz w:val="28"/>
          <w:szCs w:val="28"/>
        </w:rPr>
      </w:pPr>
      <w:r w:rsidRPr="0092470A">
        <w:rPr>
          <w:rFonts w:eastAsia="黑体"/>
          <w:b/>
          <w:bCs/>
          <w:sz w:val="28"/>
          <w:szCs w:val="28"/>
        </w:rPr>
        <w:t>Authentication of Alfalfa Varieties Using SNP Molecular Markers</w:t>
      </w:r>
      <w:r w:rsidR="00AD497F">
        <w:rPr>
          <w:rFonts w:eastAsia="黑体"/>
          <w:b/>
          <w:bCs/>
          <w:sz w:val="28"/>
          <w:szCs w:val="28"/>
        </w:rPr>
        <w:t xml:space="preserve"> </w:t>
      </w:r>
    </w:p>
    <w:bookmarkEnd w:id="0"/>
    <w:p w14:paraId="4158BFD9" w14:textId="77777777" w:rsidR="005154CB" w:rsidRPr="00FE2932" w:rsidRDefault="005154CB" w:rsidP="005154CB">
      <w:pPr>
        <w:jc w:val="center"/>
        <w:rPr>
          <w:rFonts w:eastAsia="黑体"/>
          <w:sz w:val="24"/>
          <w:szCs w:val="24"/>
        </w:rPr>
      </w:pPr>
    </w:p>
    <w:p w14:paraId="04C4BF47" w14:textId="77777777" w:rsidR="005154CB" w:rsidRPr="00BB44E5" w:rsidRDefault="005154CB" w:rsidP="005154CB">
      <w:pPr>
        <w:jc w:val="center"/>
        <w:rPr>
          <w:rFonts w:eastAsia="黑体"/>
          <w:sz w:val="24"/>
          <w:szCs w:val="24"/>
        </w:rPr>
      </w:pPr>
      <w:r w:rsidRPr="00BB44E5">
        <w:rPr>
          <w:rFonts w:eastAsia="黑体" w:hint="eastAsia"/>
          <w:sz w:val="24"/>
          <w:szCs w:val="24"/>
        </w:rPr>
        <w:t>（征求意见稿）</w:t>
      </w:r>
    </w:p>
    <w:p w14:paraId="0AEAB94C" w14:textId="77777777" w:rsidR="005154CB" w:rsidRDefault="005154CB" w:rsidP="005154CB">
      <w:pPr>
        <w:jc w:val="center"/>
        <w:rPr>
          <w:rFonts w:eastAsia="黑体"/>
          <w:sz w:val="48"/>
          <w:szCs w:val="48"/>
        </w:rPr>
      </w:pPr>
    </w:p>
    <w:p w14:paraId="69D35C6B" w14:textId="77777777" w:rsidR="005154CB" w:rsidRDefault="005154CB" w:rsidP="005154CB">
      <w:pPr>
        <w:jc w:val="center"/>
        <w:rPr>
          <w:rFonts w:eastAsia="黑体"/>
          <w:sz w:val="48"/>
          <w:szCs w:val="48"/>
        </w:rPr>
      </w:pPr>
    </w:p>
    <w:p w14:paraId="6C8D5D78" w14:textId="77777777" w:rsidR="005154CB" w:rsidRDefault="005154CB" w:rsidP="005154CB">
      <w:pPr>
        <w:jc w:val="center"/>
        <w:rPr>
          <w:rFonts w:eastAsia="黑体"/>
          <w:sz w:val="48"/>
          <w:szCs w:val="48"/>
        </w:rPr>
      </w:pPr>
    </w:p>
    <w:p w14:paraId="0647B451" w14:textId="77777777" w:rsidR="005154CB" w:rsidRDefault="005154CB" w:rsidP="005154CB">
      <w:pPr>
        <w:jc w:val="center"/>
        <w:rPr>
          <w:rFonts w:eastAsia="黑体"/>
          <w:sz w:val="48"/>
          <w:szCs w:val="48"/>
        </w:rPr>
      </w:pPr>
    </w:p>
    <w:p w14:paraId="07DD3450" w14:textId="77777777" w:rsidR="005154CB" w:rsidRDefault="005154CB" w:rsidP="005154CB">
      <w:pPr>
        <w:jc w:val="center"/>
        <w:rPr>
          <w:rFonts w:eastAsia="黑体"/>
          <w:sz w:val="48"/>
          <w:szCs w:val="48"/>
        </w:rPr>
      </w:pPr>
    </w:p>
    <w:p w14:paraId="4C2C8CF8" w14:textId="77777777" w:rsidR="005154CB" w:rsidRDefault="005154CB" w:rsidP="005154CB">
      <w:pPr>
        <w:jc w:val="center"/>
        <w:rPr>
          <w:rFonts w:eastAsia="黑体"/>
          <w:sz w:val="48"/>
          <w:szCs w:val="48"/>
        </w:rPr>
      </w:pPr>
    </w:p>
    <w:p w14:paraId="6428F0DD" w14:textId="77777777" w:rsidR="005154CB" w:rsidRDefault="005154CB" w:rsidP="005154CB">
      <w:pPr>
        <w:jc w:val="center"/>
        <w:rPr>
          <w:rFonts w:eastAsia="黑体"/>
          <w:sz w:val="48"/>
          <w:szCs w:val="48"/>
        </w:rPr>
      </w:pPr>
    </w:p>
    <w:p w14:paraId="11AD4846" w14:textId="77777777" w:rsidR="005154CB" w:rsidRDefault="005154CB" w:rsidP="005154CB">
      <w:pPr>
        <w:spacing w:afterLines="100" w:after="312"/>
        <w:jc w:val="center"/>
        <w:rPr>
          <w:rFonts w:ascii="黑体" w:eastAsia="黑体" w:hAnsi="黑体" w:hint="eastAsia"/>
          <w:sz w:val="48"/>
          <w:szCs w:val="48"/>
        </w:rPr>
      </w:pPr>
    </w:p>
    <w:p w14:paraId="3FBA4DD1" w14:textId="77777777" w:rsidR="005154CB" w:rsidRDefault="005154CB" w:rsidP="005154CB">
      <w:pPr>
        <w:spacing w:afterLines="100" w:after="312"/>
        <w:jc w:val="center"/>
        <w:rPr>
          <w:rFonts w:ascii="黑体" w:eastAsia="黑体" w:hAnsi="黑体" w:hint="eastAsia"/>
          <w:sz w:val="48"/>
          <w:szCs w:val="48"/>
        </w:rPr>
      </w:pPr>
    </w:p>
    <w:p w14:paraId="69482117" w14:textId="0D9885BD" w:rsidR="005154CB" w:rsidRPr="00BB44E5" w:rsidRDefault="005154CB" w:rsidP="005154CB">
      <w:pPr>
        <w:jc w:val="left"/>
        <w:rPr>
          <w:rFonts w:ascii="黑体" w:eastAsia="黑体" w:hAnsi="黑体" w:hint="eastAsia"/>
          <w:u w:val="single"/>
        </w:rPr>
      </w:pPr>
      <w:r w:rsidRPr="00BB44E5">
        <w:rPr>
          <w:rFonts w:ascii="黑体" w:eastAsia="黑体" w:hAnsi="黑体" w:hint="eastAsia"/>
          <w:u w:val="single"/>
        </w:rPr>
        <w:t>202</w:t>
      </w:r>
      <w:r w:rsidR="00FB4CC0">
        <w:rPr>
          <w:rFonts w:ascii="黑体" w:eastAsia="黑体" w:hAnsi="黑体"/>
          <w:u w:val="single"/>
        </w:rPr>
        <w:t>5</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 xml:space="preserve">发布                                              </w:t>
      </w:r>
      <w:r>
        <w:rPr>
          <w:rFonts w:ascii="黑体" w:eastAsia="黑体" w:hAnsi="黑体" w:cs="黑体" w:hint="eastAsia"/>
          <w:u w:val="single"/>
        </w:rPr>
        <w:t xml:space="preserve">  </w:t>
      </w:r>
      <w:r w:rsidRPr="00BB44E5">
        <w:rPr>
          <w:rFonts w:ascii="黑体" w:eastAsia="黑体" w:hAnsi="黑体" w:cs="黑体" w:hint="eastAsia"/>
          <w:u w:val="single"/>
        </w:rPr>
        <w:t xml:space="preserve">  </w:t>
      </w:r>
      <w:r w:rsidRPr="00BB44E5">
        <w:rPr>
          <w:rFonts w:ascii="黑体" w:eastAsia="黑体" w:hAnsi="黑体"/>
          <w:u w:val="single"/>
        </w:rPr>
        <w:t>202</w:t>
      </w:r>
      <w:r w:rsidR="00FB4CC0">
        <w:rPr>
          <w:rFonts w:ascii="黑体" w:eastAsia="黑体" w:hAnsi="黑体"/>
          <w:u w:val="single"/>
        </w:rPr>
        <w:t>5</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u w:val="single"/>
        </w:rPr>
        <w:t>-</w:t>
      </w:r>
      <w:r w:rsidRPr="00BB44E5">
        <w:rPr>
          <w:rFonts w:ascii="黑体" w:eastAsia="黑体" w:hAnsi="黑体" w:hint="eastAsia"/>
          <w:u w:val="single"/>
        </w:rPr>
        <w:t>XX</w:t>
      </w:r>
      <w:r w:rsidRPr="00BB44E5">
        <w:rPr>
          <w:rFonts w:ascii="黑体" w:eastAsia="黑体" w:hAnsi="黑体" w:cs="黑体" w:hint="eastAsia"/>
          <w:u w:val="single"/>
        </w:rPr>
        <w:t>实施</w:t>
      </w:r>
    </w:p>
    <w:p w14:paraId="701E52AD" w14:textId="2CAA9A83" w:rsidR="00FB4CC0" w:rsidRDefault="00FB4CC0" w:rsidP="00FB4CC0">
      <w:pPr>
        <w:spacing w:beforeLines="100" w:before="312"/>
        <w:jc w:val="center"/>
        <w:sectPr w:rsidR="00FB4C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start="1"/>
          <w:cols w:space="720"/>
          <w:docGrid w:type="lines" w:linePitch="312"/>
        </w:sectPr>
      </w:pPr>
      <w:r w:rsidRPr="00BB44E5">
        <w:rPr>
          <w:rFonts w:ascii="黑体" w:eastAsia="黑体" w:hAnsi="黑体" w:cs="黑体" w:hint="eastAsia"/>
        </w:rPr>
        <w:t>北京华夏草业产业技术创新战略联盟</w:t>
      </w:r>
      <w:r w:rsidR="00627D3B">
        <w:rPr>
          <w:rFonts w:ascii="黑体" w:eastAsia="黑体" w:hAnsi="黑体" w:cs="黑体" w:hint="eastAsia"/>
        </w:rPr>
        <w:t>发布</w:t>
      </w:r>
    </w:p>
    <w:sdt>
      <w:sdtPr>
        <w:rPr>
          <w:rFonts w:ascii="Times New Roman" w:eastAsia="宋体" w:hAnsi="Times New Roman" w:cs="Times New Roman"/>
          <w:color w:val="auto"/>
          <w:kern w:val="2"/>
          <w:sz w:val="21"/>
          <w:szCs w:val="21"/>
          <w:lang w:val="zh-CN"/>
        </w:rPr>
        <w:id w:val="-1945987140"/>
        <w:docPartObj>
          <w:docPartGallery w:val="Table of Contents"/>
          <w:docPartUnique/>
        </w:docPartObj>
      </w:sdtPr>
      <w:sdtEndPr>
        <w:rPr>
          <w:rFonts w:ascii="黑体" w:eastAsia="黑体" w:hAnsi="黑体"/>
          <w:b/>
          <w:bCs/>
          <w:sz w:val="24"/>
          <w:szCs w:val="24"/>
        </w:rPr>
      </w:sdtEndPr>
      <w:sdtContent>
        <w:p w14:paraId="364979AF" w14:textId="5AF7858C" w:rsidR="0001064B" w:rsidRPr="0001064B" w:rsidRDefault="0001064B" w:rsidP="00792242">
          <w:pPr>
            <w:pStyle w:val="TOC"/>
            <w:spacing w:line="360" w:lineRule="auto"/>
            <w:jc w:val="center"/>
            <w:rPr>
              <w:rFonts w:ascii="黑体" w:eastAsia="黑体" w:hAnsi="黑体" w:hint="eastAsia"/>
              <w:color w:val="000000" w:themeColor="text1"/>
            </w:rPr>
          </w:pPr>
          <w:r w:rsidRPr="0001064B">
            <w:rPr>
              <w:rFonts w:ascii="黑体" w:eastAsia="黑体" w:hAnsi="黑体" w:hint="eastAsia"/>
              <w:color w:val="000000" w:themeColor="text1"/>
              <w:lang w:val="zh-CN"/>
            </w:rPr>
            <w:t>目</w:t>
          </w:r>
          <w:r>
            <w:rPr>
              <w:rFonts w:ascii="黑体" w:eastAsia="黑体" w:hAnsi="黑体" w:hint="eastAsia"/>
              <w:color w:val="000000" w:themeColor="text1"/>
              <w:lang w:val="zh-CN"/>
            </w:rPr>
            <w:t xml:space="preserve"> </w:t>
          </w:r>
          <w:r>
            <w:rPr>
              <w:rFonts w:ascii="黑体" w:eastAsia="黑体" w:hAnsi="黑体"/>
              <w:color w:val="000000" w:themeColor="text1"/>
              <w:lang w:val="zh-CN"/>
            </w:rPr>
            <w:t xml:space="preserve"> </w:t>
          </w:r>
          <w:r w:rsidRPr="0001064B">
            <w:rPr>
              <w:rFonts w:ascii="黑体" w:eastAsia="黑体" w:hAnsi="黑体" w:hint="eastAsia"/>
              <w:color w:val="000000" w:themeColor="text1"/>
              <w:lang w:val="zh-CN"/>
            </w:rPr>
            <w:t>次</w:t>
          </w:r>
        </w:p>
        <w:p w14:paraId="6C14B02E" w14:textId="2E036046" w:rsidR="00A61160" w:rsidRPr="00A61160" w:rsidRDefault="0001064B"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r w:rsidRPr="00A61160">
            <w:rPr>
              <w:rFonts w:ascii="黑体" w:eastAsia="黑体" w:hAnsi="黑体"/>
              <w:sz w:val="24"/>
              <w:szCs w:val="24"/>
            </w:rPr>
            <w:fldChar w:fldCharType="begin"/>
          </w:r>
          <w:r w:rsidRPr="00A61160">
            <w:rPr>
              <w:rFonts w:ascii="黑体" w:eastAsia="黑体" w:hAnsi="黑体"/>
              <w:sz w:val="24"/>
              <w:szCs w:val="24"/>
            </w:rPr>
            <w:instrText xml:space="preserve"> TOC \o "1-3" \h \z \u </w:instrText>
          </w:r>
          <w:r w:rsidRPr="00A61160">
            <w:rPr>
              <w:rFonts w:ascii="黑体" w:eastAsia="黑体" w:hAnsi="黑体"/>
              <w:sz w:val="24"/>
              <w:szCs w:val="24"/>
            </w:rPr>
            <w:fldChar w:fldCharType="separate"/>
          </w:r>
          <w:hyperlink w:anchor="_Toc206612692" w:history="1">
            <w:r w:rsidR="00A61160" w:rsidRPr="00A61160">
              <w:rPr>
                <w:rStyle w:val="aa"/>
                <w:rFonts w:ascii="黑体" w:eastAsia="黑体" w:hAnsi="黑体" w:hint="eastAsia"/>
                <w:noProof/>
                <w:sz w:val="24"/>
                <w:szCs w:val="24"/>
              </w:rPr>
              <w:t>前  言</w:t>
            </w:r>
            <w:r w:rsidR="00A61160" w:rsidRPr="00A61160">
              <w:rPr>
                <w:rFonts w:ascii="黑体" w:eastAsia="黑体" w:hAnsi="黑体" w:hint="eastAsia"/>
                <w:noProof/>
                <w:webHidden/>
                <w:sz w:val="24"/>
                <w:szCs w:val="24"/>
              </w:rPr>
              <w:tab/>
            </w:r>
            <w:r w:rsidR="00A61160" w:rsidRPr="00A61160">
              <w:rPr>
                <w:rFonts w:ascii="黑体" w:eastAsia="黑体" w:hAnsi="黑体" w:hint="eastAsia"/>
                <w:noProof/>
                <w:webHidden/>
                <w:sz w:val="24"/>
                <w:szCs w:val="24"/>
              </w:rPr>
              <w:fldChar w:fldCharType="begin"/>
            </w:r>
            <w:r w:rsidR="00A61160" w:rsidRPr="00A61160">
              <w:rPr>
                <w:rFonts w:ascii="黑体" w:eastAsia="黑体" w:hAnsi="黑体" w:hint="eastAsia"/>
                <w:noProof/>
                <w:webHidden/>
                <w:sz w:val="24"/>
                <w:szCs w:val="24"/>
              </w:rPr>
              <w:instrText xml:space="preserve"> </w:instrText>
            </w:r>
            <w:r w:rsidR="00A61160" w:rsidRPr="00A61160">
              <w:rPr>
                <w:rFonts w:ascii="黑体" w:eastAsia="黑体" w:hAnsi="黑体"/>
                <w:noProof/>
                <w:webHidden/>
                <w:sz w:val="24"/>
                <w:szCs w:val="24"/>
              </w:rPr>
              <w:instrText>PAGEREF _Toc206612692 \h</w:instrText>
            </w:r>
            <w:r w:rsidR="00A61160" w:rsidRPr="00A61160">
              <w:rPr>
                <w:rFonts w:ascii="黑体" w:eastAsia="黑体" w:hAnsi="黑体" w:hint="eastAsia"/>
                <w:noProof/>
                <w:webHidden/>
                <w:sz w:val="24"/>
                <w:szCs w:val="24"/>
              </w:rPr>
              <w:instrText xml:space="preserve"> </w:instrText>
            </w:r>
            <w:r w:rsidR="00A61160" w:rsidRPr="00A61160">
              <w:rPr>
                <w:rFonts w:ascii="黑体" w:eastAsia="黑体" w:hAnsi="黑体" w:hint="eastAsia"/>
                <w:noProof/>
                <w:webHidden/>
                <w:sz w:val="24"/>
                <w:szCs w:val="24"/>
              </w:rPr>
            </w:r>
            <w:r w:rsidR="00A61160" w:rsidRPr="00A61160">
              <w:rPr>
                <w:rFonts w:ascii="黑体" w:eastAsia="黑体" w:hAnsi="黑体" w:hint="eastAsia"/>
                <w:noProof/>
                <w:webHidden/>
                <w:sz w:val="24"/>
                <w:szCs w:val="24"/>
              </w:rPr>
              <w:fldChar w:fldCharType="separate"/>
            </w:r>
            <w:r w:rsidR="00A61160" w:rsidRPr="00A61160">
              <w:rPr>
                <w:rFonts w:ascii="黑体" w:eastAsia="黑体" w:hAnsi="黑体"/>
                <w:noProof/>
                <w:webHidden/>
                <w:sz w:val="24"/>
                <w:szCs w:val="24"/>
              </w:rPr>
              <w:t>III</w:t>
            </w:r>
            <w:r w:rsidR="00A61160" w:rsidRPr="00A61160">
              <w:rPr>
                <w:rFonts w:ascii="黑体" w:eastAsia="黑体" w:hAnsi="黑体" w:hint="eastAsia"/>
                <w:noProof/>
                <w:webHidden/>
                <w:sz w:val="24"/>
                <w:szCs w:val="24"/>
              </w:rPr>
              <w:fldChar w:fldCharType="end"/>
            </w:r>
          </w:hyperlink>
        </w:p>
        <w:p w14:paraId="70B7CD58" w14:textId="28585FDC"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693" w:history="1">
            <w:r w:rsidRPr="00A61160">
              <w:rPr>
                <w:rStyle w:val="aa"/>
                <w:rFonts w:ascii="黑体" w:eastAsia="黑体" w:hAnsi="黑体" w:hint="eastAsia"/>
                <w:noProof/>
                <w:sz w:val="24"/>
                <w:szCs w:val="24"/>
              </w:rPr>
              <w:t>1 范围</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_Toc206612693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1</w:t>
            </w:r>
            <w:r w:rsidRPr="00A61160">
              <w:rPr>
                <w:rFonts w:ascii="黑体" w:eastAsia="黑体" w:hAnsi="黑体" w:hint="eastAsia"/>
                <w:noProof/>
                <w:webHidden/>
                <w:sz w:val="24"/>
                <w:szCs w:val="24"/>
              </w:rPr>
              <w:fldChar w:fldCharType="end"/>
            </w:r>
          </w:hyperlink>
        </w:p>
        <w:p w14:paraId="564D93E4" w14:textId="13019E09"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694" w:history="1">
            <w:r w:rsidRPr="00A61160">
              <w:rPr>
                <w:rStyle w:val="aa"/>
                <w:rFonts w:ascii="黑体" w:eastAsia="黑体" w:hAnsi="黑体" w:hint="eastAsia"/>
                <w:noProof/>
                <w:sz w:val="24"/>
                <w:szCs w:val="24"/>
              </w:rPr>
              <w:t>2 规范性引用文件</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_Toc206612694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1</w:t>
            </w:r>
            <w:r w:rsidRPr="00A61160">
              <w:rPr>
                <w:rFonts w:ascii="黑体" w:eastAsia="黑体" w:hAnsi="黑体" w:hint="eastAsia"/>
                <w:noProof/>
                <w:webHidden/>
                <w:sz w:val="24"/>
                <w:szCs w:val="24"/>
              </w:rPr>
              <w:fldChar w:fldCharType="end"/>
            </w:r>
          </w:hyperlink>
        </w:p>
        <w:p w14:paraId="792F7375" w14:textId="0444A315"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695" w:history="1">
            <w:r w:rsidRPr="00A61160">
              <w:rPr>
                <w:rStyle w:val="aa"/>
                <w:rFonts w:ascii="黑体" w:eastAsia="黑体" w:hAnsi="黑体" w:hint="eastAsia"/>
                <w:noProof/>
                <w:sz w:val="24"/>
                <w:szCs w:val="24"/>
              </w:rPr>
              <w:t>3 术语与定义</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_Toc206612695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1</w:t>
            </w:r>
            <w:r w:rsidRPr="00A61160">
              <w:rPr>
                <w:rFonts w:ascii="黑体" w:eastAsia="黑体" w:hAnsi="黑体" w:hint="eastAsia"/>
                <w:noProof/>
                <w:webHidden/>
                <w:sz w:val="24"/>
                <w:szCs w:val="24"/>
              </w:rPr>
              <w:fldChar w:fldCharType="end"/>
            </w:r>
          </w:hyperlink>
        </w:p>
        <w:p w14:paraId="2C6D4358" w14:textId="6B3E44C2"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696" w:history="1">
            <w:r w:rsidRPr="00A61160">
              <w:rPr>
                <w:rStyle w:val="aa"/>
                <w:rFonts w:ascii="黑体" w:eastAsia="黑体" w:hAnsi="黑体" w:hint="eastAsia"/>
                <w:noProof/>
                <w:sz w:val="24"/>
                <w:szCs w:val="24"/>
              </w:rPr>
              <w:t>4 缩略语</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_Toc206612696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1</w:t>
            </w:r>
            <w:r w:rsidRPr="00A61160">
              <w:rPr>
                <w:rFonts w:ascii="黑体" w:eastAsia="黑体" w:hAnsi="黑体" w:hint="eastAsia"/>
                <w:noProof/>
                <w:webHidden/>
                <w:sz w:val="24"/>
                <w:szCs w:val="24"/>
              </w:rPr>
              <w:fldChar w:fldCharType="end"/>
            </w:r>
          </w:hyperlink>
        </w:p>
        <w:p w14:paraId="76BD59E9" w14:textId="1C503FB5"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697" w:history="1">
            <w:r w:rsidRPr="00A61160">
              <w:rPr>
                <w:rStyle w:val="aa"/>
                <w:rFonts w:ascii="黑体" w:eastAsia="黑体" w:hAnsi="黑体" w:hint="eastAsia"/>
                <w:noProof/>
                <w:sz w:val="24"/>
                <w:szCs w:val="24"/>
              </w:rPr>
              <w:t>5 原理和总则</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_Toc206612697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2</w:t>
            </w:r>
            <w:r w:rsidRPr="00A61160">
              <w:rPr>
                <w:rFonts w:ascii="黑体" w:eastAsia="黑体" w:hAnsi="黑体" w:hint="eastAsia"/>
                <w:noProof/>
                <w:webHidden/>
                <w:sz w:val="24"/>
                <w:szCs w:val="24"/>
              </w:rPr>
              <w:fldChar w:fldCharType="end"/>
            </w:r>
          </w:hyperlink>
        </w:p>
        <w:p w14:paraId="592F42C5" w14:textId="5E5510BB"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698" w:history="1">
            <w:r w:rsidRPr="00A61160">
              <w:rPr>
                <w:rStyle w:val="aa"/>
                <w:rFonts w:ascii="黑体" w:eastAsia="黑体" w:hAnsi="黑体" w:hint="eastAsia"/>
                <w:noProof/>
                <w:sz w:val="24"/>
                <w:szCs w:val="24"/>
              </w:rPr>
              <w:t>6 样品</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_Toc206612698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2</w:t>
            </w:r>
            <w:r w:rsidRPr="00A61160">
              <w:rPr>
                <w:rFonts w:ascii="黑体" w:eastAsia="黑体" w:hAnsi="黑体" w:hint="eastAsia"/>
                <w:noProof/>
                <w:webHidden/>
                <w:sz w:val="24"/>
                <w:szCs w:val="24"/>
              </w:rPr>
              <w:fldChar w:fldCharType="end"/>
            </w:r>
          </w:hyperlink>
        </w:p>
        <w:p w14:paraId="0521549D" w14:textId="5A0A15D4"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699" w:history="1">
            <w:r w:rsidRPr="00A61160">
              <w:rPr>
                <w:rStyle w:val="aa"/>
                <w:rFonts w:ascii="黑体" w:eastAsia="黑体" w:hAnsi="黑体" w:hint="eastAsia"/>
                <w:noProof/>
                <w:sz w:val="24"/>
                <w:szCs w:val="24"/>
              </w:rPr>
              <w:t>7 检测程序</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_Toc206612699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2</w:t>
            </w:r>
            <w:r w:rsidRPr="00A61160">
              <w:rPr>
                <w:rFonts w:ascii="黑体" w:eastAsia="黑体" w:hAnsi="黑体" w:hint="eastAsia"/>
                <w:noProof/>
                <w:webHidden/>
                <w:sz w:val="24"/>
                <w:szCs w:val="24"/>
              </w:rPr>
              <w:fldChar w:fldCharType="end"/>
            </w:r>
          </w:hyperlink>
        </w:p>
        <w:p w14:paraId="6AB7C4BA" w14:textId="6C953FE7"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700" w:history="1">
            <w:r w:rsidRPr="00A61160">
              <w:rPr>
                <w:rStyle w:val="aa"/>
                <w:rFonts w:ascii="黑体" w:eastAsia="黑体" w:hAnsi="黑体" w:hint="eastAsia"/>
                <w:noProof/>
                <w:sz w:val="24"/>
                <w:szCs w:val="24"/>
              </w:rPr>
              <w:t>8 结果计算与表示</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_Toc206612700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3</w:t>
            </w:r>
            <w:r w:rsidRPr="00A61160">
              <w:rPr>
                <w:rFonts w:ascii="黑体" w:eastAsia="黑体" w:hAnsi="黑体" w:hint="eastAsia"/>
                <w:noProof/>
                <w:webHidden/>
                <w:sz w:val="24"/>
                <w:szCs w:val="24"/>
              </w:rPr>
              <w:fldChar w:fldCharType="end"/>
            </w:r>
          </w:hyperlink>
        </w:p>
        <w:p w14:paraId="27030E88" w14:textId="7B307A49" w:rsidR="00A61160" w:rsidRPr="00A61160" w:rsidRDefault="00A61160" w:rsidP="00A61160">
          <w:pPr>
            <w:pStyle w:val="TOC1"/>
            <w:tabs>
              <w:tab w:val="right" w:leader="dot" w:pos="8296"/>
            </w:tabs>
            <w:spacing w:line="360" w:lineRule="auto"/>
            <w:rPr>
              <w:rFonts w:ascii="黑体" w:eastAsia="黑体" w:hAnsi="黑体" w:cstheme="minorBidi" w:hint="eastAsia"/>
              <w:noProof/>
              <w:sz w:val="28"/>
              <w:szCs w:val="32"/>
              <w14:ligatures w14:val="standardContextual"/>
            </w:rPr>
          </w:pPr>
          <w:hyperlink w:anchor="_Toc206612701" w:history="1">
            <w:r w:rsidRPr="00A61160">
              <w:rPr>
                <w:rStyle w:val="aa"/>
                <w:rFonts w:ascii="黑体" w:eastAsia="黑体" w:hAnsi="黑体" w:hint="eastAsia"/>
                <w:noProof/>
                <w:sz w:val="24"/>
                <w:szCs w:val="24"/>
              </w:rPr>
              <w:t>9 结果报告</w:t>
            </w:r>
            <w:r w:rsidRPr="00A61160">
              <w:rPr>
                <w:rFonts w:ascii="黑体" w:eastAsia="黑体" w:hAnsi="黑体" w:hint="eastAsia"/>
                <w:noProof/>
                <w:webHidden/>
                <w:sz w:val="24"/>
                <w:szCs w:val="24"/>
              </w:rPr>
              <w:tab/>
            </w:r>
            <w:r w:rsidRPr="00A61160">
              <w:rPr>
                <w:rFonts w:ascii="黑体" w:eastAsia="黑体" w:hAnsi="黑体" w:hint="eastAsia"/>
                <w:noProof/>
                <w:webHidden/>
                <w:sz w:val="24"/>
                <w:szCs w:val="24"/>
              </w:rPr>
              <w:fldChar w:fldCharType="begin"/>
            </w:r>
            <w:r w:rsidRPr="00A61160">
              <w:rPr>
                <w:rFonts w:ascii="黑体" w:eastAsia="黑体" w:hAnsi="黑体" w:hint="eastAsia"/>
                <w:noProof/>
                <w:webHidden/>
                <w:sz w:val="24"/>
                <w:szCs w:val="24"/>
              </w:rPr>
              <w:instrText xml:space="preserve"> </w:instrText>
            </w:r>
            <w:r w:rsidRPr="00A61160">
              <w:rPr>
                <w:rFonts w:ascii="黑体" w:eastAsia="黑体" w:hAnsi="黑体"/>
                <w:noProof/>
                <w:webHidden/>
                <w:sz w:val="24"/>
                <w:szCs w:val="24"/>
              </w:rPr>
              <w:instrText>PAGEREF _Toc206612701 \h</w:instrText>
            </w:r>
            <w:r w:rsidRPr="00A61160">
              <w:rPr>
                <w:rFonts w:ascii="黑体" w:eastAsia="黑体" w:hAnsi="黑体" w:hint="eastAsia"/>
                <w:noProof/>
                <w:webHidden/>
                <w:sz w:val="24"/>
                <w:szCs w:val="24"/>
              </w:rPr>
              <w:instrText xml:space="preserve"> </w:instrText>
            </w:r>
            <w:r w:rsidRPr="00A61160">
              <w:rPr>
                <w:rFonts w:ascii="黑体" w:eastAsia="黑体" w:hAnsi="黑体" w:hint="eastAsia"/>
                <w:noProof/>
                <w:webHidden/>
                <w:sz w:val="24"/>
                <w:szCs w:val="24"/>
              </w:rPr>
            </w:r>
            <w:r w:rsidRPr="00A61160">
              <w:rPr>
                <w:rFonts w:ascii="黑体" w:eastAsia="黑体" w:hAnsi="黑体" w:hint="eastAsia"/>
                <w:noProof/>
                <w:webHidden/>
                <w:sz w:val="24"/>
                <w:szCs w:val="24"/>
              </w:rPr>
              <w:fldChar w:fldCharType="separate"/>
            </w:r>
            <w:r w:rsidRPr="00A61160">
              <w:rPr>
                <w:rFonts w:ascii="黑体" w:eastAsia="黑体" w:hAnsi="黑体"/>
                <w:noProof/>
                <w:webHidden/>
                <w:sz w:val="24"/>
                <w:szCs w:val="24"/>
              </w:rPr>
              <w:t>4</w:t>
            </w:r>
            <w:r w:rsidRPr="00A61160">
              <w:rPr>
                <w:rFonts w:ascii="黑体" w:eastAsia="黑体" w:hAnsi="黑体" w:hint="eastAsia"/>
                <w:noProof/>
                <w:webHidden/>
                <w:sz w:val="24"/>
                <w:szCs w:val="24"/>
              </w:rPr>
              <w:fldChar w:fldCharType="end"/>
            </w:r>
          </w:hyperlink>
        </w:p>
        <w:p w14:paraId="3BCDF455" w14:textId="3B512DA8" w:rsidR="0001064B" w:rsidRPr="00A61160" w:rsidRDefault="0001064B" w:rsidP="00A61160">
          <w:pPr>
            <w:spacing w:line="360" w:lineRule="auto"/>
            <w:rPr>
              <w:rFonts w:ascii="黑体" w:eastAsia="黑体" w:hAnsi="黑体"/>
              <w:sz w:val="24"/>
              <w:szCs w:val="24"/>
            </w:rPr>
          </w:pPr>
          <w:r w:rsidRPr="00A61160">
            <w:rPr>
              <w:rFonts w:ascii="黑体" w:eastAsia="黑体" w:hAnsi="黑体"/>
              <w:b/>
              <w:bCs/>
              <w:sz w:val="24"/>
              <w:szCs w:val="24"/>
              <w:lang w:val="zh-CN"/>
            </w:rPr>
            <w:fldChar w:fldCharType="end"/>
          </w:r>
        </w:p>
      </w:sdtContent>
    </w:sdt>
    <w:p w14:paraId="4783EB18" w14:textId="77777777" w:rsidR="005154CB" w:rsidRDefault="005154CB">
      <w:pPr>
        <w:widowControl/>
        <w:jc w:val="left"/>
        <w:rPr>
          <w:rFonts w:ascii="黑体" w:eastAsia="黑体" w:hAnsi="黑体" w:cs="黑体" w:hint="eastAsia"/>
        </w:rPr>
      </w:pPr>
      <w:r>
        <w:rPr>
          <w:rFonts w:ascii="黑体" w:eastAsia="黑体" w:hAnsi="黑体" w:cs="黑体"/>
        </w:rPr>
        <w:br w:type="page"/>
      </w:r>
    </w:p>
    <w:p w14:paraId="43B07AAC" w14:textId="77777777" w:rsidR="00FB4CC0" w:rsidRDefault="00FB4CC0" w:rsidP="00FB4CC0">
      <w:pPr>
        <w:pStyle w:val="a5"/>
        <w:rPr>
          <w:b w:val="0"/>
          <w:bCs w:val="0"/>
        </w:rPr>
      </w:pPr>
      <w:bookmarkStart w:id="1" w:name="_Toc175908326"/>
      <w:bookmarkStart w:id="2" w:name="_Toc176548709"/>
      <w:bookmarkStart w:id="3" w:name="_Toc206612692"/>
      <w:r>
        <w:rPr>
          <w:rFonts w:hint="eastAsia"/>
          <w:b w:val="0"/>
          <w:bCs w:val="0"/>
        </w:rPr>
        <w:lastRenderedPageBreak/>
        <w:t>前</w:t>
      </w:r>
      <w:r>
        <w:rPr>
          <w:rFonts w:hint="eastAsia"/>
          <w:b w:val="0"/>
          <w:bCs w:val="0"/>
        </w:rPr>
        <w:t xml:space="preserve">  </w:t>
      </w:r>
      <w:r>
        <w:rPr>
          <w:rFonts w:hint="eastAsia"/>
          <w:b w:val="0"/>
          <w:bCs w:val="0"/>
        </w:rPr>
        <w:t>言</w:t>
      </w:r>
      <w:bookmarkEnd w:id="1"/>
      <w:bookmarkEnd w:id="2"/>
      <w:bookmarkEnd w:id="3"/>
    </w:p>
    <w:p w14:paraId="645EE49C" w14:textId="77777777" w:rsidR="00FB4CC0" w:rsidRPr="00DE1F5B" w:rsidRDefault="00FB4CC0" w:rsidP="00FB4CC0">
      <w:pPr>
        <w:spacing w:line="360" w:lineRule="auto"/>
        <w:ind w:firstLineChars="200" w:firstLine="420"/>
      </w:pPr>
      <w:r w:rsidRPr="00DE1F5B">
        <w:rPr>
          <w:rFonts w:hint="eastAsia"/>
        </w:rPr>
        <w:t>本文件按照</w:t>
      </w:r>
      <w:r w:rsidRPr="00DE1F5B">
        <w:rPr>
          <w:rFonts w:hint="eastAsia"/>
        </w:rPr>
        <w:t>GB/T 1.1</w:t>
      </w:r>
      <w:r w:rsidRPr="00DE1F5B">
        <w:rPr>
          <w:rFonts w:hint="eastAsia"/>
        </w:rPr>
        <w:t>—</w:t>
      </w:r>
      <w:r w:rsidRPr="00DE1F5B">
        <w:rPr>
          <w:rFonts w:hint="eastAsia"/>
        </w:rPr>
        <w:t>2020</w:t>
      </w:r>
      <w:r w:rsidRPr="00DE1F5B">
        <w:rPr>
          <w:rFonts w:hint="eastAsia"/>
        </w:rPr>
        <w:t>《标准化工作导则</w:t>
      </w:r>
      <w:r w:rsidRPr="00DE1F5B">
        <w:rPr>
          <w:rFonts w:hint="eastAsia"/>
        </w:rPr>
        <w:t xml:space="preserve">  </w:t>
      </w:r>
      <w:r w:rsidRPr="00DE1F5B">
        <w:rPr>
          <w:rFonts w:hint="eastAsia"/>
        </w:rPr>
        <w:t>第</w:t>
      </w:r>
      <w:r w:rsidRPr="00DE1F5B">
        <w:rPr>
          <w:rFonts w:hint="eastAsia"/>
        </w:rPr>
        <w:t>1</w:t>
      </w:r>
      <w:r w:rsidRPr="00DE1F5B">
        <w:rPr>
          <w:rFonts w:hint="eastAsia"/>
        </w:rPr>
        <w:t>部分：标准化文件的结构和起草规则》的规定起草。</w:t>
      </w:r>
    </w:p>
    <w:p w14:paraId="2775237E" w14:textId="77777777" w:rsidR="00FB4CC0" w:rsidRPr="00DE1F5B" w:rsidRDefault="00FB4CC0" w:rsidP="00FB4CC0">
      <w:pPr>
        <w:spacing w:line="360" w:lineRule="auto"/>
        <w:ind w:firstLineChars="200" w:firstLine="420"/>
      </w:pPr>
      <w:r w:rsidRPr="00DE1F5B">
        <w:rPr>
          <w:rFonts w:hint="eastAsia"/>
        </w:rPr>
        <w:t>注：在不引起混淆的情况下，本文件中“标准化文件”简称为“文件”。</w:t>
      </w:r>
    </w:p>
    <w:p w14:paraId="53DF650D" w14:textId="77777777" w:rsidR="00FB4CC0" w:rsidRPr="00DE1F5B" w:rsidRDefault="00FB4CC0" w:rsidP="00FB4CC0">
      <w:pPr>
        <w:spacing w:line="360" w:lineRule="auto"/>
        <w:ind w:firstLineChars="200" w:firstLine="420"/>
      </w:pPr>
      <w:r w:rsidRPr="00DE1F5B">
        <w:rPr>
          <w:rFonts w:hint="eastAsia"/>
        </w:rPr>
        <w:t>本文件由北京华夏草业产业技术创新战略联盟提出并归口。</w:t>
      </w:r>
    </w:p>
    <w:p w14:paraId="3C347A1E" w14:textId="4B86AF44" w:rsidR="00FB4CC0" w:rsidRPr="00DE1F5B" w:rsidRDefault="00FB4CC0" w:rsidP="00FB4CC0">
      <w:pPr>
        <w:spacing w:line="360" w:lineRule="auto"/>
        <w:ind w:firstLineChars="200" w:firstLine="420"/>
      </w:pPr>
      <w:r w:rsidRPr="00DE1F5B">
        <w:rPr>
          <w:rFonts w:hint="eastAsia"/>
        </w:rPr>
        <w:t>本文件起草单位：</w:t>
      </w:r>
      <w:r w:rsidR="0092470A" w:rsidRPr="0092470A">
        <w:rPr>
          <w:rFonts w:hint="eastAsia"/>
        </w:rPr>
        <w:t>内蒙古大学、中国科学院青岛生物能源与过程研究所、中国农业科学院生物技术研究所、内蒙古自治区林业和草原种苗总站、内蒙古草业技术创新中心有限公司。</w:t>
      </w:r>
    </w:p>
    <w:p w14:paraId="443D94EF" w14:textId="4784FF2E" w:rsidR="00FB4CC0" w:rsidRPr="00DE1F5B" w:rsidRDefault="00FB4CC0" w:rsidP="00FB4CC0">
      <w:pPr>
        <w:spacing w:line="360" w:lineRule="auto"/>
        <w:ind w:firstLineChars="200" w:firstLine="420"/>
      </w:pPr>
      <w:r w:rsidRPr="00DE1F5B">
        <w:rPr>
          <w:rFonts w:hint="eastAsia"/>
        </w:rPr>
        <w:t>本文件主要起草人</w:t>
      </w:r>
      <w:r w:rsidR="001208D8" w:rsidRPr="00DE1F5B">
        <w:rPr>
          <w:rFonts w:hint="eastAsia"/>
        </w:rPr>
        <w:t>：</w:t>
      </w:r>
      <w:r w:rsidR="0092470A" w:rsidRPr="0092470A">
        <w:rPr>
          <w:rFonts w:hint="eastAsia"/>
        </w:rPr>
        <w:t>白卓安、任卫波、付春祥、牛丽芳、李京隆、夏红岩、张丽敏、苑峰、刘亚玲、李东明、李俊、李昊峰、刘文文</w:t>
      </w:r>
      <w:r w:rsidR="00627D3B">
        <w:rPr>
          <w:rFonts w:hint="eastAsia"/>
        </w:rPr>
        <w:t>。</w:t>
      </w:r>
    </w:p>
    <w:p w14:paraId="08F9FA2F" w14:textId="7CF66303" w:rsidR="0001064B" w:rsidRDefault="00FB4CC0" w:rsidP="00FB4CC0">
      <w:pPr>
        <w:spacing w:line="360" w:lineRule="auto"/>
        <w:ind w:firstLineChars="200" w:firstLine="420"/>
        <w:jc w:val="left"/>
        <w:sectPr w:rsidR="0001064B" w:rsidSect="00792242">
          <w:headerReference w:type="default" r:id="rId13"/>
          <w:pgSz w:w="11906" w:h="16838"/>
          <w:pgMar w:top="1440" w:right="1800" w:bottom="1440" w:left="1800" w:header="851" w:footer="992" w:gutter="0"/>
          <w:pgNumType w:fmt="upperRoman"/>
          <w:cols w:space="425"/>
          <w:docGrid w:type="lines" w:linePitch="312"/>
        </w:sectPr>
      </w:pPr>
      <w:r w:rsidRPr="00DE1F5B">
        <w:rPr>
          <w:rFonts w:hint="eastAsia"/>
        </w:rPr>
        <w:t>本文件为首次发布</w:t>
      </w:r>
      <w:r w:rsidR="00632B5B">
        <w:rPr>
          <w:rFonts w:hint="eastAsia"/>
        </w:rPr>
        <w:t>。</w:t>
      </w:r>
    </w:p>
    <w:p w14:paraId="21C0CC40" w14:textId="1D57A87C" w:rsidR="00D80AF5" w:rsidRPr="0092470A" w:rsidRDefault="0092470A" w:rsidP="00D80AF5">
      <w:pPr>
        <w:spacing w:afterLines="100" w:after="312" w:line="360" w:lineRule="auto"/>
        <w:jc w:val="center"/>
        <w:rPr>
          <w:rFonts w:eastAsia="黑体"/>
          <w:sz w:val="32"/>
          <w:szCs w:val="24"/>
        </w:rPr>
      </w:pPr>
      <w:r w:rsidRPr="0092470A">
        <w:rPr>
          <w:rFonts w:eastAsia="黑体"/>
          <w:sz w:val="32"/>
          <w:szCs w:val="24"/>
        </w:rPr>
        <w:lastRenderedPageBreak/>
        <w:t>苜蓿品种真实性鉴定</w:t>
      </w:r>
      <w:r w:rsidRPr="0092470A">
        <w:rPr>
          <w:rFonts w:eastAsia="黑体"/>
          <w:sz w:val="32"/>
          <w:szCs w:val="24"/>
        </w:rPr>
        <w:t>SNP</w:t>
      </w:r>
      <w:r w:rsidRPr="0092470A">
        <w:rPr>
          <w:rFonts w:eastAsia="黑体"/>
          <w:sz w:val="32"/>
          <w:szCs w:val="24"/>
        </w:rPr>
        <w:t>分子标记法</w:t>
      </w:r>
    </w:p>
    <w:p w14:paraId="2F901754" w14:textId="0687BC16" w:rsidR="00D80AF5" w:rsidRPr="00BB44E5" w:rsidRDefault="00D80AF5" w:rsidP="00792242">
      <w:pPr>
        <w:pStyle w:val="a5"/>
        <w:spacing w:before="60" w:line="360" w:lineRule="auto"/>
        <w:jc w:val="left"/>
        <w:rPr>
          <w:b w:val="0"/>
          <w:bCs w:val="0"/>
          <w:sz w:val="21"/>
          <w:szCs w:val="21"/>
        </w:rPr>
      </w:pPr>
      <w:bookmarkStart w:id="4" w:name="_Toc175908327"/>
      <w:bookmarkStart w:id="5" w:name="_Toc176548710"/>
      <w:bookmarkStart w:id="6" w:name="_Toc206612693"/>
      <w:r w:rsidRPr="00BB44E5">
        <w:rPr>
          <w:rFonts w:hint="eastAsia"/>
          <w:b w:val="0"/>
          <w:bCs w:val="0"/>
          <w:sz w:val="21"/>
          <w:szCs w:val="21"/>
        </w:rPr>
        <w:t>1</w:t>
      </w:r>
      <w:r w:rsidR="00627D3B">
        <w:rPr>
          <w:rFonts w:hint="eastAsia"/>
          <w:b w:val="0"/>
          <w:bCs w:val="0"/>
          <w:sz w:val="21"/>
          <w:szCs w:val="21"/>
        </w:rPr>
        <w:t xml:space="preserve"> </w:t>
      </w:r>
      <w:r w:rsidRPr="00BB44E5">
        <w:rPr>
          <w:rFonts w:hint="eastAsia"/>
          <w:b w:val="0"/>
          <w:bCs w:val="0"/>
          <w:sz w:val="21"/>
          <w:szCs w:val="21"/>
        </w:rPr>
        <w:t>范围</w:t>
      </w:r>
      <w:bookmarkEnd w:id="4"/>
      <w:bookmarkEnd w:id="5"/>
      <w:bookmarkEnd w:id="6"/>
    </w:p>
    <w:p w14:paraId="4973B438" w14:textId="77777777" w:rsidR="0092470A" w:rsidRDefault="0092470A" w:rsidP="0092470A">
      <w:pPr>
        <w:spacing w:line="360" w:lineRule="auto"/>
        <w:ind w:firstLineChars="200" w:firstLine="420"/>
        <w:rPr>
          <w:rFonts w:hint="eastAsia"/>
        </w:rPr>
      </w:pPr>
      <w:r>
        <w:rPr>
          <w:rFonts w:hint="eastAsia"/>
        </w:rPr>
        <w:t>本文件规定了利用</w:t>
      </w:r>
      <w:r>
        <w:rPr>
          <w:rFonts w:hint="eastAsia"/>
        </w:rPr>
        <w:t>SNP</w:t>
      </w:r>
      <w:r>
        <w:rPr>
          <w:rFonts w:hint="eastAsia"/>
        </w:rPr>
        <w:t>标记进行苜蓿（</w:t>
      </w:r>
      <w:r w:rsidRPr="0092470A">
        <w:rPr>
          <w:rFonts w:hint="eastAsia"/>
          <w:i/>
          <w:iCs/>
        </w:rPr>
        <w:t>Medicago sativa</w:t>
      </w:r>
      <w:r>
        <w:rPr>
          <w:rFonts w:hint="eastAsia"/>
        </w:rPr>
        <w:t xml:space="preserve"> L.</w:t>
      </w:r>
      <w:r>
        <w:rPr>
          <w:rFonts w:hint="eastAsia"/>
        </w:rPr>
        <w:t>）品种真实性鉴定的术语和定义、原理和总则、试验材料、样品、检测程序、结果计算与表示和结果报告。</w:t>
      </w:r>
    </w:p>
    <w:p w14:paraId="1CD5CB11" w14:textId="76D5B450" w:rsidR="00D80AF5" w:rsidRPr="007016E5" w:rsidRDefault="0092470A" w:rsidP="0092470A">
      <w:pPr>
        <w:spacing w:line="360" w:lineRule="auto"/>
        <w:ind w:firstLineChars="200" w:firstLine="420"/>
      </w:pPr>
      <w:r>
        <w:rPr>
          <w:rFonts w:hint="eastAsia"/>
        </w:rPr>
        <w:t>本文件适用于苜蓿品种真实性鉴定、品种亲缘关系分析等。</w:t>
      </w:r>
    </w:p>
    <w:p w14:paraId="50DC1CFF" w14:textId="006D9207" w:rsidR="00D80AF5" w:rsidRPr="007016E5" w:rsidRDefault="00D80AF5" w:rsidP="00792242">
      <w:pPr>
        <w:pStyle w:val="a5"/>
        <w:spacing w:before="60" w:line="360" w:lineRule="auto"/>
        <w:jc w:val="left"/>
        <w:rPr>
          <w:b w:val="0"/>
          <w:bCs w:val="0"/>
          <w:sz w:val="21"/>
          <w:szCs w:val="21"/>
        </w:rPr>
      </w:pPr>
      <w:bookmarkStart w:id="7" w:name="_Toc176548711"/>
      <w:bookmarkStart w:id="8" w:name="_Toc206612694"/>
      <w:r w:rsidRPr="007016E5">
        <w:rPr>
          <w:rFonts w:hint="eastAsia"/>
          <w:b w:val="0"/>
          <w:bCs w:val="0"/>
          <w:sz w:val="21"/>
          <w:szCs w:val="21"/>
        </w:rPr>
        <w:t>2</w:t>
      </w:r>
      <w:r w:rsidR="00627D3B">
        <w:rPr>
          <w:rFonts w:hint="eastAsia"/>
          <w:b w:val="0"/>
          <w:bCs w:val="0"/>
          <w:sz w:val="21"/>
          <w:szCs w:val="21"/>
        </w:rPr>
        <w:t xml:space="preserve"> </w:t>
      </w:r>
      <w:r w:rsidRPr="007016E5">
        <w:rPr>
          <w:rFonts w:hint="eastAsia"/>
          <w:b w:val="0"/>
          <w:bCs w:val="0"/>
          <w:sz w:val="21"/>
          <w:szCs w:val="21"/>
        </w:rPr>
        <w:t>规范性引用文件</w:t>
      </w:r>
      <w:bookmarkEnd w:id="7"/>
      <w:bookmarkEnd w:id="8"/>
    </w:p>
    <w:p w14:paraId="46068E71" w14:textId="77777777" w:rsidR="0092470A" w:rsidRPr="0092470A" w:rsidRDefault="0092470A" w:rsidP="0092470A">
      <w:pPr>
        <w:pStyle w:val="a7"/>
        <w:adjustRightInd w:val="0"/>
        <w:spacing w:line="360" w:lineRule="auto"/>
        <w:ind w:firstLine="420"/>
        <w:contextualSpacing/>
        <w:rPr>
          <w:rFonts w:hint="eastAsia"/>
          <w:kern w:val="2"/>
          <w:sz w:val="21"/>
          <w:szCs w:val="21"/>
        </w:rPr>
      </w:pPr>
      <w:r w:rsidRPr="0092470A">
        <w:rPr>
          <w:rFonts w:hint="eastAsia"/>
          <w:kern w:val="2"/>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4935FB8" w14:textId="77777777" w:rsidR="0092470A" w:rsidRPr="0092470A" w:rsidRDefault="0092470A" w:rsidP="0092470A">
      <w:pPr>
        <w:pStyle w:val="a7"/>
        <w:adjustRightInd w:val="0"/>
        <w:spacing w:line="360" w:lineRule="auto"/>
        <w:ind w:firstLine="420"/>
        <w:contextualSpacing/>
        <w:rPr>
          <w:rFonts w:hint="eastAsia"/>
          <w:kern w:val="2"/>
          <w:sz w:val="21"/>
          <w:szCs w:val="21"/>
        </w:rPr>
      </w:pPr>
      <w:r w:rsidRPr="0092470A">
        <w:rPr>
          <w:rFonts w:hint="eastAsia"/>
          <w:kern w:val="2"/>
          <w:sz w:val="21"/>
          <w:szCs w:val="21"/>
        </w:rPr>
        <w:t xml:space="preserve">GB/T 6682  </w:t>
      </w:r>
      <w:r w:rsidRPr="0092470A">
        <w:rPr>
          <w:rFonts w:hint="eastAsia"/>
          <w:kern w:val="2"/>
          <w:sz w:val="21"/>
          <w:szCs w:val="21"/>
        </w:rPr>
        <w:t>分析实验室用水规格和试验方法</w:t>
      </w:r>
    </w:p>
    <w:p w14:paraId="24CBC114" w14:textId="77777777" w:rsidR="0092470A" w:rsidRPr="0092470A" w:rsidRDefault="0092470A" w:rsidP="0092470A">
      <w:pPr>
        <w:pStyle w:val="a7"/>
        <w:adjustRightInd w:val="0"/>
        <w:spacing w:line="360" w:lineRule="auto"/>
        <w:ind w:firstLine="420"/>
        <w:contextualSpacing/>
        <w:rPr>
          <w:rFonts w:hint="eastAsia"/>
          <w:kern w:val="2"/>
          <w:sz w:val="21"/>
          <w:szCs w:val="21"/>
        </w:rPr>
      </w:pPr>
      <w:r w:rsidRPr="0092470A">
        <w:rPr>
          <w:rFonts w:hint="eastAsia"/>
          <w:kern w:val="2"/>
          <w:sz w:val="21"/>
          <w:szCs w:val="21"/>
        </w:rPr>
        <w:t xml:space="preserve">GB/T 33681.1-2017 </w:t>
      </w:r>
      <w:r w:rsidRPr="0092470A">
        <w:rPr>
          <w:rFonts w:hint="eastAsia"/>
          <w:kern w:val="2"/>
          <w:sz w:val="21"/>
          <w:szCs w:val="21"/>
        </w:rPr>
        <w:t>高通量基因测序样本预处理方法</w:t>
      </w:r>
    </w:p>
    <w:p w14:paraId="37BAEEB0" w14:textId="77777777" w:rsidR="0092470A" w:rsidRPr="0092470A" w:rsidRDefault="0092470A" w:rsidP="0092470A">
      <w:pPr>
        <w:pStyle w:val="a7"/>
        <w:adjustRightInd w:val="0"/>
        <w:spacing w:line="360" w:lineRule="auto"/>
        <w:ind w:firstLine="420"/>
        <w:contextualSpacing/>
        <w:rPr>
          <w:rFonts w:hint="eastAsia"/>
          <w:kern w:val="2"/>
          <w:sz w:val="21"/>
          <w:szCs w:val="21"/>
        </w:rPr>
      </w:pPr>
      <w:r w:rsidRPr="0092470A">
        <w:rPr>
          <w:rFonts w:hint="eastAsia"/>
          <w:kern w:val="2"/>
          <w:sz w:val="21"/>
          <w:szCs w:val="21"/>
        </w:rPr>
        <w:t xml:space="preserve">NY/T 4022-2021 </w:t>
      </w:r>
      <w:r w:rsidRPr="0092470A">
        <w:rPr>
          <w:rFonts w:hint="eastAsia"/>
          <w:kern w:val="2"/>
          <w:sz w:val="21"/>
          <w:szCs w:val="21"/>
        </w:rPr>
        <w:t>玉米品种真实性鉴定</w:t>
      </w:r>
      <w:r w:rsidRPr="0092470A">
        <w:rPr>
          <w:rFonts w:hint="eastAsia"/>
          <w:kern w:val="2"/>
          <w:sz w:val="21"/>
          <w:szCs w:val="21"/>
        </w:rPr>
        <w:t>SNP</w:t>
      </w:r>
      <w:r w:rsidRPr="0092470A">
        <w:rPr>
          <w:rFonts w:hint="eastAsia"/>
          <w:kern w:val="2"/>
          <w:sz w:val="21"/>
          <w:szCs w:val="21"/>
        </w:rPr>
        <w:t>标记法</w:t>
      </w:r>
    </w:p>
    <w:p w14:paraId="1963A849" w14:textId="77777777" w:rsidR="0092470A" w:rsidRPr="0092470A" w:rsidRDefault="0092470A" w:rsidP="0092470A">
      <w:pPr>
        <w:pStyle w:val="a7"/>
        <w:adjustRightInd w:val="0"/>
        <w:spacing w:line="360" w:lineRule="auto"/>
        <w:ind w:firstLine="420"/>
        <w:contextualSpacing/>
        <w:rPr>
          <w:rFonts w:hint="eastAsia"/>
          <w:kern w:val="2"/>
          <w:sz w:val="21"/>
          <w:szCs w:val="21"/>
        </w:rPr>
      </w:pPr>
      <w:r w:rsidRPr="0092470A">
        <w:rPr>
          <w:rFonts w:hint="eastAsia"/>
          <w:kern w:val="2"/>
          <w:sz w:val="21"/>
          <w:szCs w:val="21"/>
        </w:rPr>
        <w:t xml:space="preserve">NY/T 4021-2021 </w:t>
      </w:r>
      <w:r w:rsidRPr="0092470A">
        <w:rPr>
          <w:rFonts w:hint="eastAsia"/>
          <w:kern w:val="2"/>
          <w:sz w:val="21"/>
          <w:szCs w:val="21"/>
        </w:rPr>
        <w:t>小麦品种真实性鉴定</w:t>
      </w:r>
      <w:r w:rsidRPr="0092470A">
        <w:rPr>
          <w:rFonts w:hint="eastAsia"/>
          <w:kern w:val="2"/>
          <w:sz w:val="21"/>
          <w:szCs w:val="21"/>
        </w:rPr>
        <w:t>SNP</w:t>
      </w:r>
      <w:r w:rsidRPr="0092470A">
        <w:rPr>
          <w:rFonts w:hint="eastAsia"/>
          <w:kern w:val="2"/>
          <w:sz w:val="21"/>
          <w:szCs w:val="21"/>
        </w:rPr>
        <w:t>标记法</w:t>
      </w:r>
    </w:p>
    <w:p w14:paraId="4E561297" w14:textId="1F3BC3E6" w:rsidR="00D80AF5" w:rsidRDefault="0092470A" w:rsidP="0092470A">
      <w:pPr>
        <w:pStyle w:val="a7"/>
        <w:adjustRightInd w:val="0"/>
        <w:spacing w:line="360" w:lineRule="auto"/>
        <w:ind w:firstLine="420"/>
        <w:contextualSpacing/>
        <w:rPr>
          <w:kern w:val="2"/>
          <w:sz w:val="21"/>
          <w:szCs w:val="21"/>
        </w:rPr>
      </w:pPr>
      <w:r w:rsidRPr="0092470A">
        <w:rPr>
          <w:rFonts w:hint="eastAsia"/>
          <w:kern w:val="2"/>
          <w:sz w:val="21"/>
          <w:szCs w:val="21"/>
        </w:rPr>
        <w:t xml:space="preserve">NY/T 2745-2021 </w:t>
      </w:r>
      <w:r w:rsidRPr="0092470A">
        <w:rPr>
          <w:rFonts w:hint="eastAsia"/>
          <w:kern w:val="2"/>
          <w:sz w:val="21"/>
          <w:szCs w:val="21"/>
        </w:rPr>
        <w:t>水稻品种真实性鉴定</w:t>
      </w:r>
      <w:r w:rsidRPr="0092470A">
        <w:rPr>
          <w:rFonts w:hint="eastAsia"/>
          <w:kern w:val="2"/>
          <w:sz w:val="21"/>
          <w:szCs w:val="21"/>
        </w:rPr>
        <w:t>SNP</w:t>
      </w:r>
      <w:r w:rsidRPr="0092470A">
        <w:rPr>
          <w:rFonts w:hint="eastAsia"/>
          <w:kern w:val="2"/>
          <w:sz w:val="21"/>
          <w:szCs w:val="21"/>
        </w:rPr>
        <w:t>标记法</w:t>
      </w:r>
    </w:p>
    <w:p w14:paraId="55DB82BB" w14:textId="1C5B6B38" w:rsidR="003929A4" w:rsidRDefault="003929A4" w:rsidP="00792242">
      <w:pPr>
        <w:pStyle w:val="a5"/>
        <w:spacing w:before="60" w:line="360" w:lineRule="auto"/>
        <w:jc w:val="left"/>
        <w:rPr>
          <w:b w:val="0"/>
          <w:bCs w:val="0"/>
          <w:sz w:val="21"/>
          <w:szCs w:val="21"/>
        </w:rPr>
      </w:pPr>
      <w:bookmarkStart w:id="9" w:name="_Toc206612695"/>
      <w:r>
        <w:rPr>
          <w:b w:val="0"/>
          <w:bCs w:val="0"/>
          <w:sz w:val="21"/>
          <w:szCs w:val="21"/>
        </w:rPr>
        <w:t>3</w:t>
      </w:r>
      <w:r w:rsidR="00627D3B">
        <w:rPr>
          <w:rFonts w:hint="eastAsia"/>
          <w:b w:val="0"/>
          <w:bCs w:val="0"/>
          <w:sz w:val="21"/>
          <w:szCs w:val="21"/>
        </w:rPr>
        <w:t xml:space="preserve"> </w:t>
      </w:r>
      <w:r>
        <w:rPr>
          <w:rFonts w:hint="eastAsia"/>
          <w:b w:val="0"/>
          <w:bCs w:val="0"/>
          <w:sz w:val="21"/>
          <w:szCs w:val="21"/>
        </w:rPr>
        <w:t>术语与定义</w:t>
      </w:r>
      <w:bookmarkEnd w:id="9"/>
    </w:p>
    <w:p w14:paraId="07500480" w14:textId="77777777" w:rsidR="003929A4" w:rsidRDefault="003929A4" w:rsidP="00792242">
      <w:pPr>
        <w:spacing w:line="360" w:lineRule="auto"/>
        <w:ind w:firstLineChars="200" w:firstLine="420"/>
        <w:jc w:val="left"/>
      </w:pPr>
      <w:r>
        <w:rPr>
          <w:rFonts w:hint="eastAsia"/>
        </w:rPr>
        <w:t>下列术语和定义适应于本文件。</w:t>
      </w:r>
    </w:p>
    <w:p w14:paraId="1CD15446" w14:textId="45D61C2F" w:rsidR="003929A4" w:rsidRDefault="0092470A" w:rsidP="00792242">
      <w:pPr>
        <w:spacing w:line="360" w:lineRule="auto"/>
        <w:rPr>
          <w:rFonts w:eastAsia="黑体"/>
        </w:rPr>
      </w:pPr>
      <w:r w:rsidRPr="0092470A">
        <w:rPr>
          <w:rFonts w:eastAsia="黑体" w:hint="eastAsia"/>
        </w:rPr>
        <w:t xml:space="preserve">3.1 </w:t>
      </w:r>
      <w:r w:rsidRPr="0092470A">
        <w:rPr>
          <w:rFonts w:eastAsia="黑体" w:hint="eastAsia"/>
        </w:rPr>
        <w:t>单核苷酸多态性</w:t>
      </w:r>
      <w:r w:rsidRPr="0092470A">
        <w:rPr>
          <w:rFonts w:eastAsia="黑体" w:hint="eastAsia"/>
        </w:rPr>
        <w:t>single nucleotide polymorphism (SNP</w:t>
      </w:r>
      <w:r w:rsidRPr="0092470A">
        <w:rPr>
          <w:rFonts w:eastAsia="黑体" w:hint="eastAsia"/>
        </w:rPr>
        <w:t>）</w:t>
      </w:r>
    </w:p>
    <w:p w14:paraId="77B5149E" w14:textId="79488999" w:rsidR="006924AF" w:rsidRDefault="0092470A" w:rsidP="00792242">
      <w:pPr>
        <w:spacing w:line="360" w:lineRule="auto"/>
        <w:ind w:firstLineChars="200" w:firstLine="420"/>
        <w:jc w:val="left"/>
        <w:rPr>
          <w:rFonts w:eastAsia="黑体"/>
        </w:rPr>
      </w:pPr>
      <w:r w:rsidRPr="0092470A">
        <w:rPr>
          <w:rFonts w:hint="eastAsia"/>
        </w:rPr>
        <w:t>在基因组水平上单个核苷酸变异所引起的</w:t>
      </w:r>
      <w:r w:rsidRPr="0092470A">
        <w:rPr>
          <w:rFonts w:hint="eastAsia"/>
        </w:rPr>
        <w:t>DNA</w:t>
      </w:r>
      <w:r w:rsidRPr="0092470A">
        <w:rPr>
          <w:rFonts w:hint="eastAsia"/>
        </w:rPr>
        <w:t>序列多态性。</w:t>
      </w:r>
    </w:p>
    <w:p w14:paraId="4294AECB" w14:textId="77777777" w:rsidR="0092470A" w:rsidRPr="0092470A" w:rsidRDefault="0092470A" w:rsidP="0092470A">
      <w:pPr>
        <w:spacing w:line="360" w:lineRule="auto"/>
        <w:rPr>
          <w:rFonts w:eastAsia="黑体" w:hint="eastAsia"/>
        </w:rPr>
      </w:pPr>
      <w:r w:rsidRPr="0092470A">
        <w:rPr>
          <w:rFonts w:eastAsia="黑体" w:hint="eastAsia"/>
        </w:rPr>
        <w:t xml:space="preserve">3.2 </w:t>
      </w:r>
      <w:r w:rsidRPr="0092470A">
        <w:rPr>
          <w:rFonts w:eastAsia="黑体" w:hint="eastAsia"/>
        </w:rPr>
        <w:t>品种真实性鉴定</w:t>
      </w:r>
      <w:r w:rsidRPr="0092470A">
        <w:rPr>
          <w:rFonts w:eastAsia="黑体" w:hint="eastAsia"/>
        </w:rPr>
        <w:t xml:space="preserve"> variety identification</w:t>
      </w:r>
    </w:p>
    <w:p w14:paraId="5D028B3E" w14:textId="77777777" w:rsidR="0092470A" w:rsidRPr="0092470A" w:rsidRDefault="0092470A" w:rsidP="0092470A">
      <w:pPr>
        <w:spacing w:line="360" w:lineRule="auto"/>
        <w:ind w:firstLineChars="200" w:firstLine="420"/>
        <w:jc w:val="left"/>
        <w:rPr>
          <w:rFonts w:hint="eastAsia"/>
        </w:rPr>
      </w:pPr>
      <w:r w:rsidRPr="0092470A">
        <w:rPr>
          <w:rFonts w:hint="eastAsia"/>
        </w:rPr>
        <w:t>通过与标准样品</w:t>
      </w:r>
      <w:r w:rsidRPr="0092470A">
        <w:rPr>
          <w:rFonts w:hint="eastAsia"/>
        </w:rPr>
        <w:t>DNA</w:t>
      </w:r>
      <w:r w:rsidRPr="0092470A">
        <w:rPr>
          <w:rFonts w:hint="eastAsia"/>
        </w:rPr>
        <w:t>指纹数据比对或筛查，确定送检样品的真实品种名称。</w:t>
      </w:r>
    </w:p>
    <w:p w14:paraId="45A4C023" w14:textId="77777777" w:rsidR="0092470A" w:rsidRPr="0092470A" w:rsidRDefault="0092470A" w:rsidP="0092470A">
      <w:pPr>
        <w:spacing w:line="360" w:lineRule="auto"/>
        <w:rPr>
          <w:rFonts w:eastAsia="黑体" w:hint="eastAsia"/>
        </w:rPr>
      </w:pPr>
      <w:r w:rsidRPr="0092470A">
        <w:rPr>
          <w:rFonts w:eastAsia="黑体" w:hint="eastAsia"/>
        </w:rPr>
        <w:t xml:space="preserve">3.3 </w:t>
      </w:r>
      <w:r w:rsidRPr="0092470A">
        <w:rPr>
          <w:rFonts w:eastAsia="黑体" w:hint="eastAsia"/>
        </w:rPr>
        <w:t>标准样品</w:t>
      </w:r>
      <w:r w:rsidRPr="0092470A">
        <w:rPr>
          <w:rFonts w:eastAsia="黑体" w:hint="eastAsia"/>
        </w:rPr>
        <w:t xml:space="preserve"> standard sample</w:t>
      </w:r>
    </w:p>
    <w:p w14:paraId="566B6D9A" w14:textId="5C6BC6CB" w:rsidR="0047034D" w:rsidRDefault="0092470A" w:rsidP="0092470A">
      <w:pPr>
        <w:spacing w:line="360" w:lineRule="auto"/>
        <w:ind w:firstLineChars="200" w:firstLine="420"/>
        <w:jc w:val="left"/>
      </w:pPr>
      <w:r w:rsidRPr="0092470A">
        <w:rPr>
          <w:rFonts w:hint="eastAsia"/>
        </w:rPr>
        <w:t>国家指定机构保存的具有法定身份的代表品种特征特性的实物种子或</w:t>
      </w:r>
      <w:r w:rsidRPr="0092470A">
        <w:rPr>
          <w:rFonts w:hint="eastAsia"/>
        </w:rPr>
        <w:t>DNA</w:t>
      </w:r>
      <w:r w:rsidRPr="0092470A">
        <w:rPr>
          <w:rFonts w:hint="eastAsia"/>
        </w:rPr>
        <w:t>样品。</w:t>
      </w:r>
    </w:p>
    <w:p w14:paraId="44A1CEAA" w14:textId="67E650A2" w:rsidR="007D519D" w:rsidRDefault="007D519D" w:rsidP="00792242">
      <w:pPr>
        <w:pStyle w:val="a5"/>
        <w:spacing w:before="60" w:line="360" w:lineRule="auto"/>
        <w:jc w:val="left"/>
        <w:rPr>
          <w:b w:val="0"/>
          <w:bCs w:val="0"/>
          <w:sz w:val="21"/>
          <w:szCs w:val="21"/>
        </w:rPr>
      </w:pPr>
      <w:bookmarkStart w:id="10" w:name="_Toc206612696"/>
      <w:r>
        <w:rPr>
          <w:b w:val="0"/>
          <w:bCs w:val="0"/>
          <w:sz w:val="21"/>
          <w:szCs w:val="21"/>
        </w:rPr>
        <w:t>4</w:t>
      </w:r>
      <w:r w:rsidR="00627D3B">
        <w:rPr>
          <w:rFonts w:hint="eastAsia"/>
          <w:b w:val="0"/>
          <w:bCs w:val="0"/>
          <w:sz w:val="21"/>
          <w:szCs w:val="21"/>
        </w:rPr>
        <w:t xml:space="preserve"> </w:t>
      </w:r>
      <w:r w:rsidR="0092470A" w:rsidRPr="0092470A">
        <w:rPr>
          <w:rFonts w:hint="eastAsia"/>
          <w:b w:val="0"/>
          <w:bCs w:val="0"/>
          <w:sz w:val="21"/>
          <w:szCs w:val="21"/>
        </w:rPr>
        <w:t>缩略语</w:t>
      </w:r>
      <w:bookmarkEnd w:id="10"/>
    </w:p>
    <w:p w14:paraId="28495AD2" w14:textId="77777777" w:rsidR="0092470A" w:rsidRDefault="0092470A" w:rsidP="0092470A">
      <w:pPr>
        <w:spacing w:line="360" w:lineRule="auto"/>
        <w:ind w:firstLineChars="200" w:firstLine="420"/>
        <w:rPr>
          <w:rFonts w:hint="eastAsia"/>
        </w:rPr>
      </w:pPr>
      <w:r>
        <w:rPr>
          <w:rFonts w:hint="eastAsia"/>
        </w:rPr>
        <w:t>下列缩略语适用于本文件。</w:t>
      </w:r>
    </w:p>
    <w:p w14:paraId="212DE93B" w14:textId="77777777" w:rsidR="0092470A" w:rsidRDefault="0092470A" w:rsidP="0092470A">
      <w:pPr>
        <w:spacing w:line="360" w:lineRule="auto"/>
        <w:ind w:firstLineChars="200" w:firstLine="420"/>
        <w:rPr>
          <w:rFonts w:hint="eastAsia"/>
        </w:rPr>
      </w:pPr>
      <w:r>
        <w:rPr>
          <w:rFonts w:hint="eastAsia"/>
        </w:rPr>
        <w:t>CTAB</w:t>
      </w:r>
      <w:r>
        <w:rPr>
          <w:rFonts w:hint="eastAsia"/>
        </w:rPr>
        <w:t>：十六烷基三甲基溴化铵（</w:t>
      </w:r>
      <w:r>
        <w:rPr>
          <w:rFonts w:hint="eastAsia"/>
        </w:rPr>
        <w:t>Hexadecyl trimethyl ammonium Bromide</w:t>
      </w:r>
      <w:r>
        <w:rPr>
          <w:rFonts w:hint="eastAsia"/>
        </w:rPr>
        <w:t>）</w:t>
      </w:r>
    </w:p>
    <w:p w14:paraId="79594616" w14:textId="77777777" w:rsidR="0092470A" w:rsidRDefault="0092470A" w:rsidP="0092470A">
      <w:pPr>
        <w:spacing w:line="360" w:lineRule="auto"/>
        <w:ind w:firstLineChars="200" w:firstLine="420"/>
        <w:rPr>
          <w:rFonts w:hint="eastAsia"/>
        </w:rPr>
      </w:pPr>
      <w:r>
        <w:rPr>
          <w:rFonts w:hint="eastAsia"/>
        </w:rPr>
        <w:t>DNA</w:t>
      </w:r>
      <w:r>
        <w:rPr>
          <w:rFonts w:hint="eastAsia"/>
        </w:rPr>
        <w:t>：脱氧核糖核苷酸（</w:t>
      </w:r>
      <w:r>
        <w:rPr>
          <w:rFonts w:hint="eastAsia"/>
        </w:rPr>
        <w:t>Deoxyribonucleic acid</w:t>
      </w:r>
      <w:r>
        <w:rPr>
          <w:rFonts w:hint="eastAsia"/>
        </w:rPr>
        <w:t>）</w:t>
      </w:r>
    </w:p>
    <w:p w14:paraId="70E2A909" w14:textId="77777777" w:rsidR="0092470A" w:rsidRDefault="0092470A" w:rsidP="0092470A">
      <w:pPr>
        <w:spacing w:line="360" w:lineRule="auto"/>
        <w:ind w:firstLineChars="200" w:firstLine="420"/>
        <w:rPr>
          <w:rFonts w:hint="eastAsia"/>
        </w:rPr>
      </w:pPr>
      <w:r>
        <w:rPr>
          <w:rFonts w:hint="eastAsia"/>
        </w:rPr>
        <w:t>PCR</w:t>
      </w:r>
      <w:r>
        <w:rPr>
          <w:rFonts w:hint="eastAsia"/>
        </w:rPr>
        <w:t>：聚合酶链式反应（</w:t>
      </w:r>
      <w:r>
        <w:rPr>
          <w:rFonts w:hint="eastAsia"/>
        </w:rPr>
        <w:t>Polymerase chain reaction</w:t>
      </w:r>
      <w:r>
        <w:rPr>
          <w:rFonts w:hint="eastAsia"/>
        </w:rPr>
        <w:t>）</w:t>
      </w:r>
    </w:p>
    <w:p w14:paraId="427B9F9A" w14:textId="77777777" w:rsidR="0092470A" w:rsidRDefault="0092470A" w:rsidP="0092470A">
      <w:pPr>
        <w:spacing w:line="360" w:lineRule="auto"/>
        <w:ind w:firstLineChars="200" w:firstLine="420"/>
        <w:rPr>
          <w:rFonts w:hint="eastAsia"/>
        </w:rPr>
      </w:pPr>
      <w:r>
        <w:rPr>
          <w:rFonts w:hint="eastAsia"/>
        </w:rPr>
        <w:t>KASP</w:t>
      </w:r>
      <w:r>
        <w:rPr>
          <w:rFonts w:hint="eastAsia"/>
        </w:rPr>
        <w:t>：竞争性等位基因特异性</w:t>
      </w:r>
      <w:r>
        <w:rPr>
          <w:rFonts w:hint="eastAsia"/>
        </w:rPr>
        <w:t>PCR</w:t>
      </w:r>
      <w:r>
        <w:rPr>
          <w:rFonts w:hint="eastAsia"/>
        </w:rPr>
        <w:t>（</w:t>
      </w:r>
      <w:r>
        <w:rPr>
          <w:rFonts w:hint="eastAsia"/>
        </w:rPr>
        <w:t>Kompetitive allele specific PCR</w:t>
      </w:r>
      <w:r>
        <w:rPr>
          <w:rFonts w:hint="eastAsia"/>
        </w:rPr>
        <w:t>）</w:t>
      </w:r>
    </w:p>
    <w:p w14:paraId="456101D5" w14:textId="1BA6AEFD" w:rsidR="009027EA" w:rsidRPr="009027EA" w:rsidRDefault="0092470A" w:rsidP="0092470A">
      <w:pPr>
        <w:spacing w:line="360" w:lineRule="auto"/>
        <w:ind w:firstLineChars="200" w:firstLine="420"/>
      </w:pPr>
      <w:r>
        <w:rPr>
          <w:rFonts w:hint="eastAsia"/>
        </w:rPr>
        <w:lastRenderedPageBreak/>
        <w:t>SDS</w:t>
      </w:r>
      <w:r>
        <w:rPr>
          <w:rFonts w:hint="eastAsia"/>
        </w:rPr>
        <w:t>：十二烷基硫酸钠（</w:t>
      </w:r>
      <w:r>
        <w:rPr>
          <w:rFonts w:hint="eastAsia"/>
        </w:rPr>
        <w:t>Sodium dodecyl sulfate</w:t>
      </w:r>
      <w:r>
        <w:rPr>
          <w:rFonts w:hint="eastAsia"/>
        </w:rPr>
        <w:t>）</w:t>
      </w:r>
    </w:p>
    <w:p w14:paraId="3C672AE0" w14:textId="78DFD876" w:rsidR="00500DE6" w:rsidRDefault="00500DE6" w:rsidP="00792242">
      <w:pPr>
        <w:pStyle w:val="a5"/>
        <w:spacing w:before="60" w:line="360" w:lineRule="auto"/>
        <w:jc w:val="left"/>
        <w:rPr>
          <w:b w:val="0"/>
          <w:bCs w:val="0"/>
          <w:sz w:val="21"/>
          <w:szCs w:val="21"/>
        </w:rPr>
      </w:pPr>
      <w:bookmarkStart w:id="11" w:name="_Toc206612697"/>
      <w:r>
        <w:rPr>
          <w:b w:val="0"/>
          <w:bCs w:val="0"/>
          <w:sz w:val="21"/>
          <w:szCs w:val="21"/>
        </w:rPr>
        <w:t>5</w:t>
      </w:r>
      <w:r w:rsidR="00627D3B">
        <w:rPr>
          <w:rFonts w:hint="eastAsia"/>
          <w:b w:val="0"/>
          <w:bCs w:val="0"/>
          <w:sz w:val="21"/>
          <w:szCs w:val="21"/>
        </w:rPr>
        <w:t xml:space="preserve"> </w:t>
      </w:r>
      <w:r w:rsidR="00956203" w:rsidRPr="00956203">
        <w:rPr>
          <w:rFonts w:hint="eastAsia"/>
          <w:b w:val="0"/>
          <w:bCs w:val="0"/>
          <w:sz w:val="21"/>
          <w:szCs w:val="21"/>
        </w:rPr>
        <w:t>原理和总则</w:t>
      </w:r>
      <w:bookmarkEnd w:id="11"/>
    </w:p>
    <w:p w14:paraId="0F8A5880" w14:textId="0985C2CE" w:rsidR="001B0081" w:rsidRPr="00956203" w:rsidRDefault="001B0081" w:rsidP="00956203">
      <w:pPr>
        <w:spacing w:line="360" w:lineRule="auto"/>
        <w:rPr>
          <w:rFonts w:eastAsia="黑体"/>
        </w:rPr>
      </w:pPr>
      <w:r w:rsidRPr="00956203">
        <w:rPr>
          <w:rFonts w:eastAsia="黑体"/>
        </w:rPr>
        <w:t xml:space="preserve">5.1 </w:t>
      </w:r>
      <w:r w:rsidR="00956203" w:rsidRPr="00956203">
        <w:rPr>
          <w:rFonts w:eastAsia="黑体" w:hint="eastAsia"/>
        </w:rPr>
        <w:t>原理</w:t>
      </w:r>
    </w:p>
    <w:p w14:paraId="6AC99FDE" w14:textId="6FBF2302" w:rsidR="00956203" w:rsidRPr="001B0081" w:rsidRDefault="00956203" w:rsidP="00956203">
      <w:pPr>
        <w:spacing w:line="360" w:lineRule="auto"/>
        <w:ind w:firstLineChars="200" w:firstLine="420"/>
        <w:rPr>
          <w:rFonts w:hint="eastAsia"/>
        </w:rPr>
      </w:pPr>
      <w:r w:rsidRPr="00956203">
        <w:rPr>
          <w:rFonts w:hint="eastAsia"/>
        </w:rPr>
        <w:t>苜蓿不同品种的基因组存在着能够世代稳定遗传的单核苷酸多态性（</w:t>
      </w:r>
      <w:r w:rsidRPr="00956203">
        <w:rPr>
          <w:rFonts w:hint="eastAsia"/>
        </w:rPr>
        <w:t>SNP</w:t>
      </w:r>
      <w:r w:rsidRPr="00956203">
        <w:rPr>
          <w:rFonts w:hint="eastAsia"/>
        </w:rPr>
        <w:t>）差异，利用</w:t>
      </w:r>
      <w:r w:rsidRPr="00956203">
        <w:rPr>
          <w:rFonts w:hint="eastAsia"/>
        </w:rPr>
        <w:t>SNP</w:t>
      </w:r>
      <w:r w:rsidRPr="00956203">
        <w:rPr>
          <w:rFonts w:hint="eastAsia"/>
        </w:rPr>
        <w:t>差异，通过与标准样品</w:t>
      </w:r>
      <w:r w:rsidRPr="00956203">
        <w:rPr>
          <w:rFonts w:hint="eastAsia"/>
        </w:rPr>
        <w:t>DNA</w:t>
      </w:r>
      <w:r w:rsidRPr="00956203">
        <w:rPr>
          <w:rFonts w:hint="eastAsia"/>
        </w:rPr>
        <w:t>指纹数据比对或筛查的方式，进行品种真实性验证和真实性身份鉴定。</w:t>
      </w:r>
    </w:p>
    <w:p w14:paraId="62604B29" w14:textId="77777777" w:rsidR="00956203" w:rsidRPr="00956203" w:rsidRDefault="00956203" w:rsidP="00956203">
      <w:pPr>
        <w:spacing w:line="360" w:lineRule="auto"/>
        <w:rPr>
          <w:rFonts w:eastAsia="黑体" w:hint="eastAsia"/>
        </w:rPr>
      </w:pPr>
      <w:r w:rsidRPr="00956203">
        <w:rPr>
          <w:rFonts w:eastAsia="黑体" w:hint="eastAsia"/>
        </w:rPr>
        <w:t xml:space="preserve">5.2 </w:t>
      </w:r>
      <w:r w:rsidRPr="00956203">
        <w:rPr>
          <w:rFonts w:eastAsia="黑体" w:hint="eastAsia"/>
        </w:rPr>
        <w:t>总则</w:t>
      </w:r>
    </w:p>
    <w:p w14:paraId="23304F0B" w14:textId="07C9D0E0" w:rsidR="00956203" w:rsidRDefault="00956203" w:rsidP="00956203">
      <w:pPr>
        <w:spacing w:line="360" w:lineRule="auto"/>
        <w:ind w:firstLineChars="200" w:firstLine="420"/>
        <w:rPr>
          <w:rFonts w:hint="eastAsia"/>
        </w:rPr>
      </w:pPr>
      <w:r>
        <w:rPr>
          <w:rFonts w:hint="eastAsia"/>
        </w:rPr>
        <w:t>应依据“适于检测目的”的原则，统筹考虑检测规模和检测能力，择定适宜的检测平台、引物或探针、样品数，经过验证，制订相应的检测方案；品种真实性验证依据</w:t>
      </w:r>
      <w:r>
        <w:rPr>
          <w:rFonts w:hint="eastAsia"/>
        </w:rPr>
        <w:t>SNP</w:t>
      </w:r>
      <w:r>
        <w:rPr>
          <w:rFonts w:hint="eastAsia"/>
        </w:rPr>
        <w:t>位点差异数目进行判定，品种真实性身份鉴定依据</w:t>
      </w:r>
      <w:r>
        <w:rPr>
          <w:rFonts w:hint="eastAsia"/>
        </w:rPr>
        <w:t>SNP</w:t>
      </w:r>
      <w:r>
        <w:rPr>
          <w:rFonts w:hint="eastAsia"/>
        </w:rPr>
        <w:t>位点相似度进行判定。品种关系鉴定可采用品种真实性身份鉴定的检测方案。</w:t>
      </w:r>
    </w:p>
    <w:p w14:paraId="42F9AB60" w14:textId="645EE33C" w:rsidR="00500DE6" w:rsidRDefault="00956203" w:rsidP="00956203">
      <w:pPr>
        <w:spacing w:line="360" w:lineRule="auto"/>
        <w:ind w:firstLineChars="200" w:firstLine="420"/>
      </w:pPr>
      <w:r>
        <w:rPr>
          <w:rFonts w:hint="eastAsia"/>
        </w:rPr>
        <w:t>本文件推荐采用基于</w:t>
      </w:r>
      <w:r>
        <w:rPr>
          <w:rFonts w:hint="eastAsia"/>
        </w:rPr>
        <w:t>SNP</w:t>
      </w:r>
      <w:r>
        <w:rPr>
          <w:rFonts w:hint="eastAsia"/>
        </w:rPr>
        <w:t>芯片分型检测平台。</w:t>
      </w:r>
    </w:p>
    <w:p w14:paraId="5750B4A7" w14:textId="7DEBB50D" w:rsidR="00500DE6" w:rsidRDefault="00135A1A" w:rsidP="00792242">
      <w:pPr>
        <w:pStyle w:val="a5"/>
        <w:spacing w:before="60" w:line="360" w:lineRule="auto"/>
        <w:jc w:val="left"/>
        <w:rPr>
          <w:b w:val="0"/>
          <w:bCs w:val="0"/>
          <w:sz w:val="21"/>
          <w:szCs w:val="21"/>
        </w:rPr>
      </w:pPr>
      <w:bookmarkStart w:id="12" w:name="_Toc206612698"/>
      <w:r>
        <w:rPr>
          <w:b w:val="0"/>
          <w:bCs w:val="0"/>
          <w:sz w:val="21"/>
          <w:szCs w:val="21"/>
        </w:rPr>
        <w:t>6</w:t>
      </w:r>
      <w:r w:rsidR="00627D3B">
        <w:rPr>
          <w:rFonts w:hint="eastAsia"/>
          <w:b w:val="0"/>
          <w:bCs w:val="0"/>
          <w:sz w:val="21"/>
          <w:szCs w:val="21"/>
        </w:rPr>
        <w:t xml:space="preserve"> </w:t>
      </w:r>
      <w:r w:rsidR="00F43106" w:rsidRPr="00F43106">
        <w:rPr>
          <w:rFonts w:hint="eastAsia"/>
          <w:b w:val="0"/>
          <w:bCs w:val="0"/>
          <w:sz w:val="21"/>
          <w:szCs w:val="21"/>
        </w:rPr>
        <w:t>样品</w:t>
      </w:r>
      <w:bookmarkEnd w:id="12"/>
    </w:p>
    <w:p w14:paraId="42F5E9F4" w14:textId="170EAEC4" w:rsidR="00F43106" w:rsidRPr="0086576D" w:rsidRDefault="00F43106" w:rsidP="0086576D">
      <w:pPr>
        <w:spacing w:line="360" w:lineRule="auto"/>
        <w:ind w:firstLineChars="200" w:firstLine="420"/>
        <w:rPr>
          <w:rFonts w:hint="eastAsia"/>
        </w:rPr>
      </w:pPr>
      <w:r>
        <w:rPr>
          <w:rFonts w:hint="eastAsia"/>
        </w:rPr>
        <w:t>可为种子、幼苗、叶片等组织或器官，需要扦样的样品数量应符合</w:t>
      </w:r>
      <w:r>
        <w:rPr>
          <w:rFonts w:hint="eastAsia"/>
        </w:rPr>
        <w:t>GB/T 3543.2</w:t>
      </w:r>
      <w:r>
        <w:rPr>
          <w:rFonts w:hint="eastAsia"/>
        </w:rPr>
        <w:t>的规定。送验样品如为种子，重量应不低于</w:t>
      </w:r>
      <w:r>
        <w:rPr>
          <w:rFonts w:hint="eastAsia"/>
        </w:rPr>
        <w:t>50 g</w:t>
      </w:r>
      <w:r>
        <w:rPr>
          <w:rFonts w:hint="eastAsia"/>
        </w:rPr>
        <w:t>或不少于</w:t>
      </w:r>
      <w:r>
        <w:rPr>
          <w:rFonts w:hint="eastAsia"/>
        </w:rPr>
        <w:t>500</w:t>
      </w:r>
      <w:r>
        <w:rPr>
          <w:rFonts w:hint="eastAsia"/>
        </w:rPr>
        <w:t>粒；如为幼苗、叶片等组织或器官，样品应至少来自</w:t>
      </w:r>
      <w:r>
        <w:rPr>
          <w:rFonts w:hint="eastAsia"/>
        </w:rPr>
        <w:t>30</w:t>
      </w:r>
      <w:r>
        <w:rPr>
          <w:rFonts w:hint="eastAsia"/>
        </w:rPr>
        <w:t>个植株个体。</w:t>
      </w:r>
    </w:p>
    <w:p w14:paraId="1415F487" w14:textId="6F1CFF4B" w:rsidR="00484AC2" w:rsidRPr="00484AC2" w:rsidRDefault="00F43106" w:rsidP="00F43106">
      <w:pPr>
        <w:spacing w:line="360" w:lineRule="auto"/>
        <w:ind w:firstLineChars="200" w:firstLine="420"/>
      </w:pPr>
      <w:r>
        <w:rPr>
          <w:rFonts w:hint="eastAsia"/>
        </w:rPr>
        <w:t>试验样品应至少含有</w:t>
      </w:r>
      <w:r>
        <w:rPr>
          <w:rFonts w:hint="eastAsia"/>
        </w:rPr>
        <w:t>30</w:t>
      </w:r>
      <w:r>
        <w:rPr>
          <w:rFonts w:hint="eastAsia"/>
        </w:rPr>
        <w:t>个个体，可以混合检测或单个个体检测。</w:t>
      </w:r>
    </w:p>
    <w:p w14:paraId="0CCA485E" w14:textId="74C38F2B" w:rsidR="00500DE6" w:rsidRDefault="00135A1A" w:rsidP="00792242">
      <w:pPr>
        <w:pStyle w:val="a5"/>
        <w:spacing w:before="60" w:line="360" w:lineRule="auto"/>
        <w:jc w:val="left"/>
        <w:rPr>
          <w:b w:val="0"/>
          <w:bCs w:val="0"/>
          <w:sz w:val="21"/>
          <w:szCs w:val="21"/>
        </w:rPr>
      </w:pPr>
      <w:bookmarkStart w:id="13" w:name="_Toc206612699"/>
      <w:r>
        <w:rPr>
          <w:b w:val="0"/>
          <w:bCs w:val="0"/>
          <w:sz w:val="21"/>
          <w:szCs w:val="21"/>
        </w:rPr>
        <w:t>7</w:t>
      </w:r>
      <w:r w:rsidR="00627D3B">
        <w:rPr>
          <w:rFonts w:hint="eastAsia"/>
          <w:b w:val="0"/>
          <w:bCs w:val="0"/>
          <w:sz w:val="21"/>
          <w:szCs w:val="21"/>
        </w:rPr>
        <w:t xml:space="preserve"> </w:t>
      </w:r>
      <w:r w:rsidR="0086576D" w:rsidRPr="0086576D">
        <w:rPr>
          <w:rFonts w:hint="eastAsia"/>
          <w:b w:val="0"/>
          <w:bCs w:val="0"/>
          <w:sz w:val="21"/>
          <w:szCs w:val="21"/>
        </w:rPr>
        <w:t>检测程序</w:t>
      </w:r>
      <w:bookmarkEnd w:id="13"/>
    </w:p>
    <w:p w14:paraId="7184B9B9" w14:textId="77777777" w:rsidR="0086576D" w:rsidRPr="0086576D" w:rsidRDefault="0086576D" w:rsidP="0086576D">
      <w:pPr>
        <w:spacing w:line="360" w:lineRule="auto"/>
        <w:rPr>
          <w:rFonts w:eastAsia="黑体"/>
        </w:rPr>
      </w:pPr>
      <w:bookmarkStart w:id="14" w:name="_Toc25953"/>
      <w:r w:rsidRPr="0086576D">
        <w:rPr>
          <w:rFonts w:eastAsia="黑体"/>
        </w:rPr>
        <w:t xml:space="preserve">7.1 </w:t>
      </w:r>
      <w:bookmarkEnd w:id="14"/>
      <w:r w:rsidRPr="0086576D">
        <w:rPr>
          <w:rFonts w:eastAsia="黑体"/>
        </w:rPr>
        <w:t>DNA</w:t>
      </w:r>
      <w:r w:rsidRPr="0086576D">
        <w:rPr>
          <w:rFonts w:eastAsia="黑体"/>
        </w:rPr>
        <w:t>提取</w:t>
      </w:r>
    </w:p>
    <w:p w14:paraId="0BD5E93E" w14:textId="77777777" w:rsidR="0086576D" w:rsidRPr="0086576D" w:rsidRDefault="0086576D" w:rsidP="0086576D">
      <w:pPr>
        <w:spacing w:line="360" w:lineRule="auto"/>
        <w:ind w:firstLineChars="200" w:firstLine="420"/>
      </w:pPr>
      <w:r w:rsidRPr="0086576D">
        <w:t>DNA</w:t>
      </w:r>
      <w:r w:rsidRPr="0086576D">
        <w:t>提取采用</w:t>
      </w:r>
      <w:r w:rsidRPr="0086576D">
        <w:t>CTAN</w:t>
      </w:r>
      <w:r w:rsidRPr="0086576D">
        <w:t>法或</w:t>
      </w:r>
      <w:r w:rsidRPr="0086576D">
        <w:t>SDS</w:t>
      </w:r>
      <w:r w:rsidRPr="0086576D">
        <w:t>法。</w:t>
      </w:r>
    </w:p>
    <w:p w14:paraId="2861ACE4" w14:textId="77777777" w:rsidR="0086576D" w:rsidRPr="0086576D" w:rsidRDefault="0086576D" w:rsidP="0086576D">
      <w:pPr>
        <w:spacing w:line="360" w:lineRule="auto"/>
        <w:rPr>
          <w:rFonts w:eastAsia="黑体"/>
        </w:rPr>
      </w:pPr>
      <w:bookmarkStart w:id="15" w:name="_Toc17842"/>
      <w:r w:rsidRPr="0086576D">
        <w:rPr>
          <w:rFonts w:eastAsia="黑体"/>
        </w:rPr>
        <w:t xml:space="preserve">7.2 </w:t>
      </w:r>
      <w:bookmarkEnd w:id="15"/>
      <w:r w:rsidRPr="0086576D">
        <w:rPr>
          <w:rFonts w:eastAsia="黑体"/>
        </w:rPr>
        <w:t>DNA</w:t>
      </w:r>
      <w:r w:rsidRPr="0086576D">
        <w:rPr>
          <w:rFonts w:eastAsia="黑体"/>
        </w:rPr>
        <w:t>质量要求</w:t>
      </w:r>
    </w:p>
    <w:p w14:paraId="4632779A" w14:textId="77777777" w:rsidR="0086576D" w:rsidRPr="0086576D" w:rsidRDefault="0086576D" w:rsidP="0086576D">
      <w:pPr>
        <w:spacing w:line="360" w:lineRule="auto"/>
        <w:ind w:firstLineChars="200" w:firstLine="420"/>
      </w:pPr>
      <w:r w:rsidRPr="0086576D">
        <w:t>DNA</w:t>
      </w:r>
      <w:r w:rsidRPr="0086576D">
        <w:t>无降解，溶液的紫外光吸光度</w:t>
      </w:r>
      <w:r w:rsidRPr="0086576D">
        <w:t>OD260</w:t>
      </w:r>
      <w:r w:rsidRPr="0086576D">
        <w:t>与</w:t>
      </w:r>
      <w:r w:rsidRPr="0086576D">
        <w:t>OD280</w:t>
      </w:r>
      <w:r w:rsidRPr="0086576D">
        <w:t>的比值宜介于</w:t>
      </w:r>
      <w:r w:rsidRPr="0086576D">
        <w:t>1.7</w:t>
      </w:r>
      <w:r w:rsidRPr="0086576D">
        <w:t>～</w:t>
      </w:r>
      <w:r w:rsidRPr="0086576D">
        <w:t>2.0</w:t>
      </w:r>
      <w:r w:rsidRPr="0086576D">
        <w:t>。</w:t>
      </w:r>
      <w:bookmarkStart w:id="16" w:name="_Toc1360"/>
    </w:p>
    <w:p w14:paraId="19232172" w14:textId="77777777" w:rsidR="0086576D" w:rsidRPr="0086576D" w:rsidRDefault="0086576D" w:rsidP="0086576D">
      <w:pPr>
        <w:spacing w:line="360" w:lineRule="auto"/>
        <w:rPr>
          <w:rFonts w:eastAsia="黑体"/>
        </w:rPr>
      </w:pPr>
      <w:r w:rsidRPr="0086576D">
        <w:rPr>
          <w:rFonts w:eastAsia="黑体"/>
        </w:rPr>
        <w:t xml:space="preserve">7.3 </w:t>
      </w:r>
      <w:bookmarkEnd w:id="16"/>
      <w:r w:rsidRPr="0086576D">
        <w:rPr>
          <w:rFonts w:eastAsia="黑体"/>
        </w:rPr>
        <w:t>SNP</w:t>
      </w:r>
      <w:r w:rsidRPr="0086576D">
        <w:rPr>
          <w:rFonts w:eastAsia="黑体"/>
        </w:rPr>
        <w:t>芯片扫描检测</w:t>
      </w:r>
    </w:p>
    <w:p w14:paraId="73C6C55D" w14:textId="77777777" w:rsidR="0086576D" w:rsidRPr="0086576D" w:rsidRDefault="0086576D" w:rsidP="0086576D">
      <w:pPr>
        <w:spacing w:line="360" w:lineRule="auto"/>
      </w:pPr>
      <w:bookmarkStart w:id="17" w:name="_Toc11120"/>
      <w:r w:rsidRPr="0086576D">
        <w:t xml:space="preserve">7.3.1 </w:t>
      </w:r>
      <w:bookmarkEnd w:id="17"/>
      <w:r w:rsidRPr="0086576D">
        <w:t>DNA</w:t>
      </w:r>
      <w:r w:rsidRPr="0086576D">
        <w:t>扩增、片段化、沉淀</w:t>
      </w:r>
    </w:p>
    <w:p w14:paraId="2B8E6E68" w14:textId="77777777" w:rsidR="0086576D" w:rsidRPr="0086576D" w:rsidRDefault="0086576D" w:rsidP="0086576D">
      <w:pPr>
        <w:spacing w:line="360" w:lineRule="auto"/>
        <w:ind w:firstLineChars="200" w:firstLine="420"/>
      </w:pPr>
      <w:r w:rsidRPr="0086576D">
        <w:t xml:space="preserve">a) </w:t>
      </w:r>
      <w:r w:rsidRPr="0086576D">
        <w:t>变性：</w:t>
      </w:r>
      <w:r w:rsidRPr="0086576D">
        <w:t>DNA</w:t>
      </w:r>
      <w:r w:rsidRPr="0086576D">
        <w:t>模板</w:t>
      </w:r>
      <w:r w:rsidRPr="0086576D">
        <w:t>8.7 μL</w:t>
      </w:r>
      <w:r w:rsidRPr="0086576D">
        <w:t>，每孔加</w:t>
      </w:r>
      <w:r w:rsidRPr="0086576D">
        <w:t>8.7 μL</w:t>
      </w:r>
      <w:r w:rsidRPr="0086576D">
        <w:t>的变性试剂，室温放置</w:t>
      </w:r>
      <w:r w:rsidRPr="0086576D">
        <w:t>10 min</w:t>
      </w:r>
      <w:r w:rsidRPr="0086576D">
        <w:t>；</w:t>
      </w:r>
    </w:p>
    <w:p w14:paraId="122E5BBC" w14:textId="77777777" w:rsidR="0086576D" w:rsidRPr="0086576D" w:rsidRDefault="0086576D" w:rsidP="0086576D">
      <w:pPr>
        <w:spacing w:line="360" w:lineRule="auto"/>
        <w:ind w:firstLineChars="200" w:firstLine="420"/>
      </w:pPr>
      <w:r w:rsidRPr="0086576D">
        <w:t xml:space="preserve">b) </w:t>
      </w:r>
      <w:r w:rsidRPr="0086576D">
        <w:t>中和：每孔加</w:t>
      </w:r>
      <w:r w:rsidRPr="0086576D">
        <w:t>56.6 μL</w:t>
      </w:r>
      <w:r w:rsidRPr="0086576D">
        <w:t>中和试剂；</w:t>
      </w:r>
    </w:p>
    <w:p w14:paraId="1781E782" w14:textId="77777777" w:rsidR="0086576D" w:rsidRPr="0086576D" w:rsidRDefault="0086576D" w:rsidP="0086576D">
      <w:pPr>
        <w:spacing w:line="360" w:lineRule="auto"/>
        <w:ind w:firstLineChars="200" w:firstLine="420"/>
      </w:pPr>
      <w:r w:rsidRPr="0086576D">
        <w:t xml:space="preserve">c) </w:t>
      </w:r>
      <w:r w:rsidRPr="0086576D">
        <w:t>扩增：每孔加</w:t>
      </w:r>
      <w:r w:rsidRPr="0086576D">
        <w:t>100.1 μL</w:t>
      </w:r>
      <w:r w:rsidRPr="0086576D">
        <w:t>扩增试剂，</w:t>
      </w:r>
      <w:r w:rsidRPr="0086576D">
        <w:t>37℃</w:t>
      </w:r>
      <w:r w:rsidRPr="0086576D">
        <w:t>育（</w:t>
      </w:r>
      <w:r w:rsidRPr="0086576D">
        <w:t>23±1</w:t>
      </w:r>
      <w:r w:rsidRPr="0086576D">
        <w:t>）</w:t>
      </w:r>
      <w:r w:rsidRPr="0086576D">
        <w:t>h</w:t>
      </w:r>
      <w:r w:rsidRPr="0086576D">
        <w:t>；</w:t>
      </w:r>
    </w:p>
    <w:p w14:paraId="6D9B2025" w14:textId="77777777" w:rsidR="0086576D" w:rsidRPr="0086576D" w:rsidRDefault="0086576D" w:rsidP="0086576D">
      <w:pPr>
        <w:spacing w:line="360" w:lineRule="auto"/>
        <w:ind w:firstLineChars="200" w:firstLine="420"/>
      </w:pPr>
      <w:r w:rsidRPr="0086576D">
        <w:t xml:space="preserve">d) </w:t>
      </w:r>
      <w:r w:rsidRPr="0086576D">
        <w:t>终止扩增反应：将样品板从</w:t>
      </w:r>
      <w:r w:rsidRPr="0086576D">
        <w:t>37℃</w:t>
      </w:r>
      <w:r w:rsidRPr="0086576D">
        <w:t>杂交取出，放入</w:t>
      </w:r>
      <w:r w:rsidRPr="0086576D">
        <w:t>65℃</w:t>
      </w:r>
      <w:r w:rsidRPr="0086576D">
        <w:t>杂交炉，孵育</w:t>
      </w:r>
      <w:r w:rsidRPr="0086576D">
        <w:t>20 min</w:t>
      </w:r>
      <w:r w:rsidRPr="0086576D">
        <w:t>然后放入</w:t>
      </w:r>
      <w:r w:rsidRPr="0086576D">
        <w:t>37℃</w:t>
      </w:r>
      <w:r w:rsidRPr="0086576D">
        <w:t>杂交炉，育</w:t>
      </w:r>
      <w:r w:rsidRPr="0086576D">
        <w:t>45 min</w:t>
      </w:r>
      <w:r w:rsidRPr="0086576D">
        <w:t>：</w:t>
      </w:r>
    </w:p>
    <w:p w14:paraId="732D14F0" w14:textId="77777777" w:rsidR="0086576D" w:rsidRPr="0086576D" w:rsidRDefault="0086576D" w:rsidP="0086576D">
      <w:pPr>
        <w:spacing w:line="360" w:lineRule="auto"/>
        <w:ind w:firstLineChars="200" w:firstLine="420"/>
      </w:pPr>
      <w:r w:rsidRPr="0086576D">
        <w:lastRenderedPageBreak/>
        <w:t xml:space="preserve">e) </w:t>
      </w:r>
      <w:r w:rsidRPr="0086576D">
        <w:t>片段化：每孔加</w:t>
      </w:r>
      <w:r w:rsidRPr="0086576D">
        <w:t>24.8 μL</w:t>
      </w:r>
      <w:r w:rsidRPr="0086576D">
        <w:t>片段化预混试剂，</w:t>
      </w:r>
      <w:r w:rsidRPr="0086576D">
        <w:t>37℃</w:t>
      </w:r>
      <w:r w:rsidRPr="0086576D">
        <w:t>育</w:t>
      </w:r>
      <w:r w:rsidRPr="0086576D">
        <w:t>30 min</w:t>
      </w:r>
      <w:r w:rsidRPr="0086576D">
        <w:t>；</w:t>
      </w:r>
    </w:p>
    <w:p w14:paraId="238931CD" w14:textId="77777777" w:rsidR="0086576D" w:rsidRPr="0086576D" w:rsidRDefault="0086576D" w:rsidP="0086576D">
      <w:pPr>
        <w:spacing w:line="360" w:lineRule="auto"/>
        <w:ind w:firstLineChars="200" w:firstLine="420"/>
      </w:pPr>
      <w:r w:rsidRPr="0086576D">
        <w:t xml:space="preserve">f) </w:t>
      </w:r>
      <w:r w:rsidRPr="0086576D">
        <w:t>片段化终止反应：每孔加</w:t>
      </w:r>
      <w:r w:rsidRPr="0086576D">
        <w:t>8.3 μL</w:t>
      </w:r>
      <w:r w:rsidRPr="0086576D">
        <w:t>终止液；</w:t>
      </w:r>
    </w:p>
    <w:p w14:paraId="61484DA0" w14:textId="77777777" w:rsidR="0086576D" w:rsidRPr="0086576D" w:rsidRDefault="0086576D" w:rsidP="0086576D">
      <w:pPr>
        <w:spacing w:line="360" w:lineRule="auto"/>
        <w:ind w:firstLineChars="200" w:firstLine="420"/>
      </w:pPr>
      <w:r w:rsidRPr="0086576D">
        <w:t xml:space="preserve">g) </w:t>
      </w:r>
      <w:r w:rsidRPr="0086576D">
        <w:t>沉淀：每孔加入</w:t>
      </w:r>
      <w:r w:rsidRPr="0086576D">
        <w:t>365.4 μL</w:t>
      </w:r>
      <w:r w:rsidRPr="0086576D">
        <w:t>沉淀混合液，</w:t>
      </w:r>
      <w:r w:rsidRPr="0086576D">
        <w:t>20℃</w:t>
      </w:r>
      <w:r w:rsidRPr="0086576D">
        <w:t>放置</w:t>
      </w:r>
      <w:r w:rsidRPr="0086576D">
        <w:t>16</w:t>
      </w:r>
      <w:r w:rsidRPr="0086576D">
        <w:t>～</w:t>
      </w:r>
      <w:r w:rsidRPr="0086576D">
        <w:t>24 h</w:t>
      </w:r>
      <w:r w:rsidRPr="0086576D">
        <w:t>；</w:t>
      </w:r>
    </w:p>
    <w:p w14:paraId="2DD6F042" w14:textId="77777777" w:rsidR="0086576D" w:rsidRPr="0086576D" w:rsidRDefault="0086576D" w:rsidP="0086576D">
      <w:pPr>
        <w:spacing w:line="360" w:lineRule="auto"/>
        <w:ind w:firstLineChars="200" w:firstLine="420"/>
      </w:pPr>
      <w:r w:rsidRPr="0086576D">
        <w:t xml:space="preserve">h) </w:t>
      </w:r>
      <w:r w:rsidRPr="0086576D">
        <w:t>以上试剂用量为选用</w:t>
      </w:r>
      <w:r w:rsidRPr="0086576D">
        <w:t>96</w:t>
      </w:r>
      <w:r w:rsidRPr="0086576D">
        <w:t>制式芯片时的推荐用量，若选用其他制式芯片，试剂用量需调整。</w:t>
      </w:r>
    </w:p>
    <w:p w14:paraId="7A93B7EB" w14:textId="77777777" w:rsidR="0086576D" w:rsidRDefault="0086576D" w:rsidP="0086576D">
      <w:pPr>
        <w:spacing w:line="360" w:lineRule="auto"/>
      </w:pPr>
      <w:r w:rsidRPr="0086576D">
        <w:t xml:space="preserve">7.3.2 </w:t>
      </w:r>
      <w:r w:rsidRPr="0086576D">
        <w:t>干燥、重悬及质控</w:t>
      </w:r>
    </w:p>
    <w:p w14:paraId="00C64784" w14:textId="77777777" w:rsidR="0086576D" w:rsidRDefault="0086576D" w:rsidP="0086576D">
      <w:pPr>
        <w:spacing w:line="360" w:lineRule="auto"/>
        <w:ind w:firstLineChars="200" w:firstLine="420"/>
      </w:pPr>
      <w:r w:rsidRPr="0086576D">
        <w:t xml:space="preserve">a) </w:t>
      </w:r>
      <w:r w:rsidRPr="0086576D">
        <w:t>干燥：</w:t>
      </w:r>
      <w:r w:rsidRPr="0086576D">
        <w:t>4℃</w:t>
      </w:r>
      <w:r w:rsidRPr="0086576D">
        <w:t>离心，</w:t>
      </w:r>
      <w:r w:rsidRPr="0086576D">
        <w:t>3200g</w:t>
      </w:r>
      <w:r w:rsidRPr="0086576D">
        <w:t>离心</w:t>
      </w:r>
      <w:r w:rsidRPr="0086576D">
        <w:t>40 min</w:t>
      </w:r>
      <w:r w:rsidRPr="0086576D">
        <w:t>，弃上清液，烘干；</w:t>
      </w:r>
      <w:r w:rsidRPr="0086576D">
        <w:t xml:space="preserve"> </w:t>
      </w:r>
    </w:p>
    <w:p w14:paraId="207CC3EE" w14:textId="5C749D60" w:rsidR="0086576D" w:rsidRPr="0086576D" w:rsidRDefault="0086576D" w:rsidP="0086576D">
      <w:pPr>
        <w:spacing w:line="360" w:lineRule="auto"/>
        <w:ind w:firstLineChars="200" w:firstLine="420"/>
      </w:pPr>
      <w:r w:rsidRPr="0086576D">
        <w:t xml:space="preserve">b) </w:t>
      </w:r>
      <w:r w:rsidRPr="0086576D">
        <w:t>重悬：</w:t>
      </w:r>
      <w:r w:rsidRPr="0086576D">
        <w:t>50 μL</w:t>
      </w:r>
      <w:r w:rsidRPr="0086576D">
        <w:t>杂交混合液，振荡溶解</w:t>
      </w:r>
      <w:r w:rsidRPr="0086576D">
        <w:t>15 min</w:t>
      </w:r>
      <w:r w:rsidRPr="0086576D">
        <w:t>；</w:t>
      </w:r>
    </w:p>
    <w:p w14:paraId="6D754425" w14:textId="77777777" w:rsidR="0086576D" w:rsidRPr="0086576D" w:rsidRDefault="0086576D" w:rsidP="0086576D">
      <w:pPr>
        <w:spacing w:line="360" w:lineRule="auto"/>
        <w:ind w:firstLineChars="200" w:firstLine="420"/>
      </w:pPr>
      <w:r w:rsidRPr="0086576D">
        <w:t xml:space="preserve">c) </w:t>
      </w:r>
      <w:r w:rsidRPr="0086576D">
        <w:t>质控：用琼脂糖凝胶电泳及紫外分光光度计进行定性及定量检测，合格后方可进行后续试验。</w:t>
      </w:r>
    </w:p>
    <w:p w14:paraId="46C4329B" w14:textId="77777777" w:rsidR="0086576D" w:rsidRPr="0086576D" w:rsidRDefault="0086576D" w:rsidP="0086576D">
      <w:pPr>
        <w:spacing w:line="360" w:lineRule="auto"/>
      </w:pPr>
      <w:r w:rsidRPr="0086576D">
        <w:t xml:space="preserve">7.3.3 </w:t>
      </w:r>
      <w:r w:rsidRPr="0086576D">
        <w:t>杂交、扫描</w:t>
      </w:r>
    </w:p>
    <w:p w14:paraId="6FD64530" w14:textId="77777777" w:rsidR="0086576D" w:rsidRPr="0086576D" w:rsidRDefault="0086576D" w:rsidP="0086576D">
      <w:pPr>
        <w:spacing w:line="360" w:lineRule="auto"/>
        <w:ind w:firstLineChars="200" w:firstLine="420"/>
      </w:pPr>
      <w:r w:rsidRPr="0086576D">
        <w:t xml:space="preserve">a) </w:t>
      </w:r>
      <w:r w:rsidRPr="0086576D">
        <w:t>杂交：启动芯片扫描仪及其软件，上传样品信息，待杂交样品变性。变性程序为：</w:t>
      </w:r>
      <w:r w:rsidRPr="0086576D">
        <w:t>95℃ 10 min</w:t>
      </w:r>
      <w:r w:rsidRPr="0086576D">
        <w:t>，</w:t>
      </w:r>
      <w:r w:rsidRPr="0086576D">
        <w:t>48℃ 3 min</w:t>
      </w:r>
      <w:r w:rsidRPr="0086576D">
        <w:t>，</w:t>
      </w:r>
      <w:r w:rsidRPr="0086576D">
        <w:t>48℃</w:t>
      </w:r>
      <w:r w:rsidRPr="0086576D">
        <w:t>保存。变性后将样品转移至杂交板，放入芯片扫描仪指定位置，</w:t>
      </w:r>
      <w:r w:rsidRPr="0086576D">
        <w:t>48℃</w:t>
      </w:r>
      <w:r w:rsidRPr="0086576D">
        <w:t>杂交</w:t>
      </w:r>
      <w:r w:rsidRPr="0086576D">
        <w:t>23.5 h</w:t>
      </w:r>
      <w:r w:rsidRPr="0086576D">
        <w:t>。</w:t>
      </w:r>
    </w:p>
    <w:p w14:paraId="0A293D53" w14:textId="77777777" w:rsidR="0086576D" w:rsidRPr="0086576D" w:rsidRDefault="0086576D" w:rsidP="0086576D">
      <w:pPr>
        <w:spacing w:line="360" w:lineRule="auto"/>
        <w:ind w:firstLineChars="200" w:firstLine="420"/>
      </w:pPr>
      <w:r w:rsidRPr="0086576D">
        <w:t xml:space="preserve">b) </w:t>
      </w:r>
      <w:r w:rsidRPr="0086576D">
        <w:t>清洗、染色：根据芯片扫描仪系统提示，将清洗液与染色试剂放入对应位置，扫描仪自动清洗。</w:t>
      </w:r>
    </w:p>
    <w:p w14:paraId="6B22486E" w14:textId="77777777" w:rsidR="0086576D" w:rsidRPr="0086576D" w:rsidRDefault="0086576D" w:rsidP="0086576D">
      <w:pPr>
        <w:spacing w:line="360" w:lineRule="auto"/>
        <w:ind w:firstLineChars="200" w:firstLine="420"/>
      </w:pPr>
      <w:r w:rsidRPr="0086576D">
        <w:t xml:space="preserve">c) </w:t>
      </w:r>
      <w:r w:rsidRPr="0086576D">
        <w:t>扫描：清洗染色结束后芯片扫描仪自动进行荧光信号扫描。</w:t>
      </w:r>
    </w:p>
    <w:p w14:paraId="1D419568" w14:textId="77777777" w:rsidR="0086576D" w:rsidRPr="0086576D" w:rsidRDefault="0086576D" w:rsidP="0086576D">
      <w:pPr>
        <w:spacing w:line="360" w:lineRule="auto"/>
        <w:ind w:firstLineChars="200" w:firstLine="420"/>
      </w:pPr>
      <w:r w:rsidRPr="0086576D">
        <w:t xml:space="preserve">d) </w:t>
      </w:r>
      <w:r w:rsidRPr="0086576D">
        <w:t>数据分析：采用软件对扫描出来的数据进行质量控制及基因分型分析。</w:t>
      </w:r>
    </w:p>
    <w:p w14:paraId="780D6A8E" w14:textId="77777777" w:rsidR="0086576D" w:rsidRPr="0086576D" w:rsidRDefault="0086576D" w:rsidP="0086576D">
      <w:pPr>
        <w:spacing w:line="360" w:lineRule="auto"/>
        <w:rPr>
          <w:rFonts w:eastAsia="黑体"/>
        </w:rPr>
      </w:pPr>
      <w:r w:rsidRPr="0086576D">
        <w:rPr>
          <w:rFonts w:eastAsia="黑体"/>
        </w:rPr>
        <w:t xml:space="preserve">7.4 </w:t>
      </w:r>
      <w:r w:rsidRPr="0086576D">
        <w:rPr>
          <w:rFonts w:eastAsia="黑体"/>
        </w:rPr>
        <w:t>数据记录</w:t>
      </w:r>
    </w:p>
    <w:p w14:paraId="5FDA377D" w14:textId="033BDACB" w:rsidR="000A4135" w:rsidRDefault="0086576D" w:rsidP="0086576D">
      <w:pPr>
        <w:spacing w:line="360" w:lineRule="auto"/>
        <w:ind w:firstLineChars="200" w:firstLine="420"/>
      </w:pPr>
      <w:r w:rsidRPr="0086576D">
        <w:t>数据记录方式用</w:t>
      </w:r>
      <w:r w:rsidRPr="0086576D">
        <w:t>SNP</w:t>
      </w:r>
      <w:r w:rsidRPr="0086576D">
        <w:t>位点碱基符号表示基因型，如</w:t>
      </w:r>
      <w:r w:rsidRPr="0086576D">
        <w:t>AA</w:t>
      </w:r>
      <w:r w:rsidRPr="0086576D">
        <w:t>、</w:t>
      </w:r>
      <w:r w:rsidRPr="0086576D">
        <w:t>TT</w:t>
      </w:r>
      <w:r w:rsidRPr="0086576D">
        <w:t>、</w:t>
      </w:r>
      <w:r w:rsidRPr="0086576D">
        <w:t>CC</w:t>
      </w:r>
      <w:r w:rsidRPr="0086576D">
        <w:t>或</w:t>
      </w:r>
      <w:r w:rsidRPr="0086576D">
        <w:t>GG</w:t>
      </w:r>
      <w:r w:rsidRPr="0086576D">
        <w:t>，缺失数据记录为</w:t>
      </w:r>
      <w:r w:rsidRPr="0086576D">
        <w:t>“</w:t>
      </w:r>
      <w:r w:rsidR="00AB7A1D">
        <w:rPr>
          <w:rFonts w:hint="eastAsia"/>
        </w:rPr>
        <w:t>—</w:t>
      </w:r>
      <w:r w:rsidRPr="0086576D">
        <w:t>”</w:t>
      </w:r>
      <w:r w:rsidRPr="0086576D">
        <w:t>。数据质量需符合对应检测平台的质控要求。</w:t>
      </w:r>
    </w:p>
    <w:p w14:paraId="124B348C" w14:textId="702C69C1" w:rsidR="00500DE6" w:rsidRDefault="00135A1A" w:rsidP="00792242">
      <w:pPr>
        <w:pStyle w:val="a5"/>
        <w:spacing w:before="60" w:line="360" w:lineRule="auto"/>
        <w:jc w:val="left"/>
        <w:rPr>
          <w:b w:val="0"/>
          <w:bCs w:val="0"/>
          <w:sz w:val="21"/>
          <w:szCs w:val="21"/>
        </w:rPr>
      </w:pPr>
      <w:bookmarkStart w:id="18" w:name="_Toc206612700"/>
      <w:r>
        <w:rPr>
          <w:b w:val="0"/>
          <w:bCs w:val="0"/>
          <w:sz w:val="21"/>
          <w:szCs w:val="21"/>
        </w:rPr>
        <w:t>8</w:t>
      </w:r>
      <w:r w:rsidR="00627D3B">
        <w:rPr>
          <w:rFonts w:hint="eastAsia"/>
          <w:b w:val="0"/>
          <w:bCs w:val="0"/>
          <w:sz w:val="21"/>
          <w:szCs w:val="21"/>
        </w:rPr>
        <w:t xml:space="preserve"> </w:t>
      </w:r>
      <w:r w:rsidR="0086576D" w:rsidRPr="0086576D">
        <w:rPr>
          <w:rFonts w:hint="eastAsia"/>
          <w:b w:val="0"/>
          <w:bCs w:val="0"/>
          <w:sz w:val="21"/>
          <w:szCs w:val="21"/>
        </w:rPr>
        <w:t>结果计算与表示</w:t>
      </w:r>
      <w:bookmarkEnd w:id="18"/>
    </w:p>
    <w:p w14:paraId="534E7D1D" w14:textId="77777777" w:rsidR="0086576D" w:rsidRPr="0086576D" w:rsidRDefault="0086576D" w:rsidP="0086576D">
      <w:pPr>
        <w:spacing w:line="360" w:lineRule="auto"/>
        <w:rPr>
          <w:rFonts w:eastAsia="黑体"/>
        </w:rPr>
      </w:pPr>
      <w:bookmarkStart w:id="19" w:name="_Toc11543"/>
      <w:r w:rsidRPr="0086576D">
        <w:rPr>
          <w:rFonts w:eastAsia="黑体"/>
        </w:rPr>
        <w:t xml:space="preserve">8.1 </w:t>
      </w:r>
      <w:bookmarkEnd w:id="19"/>
      <w:r w:rsidRPr="0086576D">
        <w:rPr>
          <w:rFonts w:eastAsia="黑体"/>
        </w:rPr>
        <w:t>品种真实性鉴定</w:t>
      </w:r>
    </w:p>
    <w:p w14:paraId="0522A0C6" w14:textId="77777777" w:rsidR="0086576D" w:rsidRPr="0086576D" w:rsidRDefault="0086576D" w:rsidP="0086576D">
      <w:pPr>
        <w:spacing w:line="360" w:lineRule="auto"/>
        <w:ind w:firstLineChars="200" w:firstLine="420"/>
      </w:pPr>
      <w:r w:rsidRPr="0086576D">
        <w:t>将送验样品与标准样品指纹成对比较，统计比较总位点数和差异位点数。按公式（</w:t>
      </w:r>
      <w:r w:rsidRPr="0086576D">
        <w:t>1</w:t>
      </w:r>
      <w:r w:rsidRPr="0086576D">
        <w:t>）计算</w:t>
      </w:r>
      <w:r w:rsidRPr="0086576D">
        <w:t>2</w:t>
      </w:r>
      <w:r w:rsidRPr="0086576D">
        <w:t>份样品的位点相似度。</w:t>
      </w:r>
    </w:p>
    <w:p w14:paraId="1C7E7A3D" w14:textId="08614B32" w:rsidR="0086576D" w:rsidRPr="0086576D" w:rsidRDefault="0086576D" w:rsidP="00AB7A1D">
      <w:pPr>
        <w:spacing w:line="360" w:lineRule="auto"/>
        <w:ind w:firstLineChars="1000" w:firstLine="2100"/>
      </w:pPr>
      <w:r w:rsidRPr="0086576D">
        <w:t>LS=(1-D/T)×100%</w:t>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00AB7A1D" w:rsidRPr="0086576D">
        <w:sym w:font="Wingdings 2" w:char="F096"/>
      </w:r>
      <w:r w:rsidR="00AB7A1D" w:rsidRPr="0086576D">
        <w:sym w:font="Wingdings 2" w:char="F096"/>
      </w:r>
      <w:r w:rsidR="00AB7A1D" w:rsidRPr="0086576D">
        <w:sym w:font="Wingdings 2" w:char="F096"/>
      </w:r>
      <w:r w:rsidR="00AB7A1D" w:rsidRPr="0086576D">
        <w:sym w:font="Wingdings 2" w:char="F096"/>
      </w:r>
      <w:r w:rsidR="00AB7A1D" w:rsidRPr="0086576D">
        <w:sym w:font="Wingdings 2" w:char="F096"/>
      </w:r>
      <w:r w:rsidR="00AB7A1D" w:rsidRPr="0086576D">
        <w:sym w:font="Wingdings 2" w:char="F096"/>
      </w:r>
      <w:r w:rsidR="00AB7A1D" w:rsidRPr="0086576D">
        <w:sym w:font="Wingdings 2" w:char="F096"/>
      </w:r>
      <w:r w:rsidR="00AB7A1D" w:rsidRPr="0086576D">
        <w:sym w:font="Wingdings 2" w:char="F096"/>
      </w:r>
      <w:r w:rsidR="00AB7A1D" w:rsidRPr="0086576D">
        <w:sym w:font="Wingdings 2" w:char="F096"/>
      </w:r>
      <w:r w:rsidR="00AB7A1D" w:rsidRPr="0086576D">
        <w:sym w:font="Wingdings 2" w:char="F096"/>
      </w:r>
      <w:r w:rsidR="00AB7A1D"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sym w:font="Wingdings 2" w:char="F096"/>
      </w:r>
      <w:r w:rsidRPr="0086576D">
        <w:t>（</w:t>
      </w:r>
      <w:r w:rsidRPr="0086576D">
        <w:t>1</w:t>
      </w:r>
      <w:r w:rsidRPr="0086576D">
        <w:t>）</w:t>
      </w:r>
    </w:p>
    <w:p w14:paraId="3B243361" w14:textId="77777777" w:rsidR="0086576D" w:rsidRPr="0086576D" w:rsidRDefault="0086576D" w:rsidP="0086576D">
      <w:pPr>
        <w:spacing w:line="360" w:lineRule="auto"/>
        <w:ind w:firstLineChars="200" w:firstLine="420"/>
      </w:pPr>
      <w:r w:rsidRPr="0086576D">
        <w:t>式中：</w:t>
      </w:r>
    </w:p>
    <w:p w14:paraId="76D3D312" w14:textId="77777777" w:rsidR="0086576D" w:rsidRPr="0086576D" w:rsidRDefault="0086576D" w:rsidP="0086576D">
      <w:pPr>
        <w:spacing w:line="360" w:lineRule="auto"/>
        <w:ind w:firstLineChars="200" w:firstLine="420"/>
      </w:pPr>
      <w:r w:rsidRPr="0086576D">
        <w:t>LS——</w:t>
      </w:r>
      <w:r w:rsidRPr="0086576D">
        <w:t>位点相似度；</w:t>
      </w:r>
    </w:p>
    <w:p w14:paraId="37555AA4" w14:textId="77777777" w:rsidR="0086576D" w:rsidRPr="0086576D" w:rsidRDefault="0086576D" w:rsidP="0086576D">
      <w:pPr>
        <w:spacing w:line="360" w:lineRule="auto"/>
        <w:ind w:firstLineChars="200" w:firstLine="420"/>
      </w:pPr>
      <w:r w:rsidRPr="0086576D">
        <w:t>D——</w:t>
      </w:r>
      <w:r w:rsidRPr="0086576D">
        <w:t>差异位点数；</w:t>
      </w:r>
    </w:p>
    <w:p w14:paraId="60831E37" w14:textId="77777777" w:rsidR="0086576D" w:rsidRPr="0086576D" w:rsidRDefault="0086576D" w:rsidP="0086576D">
      <w:pPr>
        <w:spacing w:line="360" w:lineRule="auto"/>
        <w:ind w:firstLineChars="200" w:firstLine="420"/>
      </w:pPr>
      <w:r w:rsidRPr="0086576D">
        <w:lastRenderedPageBreak/>
        <w:t>T——</w:t>
      </w:r>
      <w:r w:rsidRPr="0086576D">
        <w:t>比较总位点数。</w:t>
      </w:r>
    </w:p>
    <w:p w14:paraId="0E423F62" w14:textId="212B1F9D" w:rsidR="00DF1608" w:rsidRDefault="0086576D" w:rsidP="0086576D">
      <w:pPr>
        <w:spacing w:line="360" w:lineRule="auto"/>
        <w:ind w:firstLineChars="200" w:firstLine="420"/>
      </w:pPr>
      <w:r w:rsidRPr="0086576D">
        <w:t>位点相似度</w:t>
      </w:r>
      <w:r w:rsidRPr="0086576D">
        <w:t>LS</w:t>
      </w:r>
      <w:r w:rsidRPr="0086576D">
        <w:t>值保留两位小数。</w:t>
      </w:r>
    </w:p>
    <w:p w14:paraId="39C75879" w14:textId="77777777" w:rsidR="0086576D" w:rsidRPr="000D2977" w:rsidRDefault="0086576D" w:rsidP="0086576D">
      <w:pPr>
        <w:pStyle w:val="a5"/>
        <w:spacing w:before="60" w:line="360" w:lineRule="auto"/>
        <w:jc w:val="left"/>
        <w:rPr>
          <w:rFonts w:cstheme="minorBidi"/>
          <w:b w:val="0"/>
          <w:bCs w:val="0"/>
          <w:color w:val="212121"/>
          <w:kern w:val="44"/>
          <w:sz w:val="24"/>
          <w:szCs w:val="24"/>
        </w:rPr>
      </w:pPr>
      <w:bookmarkStart w:id="20" w:name="_Toc29152"/>
      <w:bookmarkStart w:id="21" w:name="_Toc206531654"/>
      <w:bookmarkStart w:id="22" w:name="_Toc206612701"/>
      <w:r w:rsidRPr="0086576D">
        <w:rPr>
          <w:b w:val="0"/>
          <w:bCs w:val="0"/>
          <w:sz w:val="21"/>
          <w:szCs w:val="21"/>
        </w:rPr>
        <w:t xml:space="preserve">9 </w:t>
      </w:r>
      <w:bookmarkEnd w:id="20"/>
      <w:r w:rsidRPr="0086576D">
        <w:rPr>
          <w:b w:val="0"/>
          <w:bCs w:val="0"/>
          <w:sz w:val="21"/>
          <w:szCs w:val="21"/>
        </w:rPr>
        <w:t>结果报告</w:t>
      </w:r>
      <w:bookmarkEnd w:id="21"/>
      <w:bookmarkEnd w:id="22"/>
    </w:p>
    <w:p w14:paraId="2F99EF60" w14:textId="77777777" w:rsidR="0086576D" w:rsidRPr="000D2977" w:rsidRDefault="0086576D" w:rsidP="0086576D">
      <w:pPr>
        <w:spacing w:line="360" w:lineRule="auto"/>
        <w:rPr>
          <w:sz w:val="24"/>
          <w:szCs w:val="24"/>
        </w:rPr>
      </w:pPr>
      <w:bookmarkStart w:id="23" w:name="_Toc9870"/>
      <w:r w:rsidRPr="0086576D">
        <w:rPr>
          <w:rFonts w:eastAsia="黑体"/>
        </w:rPr>
        <w:t xml:space="preserve">9.1 </w:t>
      </w:r>
      <w:bookmarkEnd w:id="23"/>
      <w:r w:rsidRPr="0086576D">
        <w:rPr>
          <w:rFonts w:eastAsia="黑体"/>
        </w:rPr>
        <w:t>品种真实性鉴定</w:t>
      </w:r>
    </w:p>
    <w:p w14:paraId="3F811269" w14:textId="77777777" w:rsidR="0086576D" w:rsidRPr="0086576D" w:rsidRDefault="0086576D" w:rsidP="0086576D">
      <w:pPr>
        <w:spacing w:line="360" w:lineRule="auto"/>
        <w:ind w:firstLineChars="200" w:firstLine="420"/>
      </w:pPr>
      <w:r w:rsidRPr="0086576D">
        <w:t>鉴定意见可参考以下原则：</w:t>
      </w:r>
    </w:p>
    <w:p w14:paraId="55AC2C7F" w14:textId="77777777" w:rsidR="0086576D" w:rsidRPr="0086576D" w:rsidRDefault="0086576D" w:rsidP="0086576D">
      <w:pPr>
        <w:spacing w:line="360" w:lineRule="auto"/>
        <w:ind w:firstLineChars="200" w:firstLine="420"/>
      </w:pPr>
      <w:r w:rsidRPr="0086576D">
        <w:t xml:space="preserve">a) </w:t>
      </w:r>
      <w:r w:rsidRPr="0086576D">
        <w:t>送验样品与标准样品比较，位点相似度</w:t>
      </w:r>
      <w:r w:rsidRPr="0086576D">
        <w:t>≥9</w:t>
      </w:r>
      <w:r w:rsidRPr="0086576D">
        <w:rPr>
          <w:rFonts w:hint="eastAsia"/>
        </w:rPr>
        <w:t>0</w:t>
      </w:r>
      <w:r w:rsidRPr="0086576D">
        <w:t>.00%</w:t>
      </w:r>
      <w:r w:rsidRPr="0086576D">
        <w:t>，疑似两者为同一品种；</w:t>
      </w:r>
    </w:p>
    <w:p w14:paraId="4933E29F" w14:textId="77777777" w:rsidR="0086576D" w:rsidRPr="0086576D" w:rsidRDefault="0086576D" w:rsidP="0086576D">
      <w:pPr>
        <w:spacing w:line="360" w:lineRule="auto"/>
        <w:ind w:firstLineChars="200" w:firstLine="420"/>
      </w:pPr>
      <w:r w:rsidRPr="0086576D">
        <w:t xml:space="preserve">b) </w:t>
      </w:r>
      <w:r w:rsidRPr="0086576D">
        <w:t>送验样品与标准样品比较，位点相似度在</w:t>
      </w:r>
      <w:r w:rsidRPr="0086576D">
        <w:rPr>
          <w:rFonts w:hint="eastAsia"/>
        </w:rPr>
        <w:t>85</w:t>
      </w:r>
      <w:r w:rsidRPr="0086576D">
        <w:t>.00%</w:t>
      </w:r>
      <w:r w:rsidRPr="0086576D">
        <w:t>（不含）～</w:t>
      </w:r>
      <w:r w:rsidRPr="0086576D">
        <w:t>9</w:t>
      </w:r>
      <w:r w:rsidRPr="0086576D">
        <w:rPr>
          <w:rFonts w:hint="eastAsia"/>
        </w:rPr>
        <w:t>0</w:t>
      </w:r>
      <w:r w:rsidRPr="0086576D">
        <w:t>.00%</w:t>
      </w:r>
      <w:r w:rsidRPr="0086576D">
        <w:t>（不含）时，不确定两者为同一品种；</w:t>
      </w:r>
    </w:p>
    <w:p w14:paraId="6689C979" w14:textId="77777777" w:rsidR="0086576D" w:rsidRPr="0086576D" w:rsidRDefault="0086576D" w:rsidP="0086576D">
      <w:pPr>
        <w:spacing w:line="360" w:lineRule="auto"/>
        <w:ind w:firstLineChars="200" w:firstLine="420"/>
      </w:pPr>
      <w:r w:rsidRPr="0086576D">
        <w:t xml:space="preserve">c) </w:t>
      </w:r>
      <w:r w:rsidRPr="0086576D">
        <w:t>送验样品与标准样品比较，位点相似度</w:t>
      </w:r>
      <w:r w:rsidRPr="0086576D">
        <w:t>≤</w:t>
      </w:r>
      <w:r w:rsidRPr="0086576D">
        <w:rPr>
          <w:rFonts w:hint="eastAsia"/>
        </w:rPr>
        <w:t>85</w:t>
      </w:r>
      <w:r w:rsidRPr="0086576D">
        <w:t>.00%</w:t>
      </w:r>
      <w:r w:rsidRPr="0086576D">
        <w:t>，排除两者为同一品种。</w:t>
      </w:r>
    </w:p>
    <w:p w14:paraId="4F030D62" w14:textId="77777777" w:rsidR="0086576D" w:rsidRPr="0086576D" w:rsidRDefault="0086576D" w:rsidP="0086576D">
      <w:pPr>
        <w:spacing w:line="360" w:lineRule="auto"/>
        <w:rPr>
          <w:rFonts w:eastAsia="黑体"/>
        </w:rPr>
      </w:pPr>
      <w:bookmarkStart w:id="24" w:name="_Toc23616"/>
      <w:r w:rsidRPr="0086576D">
        <w:rPr>
          <w:rFonts w:eastAsia="黑体"/>
        </w:rPr>
        <w:t xml:space="preserve">9.2 </w:t>
      </w:r>
      <w:bookmarkEnd w:id="24"/>
      <w:r w:rsidRPr="0086576D">
        <w:rPr>
          <w:rFonts w:eastAsia="黑体" w:hint="eastAsia"/>
        </w:rPr>
        <w:t>填报方式</w:t>
      </w:r>
    </w:p>
    <w:p w14:paraId="43254E0E" w14:textId="77777777" w:rsidR="0086576D" w:rsidRPr="0086576D" w:rsidRDefault="0086576D" w:rsidP="0086576D">
      <w:pPr>
        <w:spacing w:line="360" w:lineRule="auto"/>
        <w:ind w:firstLineChars="200" w:firstLine="420"/>
      </w:pPr>
      <w:r w:rsidRPr="0086576D">
        <w:t>对于品种真实性验证，采用下列方式进行填报：</w:t>
      </w:r>
    </w:p>
    <w:p w14:paraId="093046AE" w14:textId="5242BEF0" w:rsidR="0086576D" w:rsidRPr="0086576D" w:rsidRDefault="0086576D" w:rsidP="0086576D">
      <w:pPr>
        <w:spacing w:line="360" w:lineRule="auto"/>
        <w:ind w:firstLineChars="200" w:firstLine="420"/>
      </w:pPr>
      <w:r w:rsidRPr="0086576D">
        <w:t>利用</w:t>
      </w:r>
      <w:r w:rsidRPr="0086576D">
        <w:t>SNP</w:t>
      </w:r>
      <w:r w:rsidRPr="0086576D">
        <w:t>标记法，通过</w:t>
      </w:r>
      <w:r w:rsidRPr="00A61160">
        <w:rPr>
          <w:u w:val="single"/>
        </w:rPr>
        <w:t xml:space="preserve">          </w:t>
      </w:r>
      <w:r w:rsidRPr="0086576D">
        <w:t>个位点，采用</w:t>
      </w:r>
      <w:r w:rsidRPr="00A61160">
        <w:rPr>
          <w:u w:val="single"/>
        </w:rPr>
        <w:t xml:space="preserve">          </w:t>
      </w:r>
      <w:r w:rsidRPr="0086576D">
        <w:t>检测平台进行检测，送验样品与</w:t>
      </w:r>
      <w:r w:rsidRPr="00A61160">
        <w:rPr>
          <w:u w:val="single"/>
        </w:rPr>
        <w:t xml:space="preserve"> </w:t>
      </w:r>
      <w:r w:rsidR="00A61160">
        <w:rPr>
          <w:rFonts w:hint="eastAsia"/>
          <w:u w:val="single"/>
        </w:rPr>
        <w:t xml:space="preserve">       </w:t>
      </w:r>
      <w:r w:rsidR="00A61160" w:rsidRPr="00A61160">
        <w:rPr>
          <w:rFonts w:hint="eastAsia"/>
          <w:u w:val="single"/>
        </w:rPr>
        <w:t xml:space="preserve"> </w:t>
      </w:r>
      <w:r w:rsidRPr="00A61160">
        <w:rPr>
          <w:u w:val="single"/>
        </w:rPr>
        <w:t xml:space="preserve">     </w:t>
      </w:r>
      <w:r w:rsidRPr="0086576D">
        <w:t>标准样品比较，位点相似度为</w:t>
      </w:r>
      <w:r w:rsidRPr="00A61160">
        <w:rPr>
          <w:u w:val="single"/>
        </w:rPr>
        <w:t xml:space="preserve">          </w:t>
      </w:r>
      <w:r w:rsidRPr="0086576D">
        <w:t>，鉴定意见为</w:t>
      </w:r>
      <w:r w:rsidRPr="00A61160">
        <w:rPr>
          <w:u w:val="single"/>
        </w:rPr>
        <w:t xml:space="preserve">          </w:t>
      </w:r>
      <w:r w:rsidRPr="0086576D">
        <w:t>。</w:t>
      </w:r>
    </w:p>
    <w:p w14:paraId="1C1441A7" w14:textId="77777777" w:rsidR="0086576D" w:rsidRPr="000D2977" w:rsidRDefault="0086576D" w:rsidP="0086576D">
      <w:pPr>
        <w:spacing w:line="360" w:lineRule="auto"/>
        <w:rPr>
          <w:sz w:val="24"/>
          <w:szCs w:val="24"/>
        </w:rPr>
      </w:pPr>
      <w:bookmarkStart w:id="25" w:name="_Toc21612"/>
      <w:r w:rsidRPr="0086576D">
        <w:rPr>
          <w:rFonts w:eastAsia="黑体"/>
        </w:rPr>
        <w:t xml:space="preserve">9.3 </w:t>
      </w:r>
      <w:bookmarkEnd w:id="25"/>
      <w:r w:rsidRPr="0086576D">
        <w:rPr>
          <w:rFonts w:eastAsia="黑体"/>
        </w:rPr>
        <w:t>属于下列情形之一的，应在检验报告中注明：</w:t>
      </w:r>
    </w:p>
    <w:p w14:paraId="50275F3C" w14:textId="77777777" w:rsidR="0086576D" w:rsidRPr="0086576D" w:rsidRDefault="0086576D" w:rsidP="0086576D">
      <w:pPr>
        <w:spacing w:line="360" w:lineRule="auto"/>
        <w:ind w:firstLineChars="200" w:firstLine="420"/>
      </w:pPr>
      <w:r w:rsidRPr="0086576D">
        <w:t>——</w:t>
      </w:r>
      <w:r w:rsidRPr="0086576D">
        <w:t>送验样品低于规定数量</w:t>
      </w:r>
      <w:r w:rsidRPr="0086576D">
        <w:rPr>
          <w:rFonts w:hint="eastAsia"/>
        </w:rPr>
        <w:t>6</w:t>
      </w:r>
      <w:r w:rsidRPr="0086576D">
        <w:t>.1</w:t>
      </w:r>
      <w:r w:rsidRPr="0086576D">
        <w:t>、</w:t>
      </w:r>
      <w:r w:rsidRPr="0086576D">
        <w:rPr>
          <w:rFonts w:hint="eastAsia"/>
        </w:rPr>
        <w:t>6</w:t>
      </w:r>
      <w:r w:rsidRPr="0086576D">
        <w:t>.2</w:t>
      </w:r>
      <w:r w:rsidRPr="0086576D">
        <w:t>规定数量；</w:t>
      </w:r>
    </w:p>
    <w:p w14:paraId="38A965E9" w14:textId="65A3D05B" w:rsidR="0086576D" w:rsidRDefault="0086576D" w:rsidP="00A61160">
      <w:pPr>
        <w:spacing w:line="360" w:lineRule="auto"/>
        <w:ind w:firstLineChars="200" w:firstLine="420"/>
        <w:rPr>
          <w:rFonts w:hint="eastAsia"/>
        </w:rPr>
      </w:pPr>
      <w:r w:rsidRPr="0086576D">
        <w:t>——</w:t>
      </w:r>
      <w:r w:rsidRPr="0086576D">
        <w:t>与试验样品比较的标准样品的来源。</w:t>
      </w:r>
    </w:p>
    <w:p w14:paraId="578718B5" w14:textId="77777777" w:rsidR="000A4135" w:rsidRPr="00BB44E5" w:rsidRDefault="000A4135" w:rsidP="00792242">
      <w:pPr>
        <w:spacing w:line="360" w:lineRule="auto"/>
        <w:ind w:firstLineChars="900" w:firstLine="1890"/>
        <w:jc w:val="left"/>
        <w:rPr>
          <w:u w:val="single"/>
        </w:rPr>
      </w:pPr>
      <w:r w:rsidRPr="00BB44E5">
        <w:rPr>
          <w:rFonts w:hint="eastAsia"/>
          <w:u w:val="single"/>
        </w:rPr>
        <w:t xml:space="preserve">                                    </w:t>
      </w:r>
    </w:p>
    <w:p w14:paraId="0766F211" w14:textId="77777777" w:rsidR="00500DE6" w:rsidRPr="00DF1608" w:rsidRDefault="00500DE6" w:rsidP="00500DE6"/>
    <w:p w14:paraId="54B9AC39" w14:textId="77777777" w:rsidR="00500DE6" w:rsidRPr="00500DE6" w:rsidRDefault="00500DE6" w:rsidP="00500DE6"/>
    <w:p w14:paraId="37FC9858" w14:textId="77777777" w:rsidR="00500DE6" w:rsidRPr="00500DE6" w:rsidRDefault="00500DE6" w:rsidP="00500DE6"/>
    <w:p w14:paraId="450D0EF9" w14:textId="77777777" w:rsidR="00500DE6" w:rsidRPr="00200787" w:rsidRDefault="00500DE6" w:rsidP="007D519D">
      <w:pPr>
        <w:spacing w:line="360" w:lineRule="auto"/>
        <w:jc w:val="left"/>
      </w:pPr>
    </w:p>
    <w:p w14:paraId="76289517" w14:textId="77777777" w:rsidR="005154CB" w:rsidRPr="007D519D" w:rsidRDefault="005154CB" w:rsidP="005154CB"/>
    <w:sectPr w:rsidR="005154CB" w:rsidRPr="007D519D" w:rsidSect="00792242">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3363" w14:textId="77777777" w:rsidR="0042599B" w:rsidRDefault="0042599B">
      <w:r>
        <w:separator/>
      </w:r>
    </w:p>
  </w:endnote>
  <w:endnote w:type="continuationSeparator" w:id="0">
    <w:p w14:paraId="1F622A13" w14:textId="77777777" w:rsidR="0042599B" w:rsidRDefault="0042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AF90" w14:textId="77777777" w:rsidR="00925F85" w:rsidRDefault="00925F85">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B33A" w14:textId="77777777" w:rsidR="00FB4CC0" w:rsidRDefault="00FB4CC0">
    <w:pPr>
      <w:pStyle w:val="a3"/>
      <w:jc w:val="right"/>
      <w:rPr>
        <w:rFonts w:hint="eastAsia"/>
      </w:rPr>
    </w:pPr>
    <w:r>
      <w:fldChar w:fldCharType="begin"/>
    </w:r>
    <w:r>
      <w:instrText>PAGE   \* MERGEFORMAT</w:instrText>
    </w:r>
    <w:r>
      <w:fldChar w:fldCharType="separate"/>
    </w:r>
    <w:r>
      <w:rPr>
        <w:lang w:val="zh-CN"/>
      </w:rPr>
      <w:t>2</w:t>
    </w:r>
    <w:r>
      <w:fldChar w:fldCharType="end"/>
    </w:r>
  </w:p>
  <w:p w14:paraId="5726A5FD" w14:textId="77777777" w:rsidR="00FB4CC0" w:rsidRDefault="00FB4CC0">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2B3D" w14:textId="77777777" w:rsidR="00925F85" w:rsidRDefault="00925F85">
    <w:pPr>
      <w:pStyle w:val="a3"/>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871541"/>
      <w:docPartObj>
        <w:docPartGallery w:val="Page Numbers (Bottom of Page)"/>
        <w:docPartUnique/>
      </w:docPartObj>
    </w:sdtPr>
    <w:sdtContent>
      <w:p w14:paraId="70CDDA19" w14:textId="1C30A541" w:rsidR="00792242" w:rsidRDefault="00792242">
        <w:pPr>
          <w:pStyle w:val="a3"/>
          <w:jc w:val="right"/>
          <w:rPr>
            <w:rFonts w:hint="eastAsia"/>
          </w:rPr>
        </w:pPr>
        <w:r>
          <w:fldChar w:fldCharType="begin"/>
        </w:r>
        <w:r>
          <w:instrText>PAGE   \* MERGEFORMAT</w:instrText>
        </w:r>
        <w:r>
          <w:fldChar w:fldCharType="separate"/>
        </w:r>
        <w:r>
          <w:rPr>
            <w:lang w:val="zh-CN"/>
          </w:rPr>
          <w:t>2</w:t>
        </w:r>
        <w:r>
          <w:fldChar w:fldCharType="end"/>
        </w:r>
      </w:p>
    </w:sdtContent>
  </w:sdt>
  <w:p w14:paraId="33A2D6B6" w14:textId="77777777" w:rsidR="0001064B" w:rsidRDefault="0001064B">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B1097" w14:textId="77777777" w:rsidR="0042599B" w:rsidRDefault="0042599B">
      <w:r>
        <w:separator/>
      </w:r>
    </w:p>
  </w:footnote>
  <w:footnote w:type="continuationSeparator" w:id="0">
    <w:p w14:paraId="48B2560C" w14:textId="77777777" w:rsidR="0042599B" w:rsidRDefault="0042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AD3E" w14:textId="77777777" w:rsidR="00925F85" w:rsidRDefault="00925F8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1A6C" w14:textId="77777777" w:rsidR="00925F85" w:rsidRDefault="00925F8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3880" w14:textId="77777777" w:rsidR="00925F85" w:rsidRDefault="00925F85">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81D4" w14:textId="157C3BC9" w:rsidR="00627D3B" w:rsidRDefault="00925F85" w:rsidP="00627D3B">
    <w:pPr>
      <w:spacing w:before="18" w:line="177" w:lineRule="auto"/>
      <w:ind w:right="9"/>
      <w:jc w:val="right"/>
      <w:rPr>
        <w:rFonts w:ascii="黑体" w:eastAsia="黑体" w:hAnsi="黑体" w:cs="黑体" w:hint="eastAsia"/>
      </w:rPr>
    </w:pPr>
    <w:r>
      <w:rPr>
        <w:rFonts w:ascii="黑体" w:eastAsia="黑体" w:hAnsi="黑体" w:cs="黑体" w:hint="eastAsia"/>
        <w:b/>
        <w:bCs/>
        <w:spacing w:val="-2"/>
      </w:rPr>
      <w:t>T/</w:t>
    </w:r>
    <w:r w:rsidR="00627D3B">
      <w:rPr>
        <w:rFonts w:ascii="黑体" w:eastAsia="黑体" w:hAnsi="黑体" w:cs="黑体"/>
        <w:b/>
        <w:bCs/>
        <w:spacing w:val="-2"/>
      </w:rPr>
      <w:t>HXCY</w:t>
    </w:r>
    <w:r w:rsidR="00627D3B">
      <w:rPr>
        <w:rFonts w:ascii="黑体" w:eastAsia="黑体" w:hAnsi="黑体" w:cs="黑体"/>
        <w:spacing w:val="-2"/>
      </w:rPr>
      <w:t xml:space="preserve"> </w:t>
    </w:r>
    <w:r w:rsidR="00627D3B">
      <w:rPr>
        <w:rFonts w:ascii="黑体" w:eastAsia="黑体" w:hAnsi="黑体" w:cs="黑体" w:hint="eastAsia"/>
        <w:b/>
        <w:bCs/>
        <w:spacing w:val="-2"/>
      </w:rPr>
      <w:t>XX</w:t>
    </w:r>
    <w:r w:rsidR="00627D3B">
      <w:rPr>
        <w:rFonts w:eastAsia="Times New Roman"/>
        <w:b/>
        <w:bCs/>
        <w:spacing w:val="-2"/>
      </w:rPr>
      <w:t>—</w:t>
    </w:r>
    <w:r w:rsidR="00627D3B">
      <w:rPr>
        <w:rFonts w:ascii="黑体" w:eastAsia="黑体" w:hAnsi="黑体" w:cs="黑体"/>
        <w:b/>
        <w:bCs/>
        <w:spacing w:val="-2"/>
      </w:rPr>
      <w:t>202</w:t>
    </w:r>
    <w:r w:rsidR="00627D3B">
      <w:rPr>
        <w:rFonts w:ascii="黑体" w:eastAsia="黑体" w:hAnsi="黑体" w:cs="黑体" w:hint="eastAsia"/>
        <w:b/>
        <w:bCs/>
        <w:spacing w:val="-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CB"/>
    <w:rsid w:val="0001064B"/>
    <w:rsid w:val="00066094"/>
    <w:rsid w:val="00083DEE"/>
    <w:rsid w:val="00084107"/>
    <w:rsid w:val="000A4135"/>
    <w:rsid w:val="000C62DB"/>
    <w:rsid w:val="001208D8"/>
    <w:rsid w:val="0012158A"/>
    <w:rsid w:val="00135A1A"/>
    <w:rsid w:val="0014073A"/>
    <w:rsid w:val="001864AA"/>
    <w:rsid w:val="00187F8A"/>
    <w:rsid w:val="001B0081"/>
    <w:rsid w:val="001C6A83"/>
    <w:rsid w:val="001F7B2E"/>
    <w:rsid w:val="00200787"/>
    <w:rsid w:val="00241DDE"/>
    <w:rsid w:val="002877D7"/>
    <w:rsid w:val="002E2C6D"/>
    <w:rsid w:val="00316973"/>
    <w:rsid w:val="003929A4"/>
    <w:rsid w:val="003E27CD"/>
    <w:rsid w:val="0042599B"/>
    <w:rsid w:val="00460290"/>
    <w:rsid w:val="0047034D"/>
    <w:rsid w:val="004829FD"/>
    <w:rsid w:val="00484AC2"/>
    <w:rsid w:val="004B6599"/>
    <w:rsid w:val="00500DE6"/>
    <w:rsid w:val="005154CB"/>
    <w:rsid w:val="005A3318"/>
    <w:rsid w:val="005B461F"/>
    <w:rsid w:val="005D0255"/>
    <w:rsid w:val="00627D3B"/>
    <w:rsid w:val="00632B5B"/>
    <w:rsid w:val="006402C6"/>
    <w:rsid w:val="00652350"/>
    <w:rsid w:val="006924AF"/>
    <w:rsid w:val="006A6320"/>
    <w:rsid w:val="006B7AC6"/>
    <w:rsid w:val="00724C58"/>
    <w:rsid w:val="00756CCF"/>
    <w:rsid w:val="0078620B"/>
    <w:rsid w:val="00792242"/>
    <w:rsid w:val="00797076"/>
    <w:rsid w:val="007A4642"/>
    <w:rsid w:val="007C30C0"/>
    <w:rsid w:val="007D519D"/>
    <w:rsid w:val="00814222"/>
    <w:rsid w:val="00830023"/>
    <w:rsid w:val="00847700"/>
    <w:rsid w:val="0086576D"/>
    <w:rsid w:val="00876911"/>
    <w:rsid w:val="008F226E"/>
    <w:rsid w:val="009027EA"/>
    <w:rsid w:val="0092470A"/>
    <w:rsid w:val="00925F85"/>
    <w:rsid w:val="00930F90"/>
    <w:rsid w:val="00933543"/>
    <w:rsid w:val="00956203"/>
    <w:rsid w:val="009A0C75"/>
    <w:rsid w:val="009A13C1"/>
    <w:rsid w:val="009C0904"/>
    <w:rsid w:val="00A50129"/>
    <w:rsid w:val="00A61160"/>
    <w:rsid w:val="00AB7A1D"/>
    <w:rsid w:val="00AD497F"/>
    <w:rsid w:val="00AD65CD"/>
    <w:rsid w:val="00B80DBF"/>
    <w:rsid w:val="00B91207"/>
    <w:rsid w:val="00BC2673"/>
    <w:rsid w:val="00CC0C1B"/>
    <w:rsid w:val="00CC662A"/>
    <w:rsid w:val="00CD450C"/>
    <w:rsid w:val="00CF7ECF"/>
    <w:rsid w:val="00D0076E"/>
    <w:rsid w:val="00D230C7"/>
    <w:rsid w:val="00D80AF5"/>
    <w:rsid w:val="00DD106E"/>
    <w:rsid w:val="00DF1608"/>
    <w:rsid w:val="00E16386"/>
    <w:rsid w:val="00E50004"/>
    <w:rsid w:val="00E7100D"/>
    <w:rsid w:val="00EB382D"/>
    <w:rsid w:val="00EF111E"/>
    <w:rsid w:val="00F37792"/>
    <w:rsid w:val="00F43106"/>
    <w:rsid w:val="00F72EE8"/>
    <w:rsid w:val="00F74ACF"/>
    <w:rsid w:val="00FB4CC0"/>
    <w:rsid w:val="00FE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50B02"/>
  <w15:chartTrackingRefBased/>
  <w15:docId w15:val="{EF15C257-D427-4D00-A9D1-EB847D05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4CB"/>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01064B"/>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8657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4CC0"/>
    <w:pPr>
      <w:tabs>
        <w:tab w:val="center" w:pos="4153"/>
        <w:tab w:val="right" w:pos="8306"/>
      </w:tabs>
      <w:snapToGrid w:val="0"/>
      <w:jc w:val="left"/>
    </w:pPr>
    <w:rPr>
      <w:rFonts w:ascii="等线" w:eastAsia="等线" w:hAnsi="等线"/>
      <w:sz w:val="18"/>
      <w:szCs w:val="18"/>
    </w:rPr>
  </w:style>
  <w:style w:type="character" w:customStyle="1" w:styleId="a4">
    <w:name w:val="页脚 字符"/>
    <w:basedOn w:val="a0"/>
    <w:link w:val="a3"/>
    <w:uiPriority w:val="99"/>
    <w:rsid w:val="00FB4CC0"/>
    <w:rPr>
      <w:rFonts w:ascii="等线" w:eastAsia="等线" w:hAnsi="等线" w:cs="Times New Roman"/>
      <w:sz w:val="18"/>
      <w:szCs w:val="18"/>
    </w:rPr>
  </w:style>
  <w:style w:type="paragraph" w:styleId="a5">
    <w:name w:val="Title"/>
    <w:basedOn w:val="a"/>
    <w:next w:val="a"/>
    <w:link w:val="a6"/>
    <w:uiPriority w:val="10"/>
    <w:qFormat/>
    <w:rsid w:val="00FB4CC0"/>
    <w:pPr>
      <w:spacing w:before="240" w:after="60"/>
      <w:jc w:val="center"/>
      <w:outlineLvl w:val="0"/>
    </w:pPr>
    <w:rPr>
      <w:rFonts w:eastAsia="黑体"/>
      <w:b/>
      <w:bCs/>
      <w:sz w:val="32"/>
      <w:szCs w:val="32"/>
    </w:rPr>
  </w:style>
  <w:style w:type="character" w:customStyle="1" w:styleId="a6">
    <w:name w:val="标题 字符"/>
    <w:basedOn w:val="a0"/>
    <w:link w:val="a5"/>
    <w:uiPriority w:val="10"/>
    <w:rsid w:val="00FB4CC0"/>
    <w:rPr>
      <w:rFonts w:ascii="Times New Roman" w:eastAsia="黑体" w:hAnsi="Times New Roman" w:cs="Times New Roman"/>
      <w:b/>
      <w:bCs/>
      <w:sz w:val="32"/>
      <w:szCs w:val="32"/>
    </w:rPr>
  </w:style>
  <w:style w:type="paragraph" w:customStyle="1" w:styleId="a7">
    <w:name w:val="段"/>
    <w:link w:val="Char"/>
    <w:autoRedefine/>
    <w:qFormat/>
    <w:rsid w:val="00D80AF5"/>
    <w:pPr>
      <w:tabs>
        <w:tab w:val="center" w:pos="4201"/>
        <w:tab w:val="right" w:leader="dot" w:pos="9298"/>
      </w:tabs>
      <w:autoSpaceDE w:val="0"/>
      <w:autoSpaceDN w:val="0"/>
      <w:ind w:firstLineChars="200" w:firstLine="560"/>
      <w:jc w:val="both"/>
    </w:pPr>
    <w:rPr>
      <w:rFonts w:ascii="Times New Roman" w:eastAsia="宋体" w:hAnsi="Times New Roman" w:cs="Times New Roman"/>
      <w:kern w:val="0"/>
      <w:sz w:val="28"/>
      <w:szCs w:val="28"/>
    </w:rPr>
  </w:style>
  <w:style w:type="character" w:customStyle="1" w:styleId="Char">
    <w:name w:val="段 Char"/>
    <w:link w:val="a7"/>
    <w:autoRedefine/>
    <w:qFormat/>
    <w:rsid w:val="00D80AF5"/>
    <w:rPr>
      <w:rFonts w:ascii="Times New Roman" w:eastAsia="宋体" w:hAnsi="Times New Roman" w:cs="Times New Roman"/>
      <w:kern w:val="0"/>
      <w:sz w:val="28"/>
      <w:szCs w:val="28"/>
    </w:rPr>
  </w:style>
  <w:style w:type="paragraph" w:styleId="a8">
    <w:name w:val="header"/>
    <w:basedOn w:val="a"/>
    <w:link w:val="a9"/>
    <w:uiPriority w:val="99"/>
    <w:unhideWhenUsed/>
    <w:rsid w:val="009027E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027EA"/>
    <w:rPr>
      <w:rFonts w:ascii="Times New Roman" w:eastAsia="宋体" w:hAnsi="Times New Roman" w:cs="Times New Roman"/>
      <w:sz w:val="18"/>
      <w:szCs w:val="18"/>
    </w:rPr>
  </w:style>
  <w:style w:type="character" w:customStyle="1" w:styleId="10">
    <w:name w:val="标题 1 字符"/>
    <w:basedOn w:val="a0"/>
    <w:link w:val="1"/>
    <w:uiPriority w:val="9"/>
    <w:rsid w:val="0001064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01064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01064B"/>
  </w:style>
  <w:style w:type="character" w:styleId="aa">
    <w:name w:val="Hyperlink"/>
    <w:basedOn w:val="a0"/>
    <w:uiPriority w:val="99"/>
    <w:unhideWhenUsed/>
    <w:rsid w:val="0001064B"/>
    <w:rPr>
      <w:color w:val="0563C1" w:themeColor="hyperlink"/>
      <w:u w:val="single"/>
    </w:rPr>
  </w:style>
  <w:style w:type="character" w:customStyle="1" w:styleId="30">
    <w:name w:val="标题 3 字符"/>
    <w:basedOn w:val="a0"/>
    <w:link w:val="3"/>
    <w:uiPriority w:val="9"/>
    <w:semiHidden/>
    <w:rsid w:val="0086576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265">
      <w:bodyDiv w:val="1"/>
      <w:marLeft w:val="0"/>
      <w:marRight w:val="0"/>
      <w:marTop w:val="0"/>
      <w:marBottom w:val="0"/>
      <w:divBdr>
        <w:top w:val="none" w:sz="0" w:space="0" w:color="auto"/>
        <w:left w:val="none" w:sz="0" w:space="0" w:color="auto"/>
        <w:bottom w:val="none" w:sz="0" w:space="0" w:color="auto"/>
        <w:right w:val="none" w:sz="0" w:space="0" w:color="auto"/>
      </w:divBdr>
    </w:div>
    <w:div w:id="392510845">
      <w:bodyDiv w:val="1"/>
      <w:marLeft w:val="0"/>
      <w:marRight w:val="0"/>
      <w:marTop w:val="0"/>
      <w:marBottom w:val="0"/>
      <w:divBdr>
        <w:top w:val="none" w:sz="0" w:space="0" w:color="auto"/>
        <w:left w:val="none" w:sz="0" w:space="0" w:color="auto"/>
        <w:bottom w:val="none" w:sz="0" w:space="0" w:color="auto"/>
        <w:right w:val="none" w:sz="0" w:space="0" w:color="auto"/>
      </w:divBdr>
    </w:div>
    <w:div w:id="717826302">
      <w:bodyDiv w:val="1"/>
      <w:marLeft w:val="0"/>
      <w:marRight w:val="0"/>
      <w:marTop w:val="0"/>
      <w:marBottom w:val="0"/>
      <w:divBdr>
        <w:top w:val="none" w:sz="0" w:space="0" w:color="auto"/>
        <w:left w:val="none" w:sz="0" w:space="0" w:color="auto"/>
        <w:bottom w:val="none" w:sz="0" w:space="0" w:color="auto"/>
        <w:right w:val="none" w:sz="0" w:space="0" w:color="auto"/>
      </w:divBdr>
    </w:div>
    <w:div w:id="16662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1052-37D4-4A24-93D5-56ADC4CF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1867</Words>
  <Characters>2222</Characters>
  <Application>Microsoft Office Word</Application>
  <DocSecurity>0</DocSecurity>
  <Lines>138</Lines>
  <Paragraphs>110</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yingqi</dc:creator>
  <cp:keywords/>
  <dc:description/>
  <cp:lastModifiedBy>Zhuoan Bai</cp:lastModifiedBy>
  <cp:revision>18</cp:revision>
  <dcterms:created xsi:type="dcterms:W3CDTF">2025-08-20T11:48:00Z</dcterms:created>
  <dcterms:modified xsi:type="dcterms:W3CDTF">2025-08-20T12:07:00Z</dcterms:modified>
</cp:coreProperties>
</file>