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04C6" w14:textId="77777777" w:rsidR="00F547FD" w:rsidRDefault="00F547FD" w:rsidP="00F547FD">
      <w:pPr>
        <w:jc w:val="center"/>
        <w:rPr>
          <w:sz w:val="52"/>
          <w:szCs w:val="52"/>
        </w:rPr>
      </w:pPr>
    </w:p>
    <w:p w14:paraId="7084E28A" w14:textId="77777777" w:rsidR="00F547FD" w:rsidRDefault="00F547FD" w:rsidP="00F547FD">
      <w:pPr>
        <w:jc w:val="center"/>
        <w:rPr>
          <w:sz w:val="52"/>
          <w:szCs w:val="52"/>
        </w:rPr>
      </w:pPr>
    </w:p>
    <w:p w14:paraId="34F3B455" w14:textId="77777777" w:rsidR="00F547FD" w:rsidRDefault="00F547FD" w:rsidP="00F547FD">
      <w:pPr>
        <w:jc w:val="center"/>
        <w:rPr>
          <w:sz w:val="52"/>
          <w:szCs w:val="52"/>
        </w:rPr>
      </w:pPr>
    </w:p>
    <w:p w14:paraId="0459DF73" w14:textId="77777777" w:rsidR="00F547FD" w:rsidRDefault="00F547FD" w:rsidP="00F547FD">
      <w:pPr>
        <w:jc w:val="center"/>
        <w:rPr>
          <w:sz w:val="52"/>
          <w:szCs w:val="52"/>
        </w:rPr>
      </w:pPr>
    </w:p>
    <w:p w14:paraId="06DDE598" w14:textId="77777777" w:rsidR="00F547FD" w:rsidRDefault="00F547FD" w:rsidP="00F547FD">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09BDAF25" w14:textId="77777777" w:rsidR="00F547FD" w:rsidRDefault="00F547FD" w:rsidP="00F547FD">
      <w:pPr>
        <w:jc w:val="center"/>
        <w:rPr>
          <w:sz w:val="48"/>
          <w:szCs w:val="48"/>
        </w:rPr>
      </w:pPr>
    </w:p>
    <w:p w14:paraId="4CF4D763" w14:textId="05E83970" w:rsidR="00F547FD" w:rsidRPr="008C4EF2" w:rsidRDefault="00F547FD" w:rsidP="00F547FD">
      <w:pPr>
        <w:jc w:val="center"/>
        <w:rPr>
          <w:b/>
          <w:bCs/>
          <w:sz w:val="44"/>
          <w:szCs w:val="44"/>
        </w:rPr>
      </w:pPr>
      <w:r w:rsidRPr="008C4EF2">
        <w:rPr>
          <w:b/>
          <w:bCs/>
          <w:sz w:val="44"/>
          <w:szCs w:val="44"/>
        </w:rPr>
        <w:t>《</w:t>
      </w:r>
      <w:r w:rsidR="002F1FD7" w:rsidRPr="008C4EF2">
        <w:rPr>
          <w:rFonts w:hint="eastAsia"/>
          <w:b/>
          <w:bCs/>
          <w:sz w:val="44"/>
          <w:szCs w:val="44"/>
        </w:rPr>
        <w:t>贵州青贮玉米饲料质量评定及分级技术规程</w:t>
      </w:r>
      <w:r w:rsidRPr="008C4EF2">
        <w:rPr>
          <w:b/>
          <w:bCs/>
          <w:sz w:val="44"/>
          <w:szCs w:val="44"/>
        </w:rPr>
        <w:t>》</w:t>
      </w:r>
    </w:p>
    <w:p w14:paraId="67F7CC9A" w14:textId="77777777" w:rsidR="00F547FD" w:rsidRDefault="00F547FD" w:rsidP="00F547FD">
      <w:pPr>
        <w:spacing w:beforeLines="100" w:before="312" w:afterLines="100" w:after="312" w:line="480" w:lineRule="auto"/>
        <w:ind w:left="-67"/>
        <w:jc w:val="center"/>
        <w:rPr>
          <w:sz w:val="44"/>
          <w:szCs w:val="44"/>
        </w:rPr>
      </w:pPr>
      <w:r>
        <w:rPr>
          <w:sz w:val="44"/>
          <w:szCs w:val="44"/>
        </w:rPr>
        <w:t>编制说明</w:t>
      </w:r>
    </w:p>
    <w:p w14:paraId="28710F68" w14:textId="77777777" w:rsidR="00F547FD" w:rsidRDefault="00F547FD" w:rsidP="00F547FD">
      <w:pPr>
        <w:jc w:val="center"/>
        <w:rPr>
          <w:bCs/>
          <w:sz w:val="36"/>
          <w:szCs w:val="36"/>
        </w:rPr>
      </w:pPr>
    </w:p>
    <w:p w14:paraId="1468CBFF" w14:textId="77777777" w:rsidR="00F547FD" w:rsidRDefault="00F547FD" w:rsidP="00F547FD">
      <w:pPr>
        <w:jc w:val="center"/>
        <w:rPr>
          <w:bCs/>
          <w:sz w:val="36"/>
          <w:szCs w:val="36"/>
        </w:rPr>
      </w:pPr>
    </w:p>
    <w:p w14:paraId="1366A67E" w14:textId="77777777" w:rsidR="00F547FD" w:rsidRDefault="00F547FD" w:rsidP="00F547FD">
      <w:pPr>
        <w:jc w:val="center"/>
        <w:rPr>
          <w:bCs/>
          <w:sz w:val="36"/>
          <w:szCs w:val="36"/>
        </w:rPr>
      </w:pPr>
    </w:p>
    <w:p w14:paraId="640DF3BB" w14:textId="77777777" w:rsidR="00F547FD" w:rsidRDefault="00F547FD" w:rsidP="00F547FD">
      <w:pPr>
        <w:jc w:val="center"/>
        <w:rPr>
          <w:bCs/>
          <w:sz w:val="36"/>
          <w:szCs w:val="36"/>
        </w:rPr>
      </w:pPr>
    </w:p>
    <w:p w14:paraId="064C4379" w14:textId="77777777" w:rsidR="00F547FD" w:rsidRDefault="00F547FD" w:rsidP="00F547FD">
      <w:pPr>
        <w:jc w:val="center"/>
        <w:rPr>
          <w:bCs/>
          <w:sz w:val="36"/>
          <w:szCs w:val="36"/>
        </w:rPr>
      </w:pPr>
    </w:p>
    <w:p w14:paraId="36C53A12" w14:textId="77777777" w:rsidR="00F547FD" w:rsidRDefault="00F547FD" w:rsidP="00F547FD">
      <w:pPr>
        <w:jc w:val="center"/>
        <w:rPr>
          <w:bCs/>
          <w:sz w:val="36"/>
          <w:szCs w:val="36"/>
        </w:rPr>
      </w:pPr>
    </w:p>
    <w:p w14:paraId="47519875" w14:textId="77777777" w:rsidR="00F547FD" w:rsidRDefault="00F547FD" w:rsidP="00F547FD">
      <w:pPr>
        <w:jc w:val="center"/>
        <w:rPr>
          <w:bCs/>
          <w:sz w:val="36"/>
          <w:szCs w:val="36"/>
        </w:rPr>
      </w:pPr>
    </w:p>
    <w:p w14:paraId="2052AB21" w14:textId="77777777" w:rsidR="00F547FD" w:rsidRDefault="00F547FD" w:rsidP="00F547FD">
      <w:pPr>
        <w:widowControl/>
        <w:jc w:val="center"/>
        <w:rPr>
          <w:bCs/>
          <w:sz w:val="44"/>
          <w:szCs w:val="44"/>
        </w:rPr>
      </w:pPr>
    </w:p>
    <w:p w14:paraId="1E7BD6AD" w14:textId="77777777" w:rsidR="00F547FD" w:rsidRDefault="00F547FD" w:rsidP="00F547FD">
      <w:pPr>
        <w:widowControl/>
        <w:jc w:val="center"/>
        <w:rPr>
          <w:bCs/>
          <w:sz w:val="44"/>
          <w:szCs w:val="44"/>
        </w:rPr>
      </w:pPr>
    </w:p>
    <w:p w14:paraId="60FC6677" w14:textId="77777777" w:rsidR="008C4EF2" w:rsidRDefault="008C4EF2" w:rsidP="00F547FD">
      <w:pPr>
        <w:widowControl/>
        <w:jc w:val="center"/>
        <w:rPr>
          <w:rFonts w:hint="eastAsia"/>
          <w:bCs/>
          <w:sz w:val="44"/>
          <w:szCs w:val="44"/>
        </w:rPr>
      </w:pPr>
    </w:p>
    <w:p w14:paraId="0FE75B7B" w14:textId="37396CEF" w:rsidR="00F547FD" w:rsidRPr="008C4EF2" w:rsidRDefault="00F547FD" w:rsidP="00F547FD">
      <w:pPr>
        <w:ind w:leftChars="-67" w:left="-51" w:rightChars="-182" w:right="-382" w:hangingChars="32" w:hanging="90"/>
        <w:jc w:val="center"/>
        <w:rPr>
          <w:b/>
          <w:sz w:val="28"/>
          <w:szCs w:val="28"/>
        </w:rPr>
      </w:pPr>
      <w:r w:rsidRPr="008C4EF2">
        <w:rPr>
          <w:b/>
          <w:sz w:val="28"/>
          <w:szCs w:val="28"/>
        </w:rPr>
        <w:t>《</w:t>
      </w:r>
      <w:r w:rsidR="006F63C3" w:rsidRPr="008C4EF2">
        <w:rPr>
          <w:rFonts w:hint="eastAsia"/>
          <w:b/>
          <w:sz w:val="28"/>
          <w:szCs w:val="28"/>
        </w:rPr>
        <w:t>青贮饲料质量评定及分级技术规程</w:t>
      </w:r>
      <w:r w:rsidRPr="008C4EF2">
        <w:rPr>
          <w:b/>
          <w:sz w:val="28"/>
          <w:szCs w:val="28"/>
        </w:rPr>
        <w:t>》</w:t>
      </w:r>
      <w:r w:rsidRPr="008C4EF2">
        <w:rPr>
          <w:rFonts w:hint="eastAsia"/>
          <w:b/>
          <w:sz w:val="28"/>
          <w:szCs w:val="28"/>
        </w:rPr>
        <w:t>团体</w:t>
      </w:r>
      <w:r w:rsidRPr="008C4EF2">
        <w:rPr>
          <w:b/>
          <w:sz w:val="28"/>
          <w:szCs w:val="28"/>
        </w:rPr>
        <w:t>标准制定组</w:t>
      </w:r>
    </w:p>
    <w:p w14:paraId="2AB3B9A3" w14:textId="4BE55BC2" w:rsidR="008C4EF2" w:rsidRDefault="00F547FD" w:rsidP="008C4EF2">
      <w:pPr>
        <w:widowControl/>
        <w:jc w:val="center"/>
        <w:rPr>
          <w:rFonts w:hint="eastAsia"/>
          <w:b/>
        </w:rPr>
      </w:pPr>
      <w:r w:rsidRPr="008C4EF2">
        <w:rPr>
          <w:b/>
          <w:sz w:val="28"/>
          <w:szCs w:val="28"/>
        </w:rPr>
        <w:t>二〇二五年</w:t>
      </w:r>
      <w:r w:rsidRPr="008C4EF2">
        <w:rPr>
          <w:rFonts w:hint="eastAsia"/>
          <w:b/>
          <w:sz w:val="28"/>
          <w:szCs w:val="28"/>
        </w:rPr>
        <w:t>七</w:t>
      </w:r>
      <w:r w:rsidRPr="008C4EF2">
        <w:rPr>
          <w:b/>
          <w:sz w:val="28"/>
          <w:szCs w:val="28"/>
        </w:rPr>
        <w:t>月</w:t>
      </w:r>
      <w:r w:rsidRPr="008C4EF2">
        <w:rPr>
          <w:b/>
        </w:rPr>
        <w:br w:type="page"/>
      </w:r>
    </w:p>
    <w:sdt>
      <w:sdtPr>
        <w:rPr>
          <w:rFonts w:ascii="宋体" w:hAnsi="宋体"/>
          <w:sz w:val="28"/>
          <w:szCs w:val="28"/>
        </w:rPr>
        <w:id w:val="147472960"/>
        <w15:color w:val="DBDBDB"/>
        <w:docPartObj>
          <w:docPartGallery w:val="Table of Contents"/>
          <w:docPartUnique/>
        </w:docPartObj>
      </w:sdtPr>
      <w:sdtEndPr>
        <w:rPr>
          <w:rFonts w:ascii="Times New Roman" w:hAnsi="Times New Roman"/>
          <w:sz w:val="21"/>
          <w:szCs w:val="24"/>
        </w:rPr>
      </w:sdtEndPr>
      <w:sdtContent>
        <w:p w14:paraId="3A44743E" w14:textId="057F02FE" w:rsidR="00F547FD" w:rsidRPr="008C4EF2" w:rsidRDefault="00F547FD" w:rsidP="008C4EF2">
          <w:pPr>
            <w:jc w:val="center"/>
            <w:rPr>
              <w:b/>
            </w:rPr>
          </w:pPr>
          <w:r>
            <w:rPr>
              <w:rFonts w:ascii="宋体" w:hAnsi="宋体"/>
              <w:sz w:val="28"/>
              <w:szCs w:val="28"/>
            </w:rPr>
            <w:t>目</w:t>
          </w:r>
          <w:r w:rsidR="008C4EF2">
            <w:rPr>
              <w:rFonts w:ascii="宋体" w:hAnsi="宋体" w:hint="eastAsia"/>
              <w:sz w:val="28"/>
              <w:szCs w:val="28"/>
            </w:rPr>
            <w:t xml:space="preserve">  </w:t>
          </w:r>
          <w:r>
            <w:rPr>
              <w:rFonts w:ascii="宋体" w:hAnsi="宋体" w:hint="eastAsia"/>
              <w:sz w:val="28"/>
              <w:szCs w:val="28"/>
            </w:rPr>
            <w:t>次</w:t>
          </w:r>
        </w:p>
        <w:p w14:paraId="6B052D2A" w14:textId="3F29A35E" w:rsidR="00AA47F9" w:rsidRPr="00AA47F9" w:rsidRDefault="00F547FD" w:rsidP="00AA47F9">
          <w:pPr>
            <w:pStyle w:val="TOC1"/>
            <w:tabs>
              <w:tab w:val="right" w:leader="dot" w:pos="8296"/>
            </w:tabs>
            <w:spacing w:line="360" w:lineRule="auto"/>
            <w:rPr>
              <w:noProof/>
              <w:sz w:val="24"/>
            </w:rPr>
          </w:pPr>
          <w:r w:rsidRPr="00AA47F9">
            <w:rPr>
              <w:kern w:val="0"/>
              <w:sz w:val="24"/>
            </w:rPr>
            <w:fldChar w:fldCharType="begin"/>
          </w:r>
          <w:r w:rsidRPr="00AA47F9">
            <w:rPr>
              <w:sz w:val="24"/>
            </w:rPr>
            <w:instrText xml:space="preserve">TOC \o "1-2" \h \u </w:instrText>
          </w:r>
          <w:r w:rsidRPr="00AA47F9">
            <w:rPr>
              <w:kern w:val="0"/>
              <w:sz w:val="24"/>
            </w:rPr>
            <w:fldChar w:fldCharType="separate"/>
          </w:r>
          <w:hyperlink w:anchor="_Toc203506470" w:history="1">
            <w:r w:rsidR="00AA47F9" w:rsidRPr="00AA47F9">
              <w:rPr>
                <w:rStyle w:val="af7"/>
                <w:noProof/>
                <w:sz w:val="24"/>
              </w:rPr>
              <w:t>一、任务来源</w:t>
            </w:r>
            <w:r w:rsidR="00AA47F9" w:rsidRPr="00AA47F9">
              <w:rPr>
                <w:noProof/>
                <w:sz w:val="24"/>
              </w:rPr>
              <w:tab/>
            </w:r>
            <w:r w:rsidR="00AA47F9" w:rsidRPr="00AA47F9">
              <w:rPr>
                <w:noProof/>
                <w:sz w:val="24"/>
              </w:rPr>
              <w:fldChar w:fldCharType="begin"/>
            </w:r>
            <w:r w:rsidR="00AA47F9" w:rsidRPr="00AA47F9">
              <w:rPr>
                <w:noProof/>
                <w:sz w:val="24"/>
              </w:rPr>
              <w:instrText xml:space="preserve"> PAGEREF _Toc203506470 \h </w:instrText>
            </w:r>
            <w:r w:rsidR="00AA47F9" w:rsidRPr="00AA47F9">
              <w:rPr>
                <w:noProof/>
                <w:sz w:val="24"/>
              </w:rPr>
            </w:r>
            <w:r w:rsidR="00AA47F9" w:rsidRPr="00AA47F9">
              <w:rPr>
                <w:noProof/>
                <w:sz w:val="24"/>
              </w:rPr>
              <w:fldChar w:fldCharType="separate"/>
            </w:r>
            <w:r w:rsidR="00AA47F9" w:rsidRPr="00AA47F9">
              <w:rPr>
                <w:noProof/>
                <w:sz w:val="24"/>
              </w:rPr>
              <w:t>3</w:t>
            </w:r>
            <w:r w:rsidR="00AA47F9" w:rsidRPr="00AA47F9">
              <w:rPr>
                <w:noProof/>
                <w:sz w:val="24"/>
              </w:rPr>
              <w:fldChar w:fldCharType="end"/>
            </w:r>
          </w:hyperlink>
        </w:p>
        <w:p w14:paraId="40A29EB1" w14:textId="64A8D326" w:rsidR="00AA47F9" w:rsidRPr="008C4EF2" w:rsidRDefault="00AA47F9" w:rsidP="00AA47F9">
          <w:pPr>
            <w:pStyle w:val="TOC1"/>
            <w:tabs>
              <w:tab w:val="right" w:leader="dot" w:pos="8296"/>
            </w:tabs>
            <w:spacing w:line="360" w:lineRule="auto"/>
            <w:rPr>
              <w:rStyle w:val="af7"/>
              <w:sz w:val="24"/>
            </w:rPr>
          </w:pPr>
          <w:hyperlink w:anchor="_Toc203506471" w:history="1">
            <w:r w:rsidRPr="008C4EF2">
              <w:rPr>
                <w:rStyle w:val="af7"/>
                <w:noProof/>
                <w:sz w:val="24"/>
              </w:rPr>
              <w:t>二、编制目的和意义</w:t>
            </w:r>
            <w:r w:rsidRPr="008C4EF2">
              <w:rPr>
                <w:rStyle w:val="af7"/>
                <w:sz w:val="24"/>
              </w:rPr>
              <w:tab/>
            </w:r>
            <w:r w:rsidRPr="008C4EF2">
              <w:rPr>
                <w:rStyle w:val="af7"/>
                <w:sz w:val="24"/>
              </w:rPr>
              <w:fldChar w:fldCharType="begin"/>
            </w:r>
            <w:r w:rsidRPr="008C4EF2">
              <w:rPr>
                <w:rStyle w:val="af7"/>
                <w:sz w:val="24"/>
              </w:rPr>
              <w:instrText xml:space="preserve"> PAGEREF _Toc203506471 \h </w:instrText>
            </w:r>
            <w:r w:rsidRPr="008C4EF2">
              <w:rPr>
                <w:rStyle w:val="af7"/>
                <w:sz w:val="24"/>
              </w:rPr>
            </w:r>
            <w:r w:rsidRPr="008C4EF2">
              <w:rPr>
                <w:rStyle w:val="af7"/>
                <w:sz w:val="24"/>
              </w:rPr>
              <w:fldChar w:fldCharType="separate"/>
            </w:r>
            <w:r w:rsidRPr="008C4EF2">
              <w:rPr>
                <w:rStyle w:val="af7"/>
                <w:sz w:val="24"/>
              </w:rPr>
              <w:t>3</w:t>
            </w:r>
            <w:r w:rsidRPr="008C4EF2">
              <w:rPr>
                <w:rStyle w:val="af7"/>
                <w:sz w:val="24"/>
              </w:rPr>
              <w:fldChar w:fldCharType="end"/>
            </w:r>
          </w:hyperlink>
        </w:p>
        <w:p w14:paraId="39AEBEA6" w14:textId="503C7789" w:rsidR="00AA47F9" w:rsidRPr="008C4EF2" w:rsidRDefault="00AA47F9" w:rsidP="00AA47F9">
          <w:pPr>
            <w:pStyle w:val="TOC1"/>
            <w:tabs>
              <w:tab w:val="right" w:leader="dot" w:pos="8296"/>
            </w:tabs>
            <w:spacing w:line="360" w:lineRule="auto"/>
            <w:rPr>
              <w:rStyle w:val="af7"/>
              <w:sz w:val="24"/>
            </w:rPr>
          </w:pPr>
          <w:hyperlink w:anchor="_Toc203506472" w:history="1">
            <w:r w:rsidRPr="00AA47F9">
              <w:rPr>
                <w:rStyle w:val="af7"/>
                <w:noProof/>
                <w:sz w:val="24"/>
              </w:rPr>
              <w:t>三、</w:t>
            </w:r>
            <w:r w:rsidRPr="00AA47F9">
              <w:rPr>
                <w:rStyle w:val="af7"/>
                <w:noProof/>
                <w:sz w:val="24"/>
              </w:rPr>
              <w:t xml:space="preserve"> </w:t>
            </w:r>
            <w:r w:rsidRPr="00AA47F9">
              <w:rPr>
                <w:rStyle w:val="af7"/>
                <w:noProof/>
                <w:sz w:val="24"/>
              </w:rPr>
              <w:t>编制原则和依据</w:t>
            </w:r>
            <w:r w:rsidRPr="008C4EF2">
              <w:rPr>
                <w:rStyle w:val="af7"/>
                <w:sz w:val="24"/>
              </w:rPr>
              <w:tab/>
            </w:r>
            <w:r w:rsidRPr="008C4EF2">
              <w:rPr>
                <w:rStyle w:val="af7"/>
                <w:sz w:val="24"/>
              </w:rPr>
              <w:fldChar w:fldCharType="begin"/>
            </w:r>
            <w:r w:rsidRPr="008C4EF2">
              <w:rPr>
                <w:rStyle w:val="af7"/>
                <w:sz w:val="24"/>
              </w:rPr>
              <w:instrText xml:space="preserve"> PAGEREF _Toc203506472 \h </w:instrText>
            </w:r>
            <w:r w:rsidRPr="008C4EF2">
              <w:rPr>
                <w:rStyle w:val="af7"/>
                <w:sz w:val="24"/>
              </w:rPr>
            </w:r>
            <w:r w:rsidRPr="008C4EF2">
              <w:rPr>
                <w:rStyle w:val="af7"/>
                <w:sz w:val="24"/>
              </w:rPr>
              <w:fldChar w:fldCharType="separate"/>
            </w:r>
            <w:r w:rsidRPr="008C4EF2">
              <w:rPr>
                <w:rStyle w:val="af7"/>
                <w:sz w:val="24"/>
              </w:rPr>
              <w:t>4</w:t>
            </w:r>
            <w:r w:rsidRPr="008C4EF2">
              <w:rPr>
                <w:rStyle w:val="af7"/>
                <w:sz w:val="24"/>
              </w:rPr>
              <w:fldChar w:fldCharType="end"/>
            </w:r>
          </w:hyperlink>
        </w:p>
        <w:p w14:paraId="7FD4B1AE" w14:textId="59718226" w:rsidR="00AA47F9" w:rsidRPr="008C4EF2" w:rsidRDefault="00AA47F9" w:rsidP="00AA47F9">
          <w:pPr>
            <w:pStyle w:val="TOC1"/>
            <w:tabs>
              <w:tab w:val="right" w:leader="dot" w:pos="8296"/>
            </w:tabs>
            <w:spacing w:line="360" w:lineRule="auto"/>
            <w:rPr>
              <w:rStyle w:val="af7"/>
              <w:sz w:val="24"/>
            </w:rPr>
          </w:pPr>
          <w:hyperlink w:anchor="_Toc203506473" w:history="1">
            <w:r w:rsidRPr="00AA47F9">
              <w:rPr>
                <w:rStyle w:val="af7"/>
                <w:noProof/>
                <w:sz w:val="24"/>
              </w:rPr>
              <w:t>四、主要工作过程</w:t>
            </w:r>
            <w:r w:rsidRPr="008C4EF2">
              <w:rPr>
                <w:rStyle w:val="af7"/>
                <w:sz w:val="24"/>
              </w:rPr>
              <w:tab/>
            </w:r>
            <w:r w:rsidRPr="008C4EF2">
              <w:rPr>
                <w:rStyle w:val="af7"/>
                <w:sz w:val="24"/>
              </w:rPr>
              <w:fldChar w:fldCharType="begin"/>
            </w:r>
            <w:r w:rsidRPr="008C4EF2">
              <w:rPr>
                <w:rStyle w:val="af7"/>
                <w:sz w:val="24"/>
              </w:rPr>
              <w:instrText xml:space="preserve"> PAGEREF _Toc203506473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1DB15613" w14:textId="39E476DA" w:rsidR="00AA47F9" w:rsidRPr="008C4EF2" w:rsidRDefault="00AA47F9" w:rsidP="00AA47F9">
          <w:pPr>
            <w:pStyle w:val="TOC2"/>
            <w:tabs>
              <w:tab w:val="right" w:leader="dot" w:pos="8296"/>
            </w:tabs>
            <w:spacing w:line="360" w:lineRule="auto"/>
            <w:rPr>
              <w:rStyle w:val="af7"/>
              <w:sz w:val="24"/>
            </w:rPr>
          </w:pPr>
          <w:hyperlink w:anchor="_Toc203506474" w:history="1">
            <w:r w:rsidRPr="00AA47F9">
              <w:rPr>
                <w:rStyle w:val="af7"/>
                <w:noProof/>
                <w:sz w:val="24"/>
              </w:rPr>
              <w:t xml:space="preserve">1. </w:t>
            </w:r>
            <w:r w:rsidRPr="00AA47F9">
              <w:rPr>
                <w:rStyle w:val="af7"/>
                <w:noProof/>
                <w:sz w:val="24"/>
              </w:rPr>
              <w:t>成立标准起草工作组</w:t>
            </w:r>
            <w:r w:rsidRPr="008C4EF2">
              <w:rPr>
                <w:rStyle w:val="af7"/>
                <w:sz w:val="24"/>
              </w:rPr>
              <w:tab/>
            </w:r>
            <w:r w:rsidRPr="008C4EF2">
              <w:rPr>
                <w:rStyle w:val="af7"/>
                <w:sz w:val="24"/>
              </w:rPr>
              <w:fldChar w:fldCharType="begin"/>
            </w:r>
            <w:r w:rsidRPr="008C4EF2">
              <w:rPr>
                <w:rStyle w:val="af7"/>
                <w:sz w:val="24"/>
              </w:rPr>
              <w:instrText xml:space="preserve"> PAGEREF _Toc203506474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373FE61A" w14:textId="63AC3AC5" w:rsidR="00AA47F9" w:rsidRPr="008C4EF2" w:rsidRDefault="00AA47F9" w:rsidP="00AA47F9">
          <w:pPr>
            <w:pStyle w:val="TOC2"/>
            <w:tabs>
              <w:tab w:val="right" w:leader="dot" w:pos="8296"/>
            </w:tabs>
            <w:spacing w:line="360" w:lineRule="auto"/>
            <w:rPr>
              <w:rStyle w:val="af7"/>
              <w:sz w:val="24"/>
            </w:rPr>
          </w:pPr>
          <w:hyperlink w:anchor="_Toc203506475" w:history="1">
            <w:r w:rsidRPr="00AA47F9">
              <w:rPr>
                <w:rStyle w:val="af7"/>
                <w:noProof/>
                <w:sz w:val="24"/>
              </w:rPr>
              <w:t xml:space="preserve">2. </w:t>
            </w:r>
            <w:r w:rsidRPr="00AA47F9">
              <w:rPr>
                <w:rStyle w:val="af7"/>
                <w:noProof/>
                <w:sz w:val="24"/>
              </w:rPr>
              <w:t>资料收集分析、技术准备</w:t>
            </w:r>
            <w:r w:rsidRPr="008C4EF2">
              <w:rPr>
                <w:rStyle w:val="af7"/>
                <w:sz w:val="24"/>
              </w:rPr>
              <w:tab/>
            </w:r>
            <w:r w:rsidRPr="008C4EF2">
              <w:rPr>
                <w:rStyle w:val="af7"/>
                <w:sz w:val="24"/>
              </w:rPr>
              <w:fldChar w:fldCharType="begin"/>
            </w:r>
            <w:r w:rsidRPr="008C4EF2">
              <w:rPr>
                <w:rStyle w:val="af7"/>
                <w:sz w:val="24"/>
              </w:rPr>
              <w:instrText xml:space="preserve"> PAGEREF _Toc203506475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296B4D10" w14:textId="762D0BD7" w:rsidR="00AA47F9" w:rsidRPr="008C4EF2" w:rsidRDefault="00AA47F9" w:rsidP="00AA47F9">
          <w:pPr>
            <w:pStyle w:val="TOC2"/>
            <w:tabs>
              <w:tab w:val="right" w:leader="dot" w:pos="8296"/>
            </w:tabs>
            <w:spacing w:line="360" w:lineRule="auto"/>
            <w:rPr>
              <w:rStyle w:val="af7"/>
              <w:sz w:val="24"/>
            </w:rPr>
          </w:pPr>
          <w:hyperlink w:anchor="_Toc203506476" w:history="1">
            <w:r w:rsidRPr="00AA47F9">
              <w:rPr>
                <w:rStyle w:val="af7"/>
                <w:noProof/>
                <w:sz w:val="24"/>
              </w:rPr>
              <w:t xml:space="preserve">3. </w:t>
            </w:r>
            <w:r w:rsidRPr="00AA47F9">
              <w:rPr>
                <w:rStyle w:val="af7"/>
                <w:noProof/>
                <w:sz w:val="24"/>
              </w:rPr>
              <w:t>标准编写，形成技术规程草案</w:t>
            </w:r>
            <w:r w:rsidRPr="008C4EF2">
              <w:rPr>
                <w:rStyle w:val="af7"/>
                <w:sz w:val="24"/>
              </w:rPr>
              <w:tab/>
            </w:r>
            <w:r w:rsidRPr="008C4EF2">
              <w:rPr>
                <w:rStyle w:val="af7"/>
                <w:sz w:val="24"/>
              </w:rPr>
              <w:fldChar w:fldCharType="begin"/>
            </w:r>
            <w:r w:rsidRPr="008C4EF2">
              <w:rPr>
                <w:rStyle w:val="af7"/>
                <w:sz w:val="24"/>
              </w:rPr>
              <w:instrText xml:space="preserve"> PAGEREF _Toc203506476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14781B95" w14:textId="71CE125F" w:rsidR="00AA47F9" w:rsidRPr="008C4EF2" w:rsidRDefault="00AA47F9" w:rsidP="00AA47F9">
          <w:pPr>
            <w:pStyle w:val="TOC1"/>
            <w:tabs>
              <w:tab w:val="right" w:leader="dot" w:pos="8296"/>
            </w:tabs>
            <w:spacing w:line="360" w:lineRule="auto"/>
            <w:rPr>
              <w:rStyle w:val="af7"/>
              <w:sz w:val="24"/>
            </w:rPr>
          </w:pPr>
          <w:hyperlink w:anchor="_Toc203506477" w:history="1">
            <w:r w:rsidRPr="008C4EF2">
              <w:rPr>
                <w:rStyle w:val="af7"/>
                <w:noProof/>
                <w:sz w:val="24"/>
              </w:rPr>
              <w:t>五、</w:t>
            </w:r>
            <w:r w:rsidRPr="00AA47F9">
              <w:rPr>
                <w:rStyle w:val="af7"/>
                <w:noProof/>
                <w:sz w:val="24"/>
              </w:rPr>
              <w:t>主要技术内容确定的依据</w:t>
            </w:r>
            <w:r w:rsidRPr="008C4EF2">
              <w:rPr>
                <w:rStyle w:val="af7"/>
                <w:sz w:val="24"/>
              </w:rPr>
              <w:tab/>
            </w:r>
            <w:r w:rsidRPr="008C4EF2">
              <w:rPr>
                <w:rStyle w:val="af7"/>
                <w:sz w:val="24"/>
              </w:rPr>
              <w:fldChar w:fldCharType="begin"/>
            </w:r>
            <w:r w:rsidRPr="008C4EF2">
              <w:rPr>
                <w:rStyle w:val="af7"/>
                <w:sz w:val="24"/>
              </w:rPr>
              <w:instrText xml:space="preserve"> PAGEREF _Toc203506477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5EC6E284" w14:textId="6AFCCCF2" w:rsidR="00AA47F9" w:rsidRPr="008C4EF2" w:rsidRDefault="00AA47F9" w:rsidP="00AA47F9">
          <w:pPr>
            <w:pStyle w:val="TOC2"/>
            <w:tabs>
              <w:tab w:val="right" w:leader="dot" w:pos="8296"/>
            </w:tabs>
            <w:spacing w:line="360" w:lineRule="auto"/>
            <w:rPr>
              <w:rStyle w:val="af7"/>
              <w:sz w:val="24"/>
            </w:rPr>
          </w:pPr>
          <w:hyperlink w:anchor="_Toc203506478" w:history="1">
            <w:r w:rsidRPr="00AA47F9">
              <w:rPr>
                <w:rStyle w:val="af7"/>
                <w:noProof/>
                <w:sz w:val="24"/>
              </w:rPr>
              <w:t xml:space="preserve">1. </w:t>
            </w:r>
            <w:r w:rsidRPr="00AA47F9">
              <w:rPr>
                <w:rStyle w:val="af7"/>
                <w:noProof/>
                <w:sz w:val="24"/>
              </w:rPr>
              <w:t>适用范围</w:t>
            </w:r>
            <w:r w:rsidRPr="008C4EF2">
              <w:rPr>
                <w:rStyle w:val="af7"/>
                <w:sz w:val="24"/>
              </w:rPr>
              <w:tab/>
            </w:r>
            <w:r w:rsidRPr="008C4EF2">
              <w:rPr>
                <w:rStyle w:val="af7"/>
                <w:sz w:val="24"/>
              </w:rPr>
              <w:fldChar w:fldCharType="begin"/>
            </w:r>
            <w:r w:rsidRPr="008C4EF2">
              <w:rPr>
                <w:rStyle w:val="af7"/>
                <w:sz w:val="24"/>
              </w:rPr>
              <w:instrText xml:space="preserve"> PAGEREF _Toc203506478 \h </w:instrText>
            </w:r>
            <w:r w:rsidRPr="008C4EF2">
              <w:rPr>
                <w:rStyle w:val="af7"/>
                <w:sz w:val="24"/>
              </w:rPr>
            </w:r>
            <w:r w:rsidRPr="008C4EF2">
              <w:rPr>
                <w:rStyle w:val="af7"/>
                <w:sz w:val="24"/>
              </w:rPr>
              <w:fldChar w:fldCharType="separate"/>
            </w:r>
            <w:r w:rsidRPr="008C4EF2">
              <w:rPr>
                <w:rStyle w:val="af7"/>
                <w:sz w:val="24"/>
              </w:rPr>
              <w:t>5</w:t>
            </w:r>
            <w:r w:rsidRPr="008C4EF2">
              <w:rPr>
                <w:rStyle w:val="af7"/>
                <w:sz w:val="24"/>
              </w:rPr>
              <w:fldChar w:fldCharType="end"/>
            </w:r>
          </w:hyperlink>
        </w:p>
        <w:p w14:paraId="0EECD56C" w14:textId="22835818" w:rsidR="00AA47F9" w:rsidRPr="00AA47F9" w:rsidRDefault="00AA47F9" w:rsidP="00AA47F9">
          <w:pPr>
            <w:pStyle w:val="TOC2"/>
            <w:tabs>
              <w:tab w:val="right" w:leader="dot" w:pos="8296"/>
            </w:tabs>
            <w:spacing w:line="360" w:lineRule="auto"/>
            <w:rPr>
              <w:noProof/>
              <w:sz w:val="24"/>
            </w:rPr>
          </w:pPr>
          <w:hyperlink w:anchor="_Toc203506479" w:history="1">
            <w:r w:rsidRPr="00AA47F9">
              <w:rPr>
                <w:rStyle w:val="af7"/>
                <w:noProof/>
                <w:sz w:val="24"/>
              </w:rPr>
              <w:t xml:space="preserve">2. </w:t>
            </w:r>
            <w:r w:rsidRPr="00AA47F9">
              <w:rPr>
                <w:rStyle w:val="af7"/>
                <w:noProof/>
                <w:sz w:val="24"/>
              </w:rPr>
              <w:t>规范性引用文件</w:t>
            </w:r>
            <w:r w:rsidRPr="00AA47F9">
              <w:rPr>
                <w:noProof/>
                <w:sz w:val="24"/>
              </w:rPr>
              <w:tab/>
            </w:r>
            <w:r w:rsidRPr="00AA47F9">
              <w:rPr>
                <w:noProof/>
                <w:sz w:val="24"/>
              </w:rPr>
              <w:fldChar w:fldCharType="begin"/>
            </w:r>
            <w:r w:rsidRPr="00AA47F9">
              <w:rPr>
                <w:noProof/>
                <w:sz w:val="24"/>
              </w:rPr>
              <w:instrText xml:space="preserve"> PAGEREF _Toc203506479 \h </w:instrText>
            </w:r>
            <w:r w:rsidRPr="00AA47F9">
              <w:rPr>
                <w:noProof/>
                <w:sz w:val="24"/>
              </w:rPr>
            </w:r>
            <w:r w:rsidRPr="00AA47F9">
              <w:rPr>
                <w:noProof/>
                <w:sz w:val="24"/>
              </w:rPr>
              <w:fldChar w:fldCharType="separate"/>
            </w:r>
            <w:r w:rsidRPr="00AA47F9">
              <w:rPr>
                <w:noProof/>
                <w:sz w:val="24"/>
              </w:rPr>
              <w:t>5</w:t>
            </w:r>
            <w:r w:rsidRPr="00AA47F9">
              <w:rPr>
                <w:noProof/>
                <w:sz w:val="24"/>
              </w:rPr>
              <w:fldChar w:fldCharType="end"/>
            </w:r>
          </w:hyperlink>
        </w:p>
        <w:p w14:paraId="2EC44031" w14:textId="171D6449" w:rsidR="00AA47F9" w:rsidRPr="00AA47F9" w:rsidRDefault="00AA47F9" w:rsidP="00AA47F9">
          <w:pPr>
            <w:pStyle w:val="TOC2"/>
            <w:tabs>
              <w:tab w:val="right" w:leader="dot" w:pos="8296"/>
            </w:tabs>
            <w:spacing w:line="360" w:lineRule="auto"/>
            <w:rPr>
              <w:noProof/>
              <w:sz w:val="24"/>
            </w:rPr>
          </w:pPr>
          <w:hyperlink w:anchor="_Toc203506480" w:history="1">
            <w:r w:rsidRPr="00AA47F9">
              <w:rPr>
                <w:rStyle w:val="af7"/>
                <w:noProof/>
                <w:sz w:val="24"/>
              </w:rPr>
              <w:t xml:space="preserve">3. </w:t>
            </w:r>
            <w:r w:rsidRPr="00AA47F9">
              <w:rPr>
                <w:rStyle w:val="af7"/>
                <w:noProof/>
                <w:sz w:val="24"/>
              </w:rPr>
              <w:t>术语及定义</w:t>
            </w:r>
            <w:r w:rsidRPr="00AA47F9">
              <w:rPr>
                <w:noProof/>
                <w:sz w:val="24"/>
              </w:rPr>
              <w:tab/>
            </w:r>
            <w:r w:rsidRPr="00AA47F9">
              <w:rPr>
                <w:noProof/>
                <w:sz w:val="24"/>
              </w:rPr>
              <w:fldChar w:fldCharType="begin"/>
            </w:r>
            <w:r w:rsidRPr="00AA47F9">
              <w:rPr>
                <w:noProof/>
                <w:sz w:val="24"/>
              </w:rPr>
              <w:instrText xml:space="preserve"> PAGEREF _Toc203506480 \h </w:instrText>
            </w:r>
            <w:r w:rsidRPr="00AA47F9">
              <w:rPr>
                <w:noProof/>
                <w:sz w:val="24"/>
              </w:rPr>
            </w:r>
            <w:r w:rsidRPr="00AA47F9">
              <w:rPr>
                <w:noProof/>
                <w:sz w:val="24"/>
              </w:rPr>
              <w:fldChar w:fldCharType="separate"/>
            </w:r>
            <w:r w:rsidRPr="00AA47F9">
              <w:rPr>
                <w:noProof/>
                <w:sz w:val="24"/>
              </w:rPr>
              <w:t>6</w:t>
            </w:r>
            <w:r w:rsidRPr="00AA47F9">
              <w:rPr>
                <w:noProof/>
                <w:sz w:val="24"/>
              </w:rPr>
              <w:fldChar w:fldCharType="end"/>
            </w:r>
          </w:hyperlink>
        </w:p>
        <w:p w14:paraId="39DF54DE" w14:textId="689B120D" w:rsidR="00AA47F9" w:rsidRPr="00AA47F9" w:rsidRDefault="00AA47F9" w:rsidP="00AA47F9">
          <w:pPr>
            <w:pStyle w:val="TOC2"/>
            <w:tabs>
              <w:tab w:val="right" w:leader="dot" w:pos="8296"/>
            </w:tabs>
            <w:spacing w:line="360" w:lineRule="auto"/>
            <w:rPr>
              <w:noProof/>
              <w:sz w:val="24"/>
            </w:rPr>
          </w:pPr>
          <w:hyperlink w:anchor="_Toc203506481" w:history="1">
            <w:r w:rsidRPr="00AA47F9">
              <w:rPr>
                <w:rStyle w:val="af7"/>
                <w:noProof/>
                <w:sz w:val="24"/>
              </w:rPr>
              <w:t xml:space="preserve">4. </w:t>
            </w:r>
            <w:r w:rsidRPr="00AA47F9">
              <w:rPr>
                <w:rStyle w:val="af7"/>
                <w:noProof/>
                <w:sz w:val="24"/>
              </w:rPr>
              <w:t>主要技术指标确定的依据</w:t>
            </w:r>
            <w:r w:rsidRPr="00AA47F9">
              <w:rPr>
                <w:noProof/>
                <w:sz w:val="24"/>
              </w:rPr>
              <w:tab/>
            </w:r>
            <w:r w:rsidRPr="00AA47F9">
              <w:rPr>
                <w:noProof/>
                <w:sz w:val="24"/>
              </w:rPr>
              <w:fldChar w:fldCharType="begin"/>
            </w:r>
            <w:r w:rsidRPr="00AA47F9">
              <w:rPr>
                <w:noProof/>
                <w:sz w:val="24"/>
              </w:rPr>
              <w:instrText xml:space="preserve"> PAGEREF _Toc203506481 \h </w:instrText>
            </w:r>
            <w:r w:rsidRPr="00AA47F9">
              <w:rPr>
                <w:noProof/>
                <w:sz w:val="24"/>
              </w:rPr>
            </w:r>
            <w:r w:rsidRPr="00AA47F9">
              <w:rPr>
                <w:noProof/>
                <w:sz w:val="24"/>
              </w:rPr>
              <w:fldChar w:fldCharType="separate"/>
            </w:r>
            <w:r w:rsidRPr="00AA47F9">
              <w:rPr>
                <w:noProof/>
                <w:sz w:val="24"/>
              </w:rPr>
              <w:t>6</w:t>
            </w:r>
            <w:r w:rsidRPr="00AA47F9">
              <w:rPr>
                <w:noProof/>
                <w:sz w:val="24"/>
              </w:rPr>
              <w:fldChar w:fldCharType="end"/>
            </w:r>
          </w:hyperlink>
        </w:p>
        <w:p w14:paraId="47C7A3E9" w14:textId="2F2E9477" w:rsidR="00AA47F9" w:rsidRPr="008C4EF2" w:rsidRDefault="00AA47F9" w:rsidP="00AA47F9">
          <w:pPr>
            <w:pStyle w:val="TOC1"/>
            <w:tabs>
              <w:tab w:val="right" w:leader="dot" w:pos="8296"/>
            </w:tabs>
            <w:spacing w:line="360" w:lineRule="auto"/>
            <w:rPr>
              <w:rStyle w:val="af7"/>
              <w:sz w:val="24"/>
            </w:rPr>
          </w:pPr>
          <w:hyperlink w:anchor="_Toc203506482" w:history="1">
            <w:r w:rsidRPr="008C4EF2">
              <w:rPr>
                <w:rStyle w:val="af7"/>
                <w:noProof/>
                <w:sz w:val="24"/>
              </w:rPr>
              <w:t>六、</w:t>
            </w:r>
            <w:r w:rsidRPr="00AA47F9">
              <w:rPr>
                <w:rStyle w:val="af7"/>
                <w:noProof/>
                <w:sz w:val="24"/>
              </w:rPr>
              <w:t>采用的国际标准</w:t>
            </w:r>
            <w:r w:rsidRPr="008C4EF2">
              <w:rPr>
                <w:rStyle w:val="af7"/>
                <w:sz w:val="24"/>
              </w:rPr>
              <w:tab/>
            </w:r>
            <w:r w:rsidRPr="008C4EF2">
              <w:rPr>
                <w:rStyle w:val="af7"/>
                <w:sz w:val="24"/>
              </w:rPr>
              <w:fldChar w:fldCharType="begin"/>
            </w:r>
            <w:r w:rsidRPr="008C4EF2">
              <w:rPr>
                <w:rStyle w:val="af7"/>
                <w:sz w:val="24"/>
              </w:rPr>
              <w:instrText xml:space="preserve"> PAGEREF _Toc203506482 \h </w:instrText>
            </w:r>
            <w:r w:rsidRPr="008C4EF2">
              <w:rPr>
                <w:rStyle w:val="af7"/>
                <w:sz w:val="24"/>
              </w:rPr>
            </w:r>
            <w:r w:rsidRPr="008C4EF2">
              <w:rPr>
                <w:rStyle w:val="af7"/>
                <w:sz w:val="24"/>
              </w:rPr>
              <w:fldChar w:fldCharType="separate"/>
            </w:r>
            <w:r w:rsidRPr="008C4EF2">
              <w:rPr>
                <w:rStyle w:val="af7"/>
                <w:sz w:val="24"/>
              </w:rPr>
              <w:t>11</w:t>
            </w:r>
            <w:r w:rsidRPr="008C4EF2">
              <w:rPr>
                <w:rStyle w:val="af7"/>
                <w:sz w:val="24"/>
              </w:rPr>
              <w:fldChar w:fldCharType="end"/>
            </w:r>
          </w:hyperlink>
        </w:p>
        <w:p w14:paraId="50E804A0" w14:textId="5E9504BE" w:rsidR="00AA47F9" w:rsidRPr="00AA47F9" w:rsidRDefault="00AA47F9" w:rsidP="00AA47F9">
          <w:pPr>
            <w:pStyle w:val="TOC1"/>
            <w:tabs>
              <w:tab w:val="right" w:leader="dot" w:pos="8296"/>
            </w:tabs>
            <w:spacing w:line="360" w:lineRule="auto"/>
            <w:rPr>
              <w:noProof/>
              <w:sz w:val="24"/>
            </w:rPr>
          </w:pPr>
          <w:hyperlink w:anchor="_Toc203506483" w:history="1">
            <w:r w:rsidRPr="00AA47F9">
              <w:rPr>
                <w:rStyle w:val="af7"/>
                <w:noProof/>
                <w:sz w:val="24"/>
              </w:rPr>
              <w:t>七、与现行法律法规和强制性标准的关系</w:t>
            </w:r>
            <w:r w:rsidRPr="00AA47F9">
              <w:rPr>
                <w:noProof/>
                <w:sz w:val="24"/>
              </w:rPr>
              <w:tab/>
            </w:r>
            <w:r w:rsidRPr="00AA47F9">
              <w:rPr>
                <w:noProof/>
                <w:sz w:val="24"/>
              </w:rPr>
              <w:fldChar w:fldCharType="begin"/>
            </w:r>
            <w:r w:rsidRPr="00AA47F9">
              <w:rPr>
                <w:noProof/>
                <w:sz w:val="24"/>
              </w:rPr>
              <w:instrText xml:space="preserve"> PAGEREF _Toc203506483 \h </w:instrText>
            </w:r>
            <w:r w:rsidRPr="00AA47F9">
              <w:rPr>
                <w:noProof/>
                <w:sz w:val="24"/>
              </w:rPr>
            </w:r>
            <w:r w:rsidRPr="00AA47F9">
              <w:rPr>
                <w:noProof/>
                <w:sz w:val="24"/>
              </w:rPr>
              <w:fldChar w:fldCharType="separate"/>
            </w:r>
            <w:r w:rsidRPr="00AA47F9">
              <w:rPr>
                <w:noProof/>
                <w:sz w:val="24"/>
              </w:rPr>
              <w:t>11</w:t>
            </w:r>
            <w:r w:rsidRPr="00AA47F9">
              <w:rPr>
                <w:noProof/>
                <w:sz w:val="24"/>
              </w:rPr>
              <w:fldChar w:fldCharType="end"/>
            </w:r>
          </w:hyperlink>
        </w:p>
        <w:p w14:paraId="700645F0" w14:textId="61DD3517" w:rsidR="00AA47F9" w:rsidRPr="00AA47F9" w:rsidRDefault="00AA47F9" w:rsidP="00AA47F9">
          <w:pPr>
            <w:pStyle w:val="TOC1"/>
            <w:tabs>
              <w:tab w:val="right" w:leader="dot" w:pos="8296"/>
            </w:tabs>
            <w:spacing w:line="360" w:lineRule="auto"/>
            <w:rPr>
              <w:noProof/>
              <w:sz w:val="24"/>
            </w:rPr>
          </w:pPr>
          <w:hyperlink w:anchor="_Toc203506484" w:history="1">
            <w:r w:rsidRPr="00AA47F9">
              <w:rPr>
                <w:rStyle w:val="af7"/>
                <w:noProof/>
                <w:sz w:val="24"/>
              </w:rPr>
              <w:t>八、重大分歧意见的处理经过和依据</w:t>
            </w:r>
            <w:r w:rsidRPr="00AA47F9">
              <w:rPr>
                <w:noProof/>
                <w:sz w:val="24"/>
              </w:rPr>
              <w:tab/>
            </w:r>
            <w:r w:rsidRPr="00AA47F9">
              <w:rPr>
                <w:noProof/>
                <w:sz w:val="24"/>
              </w:rPr>
              <w:fldChar w:fldCharType="begin"/>
            </w:r>
            <w:r w:rsidRPr="00AA47F9">
              <w:rPr>
                <w:noProof/>
                <w:sz w:val="24"/>
              </w:rPr>
              <w:instrText xml:space="preserve"> PAGEREF _Toc203506484 \h </w:instrText>
            </w:r>
            <w:r w:rsidRPr="00AA47F9">
              <w:rPr>
                <w:noProof/>
                <w:sz w:val="24"/>
              </w:rPr>
            </w:r>
            <w:r w:rsidRPr="00AA47F9">
              <w:rPr>
                <w:noProof/>
                <w:sz w:val="24"/>
              </w:rPr>
              <w:fldChar w:fldCharType="separate"/>
            </w:r>
            <w:r w:rsidRPr="00AA47F9">
              <w:rPr>
                <w:noProof/>
                <w:sz w:val="24"/>
              </w:rPr>
              <w:t>12</w:t>
            </w:r>
            <w:r w:rsidRPr="00AA47F9">
              <w:rPr>
                <w:noProof/>
                <w:sz w:val="24"/>
              </w:rPr>
              <w:fldChar w:fldCharType="end"/>
            </w:r>
          </w:hyperlink>
        </w:p>
        <w:p w14:paraId="3BB603E5" w14:textId="0D56C5FF" w:rsidR="00AA47F9" w:rsidRPr="00AA47F9" w:rsidRDefault="00AA47F9" w:rsidP="00AA47F9">
          <w:pPr>
            <w:pStyle w:val="TOC1"/>
            <w:tabs>
              <w:tab w:val="right" w:leader="dot" w:pos="8296"/>
            </w:tabs>
            <w:spacing w:line="360" w:lineRule="auto"/>
            <w:rPr>
              <w:noProof/>
              <w:sz w:val="24"/>
            </w:rPr>
          </w:pPr>
          <w:hyperlink w:anchor="_Toc203506485" w:history="1">
            <w:r w:rsidRPr="00AA47F9">
              <w:rPr>
                <w:rStyle w:val="af7"/>
                <w:noProof/>
                <w:sz w:val="24"/>
              </w:rPr>
              <w:t>九、标准作为强制性或推荐性标准的意见</w:t>
            </w:r>
            <w:r w:rsidRPr="00AA47F9">
              <w:rPr>
                <w:noProof/>
                <w:sz w:val="24"/>
              </w:rPr>
              <w:tab/>
            </w:r>
            <w:r w:rsidRPr="00AA47F9">
              <w:rPr>
                <w:noProof/>
                <w:sz w:val="24"/>
              </w:rPr>
              <w:fldChar w:fldCharType="begin"/>
            </w:r>
            <w:r w:rsidRPr="00AA47F9">
              <w:rPr>
                <w:noProof/>
                <w:sz w:val="24"/>
              </w:rPr>
              <w:instrText xml:space="preserve"> PAGEREF _Toc203506485 \h </w:instrText>
            </w:r>
            <w:r w:rsidRPr="00AA47F9">
              <w:rPr>
                <w:noProof/>
                <w:sz w:val="24"/>
              </w:rPr>
            </w:r>
            <w:r w:rsidRPr="00AA47F9">
              <w:rPr>
                <w:noProof/>
                <w:sz w:val="24"/>
              </w:rPr>
              <w:fldChar w:fldCharType="separate"/>
            </w:r>
            <w:r w:rsidRPr="00AA47F9">
              <w:rPr>
                <w:noProof/>
                <w:sz w:val="24"/>
              </w:rPr>
              <w:t>12</w:t>
            </w:r>
            <w:r w:rsidRPr="00AA47F9">
              <w:rPr>
                <w:noProof/>
                <w:sz w:val="24"/>
              </w:rPr>
              <w:fldChar w:fldCharType="end"/>
            </w:r>
          </w:hyperlink>
        </w:p>
        <w:p w14:paraId="50C03DD5" w14:textId="0CB5F20B" w:rsidR="00AA47F9" w:rsidRPr="00AA47F9" w:rsidRDefault="00AA47F9" w:rsidP="00AA47F9">
          <w:pPr>
            <w:pStyle w:val="TOC1"/>
            <w:tabs>
              <w:tab w:val="right" w:leader="dot" w:pos="8296"/>
            </w:tabs>
            <w:spacing w:line="360" w:lineRule="auto"/>
            <w:rPr>
              <w:noProof/>
              <w:sz w:val="24"/>
            </w:rPr>
          </w:pPr>
          <w:hyperlink w:anchor="_Toc203506486" w:history="1">
            <w:r w:rsidRPr="00AA47F9">
              <w:rPr>
                <w:rStyle w:val="af7"/>
                <w:noProof/>
                <w:sz w:val="24"/>
              </w:rPr>
              <w:t>十、贯彻标准的要求和措施建议</w:t>
            </w:r>
            <w:r w:rsidRPr="00AA47F9">
              <w:rPr>
                <w:noProof/>
                <w:sz w:val="24"/>
              </w:rPr>
              <w:tab/>
            </w:r>
            <w:r w:rsidRPr="00AA47F9">
              <w:rPr>
                <w:noProof/>
                <w:sz w:val="24"/>
              </w:rPr>
              <w:fldChar w:fldCharType="begin"/>
            </w:r>
            <w:r w:rsidRPr="00AA47F9">
              <w:rPr>
                <w:noProof/>
                <w:sz w:val="24"/>
              </w:rPr>
              <w:instrText xml:space="preserve"> PAGEREF _Toc203506486 \h </w:instrText>
            </w:r>
            <w:r w:rsidRPr="00AA47F9">
              <w:rPr>
                <w:noProof/>
                <w:sz w:val="24"/>
              </w:rPr>
            </w:r>
            <w:r w:rsidRPr="00AA47F9">
              <w:rPr>
                <w:noProof/>
                <w:sz w:val="24"/>
              </w:rPr>
              <w:fldChar w:fldCharType="separate"/>
            </w:r>
            <w:r w:rsidRPr="00AA47F9">
              <w:rPr>
                <w:noProof/>
                <w:sz w:val="24"/>
              </w:rPr>
              <w:t>12</w:t>
            </w:r>
            <w:r w:rsidRPr="00AA47F9">
              <w:rPr>
                <w:noProof/>
                <w:sz w:val="24"/>
              </w:rPr>
              <w:fldChar w:fldCharType="end"/>
            </w:r>
          </w:hyperlink>
        </w:p>
        <w:p w14:paraId="7A1105D1" w14:textId="6AD7243C" w:rsidR="00AA47F9" w:rsidRPr="00AA47F9" w:rsidRDefault="00AA47F9" w:rsidP="00AA47F9">
          <w:pPr>
            <w:pStyle w:val="TOC1"/>
            <w:tabs>
              <w:tab w:val="right" w:leader="dot" w:pos="8296"/>
            </w:tabs>
            <w:spacing w:line="360" w:lineRule="auto"/>
            <w:rPr>
              <w:noProof/>
              <w:sz w:val="24"/>
            </w:rPr>
          </w:pPr>
          <w:hyperlink w:anchor="_Toc203506487" w:history="1">
            <w:r w:rsidRPr="00AA47F9">
              <w:rPr>
                <w:rStyle w:val="af7"/>
                <w:noProof/>
                <w:sz w:val="24"/>
              </w:rPr>
              <w:t>十一、废止现行有关标准的建议</w:t>
            </w:r>
            <w:r w:rsidRPr="00AA47F9">
              <w:rPr>
                <w:noProof/>
                <w:sz w:val="24"/>
              </w:rPr>
              <w:tab/>
            </w:r>
            <w:r w:rsidRPr="00AA47F9">
              <w:rPr>
                <w:noProof/>
                <w:sz w:val="24"/>
              </w:rPr>
              <w:fldChar w:fldCharType="begin"/>
            </w:r>
            <w:r w:rsidRPr="00AA47F9">
              <w:rPr>
                <w:noProof/>
                <w:sz w:val="24"/>
              </w:rPr>
              <w:instrText xml:space="preserve"> PAGEREF _Toc203506487 \h </w:instrText>
            </w:r>
            <w:r w:rsidRPr="00AA47F9">
              <w:rPr>
                <w:noProof/>
                <w:sz w:val="24"/>
              </w:rPr>
            </w:r>
            <w:r w:rsidRPr="00AA47F9">
              <w:rPr>
                <w:noProof/>
                <w:sz w:val="24"/>
              </w:rPr>
              <w:fldChar w:fldCharType="separate"/>
            </w:r>
            <w:r w:rsidRPr="00AA47F9">
              <w:rPr>
                <w:noProof/>
                <w:sz w:val="24"/>
              </w:rPr>
              <w:t>12</w:t>
            </w:r>
            <w:r w:rsidRPr="00AA47F9">
              <w:rPr>
                <w:noProof/>
                <w:sz w:val="24"/>
              </w:rPr>
              <w:fldChar w:fldCharType="end"/>
            </w:r>
          </w:hyperlink>
        </w:p>
        <w:p w14:paraId="7A192346" w14:textId="45F90CE4" w:rsidR="00AA47F9" w:rsidRPr="00AA47F9" w:rsidRDefault="00AA47F9" w:rsidP="00AA47F9">
          <w:pPr>
            <w:pStyle w:val="TOC1"/>
            <w:tabs>
              <w:tab w:val="right" w:leader="dot" w:pos="8296"/>
            </w:tabs>
            <w:spacing w:line="360" w:lineRule="auto"/>
            <w:rPr>
              <w:noProof/>
              <w:sz w:val="24"/>
            </w:rPr>
          </w:pPr>
          <w:hyperlink w:anchor="_Toc203506488" w:history="1">
            <w:r w:rsidRPr="00AA47F9">
              <w:rPr>
                <w:rStyle w:val="af7"/>
                <w:noProof/>
                <w:sz w:val="24"/>
              </w:rPr>
              <w:t>十二、其他应予说明的事项</w:t>
            </w:r>
            <w:r w:rsidRPr="00AA47F9">
              <w:rPr>
                <w:noProof/>
                <w:sz w:val="24"/>
              </w:rPr>
              <w:tab/>
            </w:r>
            <w:r w:rsidRPr="00AA47F9">
              <w:rPr>
                <w:noProof/>
                <w:sz w:val="24"/>
              </w:rPr>
              <w:fldChar w:fldCharType="begin"/>
            </w:r>
            <w:r w:rsidRPr="00AA47F9">
              <w:rPr>
                <w:noProof/>
                <w:sz w:val="24"/>
              </w:rPr>
              <w:instrText xml:space="preserve"> PAGEREF _Toc203506488 \h </w:instrText>
            </w:r>
            <w:r w:rsidRPr="00AA47F9">
              <w:rPr>
                <w:noProof/>
                <w:sz w:val="24"/>
              </w:rPr>
            </w:r>
            <w:r w:rsidRPr="00AA47F9">
              <w:rPr>
                <w:noProof/>
                <w:sz w:val="24"/>
              </w:rPr>
              <w:fldChar w:fldCharType="separate"/>
            </w:r>
            <w:r w:rsidRPr="00AA47F9">
              <w:rPr>
                <w:noProof/>
                <w:sz w:val="24"/>
              </w:rPr>
              <w:t>12</w:t>
            </w:r>
            <w:r w:rsidRPr="00AA47F9">
              <w:rPr>
                <w:noProof/>
                <w:sz w:val="24"/>
              </w:rPr>
              <w:fldChar w:fldCharType="end"/>
            </w:r>
          </w:hyperlink>
        </w:p>
        <w:p w14:paraId="4CFA4AA0" w14:textId="316B3A7A" w:rsidR="00F547FD" w:rsidRDefault="00F547FD" w:rsidP="00AA47F9">
          <w:pPr>
            <w:spacing w:line="360" w:lineRule="auto"/>
          </w:pPr>
          <w:r w:rsidRPr="00AA47F9">
            <w:rPr>
              <w:sz w:val="24"/>
            </w:rPr>
            <w:fldChar w:fldCharType="end"/>
          </w:r>
        </w:p>
      </w:sdtContent>
    </w:sdt>
    <w:p w14:paraId="390DB5F7" w14:textId="77777777" w:rsidR="00F547FD" w:rsidRDefault="00F547FD" w:rsidP="00F547FD">
      <w:pPr>
        <w:rPr>
          <w:b/>
        </w:rPr>
      </w:pPr>
    </w:p>
    <w:p w14:paraId="5E0A9667" w14:textId="77777777" w:rsidR="00F547FD" w:rsidRDefault="00F547FD" w:rsidP="00F547FD">
      <w:r>
        <w:br w:type="page"/>
      </w:r>
    </w:p>
    <w:p w14:paraId="192DBD98" w14:textId="77777777" w:rsidR="00F547FD" w:rsidRDefault="00F547FD" w:rsidP="00F547FD">
      <w:pPr>
        <w:pStyle w:val="1"/>
      </w:pPr>
      <w:bookmarkStart w:id="0" w:name="_Toc203506470"/>
      <w:r>
        <w:t>一、任</w:t>
      </w:r>
      <w:bookmarkStart w:id="1" w:name="OLE_LINK1"/>
      <w:r>
        <w:t>务</w:t>
      </w:r>
      <w:bookmarkEnd w:id="1"/>
      <w:r>
        <w:t>来源</w:t>
      </w:r>
      <w:bookmarkEnd w:id="0"/>
    </w:p>
    <w:p w14:paraId="0ACF3E39" w14:textId="77777777" w:rsidR="00F547FD" w:rsidRPr="00F547FD" w:rsidRDefault="00F547FD" w:rsidP="00F547FD">
      <w:pPr>
        <w:spacing w:line="360" w:lineRule="auto"/>
        <w:ind w:firstLineChars="200" w:firstLine="480"/>
        <w:rPr>
          <w:sz w:val="24"/>
        </w:rPr>
      </w:pPr>
      <w:r w:rsidRPr="00F547FD">
        <w:rPr>
          <w:sz w:val="24"/>
        </w:rPr>
        <w:t>本技术规程由</w:t>
      </w:r>
      <w:r w:rsidRPr="00F547FD">
        <w:rPr>
          <w:rFonts w:hint="eastAsia"/>
          <w:sz w:val="24"/>
        </w:rPr>
        <w:t>贵州大学、云南省草地动物科学研究院、广西农业职业技术大学、贵州黄牛集团、贵州农业职业学院、贵州省种畜禽种质测定中心、贵州省畜牧兽医研究所、大方县楠华种植农民专业合作社</w:t>
      </w:r>
      <w:r w:rsidRPr="00F547FD">
        <w:rPr>
          <w:sz w:val="24"/>
        </w:rPr>
        <w:t>联合申报。</w:t>
      </w:r>
    </w:p>
    <w:p w14:paraId="0002EE01" w14:textId="372E6C65" w:rsidR="00CD52EC" w:rsidRDefault="006F63C3" w:rsidP="006F63C3">
      <w:pPr>
        <w:pStyle w:val="afa"/>
        <w:spacing w:beforeLines="50" w:before="156" w:afterLines="50" w:after="156" w:line="500" w:lineRule="exact"/>
        <w:ind w:firstLineChars="0" w:firstLine="0"/>
        <w:outlineLvl w:val="0"/>
        <w:rPr>
          <w:rFonts w:ascii="Times New Roman" w:eastAsia="黑体"/>
          <w:kern w:val="2"/>
          <w:sz w:val="28"/>
          <w:szCs w:val="28"/>
        </w:rPr>
      </w:pPr>
      <w:bookmarkStart w:id="2" w:name="_Toc203506471"/>
      <w:r w:rsidRPr="008C4EF2">
        <w:rPr>
          <w:rFonts w:ascii="Times New Roman" w:hint="eastAsia"/>
          <w:b/>
          <w:bCs/>
          <w:kern w:val="44"/>
          <w:sz w:val="28"/>
          <w:szCs w:val="44"/>
        </w:rPr>
        <w:t>二、</w:t>
      </w:r>
      <w:r w:rsidRPr="006F63C3">
        <w:rPr>
          <w:rFonts w:ascii="Times New Roman"/>
          <w:b/>
          <w:bCs/>
          <w:kern w:val="44"/>
          <w:sz w:val="28"/>
          <w:szCs w:val="44"/>
        </w:rPr>
        <w:t>编制目的和意义</w:t>
      </w:r>
      <w:bookmarkEnd w:id="2"/>
    </w:p>
    <w:p w14:paraId="0B714DF8" w14:textId="24A42AD3" w:rsidR="00CD52EC" w:rsidRDefault="00000000">
      <w:pPr>
        <w:pStyle w:val="afa"/>
        <w:spacing w:beforeLines="50" w:before="156" w:afterLines="50" w:after="156" w:line="500" w:lineRule="exact"/>
        <w:ind w:firstLine="480"/>
        <w:rPr>
          <w:rFonts w:ascii="Times New Roman"/>
          <w:kern w:val="2"/>
          <w:sz w:val="24"/>
          <w:szCs w:val="24"/>
        </w:rPr>
      </w:pPr>
      <w:r>
        <w:rPr>
          <w:rFonts w:ascii="Times New Roman" w:hint="eastAsia"/>
          <w:kern w:val="2"/>
          <w:sz w:val="24"/>
          <w:szCs w:val="24"/>
        </w:rPr>
        <w:t>随着我国人民生活水平的提高，反刍动物畜产品需求和消费量不断攀升，牛羊存栏量和出栏量增长迅速。优越的自然条件、优良的地方品种资源、丰富的饲草资源，</w:t>
      </w:r>
      <w:r>
        <w:rPr>
          <w:rFonts w:ascii="Times New Roman"/>
          <w:kern w:val="2"/>
          <w:sz w:val="24"/>
          <w:szCs w:val="24"/>
        </w:rPr>
        <w:t>赋予了发展牛羊产业独一无二的</w:t>
      </w:r>
      <w:r>
        <w:rPr>
          <w:rFonts w:ascii="Times New Roman" w:hint="eastAsia"/>
          <w:kern w:val="2"/>
          <w:sz w:val="24"/>
          <w:szCs w:val="24"/>
        </w:rPr>
        <w:t>“</w:t>
      </w:r>
      <w:r>
        <w:rPr>
          <w:rFonts w:ascii="Times New Roman"/>
          <w:kern w:val="2"/>
          <w:sz w:val="24"/>
          <w:szCs w:val="24"/>
        </w:rPr>
        <w:t>核心</w:t>
      </w:r>
      <w:r>
        <w:rPr>
          <w:rFonts w:ascii="Times New Roman" w:hint="eastAsia"/>
          <w:kern w:val="2"/>
          <w:sz w:val="24"/>
          <w:szCs w:val="24"/>
        </w:rPr>
        <w:t>”</w:t>
      </w:r>
      <w:r>
        <w:rPr>
          <w:rFonts w:ascii="Times New Roman"/>
          <w:kern w:val="2"/>
          <w:sz w:val="24"/>
          <w:szCs w:val="24"/>
        </w:rPr>
        <w:t>竞争力</w:t>
      </w:r>
      <w:r>
        <w:rPr>
          <w:rFonts w:ascii="Times New Roman" w:hint="eastAsia"/>
          <w:kern w:val="2"/>
          <w:sz w:val="24"/>
          <w:szCs w:val="24"/>
        </w:rPr>
        <w:t>。</w:t>
      </w:r>
      <w:r>
        <w:rPr>
          <w:rFonts w:ascii="Times New Roman" w:hint="eastAsia"/>
          <w:kern w:val="2"/>
          <w:sz w:val="24"/>
          <w:szCs w:val="24"/>
        </w:rPr>
        <w:t>2020</w:t>
      </w:r>
      <w:r>
        <w:rPr>
          <w:rFonts w:ascii="Times New Roman" w:hint="eastAsia"/>
          <w:kern w:val="2"/>
          <w:sz w:val="24"/>
          <w:szCs w:val="24"/>
        </w:rPr>
        <w:t>年末，</w:t>
      </w:r>
      <w:r w:rsidR="006F63C3">
        <w:rPr>
          <w:rFonts w:ascii="Times New Roman" w:hint="eastAsia"/>
          <w:kern w:val="2"/>
          <w:sz w:val="24"/>
          <w:szCs w:val="24"/>
        </w:rPr>
        <w:t>贵州</w:t>
      </w:r>
      <w:r>
        <w:rPr>
          <w:rFonts w:ascii="Times New Roman" w:hint="eastAsia"/>
          <w:kern w:val="2"/>
          <w:sz w:val="24"/>
          <w:szCs w:val="24"/>
        </w:rPr>
        <w:t>全省牛羊存栏</w:t>
      </w:r>
      <w:r>
        <w:rPr>
          <w:rFonts w:ascii="Times New Roman" w:hint="eastAsia"/>
          <w:kern w:val="2"/>
          <w:sz w:val="24"/>
          <w:szCs w:val="24"/>
        </w:rPr>
        <w:t>517.71</w:t>
      </w:r>
      <w:r>
        <w:rPr>
          <w:rFonts w:ascii="Times New Roman" w:hint="eastAsia"/>
          <w:kern w:val="2"/>
          <w:sz w:val="24"/>
          <w:szCs w:val="24"/>
        </w:rPr>
        <w:t>万头、</w:t>
      </w:r>
      <w:r>
        <w:rPr>
          <w:rFonts w:ascii="Times New Roman" w:hint="eastAsia"/>
          <w:kern w:val="2"/>
          <w:sz w:val="24"/>
          <w:szCs w:val="24"/>
        </w:rPr>
        <w:t>382.38</w:t>
      </w:r>
      <w:r>
        <w:rPr>
          <w:rFonts w:ascii="Times New Roman" w:hint="eastAsia"/>
          <w:kern w:val="2"/>
          <w:sz w:val="24"/>
          <w:szCs w:val="24"/>
        </w:rPr>
        <w:t>万只；牛出栏</w:t>
      </w:r>
      <w:r>
        <w:rPr>
          <w:rFonts w:ascii="Times New Roman" w:hint="eastAsia"/>
          <w:kern w:val="2"/>
          <w:sz w:val="24"/>
          <w:szCs w:val="24"/>
        </w:rPr>
        <w:t>176.14</w:t>
      </w:r>
      <w:r>
        <w:rPr>
          <w:rFonts w:ascii="Times New Roman" w:hint="eastAsia"/>
          <w:kern w:val="2"/>
          <w:sz w:val="24"/>
          <w:szCs w:val="24"/>
        </w:rPr>
        <w:t>万头；牛肉产量</w:t>
      </w:r>
      <w:r>
        <w:rPr>
          <w:rFonts w:ascii="Times New Roman" w:hint="eastAsia"/>
          <w:kern w:val="2"/>
          <w:sz w:val="24"/>
          <w:szCs w:val="24"/>
        </w:rPr>
        <w:t>23.10</w:t>
      </w:r>
      <w:r>
        <w:rPr>
          <w:rFonts w:ascii="Times New Roman" w:hint="eastAsia"/>
          <w:kern w:val="2"/>
          <w:sz w:val="24"/>
          <w:szCs w:val="24"/>
        </w:rPr>
        <w:t>万吨；羊出栏</w:t>
      </w:r>
      <w:r>
        <w:rPr>
          <w:rFonts w:ascii="Times New Roman" w:hint="eastAsia"/>
          <w:kern w:val="2"/>
          <w:sz w:val="24"/>
          <w:szCs w:val="24"/>
        </w:rPr>
        <w:t>297.37</w:t>
      </w:r>
      <w:r>
        <w:rPr>
          <w:rFonts w:ascii="Times New Roman" w:hint="eastAsia"/>
          <w:kern w:val="2"/>
          <w:sz w:val="24"/>
          <w:szCs w:val="24"/>
        </w:rPr>
        <w:t>万只；羊肉产量</w:t>
      </w:r>
      <w:r>
        <w:rPr>
          <w:rFonts w:ascii="Times New Roman" w:hint="eastAsia"/>
          <w:kern w:val="2"/>
          <w:sz w:val="24"/>
          <w:szCs w:val="24"/>
        </w:rPr>
        <w:t>4.98</w:t>
      </w:r>
      <w:r>
        <w:rPr>
          <w:rFonts w:ascii="Times New Roman" w:hint="eastAsia"/>
          <w:kern w:val="2"/>
          <w:sz w:val="24"/>
          <w:szCs w:val="24"/>
        </w:rPr>
        <w:t>万吨。同时，我省地处云贵高原东部，气候温暖湿润，常年相对湿度在</w:t>
      </w:r>
      <w:r>
        <w:rPr>
          <w:rFonts w:ascii="Times New Roman" w:hint="eastAsia"/>
          <w:kern w:val="2"/>
          <w:sz w:val="24"/>
          <w:szCs w:val="24"/>
        </w:rPr>
        <w:t>80%</w:t>
      </w:r>
      <w:r>
        <w:rPr>
          <w:rFonts w:ascii="Times New Roman" w:hint="eastAsia"/>
          <w:kern w:val="2"/>
          <w:sz w:val="24"/>
          <w:szCs w:val="24"/>
        </w:rPr>
        <w:t>以上，湿度较大，干草在储存过程中容易发生氧化酸败、结块发霉现象，导致营养物质损失，造成不必要的损失浪费；青草自然状态下难以干燥、人工干草成本高。青贮饲料原料来源广泛、适口性好制作方法简便、成本小，不受气候和季节限制，饲草的营养价值可保存很长时间不变，可以满足牛羊等牲畜全年对青绿饲料的需要，已成为我省牛羊产业健康快速发展的一个重要支柱。</w:t>
      </w:r>
    </w:p>
    <w:p w14:paraId="14C8E004" w14:textId="77777777" w:rsidR="00CD52EC" w:rsidRDefault="00000000">
      <w:pPr>
        <w:pStyle w:val="afa"/>
        <w:spacing w:beforeLines="50" w:before="156" w:afterLines="50" w:after="156" w:line="500" w:lineRule="exact"/>
        <w:ind w:firstLine="480"/>
        <w:rPr>
          <w:rFonts w:ascii="Times New Roman"/>
          <w:kern w:val="2"/>
          <w:sz w:val="24"/>
          <w:szCs w:val="24"/>
        </w:rPr>
      </w:pPr>
      <w:r>
        <w:rPr>
          <w:rFonts w:ascii="Times New Roman" w:hint="eastAsia"/>
          <w:kern w:val="2"/>
          <w:sz w:val="24"/>
          <w:szCs w:val="24"/>
        </w:rPr>
        <w:t>但生产中，由于青贮饲料制作工艺不统一、品质差异大，不仅导致青贮饲料市场混乱、定价困难，也直接影响反刍动物生长和生产及畜产品质量，严重制约我省牛羊产业高质量发展的道路。因此，通过标准化的质量评定及分级技术体系来把控和评价青贮饲料质量是至关重要的。</w:t>
      </w:r>
    </w:p>
    <w:p w14:paraId="7946AE3F" w14:textId="38F03F66" w:rsidR="00CD52EC" w:rsidRDefault="00000000">
      <w:pPr>
        <w:pStyle w:val="afa"/>
        <w:spacing w:beforeLines="50" w:before="156" w:afterLines="50" w:after="156" w:line="500" w:lineRule="exact"/>
        <w:ind w:firstLine="480"/>
        <w:rPr>
          <w:rFonts w:ascii="Times New Roman"/>
          <w:kern w:val="2"/>
          <w:sz w:val="24"/>
          <w:szCs w:val="24"/>
        </w:rPr>
      </w:pPr>
      <w:r>
        <w:rPr>
          <w:rFonts w:ascii="Times New Roman" w:hint="eastAsia"/>
          <w:kern w:val="2"/>
          <w:sz w:val="24"/>
          <w:szCs w:val="24"/>
        </w:rPr>
        <w:t>编制适用于贵州的青贮</w:t>
      </w:r>
      <w:r w:rsidR="002F1FD7">
        <w:rPr>
          <w:rFonts w:ascii="Times New Roman" w:hint="eastAsia"/>
          <w:kern w:val="2"/>
          <w:sz w:val="24"/>
          <w:szCs w:val="24"/>
        </w:rPr>
        <w:t>玉米</w:t>
      </w:r>
      <w:r>
        <w:rPr>
          <w:rFonts w:ascii="Times New Roman" w:hint="eastAsia"/>
          <w:kern w:val="2"/>
          <w:sz w:val="24"/>
          <w:szCs w:val="24"/>
        </w:rPr>
        <w:t>质量评定及分级技术规程，进一步梳理前期研究成果形成技术规范和体系，本规程对青贮质量评价指标体系、取样方法及综合评分进行了详细介绍，规范、科学性和适用性强，将有利于青贮饲料的统一评价、规范青贮饲料市场，助力我省乃至全国牛羊产业高质量、优质、安全、绿色的发展。</w:t>
      </w:r>
    </w:p>
    <w:p w14:paraId="2797A1D9" w14:textId="77777777" w:rsidR="00CD52EC" w:rsidRDefault="00000000">
      <w:pPr>
        <w:pStyle w:val="afa"/>
        <w:spacing w:beforeLines="50" w:before="156" w:afterLines="50" w:after="156" w:line="500" w:lineRule="exact"/>
        <w:ind w:firstLine="480"/>
        <w:rPr>
          <w:rFonts w:ascii="Times New Roman"/>
          <w:sz w:val="24"/>
        </w:rPr>
      </w:pPr>
      <w:r>
        <w:rPr>
          <w:rFonts w:ascii="Times New Roman"/>
          <w:sz w:val="24"/>
        </w:rPr>
        <w:t>根据《中华人民共和国标准化法》规定，为规范我省</w:t>
      </w:r>
      <w:r>
        <w:rPr>
          <w:rFonts w:ascii="Times New Roman" w:hint="eastAsia"/>
          <w:sz w:val="24"/>
        </w:rPr>
        <w:t>青贮饲料质量评定及分级技术，</w:t>
      </w:r>
      <w:r>
        <w:rPr>
          <w:rFonts w:ascii="Times New Roman" w:hint="eastAsia"/>
          <w:kern w:val="2"/>
          <w:sz w:val="24"/>
          <w:szCs w:val="24"/>
        </w:rPr>
        <w:t>促进牛羊产业的健康可持续发展，</w:t>
      </w:r>
      <w:r>
        <w:rPr>
          <w:sz w:val="24"/>
        </w:rPr>
        <w:t>贵州省</w:t>
      </w:r>
      <w:r>
        <w:rPr>
          <w:rFonts w:hint="eastAsia"/>
          <w:sz w:val="24"/>
        </w:rPr>
        <w:t>农业农村</w:t>
      </w:r>
      <w:r>
        <w:rPr>
          <w:sz w:val="24"/>
        </w:rPr>
        <w:t>厅</w:t>
      </w:r>
      <w:r>
        <w:rPr>
          <w:rFonts w:hint="eastAsia"/>
          <w:sz w:val="24"/>
        </w:rPr>
        <w:t>提出</w:t>
      </w:r>
      <w:r>
        <w:rPr>
          <w:rFonts w:ascii="Times New Roman"/>
          <w:sz w:val="24"/>
        </w:rPr>
        <w:t>编制</w:t>
      </w:r>
      <w:r>
        <w:rPr>
          <w:rFonts w:ascii="Times New Roman" w:hint="eastAsia"/>
          <w:sz w:val="24"/>
        </w:rPr>
        <w:t>青贮饲料质量评定及分级技术规范地方标准的计划，</w:t>
      </w:r>
      <w:r>
        <w:rPr>
          <w:rFonts w:ascii="Times New Roman"/>
          <w:sz w:val="24"/>
        </w:rPr>
        <w:t>由</w:t>
      </w:r>
      <w:r>
        <w:rPr>
          <w:rFonts w:hint="eastAsia"/>
          <w:sz w:val="24"/>
        </w:rPr>
        <w:t>贵州大学动物科学学院</w:t>
      </w:r>
      <w:r>
        <w:rPr>
          <w:rFonts w:ascii="Times New Roman"/>
          <w:sz w:val="24"/>
        </w:rPr>
        <w:t>承担该标准的研究及编制工作。</w:t>
      </w:r>
    </w:p>
    <w:p w14:paraId="522DD364" w14:textId="77777777" w:rsidR="006F63C3" w:rsidRDefault="006F63C3" w:rsidP="006F63C3">
      <w:pPr>
        <w:pStyle w:val="1"/>
        <w:numPr>
          <w:ilvl w:val="0"/>
          <w:numId w:val="6"/>
        </w:numPr>
      </w:pPr>
      <w:bookmarkStart w:id="3" w:name="_Toc22674795"/>
      <w:bookmarkStart w:id="4" w:name="_Toc176456972"/>
      <w:bookmarkStart w:id="5" w:name="_Toc22682828"/>
      <w:bookmarkStart w:id="6" w:name="_Toc404077040"/>
      <w:bookmarkStart w:id="7" w:name="_Toc203506472"/>
      <w:r>
        <w:t>编制原则和依据</w:t>
      </w:r>
      <w:bookmarkEnd w:id="3"/>
      <w:bookmarkEnd w:id="4"/>
      <w:bookmarkEnd w:id="5"/>
      <w:bookmarkEnd w:id="6"/>
      <w:bookmarkEnd w:id="7"/>
    </w:p>
    <w:p w14:paraId="6EB34FEF" w14:textId="09888806" w:rsidR="006F63C3" w:rsidRPr="006F63C3" w:rsidRDefault="006F63C3" w:rsidP="006F63C3">
      <w:pPr>
        <w:pStyle w:val="afa"/>
        <w:spacing w:line="360" w:lineRule="auto"/>
        <w:ind w:firstLine="480"/>
        <w:rPr>
          <w:rFonts w:ascii="Times New Roman"/>
          <w:sz w:val="24"/>
        </w:rPr>
      </w:pPr>
      <w:r w:rsidRPr="006F63C3">
        <w:rPr>
          <w:rFonts w:ascii="Times New Roman" w:hint="eastAsia"/>
          <w:sz w:val="24"/>
        </w:rPr>
        <w:t>本标准的编制原则是在本团队现有研究工作的基础上，广泛查阅国内外关于青贮饲料质量评定与分级的相关资料，并结合贵州省典型青贮饲料种类（</w:t>
      </w:r>
      <w:r w:rsidR="002F1FD7">
        <w:rPr>
          <w:rFonts w:ascii="Times New Roman" w:hint="eastAsia"/>
          <w:sz w:val="24"/>
        </w:rPr>
        <w:t>青贮</w:t>
      </w:r>
      <w:r w:rsidRPr="006F63C3">
        <w:rPr>
          <w:rFonts w:ascii="Times New Roman" w:hint="eastAsia"/>
          <w:sz w:val="24"/>
        </w:rPr>
        <w:t>玉米）开展实地取样分析与质量评价试验。标准内容涵盖青贮饲料的感官指标、理化特性、营养成分、发酵品质、污染控制等方面，形成一套科学系统的评定指标体系和分级判定方法，确保技术规程的科学性、系统性和可操作性。</w:t>
      </w:r>
    </w:p>
    <w:p w14:paraId="74093F09" w14:textId="55D70FF7" w:rsidR="006F63C3" w:rsidRPr="006F63C3" w:rsidRDefault="006F63C3" w:rsidP="006F63C3">
      <w:pPr>
        <w:pStyle w:val="afa"/>
        <w:spacing w:line="360" w:lineRule="auto"/>
        <w:ind w:firstLine="480"/>
        <w:rPr>
          <w:rFonts w:ascii="Times New Roman"/>
          <w:sz w:val="24"/>
        </w:rPr>
      </w:pPr>
      <w:r w:rsidRPr="006F63C3">
        <w:rPr>
          <w:rFonts w:ascii="Times New Roman" w:hint="eastAsia"/>
          <w:sz w:val="24"/>
        </w:rPr>
        <w:t>在编制过程中，我们严格遵循国家现行有关法律法规、标准化技术文件和质量安全要求，确保标准内容的合法合</w:t>
      </w:r>
      <w:proofErr w:type="gramStart"/>
      <w:r w:rsidRPr="006F63C3">
        <w:rPr>
          <w:rFonts w:ascii="Times New Roman" w:hint="eastAsia"/>
          <w:sz w:val="24"/>
        </w:rPr>
        <w:t>规</w:t>
      </w:r>
      <w:proofErr w:type="gramEnd"/>
      <w:r w:rsidRPr="006F63C3">
        <w:rPr>
          <w:rFonts w:ascii="Times New Roman" w:hint="eastAsia"/>
          <w:sz w:val="24"/>
        </w:rPr>
        <w:t>与行业适用性。同时，充分考虑贵州及类似地区青贮</w:t>
      </w:r>
      <w:r w:rsidR="002F1FD7">
        <w:rPr>
          <w:rFonts w:ascii="Times New Roman" w:hint="eastAsia"/>
          <w:sz w:val="24"/>
        </w:rPr>
        <w:t>玉米</w:t>
      </w:r>
      <w:r w:rsidRPr="006F63C3">
        <w:rPr>
          <w:rFonts w:ascii="Times New Roman" w:hint="eastAsia"/>
          <w:sz w:val="24"/>
        </w:rPr>
        <w:t>原料来源多样、制作工艺差异大、保存环境复杂等现实特点，力求使标准更贴近生产实际，适用于基层推广和规模养殖场使用。为提升标准的前瞻性与兼容性，我们积极借鉴欧美发达国家在青贮质量评估方面的研究成果与分级管理制度，结合我国草食动物养殖和饲料监管的实际需要，进行本土化完善与技术创新，推动青贮饲料生产与利用的标准化、规范化进程。</w:t>
      </w:r>
    </w:p>
    <w:p w14:paraId="7C852B6A" w14:textId="2EF16BD9" w:rsidR="006F63C3" w:rsidRDefault="006F63C3" w:rsidP="006F63C3">
      <w:pPr>
        <w:pStyle w:val="afa"/>
        <w:spacing w:line="360" w:lineRule="auto"/>
        <w:ind w:firstLine="480"/>
        <w:rPr>
          <w:rFonts w:ascii="Times New Roman"/>
          <w:sz w:val="24"/>
        </w:rPr>
      </w:pPr>
      <w:r w:rsidRPr="006F63C3">
        <w:rPr>
          <w:rFonts w:ascii="Times New Roman" w:hint="eastAsia"/>
          <w:sz w:val="24"/>
        </w:rPr>
        <w:t>本标准按照</w:t>
      </w:r>
      <w:r w:rsidRPr="006F63C3">
        <w:rPr>
          <w:rFonts w:ascii="Times New Roman" w:hint="eastAsia"/>
          <w:sz w:val="24"/>
        </w:rPr>
        <w:t xml:space="preserve"> GB/T 1.1</w:t>
      </w:r>
      <w:r w:rsidRPr="006F63C3">
        <w:rPr>
          <w:rFonts w:ascii="Times New Roman" w:hint="eastAsia"/>
          <w:sz w:val="24"/>
        </w:rPr>
        <w:t>—</w:t>
      </w:r>
      <w:r w:rsidRPr="006F63C3">
        <w:rPr>
          <w:rFonts w:ascii="Times New Roman" w:hint="eastAsia"/>
          <w:sz w:val="24"/>
        </w:rPr>
        <w:t>2020</w:t>
      </w:r>
      <w:r w:rsidRPr="006F63C3">
        <w:rPr>
          <w:rFonts w:ascii="Times New Roman" w:hint="eastAsia"/>
          <w:sz w:val="24"/>
        </w:rPr>
        <w:t>《标准化工作导则</w:t>
      </w:r>
      <w:r w:rsidRPr="006F63C3">
        <w:rPr>
          <w:rFonts w:ascii="Times New Roman" w:hint="eastAsia"/>
          <w:sz w:val="24"/>
        </w:rPr>
        <w:t xml:space="preserve"> </w:t>
      </w:r>
      <w:r w:rsidRPr="006F63C3">
        <w:rPr>
          <w:rFonts w:ascii="Times New Roman" w:hint="eastAsia"/>
          <w:sz w:val="24"/>
        </w:rPr>
        <w:t>第</w:t>
      </w:r>
      <w:r w:rsidRPr="006F63C3">
        <w:rPr>
          <w:rFonts w:ascii="Times New Roman" w:hint="eastAsia"/>
          <w:sz w:val="24"/>
        </w:rPr>
        <w:t>1</w:t>
      </w:r>
      <w:r w:rsidRPr="006F63C3">
        <w:rPr>
          <w:rFonts w:ascii="Times New Roman" w:hint="eastAsia"/>
          <w:sz w:val="24"/>
        </w:rPr>
        <w:t>部分：标准化文件的结构和起草规则》和</w:t>
      </w:r>
      <w:r w:rsidRPr="006F63C3">
        <w:rPr>
          <w:rFonts w:ascii="Times New Roman" w:hint="eastAsia"/>
          <w:sz w:val="24"/>
        </w:rPr>
        <w:t>GB/T1.2-2002</w:t>
      </w:r>
      <w:r w:rsidRPr="006F63C3">
        <w:rPr>
          <w:rFonts w:ascii="Times New Roman" w:hint="eastAsia"/>
          <w:sz w:val="24"/>
        </w:rPr>
        <w:t>《标准化工作导则</w:t>
      </w:r>
      <w:r w:rsidRPr="006F63C3">
        <w:rPr>
          <w:rFonts w:ascii="Times New Roman" w:hint="eastAsia"/>
          <w:sz w:val="24"/>
        </w:rPr>
        <w:t xml:space="preserve"> </w:t>
      </w:r>
      <w:r w:rsidRPr="006F63C3">
        <w:rPr>
          <w:rFonts w:ascii="Times New Roman" w:hint="eastAsia"/>
          <w:sz w:val="24"/>
        </w:rPr>
        <w:t>第</w:t>
      </w:r>
      <w:r w:rsidRPr="006F63C3">
        <w:rPr>
          <w:rFonts w:ascii="Times New Roman" w:hint="eastAsia"/>
          <w:sz w:val="24"/>
        </w:rPr>
        <w:t>2</w:t>
      </w:r>
      <w:r w:rsidRPr="006F63C3">
        <w:rPr>
          <w:rFonts w:ascii="Times New Roman" w:hint="eastAsia"/>
          <w:sz w:val="24"/>
        </w:rPr>
        <w:t>部分</w:t>
      </w:r>
      <w:r w:rsidRPr="006F63C3">
        <w:rPr>
          <w:rFonts w:ascii="Times New Roman" w:hint="eastAsia"/>
          <w:sz w:val="24"/>
        </w:rPr>
        <w:t>:</w:t>
      </w:r>
      <w:r w:rsidRPr="006F63C3">
        <w:rPr>
          <w:rFonts w:ascii="Times New Roman" w:hint="eastAsia"/>
          <w:sz w:val="24"/>
        </w:rPr>
        <w:t>标准中规范性技术要素内容的确定方法》的要求和规定进行编写。在编制过程中，基于大量田间调查与实验数据支撑，主要参考了《</w:t>
      </w:r>
      <w:r w:rsidRPr="006F63C3">
        <w:rPr>
          <w:rFonts w:ascii="Times New Roman" w:hint="eastAsia"/>
          <w:sz w:val="24"/>
        </w:rPr>
        <w:t>GB/T 17766</w:t>
      </w:r>
      <w:r w:rsidRPr="006F63C3">
        <w:rPr>
          <w:rFonts w:ascii="Times New Roman" w:hint="eastAsia"/>
          <w:sz w:val="24"/>
        </w:rPr>
        <w:t>—</w:t>
      </w:r>
      <w:r w:rsidRPr="006F63C3">
        <w:rPr>
          <w:rFonts w:ascii="Times New Roman" w:hint="eastAsia"/>
          <w:sz w:val="24"/>
        </w:rPr>
        <w:t xml:space="preserve">2021 </w:t>
      </w:r>
      <w:r w:rsidRPr="006F63C3">
        <w:rPr>
          <w:rFonts w:ascii="Times New Roman" w:hint="eastAsia"/>
          <w:sz w:val="24"/>
        </w:rPr>
        <w:t>青贮饲料》、《</w:t>
      </w:r>
      <w:r w:rsidRPr="006F63C3">
        <w:rPr>
          <w:rFonts w:ascii="Times New Roman" w:hint="eastAsia"/>
          <w:sz w:val="24"/>
        </w:rPr>
        <w:t>DB52/T 1271</w:t>
      </w:r>
      <w:r w:rsidRPr="006F63C3">
        <w:rPr>
          <w:rFonts w:ascii="Times New Roman" w:hint="eastAsia"/>
          <w:sz w:val="24"/>
        </w:rPr>
        <w:t>—</w:t>
      </w:r>
      <w:r w:rsidRPr="006F63C3">
        <w:rPr>
          <w:rFonts w:ascii="Times New Roman" w:hint="eastAsia"/>
          <w:sz w:val="24"/>
        </w:rPr>
        <w:t xml:space="preserve">2017 </w:t>
      </w:r>
      <w:r w:rsidRPr="006F63C3">
        <w:rPr>
          <w:rFonts w:ascii="Times New Roman" w:hint="eastAsia"/>
          <w:sz w:val="24"/>
        </w:rPr>
        <w:t>玉米秸秆青贮饲料质量标准》、《</w:t>
      </w:r>
      <w:r w:rsidRPr="006F63C3">
        <w:rPr>
          <w:rFonts w:ascii="Times New Roman" w:hint="eastAsia"/>
          <w:sz w:val="24"/>
        </w:rPr>
        <w:t>NY/T 2697</w:t>
      </w:r>
      <w:r w:rsidRPr="006F63C3">
        <w:rPr>
          <w:rFonts w:ascii="Times New Roman" w:hint="eastAsia"/>
          <w:sz w:val="24"/>
        </w:rPr>
        <w:t>—</w:t>
      </w:r>
      <w:r w:rsidRPr="006F63C3">
        <w:rPr>
          <w:rFonts w:ascii="Times New Roman" w:hint="eastAsia"/>
          <w:sz w:val="24"/>
        </w:rPr>
        <w:t xml:space="preserve">2015 </w:t>
      </w:r>
      <w:r w:rsidRPr="006F63C3">
        <w:rPr>
          <w:rFonts w:ascii="Times New Roman" w:hint="eastAsia"/>
          <w:sz w:val="24"/>
        </w:rPr>
        <w:t>饲草青贮品质评价方法》、《</w:t>
      </w:r>
      <w:r w:rsidRPr="006F63C3">
        <w:rPr>
          <w:rFonts w:ascii="Times New Roman" w:hint="eastAsia"/>
          <w:sz w:val="24"/>
        </w:rPr>
        <w:t>DB52/T 1709</w:t>
      </w:r>
      <w:r w:rsidRPr="006F63C3">
        <w:rPr>
          <w:rFonts w:ascii="Times New Roman" w:hint="eastAsia"/>
          <w:sz w:val="24"/>
        </w:rPr>
        <w:t>—</w:t>
      </w:r>
      <w:r w:rsidRPr="006F63C3">
        <w:rPr>
          <w:rFonts w:ascii="Times New Roman" w:hint="eastAsia"/>
          <w:sz w:val="24"/>
        </w:rPr>
        <w:t xml:space="preserve">2023 </w:t>
      </w:r>
      <w:r w:rsidRPr="006F63C3">
        <w:rPr>
          <w:rFonts w:ascii="Times New Roman" w:hint="eastAsia"/>
          <w:sz w:val="24"/>
        </w:rPr>
        <w:t>饲料原料</w:t>
      </w:r>
      <w:r w:rsidRPr="006F63C3">
        <w:rPr>
          <w:rFonts w:ascii="Times New Roman" w:hint="eastAsia"/>
          <w:sz w:val="24"/>
        </w:rPr>
        <w:t xml:space="preserve"> </w:t>
      </w:r>
      <w:r w:rsidRPr="006F63C3">
        <w:rPr>
          <w:rFonts w:ascii="Times New Roman" w:hint="eastAsia"/>
          <w:sz w:val="24"/>
        </w:rPr>
        <w:t>酱香干白酒糟分级要求》、《</w:t>
      </w:r>
      <w:r w:rsidRPr="006F63C3">
        <w:rPr>
          <w:rFonts w:ascii="Times New Roman" w:hint="eastAsia"/>
          <w:sz w:val="24"/>
        </w:rPr>
        <w:t>T/NAIA 045</w:t>
      </w:r>
      <w:r w:rsidRPr="006F63C3">
        <w:rPr>
          <w:rFonts w:ascii="Times New Roman" w:hint="eastAsia"/>
          <w:sz w:val="24"/>
        </w:rPr>
        <w:t>—</w:t>
      </w:r>
      <w:r w:rsidRPr="006F63C3">
        <w:rPr>
          <w:rFonts w:ascii="Times New Roman" w:hint="eastAsia"/>
          <w:sz w:val="24"/>
        </w:rPr>
        <w:t xml:space="preserve">2021 </w:t>
      </w:r>
      <w:r w:rsidRPr="006F63C3">
        <w:rPr>
          <w:rFonts w:ascii="Times New Roman" w:hint="eastAsia"/>
          <w:sz w:val="24"/>
        </w:rPr>
        <w:t>发酵全混合日粮加工调制技术规程》等现行标准与行业技术文件，并综合分析国内外有关青贮饲料质量评定的研究文献和应用成果，为本标准的制定提供了系统而可靠的技术依据。</w:t>
      </w:r>
    </w:p>
    <w:p w14:paraId="3582BEDF" w14:textId="77777777" w:rsidR="006F63C3" w:rsidRDefault="006F63C3" w:rsidP="006F63C3">
      <w:pPr>
        <w:pStyle w:val="1"/>
        <w:rPr>
          <w:szCs w:val="28"/>
        </w:rPr>
      </w:pPr>
      <w:bookmarkStart w:id="8" w:name="_Toc176453393"/>
      <w:bookmarkStart w:id="9" w:name="_Toc203506473"/>
      <w:r>
        <w:rPr>
          <w:rFonts w:hint="eastAsia"/>
          <w:szCs w:val="28"/>
        </w:rPr>
        <w:t>四、主要工作过程</w:t>
      </w:r>
      <w:bookmarkEnd w:id="8"/>
      <w:bookmarkEnd w:id="9"/>
    </w:p>
    <w:p w14:paraId="0C6C53EB" w14:textId="77777777" w:rsidR="006F63C3" w:rsidRDefault="006F63C3" w:rsidP="006F63C3">
      <w:pPr>
        <w:spacing w:line="360" w:lineRule="auto"/>
        <w:outlineLvl w:val="1"/>
        <w:rPr>
          <w:b/>
          <w:bCs/>
        </w:rPr>
      </w:pPr>
      <w:bookmarkStart w:id="10" w:name="_Toc203506474"/>
      <w:r>
        <w:rPr>
          <w:rFonts w:hint="eastAsia"/>
          <w:b/>
          <w:bCs/>
        </w:rPr>
        <w:t xml:space="preserve">1. </w:t>
      </w:r>
      <w:r>
        <w:rPr>
          <w:rFonts w:hint="eastAsia"/>
          <w:b/>
          <w:bCs/>
        </w:rPr>
        <w:t>成立标准起草工作组</w:t>
      </w:r>
      <w:bookmarkEnd w:id="10"/>
    </w:p>
    <w:p w14:paraId="32DC196A" w14:textId="07FA06BD" w:rsidR="006F63C3" w:rsidRDefault="006F63C3" w:rsidP="006F63C3">
      <w:pPr>
        <w:spacing w:line="360" w:lineRule="auto"/>
        <w:ind w:firstLineChars="200" w:firstLine="420"/>
      </w:pPr>
      <w:r>
        <w:rPr>
          <w:rFonts w:hint="eastAsia"/>
        </w:rPr>
        <w:t>于</w:t>
      </w:r>
      <w:r>
        <w:rPr>
          <w:rFonts w:hint="eastAsia"/>
        </w:rPr>
        <w:t>2024</w:t>
      </w:r>
      <w:r>
        <w:rPr>
          <w:rFonts w:hint="eastAsia"/>
        </w:rPr>
        <w:t>年</w:t>
      </w:r>
      <w:r>
        <w:rPr>
          <w:rFonts w:hint="eastAsia"/>
        </w:rPr>
        <w:t>7</w:t>
      </w:r>
      <w:r>
        <w:rPr>
          <w:rFonts w:hint="eastAsia"/>
        </w:rPr>
        <w:t>月组建了标准起草工作组，组织标准编制和协调工作。标准起草组认真学习了</w:t>
      </w:r>
      <w:r>
        <w:rPr>
          <w:rFonts w:hint="eastAsia"/>
        </w:rPr>
        <w:t xml:space="preserve"> GB/T 1.1</w:t>
      </w:r>
      <w:r>
        <w:rPr>
          <w:rFonts w:hint="eastAsia"/>
        </w:rPr>
        <w:t>—</w:t>
      </w:r>
      <w:r>
        <w:rPr>
          <w:rFonts w:hint="eastAsia"/>
        </w:rPr>
        <w:t>2020</w:t>
      </w:r>
      <w:r>
        <w:rPr>
          <w:rFonts w:hint="eastAsia"/>
        </w:rPr>
        <w:t>《标准化工作导则第</w:t>
      </w:r>
      <w:r>
        <w:rPr>
          <w:rFonts w:hint="eastAsia"/>
        </w:rPr>
        <w:t xml:space="preserve"> 1 </w:t>
      </w:r>
      <w:r>
        <w:rPr>
          <w:rFonts w:hint="eastAsia"/>
        </w:rPr>
        <w:t>部分：标准化文件的结构和起草规则》，同时制定了标准编制工作计划、编写大纲，明确任务分工和各阶段时间进度。</w:t>
      </w:r>
    </w:p>
    <w:p w14:paraId="40C7D671" w14:textId="77777777" w:rsidR="006F63C3" w:rsidRDefault="006F63C3" w:rsidP="006F63C3">
      <w:pPr>
        <w:numPr>
          <w:ilvl w:val="0"/>
          <w:numId w:val="7"/>
        </w:numPr>
        <w:spacing w:line="360" w:lineRule="auto"/>
        <w:outlineLvl w:val="1"/>
        <w:rPr>
          <w:b/>
          <w:bCs/>
        </w:rPr>
      </w:pPr>
      <w:bookmarkStart w:id="11" w:name="_Toc203506475"/>
      <w:r>
        <w:rPr>
          <w:rFonts w:hint="eastAsia"/>
          <w:b/>
          <w:bCs/>
        </w:rPr>
        <w:t>资料收集分析、技术准备</w:t>
      </w:r>
      <w:bookmarkEnd w:id="11"/>
    </w:p>
    <w:p w14:paraId="4D7A8C36" w14:textId="1D158CCF" w:rsidR="006F63C3" w:rsidRDefault="006F63C3" w:rsidP="006F63C3">
      <w:pPr>
        <w:spacing w:line="360" w:lineRule="auto"/>
        <w:ind w:firstLineChars="200" w:firstLine="420"/>
      </w:pPr>
      <w:r w:rsidRPr="006F63C3">
        <w:rPr>
          <w:rFonts w:hint="eastAsia"/>
        </w:rPr>
        <w:t>组建标准起草小组，收集标准编制的背景材料和有关标准编制的参考、引用资料，进行归纳整理。共查阅国内外文献</w:t>
      </w:r>
      <w:r w:rsidRPr="006F63C3">
        <w:rPr>
          <w:rFonts w:hint="eastAsia"/>
        </w:rPr>
        <w:t>300</w:t>
      </w:r>
      <w:r w:rsidRPr="006F63C3">
        <w:rPr>
          <w:rFonts w:hint="eastAsia"/>
        </w:rPr>
        <w:t>余篇，整理归类有关青贮饲料质量评定及分级技术相关文献</w:t>
      </w:r>
      <w:r w:rsidRPr="006F63C3">
        <w:rPr>
          <w:rFonts w:hint="eastAsia"/>
        </w:rPr>
        <w:t>30</w:t>
      </w:r>
      <w:r w:rsidRPr="006F63C3">
        <w:rPr>
          <w:rFonts w:hint="eastAsia"/>
        </w:rPr>
        <w:t>篇</w:t>
      </w:r>
      <w:r>
        <w:t>，全面掌握了标准的内涵及其编制方法；随后，工作组结合生产实际，对收集的资料进行了细致的分析和整理，并对制定标准所涉及的内容、范围、适用性和科学性进行了深入研讨。</w:t>
      </w:r>
    </w:p>
    <w:p w14:paraId="7161C151" w14:textId="77777777" w:rsidR="006F63C3" w:rsidRDefault="006F63C3" w:rsidP="006F63C3">
      <w:pPr>
        <w:numPr>
          <w:ilvl w:val="0"/>
          <w:numId w:val="7"/>
        </w:numPr>
        <w:spacing w:line="360" w:lineRule="auto"/>
        <w:outlineLvl w:val="1"/>
        <w:rPr>
          <w:b/>
          <w:bCs/>
        </w:rPr>
      </w:pPr>
      <w:bookmarkStart w:id="12" w:name="_Toc203506476"/>
      <w:r>
        <w:rPr>
          <w:rFonts w:hint="eastAsia"/>
          <w:b/>
          <w:bCs/>
        </w:rPr>
        <w:t>标准编写，形成技术规程草案</w:t>
      </w:r>
      <w:bookmarkEnd w:id="12"/>
    </w:p>
    <w:p w14:paraId="4E422820" w14:textId="1E23E309" w:rsidR="006F63C3" w:rsidRDefault="006F63C3" w:rsidP="006F63C3">
      <w:pPr>
        <w:spacing w:line="360" w:lineRule="auto"/>
        <w:ind w:firstLineChars="200" w:firstLine="420"/>
      </w:pPr>
      <w:r>
        <w:rPr>
          <w:rFonts w:hint="eastAsia"/>
        </w:rPr>
        <w:t xml:space="preserve"> 2024</w:t>
      </w:r>
      <w:r>
        <w:rPr>
          <w:rFonts w:hint="eastAsia"/>
        </w:rPr>
        <w:t>年</w:t>
      </w:r>
      <w:r>
        <w:rPr>
          <w:rFonts w:hint="eastAsia"/>
        </w:rPr>
        <w:t>8</w:t>
      </w:r>
      <w:r>
        <w:rPr>
          <w:rFonts w:hint="eastAsia"/>
        </w:rPr>
        <w:t>月</w:t>
      </w:r>
      <w:r>
        <w:rPr>
          <w:rFonts w:hint="eastAsia"/>
        </w:rPr>
        <w:t xml:space="preserve"> - 2025</w:t>
      </w:r>
      <w:r>
        <w:rPr>
          <w:rFonts w:hint="eastAsia"/>
        </w:rPr>
        <w:t>年</w:t>
      </w:r>
      <w:r>
        <w:rPr>
          <w:rFonts w:hint="eastAsia"/>
        </w:rPr>
        <w:t>5</w:t>
      </w:r>
      <w:r>
        <w:rPr>
          <w:rFonts w:hint="eastAsia"/>
        </w:rPr>
        <w:t>月，在前期大量的试验及总结的基础上，经过广泛调研、咨询，收集和查阅有关资料，以</w:t>
      </w:r>
      <w:r w:rsidRPr="006F63C3">
        <w:rPr>
          <w:rFonts w:hint="eastAsia"/>
        </w:rPr>
        <w:t>青贮饲料质量评定及分级</w:t>
      </w:r>
      <w:r>
        <w:rPr>
          <w:rFonts w:hint="eastAsia"/>
        </w:rPr>
        <w:t>加工为目标，确定了标准起草的总体框架和主要内容，并编写完成了《</w:t>
      </w:r>
      <w:r w:rsidRPr="006F63C3">
        <w:rPr>
          <w:rFonts w:hint="eastAsia"/>
        </w:rPr>
        <w:t>青贮饲料质量评定及分级技术</w:t>
      </w:r>
      <w:r w:rsidRPr="00F71F29">
        <w:rPr>
          <w:rFonts w:hint="eastAsia"/>
        </w:rPr>
        <w:t>规程</w:t>
      </w:r>
      <w:r>
        <w:rPr>
          <w:rFonts w:hint="eastAsia"/>
        </w:rPr>
        <w:t>》的标准草案。</w:t>
      </w:r>
    </w:p>
    <w:p w14:paraId="5B0A3C73" w14:textId="288AC374" w:rsidR="006F63C3" w:rsidRDefault="006F63C3" w:rsidP="006F63C3">
      <w:pPr>
        <w:spacing w:line="360" w:lineRule="auto"/>
        <w:ind w:firstLineChars="200" w:firstLine="420"/>
      </w:pPr>
      <w:r>
        <w:rPr>
          <w:rFonts w:hint="eastAsia"/>
        </w:rPr>
        <w:t>2025</w:t>
      </w:r>
      <w:r>
        <w:rPr>
          <w:rFonts w:hint="eastAsia"/>
        </w:rPr>
        <w:t>年</w:t>
      </w:r>
      <w:r>
        <w:rPr>
          <w:rFonts w:hint="eastAsia"/>
        </w:rPr>
        <w:t>6 - 2025</w:t>
      </w:r>
      <w:r>
        <w:rPr>
          <w:rFonts w:hint="eastAsia"/>
        </w:rPr>
        <w:t>年</w:t>
      </w:r>
      <w:r>
        <w:rPr>
          <w:rFonts w:hint="eastAsia"/>
        </w:rPr>
        <w:t>7</w:t>
      </w:r>
      <w:r>
        <w:rPr>
          <w:rFonts w:hint="eastAsia"/>
        </w:rPr>
        <w:t>月，编写征求意见</w:t>
      </w:r>
      <w:proofErr w:type="gramStart"/>
      <w:r>
        <w:rPr>
          <w:rFonts w:hint="eastAsia"/>
        </w:rPr>
        <w:t>稿标准</w:t>
      </w:r>
      <w:proofErr w:type="gramEnd"/>
      <w:r>
        <w:rPr>
          <w:rFonts w:hint="eastAsia"/>
        </w:rPr>
        <w:t>文本，编写《编制说明》。由北京华夏草业产业技术创新战略联盟组织国内相关专家对《</w:t>
      </w:r>
      <w:r w:rsidRPr="006F63C3">
        <w:rPr>
          <w:rFonts w:hint="eastAsia"/>
        </w:rPr>
        <w:t>青贮饲料质量评定及分级技术</w:t>
      </w:r>
      <w:r w:rsidRPr="00F71F29">
        <w:rPr>
          <w:rFonts w:hint="eastAsia"/>
        </w:rPr>
        <w:t>规程</w:t>
      </w:r>
      <w:r>
        <w:rPr>
          <w:rFonts w:hint="eastAsia"/>
        </w:rPr>
        <w:t>》征求意见稿及编制说明进行会议评审。</w:t>
      </w:r>
    </w:p>
    <w:p w14:paraId="3D9DC0A9" w14:textId="05E0FECA" w:rsidR="006F63C3" w:rsidRDefault="006F63C3" w:rsidP="0044353E">
      <w:pPr>
        <w:pStyle w:val="1"/>
        <w:rPr>
          <w:szCs w:val="28"/>
        </w:rPr>
      </w:pPr>
      <w:bookmarkStart w:id="13" w:name="_Toc176453397"/>
      <w:bookmarkStart w:id="14" w:name="_Toc203506477"/>
      <w:r w:rsidRPr="008C4EF2">
        <w:rPr>
          <w:rFonts w:hint="eastAsia"/>
          <w:szCs w:val="28"/>
        </w:rPr>
        <w:t>五、</w:t>
      </w:r>
      <w:r>
        <w:rPr>
          <w:szCs w:val="28"/>
        </w:rPr>
        <w:t>主要技术内容确定的依据</w:t>
      </w:r>
      <w:bookmarkEnd w:id="13"/>
      <w:bookmarkEnd w:id="14"/>
    </w:p>
    <w:p w14:paraId="4DF6A9B9" w14:textId="77777777" w:rsidR="0044353E" w:rsidRDefault="0044353E" w:rsidP="0044353E">
      <w:pPr>
        <w:numPr>
          <w:ilvl w:val="0"/>
          <w:numId w:val="8"/>
        </w:numPr>
        <w:spacing w:line="360" w:lineRule="auto"/>
        <w:outlineLvl w:val="1"/>
        <w:rPr>
          <w:b/>
          <w:bCs/>
        </w:rPr>
      </w:pPr>
      <w:bookmarkStart w:id="15" w:name="_Toc203506478"/>
      <w:r>
        <w:rPr>
          <w:rFonts w:hint="eastAsia"/>
          <w:b/>
          <w:bCs/>
        </w:rPr>
        <w:t>适用范围</w:t>
      </w:r>
      <w:bookmarkEnd w:id="15"/>
    </w:p>
    <w:p w14:paraId="0AD9F4E7" w14:textId="78309541" w:rsidR="0044353E" w:rsidRDefault="0044353E" w:rsidP="0044353E">
      <w:pPr>
        <w:spacing w:line="360" w:lineRule="auto"/>
        <w:ind w:firstLineChars="200" w:firstLine="420"/>
      </w:pPr>
      <w:r>
        <w:rPr>
          <w:rFonts w:hint="eastAsia"/>
        </w:rPr>
        <w:t>本标准规定</w:t>
      </w:r>
      <w:r w:rsidRPr="0044353E">
        <w:rPr>
          <w:rFonts w:hint="eastAsia"/>
        </w:rPr>
        <w:t>了青贮饲料的技术要求、质量指标及分级标准、检验方法、检验规则、标签、包装和贮藏。本标准适用于贵州黄牛和肉羊饲喂青贮饲料质量的测定和等级评价</w:t>
      </w:r>
      <w:r>
        <w:rPr>
          <w:rFonts w:hint="eastAsia"/>
        </w:rPr>
        <w:t>，促进</w:t>
      </w:r>
      <w:r w:rsidR="001178C2">
        <w:rPr>
          <w:rFonts w:hint="eastAsia"/>
        </w:rPr>
        <w:t>贵州省</w:t>
      </w:r>
      <w:r>
        <w:rPr>
          <w:rFonts w:hint="eastAsia"/>
        </w:rPr>
        <w:t>畜牧业高效发展。</w:t>
      </w:r>
    </w:p>
    <w:p w14:paraId="6694FB76" w14:textId="77777777" w:rsidR="0044353E" w:rsidRDefault="0044353E" w:rsidP="0044353E">
      <w:pPr>
        <w:numPr>
          <w:ilvl w:val="0"/>
          <w:numId w:val="8"/>
        </w:numPr>
        <w:spacing w:line="360" w:lineRule="auto"/>
        <w:outlineLvl w:val="1"/>
        <w:rPr>
          <w:b/>
          <w:bCs/>
        </w:rPr>
      </w:pPr>
      <w:bookmarkStart w:id="16" w:name="_Toc203506479"/>
      <w:r>
        <w:rPr>
          <w:b/>
          <w:bCs/>
        </w:rPr>
        <w:t>规范性引用文件</w:t>
      </w:r>
      <w:bookmarkEnd w:id="16"/>
    </w:p>
    <w:p w14:paraId="7C7FCAE2" w14:textId="77777777" w:rsidR="0044353E" w:rsidRDefault="0044353E" w:rsidP="0044353E">
      <w:pPr>
        <w:spacing w:line="360" w:lineRule="auto"/>
        <w:ind w:firstLineChars="200" w:firstLine="420"/>
      </w:pPr>
      <w:r>
        <w:rPr>
          <w:rFonts w:hint="eastAsia"/>
        </w:rPr>
        <w:t>本标准规范性引用文件如下：</w:t>
      </w:r>
    </w:p>
    <w:p w14:paraId="4D974B51" w14:textId="77777777" w:rsidR="0044353E" w:rsidRPr="00F034DB" w:rsidRDefault="0044353E" w:rsidP="0044353E">
      <w:pPr>
        <w:spacing w:line="360" w:lineRule="auto"/>
        <w:ind w:firstLineChars="200" w:firstLine="420"/>
      </w:pPr>
      <w:r w:rsidRPr="00F034DB">
        <w:t>GB/T 643</w:t>
      </w:r>
      <w:r w:rsidRPr="00F034DB">
        <w:rPr>
          <w:rFonts w:hint="eastAsia"/>
        </w:rPr>
        <w:t>2</w:t>
      </w:r>
      <w:r w:rsidRPr="00F034DB">
        <w:t xml:space="preserve"> </w:t>
      </w:r>
      <w:r w:rsidRPr="00F034DB">
        <w:t>饲料中</w:t>
      </w:r>
      <w:r w:rsidRPr="00F034DB">
        <w:rPr>
          <w:rFonts w:hint="eastAsia"/>
        </w:rPr>
        <w:t>粗蛋白</w:t>
      </w:r>
      <w:r w:rsidRPr="00F034DB">
        <w:t>的测定</w:t>
      </w:r>
      <w:r w:rsidRPr="00F034DB">
        <w:rPr>
          <w:rFonts w:hint="eastAsia"/>
        </w:rPr>
        <w:t xml:space="preserve"> </w:t>
      </w:r>
      <w:r w:rsidRPr="00F034DB">
        <w:t>凯氏定氮法</w:t>
      </w:r>
    </w:p>
    <w:p w14:paraId="40314F26" w14:textId="77777777" w:rsidR="0044353E" w:rsidRPr="00F034DB" w:rsidRDefault="0044353E" w:rsidP="0044353E">
      <w:pPr>
        <w:spacing w:line="360" w:lineRule="auto"/>
        <w:ind w:firstLineChars="200" w:firstLine="420"/>
      </w:pPr>
      <w:r w:rsidRPr="00F034DB">
        <w:t xml:space="preserve">GB/T 6435 </w:t>
      </w:r>
      <w:r w:rsidRPr="00F034DB">
        <w:t>饲料中水分和其他挥发性物质含量的测定</w:t>
      </w:r>
    </w:p>
    <w:p w14:paraId="3EB62DC9" w14:textId="77777777" w:rsidR="0044353E" w:rsidRPr="00F034DB" w:rsidRDefault="0044353E" w:rsidP="0044353E">
      <w:pPr>
        <w:spacing w:line="360" w:lineRule="auto"/>
        <w:ind w:firstLineChars="200" w:firstLine="420"/>
      </w:pPr>
      <w:r w:rsidRPr="00F034DB">
        <w:t xml:space="preserve">GB/T 6436 </w:t>
      </w:r>
      <w:r w:rsidRPr="00F034DB">
        <w:t>饲料中钙的测定方法</w:t>
      </w:r>
    </w:p>
    <w:p w14:paraId="6E074EB6" w14:textId="77777777" w:rsidR="0044353E" w:rsidRPr="00F034DB" w:rsidRDefault="0044353E" w:rsidP="0044353E">
      <w:pPr>
        <w:spacing w:line="360" w:lineRule="auto"/>
        <w:ind w:firstLineChars="200" w:firstLine="420"/>
      </w:pPr>
      <w:r w:rsidRPr="00F034DB">
        <w:t xml:space="preserve">GB/T 6437 </w:t>
      </w:r>
      <w:r w:rsidRPr="00F034DB">
        <w:t>饲料中总磷量的测定方法分光度法</w:t>
      </w:r>
    </w:p>
    <w:p w14:paraId="29637C07" w14:textId="77777777" w:rsidR="0044353E" w:rsidRPr="00F034DB" w:rsidRDefault="0044353E" w:rsidP="0044353E">
      <w:pPr>
        <w:spacing w:line="360" w:lineRule="auto"/>
        <w:ind w:firstLineChars="200" w:firstLine="420"/>
      </w:pPr>
      <w:r w:rsidRPr="00F034DB">
        <w:t xml:space="preserve">GB/T 6438 </w:t>
      </w:r>
      <w:r w:rsidRPr="00F034DB">
        <w:t>饲料中粗灰分的测定方法</w:t>
      </w:r>
    </w:p>
    <w:p w14:paraId="6899DF33" w14:textId="77777777" w:rsidR="0044353E" w:rsidRPr="00F034DB" w:rsidRDefault="0044353E" w:rsidP="0044353E">
      <w:pPr>
        <w:spacing w:line="360" w:lineRule="auto"/>
        <w:ind w:firstLineChars="200" w:firstLine="420"/>
      </w:pPr>
      <w:r w:rsidRPr="00F034DB">
        <w:t xml:space="preserve">GB 13078 </w:t>
      </w:r>
      <w:r w:rsidRPr="00F034DB">
        <w:t>饲料卫生标准</w:t>
      </w:r>
    </w:p>
    <w:p w14:paraId="72148C61" w14:textId="77777777" w:rsidR="0044353E" w:rsidRPr="00F034DB" w:rsidRDefault="0044353E" w:rsidP="0044353E">
      <w:pPr>
        <w:spacing w:line="360" w:lineRule="auto"/>
        <w:ind w:firstLineChars="200" w:firstLine="420"/>
      </w:pPr>
      <w:r w:rsidRPr="00F034DB">
        <w:t xml:space="preserve">GB/T 14699.1 </w:t>
      </w:r>
      <w:r w:rsidRPr="00F034DB">
        <w:t>饲料</w:t>
      </w:r>
      <w:r w:rsidRPr="00F034DB">
        <w:t xml:space="preserve"> </w:t>
      </w:r>
      <w:r w:rsidRPr="00F034DB">
        <w:t>采样</w:t>
      </w:r>
    </w:p>
    <w:p w14:paraId="195A51D0" w14:textId="77777777" w:rsidR="0044353E" w:rsidRPr="00F034DB" w:rsidRDefault="0044353E" w:rsidP="0044353E">
      <w:pPr>
        <w:spacing w:line="360" w:lineRule="auto"/>
        <w:ind w:firstLineChars="200" w:firstLine="420"/>
      </w:pPr>
      <w:r w:rsidRPr="00F034DB">
        <w:t xml:space="preserve">GB/T 20806 </w:t>
      </w:r>
      <w:r w:rsidRPr="00F034DB">
        <w:t>饲料中中性洗涤纤维</w:t>
      </w:r>
      <w:r w:rsidRPr="00F034DB">
        <w:t>(NDF)</w:t>
      </w:r>
      <w:r w:rsidRPr="00F034DB">
        <w:t>的测定方法</w:t>
      </w:r>
    </w:p>
    <w:p w14:paraId="390153AF" w14:textId="77777777" w:rsidR="0044353E" w:rsidRPr="00F034DB" w:rsidRDefault="0044353E" w:rsidP="0044353E">
      <w:pPr>
        <w:spacing w:line="360" w:lineRule="auto"/>
        <w:ind w:firstLineChars="200" w:firstLine="420"/>
      </w:pPr>
      <w:r w:rsidRPr="00F034DB">
        <w:t>中华人民共和国农业农村部公告</w:t>
      </w:r>
      <w:r w:rsidRPr="00F034DB">
        <w:t xml:space="preserve"> </w:t>
      </w:r>
      <w:r w:rsidRPr="00F034DB">
        <w:t>饲料添加剂目录</w:t>
      </w:r>
    </w:p>
    <w:p w14:paraId="02F4201E" w14:textId="77777777" w:rsidR="0044353E" w:rsidRPr="00F034DB" w:rsidRDefault="0044353E" w:rsidP="0044353E">
      <w:pPr>
        <w:spacing w:line="360" w:lineRule="auto"/>
        <w:ind w:firstLineChars="200" w:firstLine="420"/>
      </w:pPr>
      <w:r w:rsidRPr="00F034DB">
        <w:t xml:space="preserve">NY/T </w:t>
      </w:r>
      <w:r w:rsidRPr="00F034DB">
        <w:rPr>
          <w:rFonts w:hint="eastAsia"/>
        </w:rPr>
        <w:t>34</w:t>
      </w:r>
      <w:r w:rsidRPr="00F034DB">
        <w:t xml:space="preserve"> </w:t>
      </w:r>
      <w:r w:rsidRPr="00F034DB">
        <w:t>奶牛饲养标准</w:t>
      </w:r>
    </w:p>
    <w:p w14:paraId="6A80D392" w14:textId="77777777" w:rsidR="0044353E" w:rsidRPr="00F034DB" w:rsidRDefault="0044353E" w:rsidP="0044353E">
      <w:pPr>
        <w:spacing w:line="360" w:lineRule="auto"/>
        <w:ind w:firstLineChars="200" w:firstLine="420"/>
      </w:pPr>
      <w:r w:rsidRPr="00F034DB">
        <w:t xml:space="preserve">NY/T 815 </w:t>
      </w:r>
      <w:r w:rsidRPr="00F034DB">
        <w:t>肉牛饲养标准</w:t>
      </w:r>
    </w:p>
    <w:p w14:paraId="6B417C7A" w14:textId="77777777" w:rsidR="0044353E" w:rsidRPr="00F034DB" w:rsidRDefault="0044353E" w:rsidP="0044353E">
      <w:pPr>
        <w:spacing w:line="360" w:lineRule="auto"/>
        <w:ind w:firstLineChars="200" w:firstLine="420"/>
      </w:pPr>
      <w:r w:rsidRPr="00F034DB">
        <w:t>NY/T 81</w:t>
      </w:r>
      <w:r w:rsidRPr="00F034DB">
        <w:rPr>
          <w:rFonts w:hint="eastAsia"/>
        </w:rPr>
        <w:t>6</w:t>
      </w:r>
      <w:r w:rsidRPr="00F034DB">
        <w:t xml:space="preserve"> </w:t>
      </w:r>
      <w:r w:rsidRPr="00F034DB">
        <w:t>肉</w:t>
      </w:r>
      <w:r>
        <w:rPr>
          <w:rFonts w:hint="eastAsia"/>
        </w:rPr>
        <w:t>羊</w:t>
      </w:r>
      <w:r w:rsidRPr="00F034DB">
        <w:t>饲养标准</w:t>
      </w:r>
    </w:p>
    <w:p w14:paraId="4A514F81" w14:textId="77777777" w:rsidR="0044353E" w:rsidRPr="00F034DB" w:rsidRDefault="0044353E" w:rsidP="0044353E">
      <w:pPr>
        <w:spacing w:line="360" w:lineRule="auto"/>
        <w:ind w:firstLineChars="200" w:firstLine="420"/>
      </w:pPr>
      <w:r w:rsidRPr="00F034DB">
        <w:t xml:space="preserve">NY/T 1459 </w:t>
      </w:r>
      <w:r w:rsidRPr="00F034DB">
        <w:t>饲料中酸性洗涤纤维</w:t>
      </w:r>
      <w:r w:rsidRPr="00F034DB">
        <w:t>(ADF)</w:t>
      </w:r>
      <w:r w:rsidRPr="00F034DB">
        <w:t>的测定方法</w:t>
      </w:r>
    </w:p>
    <w:p w14:paraId="2C63D305" w14:textId="77777777" w:rsidR="0044353E" w:rsidRPr="00F034DB" w:rsidRDefault="0044353E" w:rsidP="0044353E">
      <w:pPr>
        <w:spacing w:line="360" w:lineRule="auto"/>
        <w:ind w:firstLineChars="200" w:firstLine="420"/>
      </w:pPr>
      <w:r w:rsidRPr="00F034DB">
        <w:t xml:space="preserve">NY 2032 </w:t>
      </w:r>
      <w:r w:rsidRPr="00F034DB">
        <w:t>无公害食品</w:t>
      </w:r>
      <w:r w:rsidRPr="00F034DB">
        <w:t xml:space="preserve"> </w:t>
      </w:r>
      <w:r w:rsidRPr="00F034DB">
        <w:t>畜禽饲料和饲料添加剂使用准则</w:t>
      </w:r>
    </w:p>
    <w:p w14:paraId="0CA3216A" w14:textId="77777777" w:rsidR="0044353E" w:rsidRPr="00F034DB" w:rsidRDefault="0044353E" w:rsidP="0044353E">
      <w:pPr>
        <w:spacing w:line="360" w:lineRule="auto"/>
        <w:ind w:firstLineChars="200" w:firstLine="420"/>
      </w:pPr>
      <w:r w:rsidRPr="00F034DB">
        <w:t xml:space="preserve">NY/T 2203 </w:t>
      </w:r>
      <w:r w:rsidRPr="00F034DB">
        <w:t>全</w:t>
      </w:r>
      <w:proofErr w:type="gramStart"/>
      <w:r w:rsidRPr="00F034DB">
        <w:t>混合日</w:t>
      </w:r>
      <w:proofErr w:type="gramEnd"/>
      <w:r w:rsidRPr="00F034DB">
        <w:t>粮制备机</w:t>
      </w:r>
      <w:r w:rsidRPr="00F034DB">
        <w:t xml:space="preserve"> </w:t>
      </w:r>
      <w:r w:rsidRPr="00F034DB">
        <w:t>质量评价技术规范</w:t>
      </w:r>
    </w:p>
    <w:p w14:paraId="694594A1" w14:textId="77777777" w:rsidR="0044353E" w:rsidRPr="00F034DB" w:rsidRDefault="0044353E" w:rsidP="0044353E">
      <w:pPr>
        <w:spacing w:line="360" w:lineRule="auto"/>
        <w:ind w:firstLineChars="200" w:firstLine="420"/>
      </w:pPr>
      <w:r w:rsidRPr="00F034DB">
        <w:t xml:space="preserve">JB/T 5155 </w:t>
      </w:r>
      <w:r w:rsidRPr="00F034DB">
        <w:t>饲草粉碎机</w:t>
      </w:r>
      <w:r w:rsidRPr="00F034DB">
        <w:t xml:space="preserve"> </w:t>
      </w:r>
      <w:r w:rsidRPr="00F034DB">
        <w:t>技术条件</w:t>
      </w:r>
    </w:p>
    <w:p w14:paraId="2D63DC60" w14:textId="77777777" w:rsidR="0044353E" w:rsidRPr="00F034DB" w:rsidRDefault="0044353E" w:rsidP="0044353E">
      <w:pPr>
        <w:spacing w:line="360" w:lineRule="auto"/>
        <w:ind w:firstLineChars="200" w:firstLine="420"/>
      </w:pPr>
      <w:r w:rsidRPr="00F034DB">
        <w:t xml:space="preserve">JB/T 9707.1 </w:t>
      </w:r>
      <w:r w:rsidRPr="00F034DB">
        <w:t>铡草机技术条件</w:t>
      </w:r>
    </w:p>
    <w:p w14:paraId="6B0A1A53" w14:textId="77777777" w:rsidR="0044353E" w:rsidRPr="00F034DB" w:rsidRDefault="0044353E" w:rsidP="0044353E">
      <w:pPr>
        <w:spacing w:line="360" w:lineRule="auto"/>
        <w:ind w:firstLineChars="200" w:firstLine="420"/>
      </w:pPr>
      <w:r w:rsidRPr="00F034DB">
        <w:t xml:space="preserve">JB/T 9822.1 </w:t>
      </w:r>
      <w:r w:rsidRPr="00F034DB">
        <w:t>锤片式饲料粉碎机技术条件</w:t>
      </w:r>
    </w:p>
    <w:p w14:paraId="7DA0DEFB" w14:textId="77777777" w:rsidR="0044353E" w:rsidRDefault="0044353E" w:rsidP="0044353E">
      <w:pPr>
        <w:spacing w:line="360" w:lineRule="auto"/>
        <w:ind w:firstLineChars="200" w:firstLine="420"/>
      </w:pPr>
      <w:r w:rsidRPr="00F034DB">
        <w:t xml:space="preserve">EN13207 </w:t>
      </w:r>
      <w:r w:rsidRPr="00F034DB">
        <w:t>青贮饲料热塑性膜</w:t>
      </w:r>
    </w:p>
    <w:p w14:paraId="1F9734B4" w14:textId="77777777" w:rsidR="0044353E" w:rsidRDefault="0044353E" w:rsidP="0044353E">
      <w:pPr>
        <w:numPr>
          <w:ilvl w:val="0"/>
          <w:numId w:val="8"/>
        </w:numPr>
        <w:spacing w:line="360" w:lineRule="auto"/>
        <w:outlineLvl w:val="1"/>
        <w:rPr>
          <w:b/>
          <w:bCs/>
        </w:rPr>
      </w:pPr>
      <w:bookmarkStart w:id="17" w:name="_Toc203506480"/>
      <w:r>
        <w:rPr>
          <w:rFonts w:hint="eastAsia"/>
          <w:b/>
          <w:bCs/>
        </w:rPr>
        <w:t>术语及定义</w:t>
      </w:r>
      <w:bookmarkEnd w:id="17"/>
    </w:p>
    <w:p w14:paraId="06CD9810" w14:textId="7CB2EBD0" w:rsidR="0044353E" w:rsidRDefault="0044353E" w:rsidP="0044353E">
      <w:pPr>
        <w:spacing w:line="360" w:lineRule="auto"/>
        <w:ind w:firstLine="480"/>
      </w:pPr>
      <w:r>
        <w:rPr>
          <w:rFonts w:hint="eastAsia"/>
        </w:rPr>
        <w:t>结合标准起草组在栽培收获工作中的实践经验，经编写人员研究讨论</w:t>
      </w:r>
      <w:proofErr w:type="gramStart"/>
      <w:r>
        <w:rPr>
          <w:rFonts w:hint="eastAsia"/>
        </w:rPr>
        <w:t>凝炼</w:t>
      </w:r>
      <w:proofErr w:type="gramEnd"/>
      <w:r>
        <w:rPr>
          <w:rFonts w:hint="eastAsia"/>
        </w:rPr>
        <w:t>而成，讨论确定了本标准的术语为“</w:t>
      </w:r>
      <w:r w:rsidR="001178C2" w:rsidRPr="001178C2">
        <w:rPr>
          <w:rFonts w:hint="eastAsia"/>
        </w:rPr>
        <w:t>青贮饲料</w:t>
      </w:r>
      <w:r>
        <w:rPr>
          <w:rFonts w:hint="eastAsia"/>
        </w:rPr>
        <w:t>、</w:t>
      </w:r>
      <w:r w:rsidR="001178C2" w:rsidRPr="001178C2">
        <w:rPr>
          <w:rFonts w:hint="eastAsia"/>
        </w:rPr>
        <w:t>干物质</w:t>
      </w:r>
      <w:r>
        <w:rPr>
          <w:rFonts w:hint="eastAsia"/>
        </w:rPr>
        <w:t>、</w:t>
      </w:r>
      <w:r w:rsidR="001178C2" w:rsidRPr="001178C2">
        <w:rPr>
          <w:rFonts w:hint="eastAsia"/>
        </w:rPr>
        <w:t>中性洗涤纤维</w:t>
      </w:r>
      <w:r>
        <w:rPr>
          <w:rFonts w:hint="eastAsia"/>
        </w:rPr>
        <w:t>、</w:t>
      </w:r>
      <w:r w:rsidR="001178C2" w:rsidRPr="001178C2">
        <w:rPr>
          <w:rFonts w:hint="eastAsia"/>
        </w:rPr>
        <w:t>酸性洗涤纤维</w:t>
      </w:r>
      <w:r w:rsidR="001178C2">
        <w:rPr>
          <w:rFonts w:hint="eastAsia"/>
        </w:rPr>
        <w:t>、</w:t>
      </w:r>
      <w:r w:rsidR="001178C2" w:rsidRPr="001178C2">
        <w:rPr>
          <w:rFonts w:hint="eastAsia"/>
        </w:rPr>
        <w:t>相对饲喂价值</w:t>
      </w:r>
      <w:r w:rsidR="001178C2">
        <w:rPr>
          <w:rFonts w:hint="eastAsia"/>
        </w:rPr>
        <w:t>、</w:t>
      </w:r>
      <w:r w:rsidR="001178C2" w:rsidRPr="001178C2">
        <w:rPr>
          <w:rFonts w:hint="eastAsia"/>
        </w:rPr>
        <w:t>挥发性脂肪酸</w:t>
      </w:r>
      <w:r w:rsidR="001178C2">
        <w:rPr>
          <w:rFonts w:hint="eastAsia"/>
        </w:rPr>
        <w:t>、</w:t>
      </w:r>
      <w:r w:rsidR="001178C2" w:rsidRPr="001178C2">
        <w:rPr>
          <w:rFonts w:hint="eastAsia"/>
        </w:rPr>
        <w:t>总氮</w:t>
      </w:r>
      <w:r w:rsidR="001178C2">
        <w:rPr>
          <w:rFonts w:hint="eastAsia"/>
        </w:rPr>
        <w:t>、</w:t>
      </w:r>
      <w:r w:rsidR="001178C2" w:rsidRPr="001178C2">
        <w:rPr>
          <w:rFonts w:hint="eastAsia"/>
        </w:rPr>
        <w:t>氨态氮</w:t>
      </w:r>
      <w:r>
        <w:rPr>
          <w:rFonts w:hint="eastAsia"/>
        </w:rPr>
        <w:t>”，并给出相应定义。</w:t>
      </w:r>
    </w:p>
    <w:p w14:paraId="5EBE6DC1" w14:textId="77777777" w:rsidR="00E53C44" w:rsidRDefault="00E53C44" w:rsidP="00E53C44">
      <w:pPr>
        <w:numPr>
          <w:ilvl w:val="0"/>
          <w:numId w:val="8"/>
        </w:numPr>
        <w:spacing w:line="360" w:lineRule="auto"/>
        <w:outlineLvl w:val="1"/>
        <w:rPr>
          <w:b/>
          <w:bCs/>
        </w:rPr>
      </w:pPr>
      <w:bookmarkStart w:id="18" w:name="_Toc203506481"/>
      <w:r>
        <w:rPr>
          <w:b/>
          <w:bCs/>
        </w:rPr>
        <w:t>主要技术指标确定的依据</w:t>
      </w:r>
      <w:bookmarkEnd w:id="18"/>
    </w:p>
    <w:p w14:paraId="4A8577FA" w14:textId="368C6301" w:rsidR="00E53C44" w:rsidRDefault="00E53C44" w:rsidP="00E53C44">
      <w:pPr>
        <w:spacing w:line="360" w:lineRule="auto"/>
        <w:ind w:firstLine="480"/>
      </w:pPr>
      <w:r>
        <w:rPr>
          <w:rFonts w:hint="eastAsia"/>
        </w:rPr>
        <w:t>编写组致力于</w:t>
      </w:r>
      <w:r w:rsidR="00CE232E" w:rsidRPr="006F63C3">
        <w:rPr>
          <w:rFonts w:hint="eastAsia"/>
        </w:rPr>
        <w:t>青贮</w:t>
      </w:r>
      <w:r w:rsidR="002F1FD7">
        <w:rPr>
          <w:rFonts w:hint="eastAsia"/>
        </w:rPr>
        <w:t>玉米</w:t>
      </w:r>
      <w:r w:rsidR="00CE232E" w:rsidRPr="006F63C3">
        <w:rPr>
          <w:rFonts w:hint="eastAsia"/>
        </w:rPr>
        <w:t>饲料质量评定及分级</w:t>
      </w:r>
      <w:r>
        <w:rPr>
          <w:rFonts w:hint="eastAsia"/>
        </w:rPr>
        <w:t>的示范推广工作。在贵州进行多个</w:t>
      </w:r>
      <w:r w:rsidR="00CE232E">
        <w:rPr>
          <w:rFonts w:hint="eastAsia"/>
        </w:rPr>
        <w:t>青贮加工</w:t>
      </w:r>
      <w:r>
        <w:rPr>
          <w:rFonts w:hint="eastAsia"/>
        </w:rPr>
        <w:t>的相关调制</w:t>
      </w:r>
      <w:r w:rsidR="00CE232E">
        <w:rPr>
          <w:rFonts w:hint="eastAsia"/>
        </w:rPr>
        <w:t>及分级</w:t>
      </w:r>
      <w:r>
        <w:rPr>
          <w:rFonts w:hint="eastAsia"/>
        </w:rPr>
        <w:t>试验，并</w:t>
      </w:r>
      <w:r w:rsidR="00CE232E">
        <w:rPr>
          <w:rFonts w:hint="eastAsia"/>
        </w:rPr>
        <w:t>在</w:t>
      </w:r>
      <w:r>
        <w:rPr>
          <w:rFonts w:hint="eastAsia"/>
        </w:rPr>
        <w:t>贵州</w:t>
      </w:r>
      <w:r w:rsidR="00CE232E">
        <w:rPr>
          <w:rFonts w:hint="eastAsia"/>
        </w:rPr>
        <w:t>黄牛集团建立了完整的评级体系</w:t>
      </w:r>
      <w:r>
        <w:rPr>
          <w:rFonts w:hint="eastAsia"/>
        </w:rPr>
        <w:t>，根据试验数据及实际生产情况，确定以下</w:t>
      </w:r>
      <w:r w:rsidR="00CE232E" w:rsidRPr="006F63C3">
        <w:rPr>
          <w:rFonts w:hint="eastAsia"/>
        </w:rPr>
        <w:t>青贮饲料质量评定及分级</w:t>
      </w:r>
      <w:r>
        <w:rPr>
          <w:rFonts w:hint="eastAsia"/>
        </w:rPr>
        <w:t>的技术标准。</w:t>
      </w:r>
    </w:p>
    <w:p w14:paraId="2DC9C0DE" w14:textId="79110A58" w:rsidR="00E53C44" w:rsidRPr="0024269D" w:rsidRDefault="00E53C44" w:rsidP="00E53C44">
      <w:pPr>
        <w:pStyle w:val="afa"/>
        <w:spacing w:line="360" w:lineRule="auto"/>
        <w:ind w:firstLine="480"/>
        <w:rPr>
          <w:rFonts w:ascii="Times New Roman"/>
          <w:sz w:val="24"/>
        </w:rPr>
      </w:pPr>
      <w:r>
        <w:rPr>
          <w:rFonts w:ascii="Times New Roman" w:hint="eastAsia"/>
          <w:sz w:val="24"/>
        </w:rPr>
        <w:t>（</w:t>
      </w:r>
      <w:r w:rsidR="00CE232E">
        <w:rPr>
          <w:rFonts w:ascii="Times New Roman" w:hint="eastAsia"/>
          <w:sz w:val="24"/>
        </w:rPr>
        <w:t>1</w:t>
      </w:r>
      <w:r>
        <w:rPr>
          <w:rFonts w:ascii="Times New Roman" w:hint="eastAsia"/>
          <w:sz w:val="24"/>
        </w:rPr>
        <w:t>）样本处理</w:t>
      </w:r>
    </w:p>
    <w:p w14:paraId="42B5BC8A"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在样本处理过程中，为确保青贮饲料营养品质与发酵品质的检测数据真实、准确、可比，须严格按照统一规范进行样本采集、预处理与保存，减少样品因贮运、操作或环境条件造成的理化性质变化或微生物干扰。本规程明确规定了营养品质样本和发酵品质样本的处理流程。</w:t>
      </w:r>
    </w:p>
    <w:p w14:paraId="1E11C83D" w14:textId="42BEE2E6"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青贮</w:t>
      </w:r>
      <w:r w:rsidR="002F1FD7">
        <w:rPr>
          <w:rFonts w:ascii="Times New Roman" w:hint="eastAsia"/>
          <w:sz w:val="24"/>
        </w:rPr>
        <w:t>玉米</w:t>
      </w:r>
      <w:r w:rsidRPr="0024269D">
        <w:rPr>
          <w:rFonts w:ascii="Times New Roman" w:hint="eastAsia"/>
          <w:sz w:val="24"/>
        </w:rPr>
        <w:t>饲料营养品质样本制备：从青贮</w:t>
      </w:r>
      <w:proofErr w:type="gramStart"/>
      <w:r w:rsidRPr="0024269D">
        <w:rPr>
          <w:rFonts w:ascii="Times New Roman" w:hint="eastAsia"/>
          <w:sz w:val="24"/>
        </w:rPr>
        <w:t>堆体中取具有</w:t>
      </w:r>
      <w:proofErr w:type="gramEnd"/>
      <w:r w:rsidRPr="0024269D">
        <w:rPr>
          <w:rFonts w:ascii="Times New Roman" w:hint="eastAsia"/>
          <w:sz w:val="24"/>
        </w:rPr>
        <w:t>代表性的新鲜青贮样品不少于</w:t>
      </w:r>
      <w:r w:rsidRPr="0024269D">
        <w:rPr>
          <w:rFonts w:ascii="Times New Roman" w:hint="eastAsia"/>
          <w:sz w:val="24"/>
        </w:rPr>
        <w:t>200 g</w:t>
      </w:r>
      <w:r w:rsidRPr="0024269D">
        <w:rPr>
          <w:rFonts w:ascii="Times New Roman" w:hint="eastAsia"/>
          <w:sz w:val="24"/>
        </w:rPr>
        <w:t>，样品应避免含有明显霉变、异物或杂质。所取样品需在</w:t>
      </w:r>
      <w:r w:rsidRPr="0024269D">
        <w:rPr>
          <w:rFonts w:ascii="Times New Roman" w:hint="eastAsia"/>
          <w:sz w:val="24"/>
        </w:rPr>
        <w:t>60</w:t>
      </w:r>
      <w:r w:rsidRPr="0024269D">
        <w:rPr>
          <w:rFonts w:ascii="Times New Roman" w:hint="eastAsia"/>
          <w:sz w:val="24"/>
        </w:rPr>
        <w:t>℃恒温条件下进行连续烘干处理</w:t>
      </w:r>
      <w:r w:rsidRPr="0024269D">
        <w:rPr>
          <w:rFonts w:ascii="Times New Roman" w:hint="eastAsia"/>
          <w:sz w:val="24"/>
        </w:rPr>
        <w:t>72</w:t>
      </w:r>
      <w:r w:rsidRPr="0024269D">
        <w:rPr>
          <w:rFonts w:ascii="Times New Roman" w:hint="eastAsia"/>
          <w:sz w:val="24"/>
        </w:rPr>
        <w:t>小时，确保青贮物料中的水分充分挥发，以稳定其化学成分。烘干完成后，应将样品转移至常温环境中密闭容器中静置回潮</w:t>
      </w:r>
      <w:r w:rsidRPr="0024269D">
        <w:rPr>
          <w:rFonts w:ascii="Times New Roman" w:hint="eastAsia"/>
          <w:sz w:val="24"/>
        </w:rPr>
        <w:t>24</w:t>
      </w:r>
      <w:r w:rsidRPr="0024269D">
        <w:rPr>
          <w:rFonts w:ascii="Times New Roman" w:hint="eastAsia"/>
          <w:sz w:val="24"/>
        </w:rPr>
        <w:t>小时，使其水分分布均匀，减少测定过程中的误差。回潮后的样本再按需粉碎，通过</w:t>
      </w:r>
      <w:r w:rsidRPr="0024269D">
        <w:rPr>
          <w:rFonts w:ascii="Times New Roman" w:hint="eastAsia"/>
          <w:sz w:val="24"/>
        </w:rPr>
        <w:t>1 mm</w:t>
      </w:r>
      <w:r w:rsidRPr="0024269D">
        <w:rPr>
          <w:rFonts w:ascii="Times New Roman" w:hint="eastAsia"/>
          <w:sz w:val="24"/>
        </w:rPr>
        <w:t>筛网过筛后密封保存，用于干物质（</w:t>
      </w:r>
      <w:r w:rsidRPr="0024269D">
        <w:rPr>
          <w:rFonts w:ascii="Times New Roman" w:hint="eastAsia"/>
          <w:sz w:val="24"/>
        </w:rPr>
        <w:t>DM</w:t>
      </w:r>
      <w:r w:rsidRPr="0024269D">
        <w:rPr>
          <w:rFonts w:ascii="Times New Roman" w:hint="eastAsia"/>
          <w:sz w:val="24"/>
        </w:rPr>
        <w:t>）、中性洗涤纤维（</w:t>
      </w:r>
      <w:r w:rsidRPr="0024269D">
        <w:rPr>
          <w:rFonts w:ascii="Times New Roman" w:hint="eastAsia"/>
          <w:sz w:val="24"/>
        </w:rPr>
        <w:t>NDF</w:t>
      </w:r>
      <w:r w:rsidRPr="0024269D">
        <w:rPr>
          <w:rFonts w:ascii="Times New Roman" w:hint="eastAsia"/>
          <w:sz w:val="24"/>
        </w:rPr>
        <w:t>）、酸性洗涤纤维（</w:t>
      </w:r>
      <w:r w:rsidRPr="0024269D">
        <w:rPr>
          <w:rFonts w:ascii="Times New Roman" w:hint="eastAsia"/>
          <w:sz w:val="24"/>
        </w:rPr>
        <w:t>ADF</w:t>
      </w:r>
      <w:r w:rsidRPr="0024269D">
        <w:rPr>
          <w:rFonts w:ascii="Times New Roman" w:hint="eastAsia"/>
          <w:sz w:val="24"/>
        </w:rPr>
        <w:t>）、粗蛋白（</w:t>
      </w:r>
      <w:r w:rsidRPr="0024269D">
        <w:rPr>
          <w:rFonts w:ascii="Times New Roman" w:hint="eastAsia"/>
          <w:sz w:val="24"/>
        </w:rPr>
        <w:t>CP</w:t>
      </w:r>
      <w:r w:rsidRPr="0024269D">
        <w:rPr>
          <w:rFonts w:ascii="Times New Roman" w:hint="eastAsia"/>
          <w:sz w:val="24"/>
        </w:rPr>
        <w:t>）、相对饲喂价值（</w:t>
      </w:r>
      <w:r w:rsidRPr="0024269D">
        <w:rPr>
          <w:rFonts w:ascii="Times New Roman" w:hint="eastAsia"/>
          <w:sz w:val="24"/>
        </w:rPr>
        <w:t>RFV</w:t>
      </w:r>
      <w:r w:rsidRPr="0024269D">
        <w:rPr>
          <w:rFonts w:ascii="Times New Roman" w:hint="eastAsia"/>
          <w:sz w:val="24"/>
        </w:rPr>
        <w:t>）等指标的常规理化分析。</w:t>
      </w:r>
    </w:p>
    <w:p w14:paraId="49349D1D" w14:textId="30135A9C"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青贮</w:t>
      </w:r>
      <w:r w:rsidR="002F1FD7">
        <w:rPr>
          <w:rFonts w:ascii="Times New Roman" w:hint="eastAsia"/>
          <w:sz w:val="24"/>
        </w:rPr>
        <w:t>玉米</w:t>
      </w:r>
      <w:r w:rsidRPr="0024269D">
        <w:rPr>
          <w:rFonts w:ascii="Times New Roman" w:hint="eastAsia"/>
          <w:sz w:val="24"/>
        </w:rPr>
        <w:t>饲料发酵品质样本制备：取</w:t>
      </w:r>
      <w:proofErr w:type="gramStart"/>
      <w:r w:rsidRPr="0024269D">
        <w:rPr>
          <w:rFonts w:ascii="Times New Roman" w:hint="eastAsia"/>
          <w:sz w:val="24"/>
        </w:rPr>
        <w:t>青贮堆体中</w:t>
      </w:r>
      <w:proofErr w:type="gramEnd"/>
      <w:r w:rsidRPr="0024269D">
        <w:rPr>
          <w:rFonts w:ascii="Times New Roman" w:hint="eastAsia"/>
          <w:sz w:val="24"/>
        </w:rPr>
        <w:t>未暴露于空气的新鲜青贮饲料样品</w:t>
      </w:r>
      <w:r w:rsidRPr="0024269D">
        <w:rPr>
          <w:rFonts w:ascii="Times New Roman"/>
          <w:sz w:val="24"/>
        </w:rPr>
        <w:t>20 g</w:t>
      </w:r>
      <w:r w:rsidRPr="0024269D">
        <w:rPr>
          <w:rFonts w:ascii="Times New Roman" w:hint="eastAsia"/>
          <w:sz w:val="24"/>
        </w:rPr>
        <w:t>，剪碎或适当破碎后置于洁净容器中，加入</w:t>
      </w:r>
      <w:r w:rsidRPr="0024269D">
        <w:rPr>
          <w:rFonts w:ascii="Times New Roman"/>
          <w:sz w:val="24"/>
        </w:rPr>
        <w:t>180 mL</w:t>
      </w:r>
      <w:r w:rsidRPr="0024269D">
        <w:rPr>
          <w:rFonts w:ascii="Times New Roman" w:hint="eastAsia"/>
          <w:sz w:val="24"/>
        </w:rPr>
        <w:t>蒸馏水，使用高速匀浆器或研磨设备进行充分匀浆处理，时间控制在</w:t>
      </w:r>
      <w:r w:rsidRPr="0024269D">
        <w:rPr>
          <w:rFonts w:ascii="Times New Roman"/>
          <w:sz w:val="24"/>
        </w:rPr>
        <w:t>2–3</w:t>
      </w:r>
      <w:r w:rsidRPr="0024269D">
        <w:rPr>
          <w:rFonts w:ascii="Times New Roman" w:hint="eastAsia"/>
          <w:sz w:val="24"/>
        </w:rPr>
        <w:t>分钟，确保发酵代谢物溶于水相中。所得浆液先经四层医用纱布进行初滤，去除粗大颗粒与杂质，随后再通过定性滤纸进行二次精滤，以获得澄清的青贮浸提液。该滤液应立即置于密封试管中，</w:t>
      </w:r>
      <w:r w:rsidRPr="0024269D">
        <w:rPr>
          <w:rFonts w:ascii="Times New Roman"/>
          <w:sz w:val="24"/>
        </w:rPr>
        <w:t>4</w:t>
      </w:r>
      <w:r w:rsidRPr="0024269D">
        <w:rPr>
          <w:rFonts w:ascii="Times New Roman" w:hint="eastAsia"/>
          <w:sz w:val="24"/>
        </w:rPr>
        <w:t>℃条件下冷藏保存</w:t>
      </w:r>
      <w:r w:rsidRPr="0024269D">
        <w:rPr>
          <w:rFonts w:ascii="Times New Roman"/>
          <w:sz w:val="24"/>
        </w:rPr>
        <w:t>24</w:t>
      </w:r>
      <w:r w:rsidRPr="0024269D">
        <w:rPr>
          <w:rFonts w:ascii="Times New Roman" w:hint="eastAsia"/>
          <w:sz w:val="24"/>
        </w:rPr>
        <w:t>小时，以稳定其中的乳酸、乙酸、丁酸、</w:t>
      </w:r>
      <w:proofErr w:type="gramStart"/>
      <w:r w:rsidRPr="0024269D">
        <w:rPr>
          <w:rFonts w:ascii="Times New Roman" w:hint="eastAsia"/>
          <w:sz w:val="24"/>
        </w:rPr>
        <w:t>氨态氮</w:t>
      </w:r>
      <w:proofErr w:type="gramEnd"/>
      <w:r w:rsidRPr="0024269D">
        <w:rPr>
          <w:rFonts w:ascii="Times New Roman" w:hint="eastAsia"/>
          <w:sz w:val="24"/>
        </w:rPr>
        <w:t>（</w:t>
      </w:r>
      <w:r w:rsidRPr="0024269D">
        <w:rPr>
          <w:rFonts w:ascii="Times New Roman"/>
          <w:sz w:val="24"/>
        </w:rPr>
        <w:t>NH₃-N</w:t>
      </w:r>
      <w:r w:rsidRPr="0024269D">
        <w:rPr>
          <w:rFonts w:ascii="Times New Roman" w:hint="eastAsia"/>
          <w:sz w:val="24"/>
        </w:rPr>
        <w:t>）等关键发酵品质指标。样液制备应在采样后</w:t>
      </w:r>
      <w:r w:rsidRPr="0024269D">
        <w:rPr>
          <w:rFonts w:ascii="Times New Roman"/>
          <w:sz w:val="24"/>
        </w:rPr>
        <w:t>6</w:t>
      </w:r>
      <w:r w:rsidRPr="0024269D">
        <w:rPr>
          <w:rFonts w:ascii="Times New Roman" w:hint="eastAsia"/>
          <w:sz w:val="24"/>
        </w:rPr>
        <w:t>小时内完成，以避免微生物继续代谢造成成分偏移。</w:t>
      </w:r>
    </w:p>
    <w:p w14:paraId="7506EC23"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所有处理过程中，所用器具须经过高温灭菌或</w:t>
      </w:r>
      <w:r w:rsidRPr="0024269D">
        <w:rPr>
          <w:rFonts w:ascii="Times New Roman" w:hint="eastAsia"/>
          <w:sz w:val="24"/>
        </w:rPr>
        <w:t>75%</w:t>
      </w:r>
      <w:r w:rsidRPr="0024269D">
        <w:rPr>
          <w:rFonts w:ascii="Times New Roman" w:hint="eastAsia"/>
          <w:sz w:val="24"/>
        </w:rPr>
        <w:t>酒精擦拭消毒，防止交叉污染。样品在分析前不应暴露于高温、强光或空气中，样本转运过程中应配备保温箱或冰袋控制温度，特殊情况下可采用冷链物流系统。</w:t>
      </w:r>
    </w:p>
    <w:p w14:paraId="2FF8BECB" w14:textId="36123041" w:rsidR="00E53C44" w:rsidRDefault="0024269D" w:rsidP="0024269D">
      <w:pPr>
        <w:pStyle w:val="afa"/>
        <w:spacing w:line="360" w:lineRule="auto"/>
        <w:ind w:firstLine="480"/>
        <w:rPr>
          <w:rFonts w:ascii="Times New Roman"/>
          <w:sz w:val="24"/>
        </w:rPr>
      </w:pPr>
      <w:r w:rsidRPr="0024269D">
        <w:rPr>
          <w:rFonts w:ascii="Times New Roman" w:hint="eastAsia"/>
          <w:sz w:val="24"/>
        </w:rPr>
        <w:t>通过规范化、标准化的样本处理流程，确保了青贮饲料各项检测指标具有良好的准确性和可重复性，为后续质量评定与等级划分提供可靠数据支撑。</w:t>
      </w:r>
      <w:r w:rsidR="00E53C44">
        <w:rPr>
          <w:rFonts w:ascii="Times New Roman" w:hint="eastAsia"/>
          <w:sz w:val="24"/>
        </w:rPr>
        <w:t>。</w:t>
      </w:r>
    </w:p>
    <w:p w14:paraId="74BC49C9" w14:textId="131265DF" w:rsidR="00E53C44" w:rsidRDefault="00E53C44" w:rsidP="00E53C44">
      <w:pPr>
        <w:pStyle w:val="afa"/>
        <w:spacing w:line="360" w:lineRule="auto"/>
        <w:ind w:firstLine="480"/>
        <w:rPr>
          <w:rFonts w:ascii="Times New Roman"/>
          <w:sz w:val="24"/>
        </w:rPr>
      </w:pPr>
      <w:r>
        <w:rPr>
          <w:rFonts w:ascii="Times New Roman" w:hint="eastAsia"/>
          <w:sz w:val="24"/>
        </w:rPr>
        <w:t>（</w:t>
      </w:r>
      <w:r w:rsidR="00CE232E">
        <w:rPr>
          <w:rFonts w:ascii="Times New Roman" w:hint="eastAsia"/>
          <w:sz w:val="24"/>
        </w:rPr>
        <w:t>2</w:t>
      </w:r>
      <w:r>
        <w:rPr>
          <w:rFonts w:ascii="Times New Roman" w:hint="eastAsia"/>
          <w:sz w:val="24"/>
        </w:rPr>
        <w:t>）检测方法</w:t>
      </w:r>
    </w:p>
    <w:p w14:paraId="78A1B0CB" w14:textId="7187F054"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干物质（</w:t>
      </w:r>
      <w:r w:rsidRPr="00CE232E">
        <w:rPr>
          <w:rFonts w:ascii="Times New Roman" w:hint="eastAsia"/>
          <w:sz w:val="24"/>
        </w:rPr>
        <w:t>DM</w:t>
      </w:r>
      <w:r w:rsidRPr="00CE232E">
        <w:rPr>
          <w:rFonts w:ascii="Times New Roman" w:hint="eastAsia"/>
          <w:sz w:val="24"/>
        </w:rPr>
        <w:t>）是青贮</w:t>
      </w:r>
      <w:r w:rsidR="002F1FD7">
        <w:rPr>
          <w:rFonts w:ascii="Times New Roman" w:hint="eastAsia"/>
          <w:sz w:val="24"/>
        </w:rPr>
        <w:t>玉米</w:t>
      </w:r>
      <w:r w:rsidRPr="00CE232E">
        <w:rPr>
          <w:rFonts w:ascii="Times New Roman" w:hint="eastAsia"/>
          <w:sz w:val="24"/>
        </w:rPr>
        <w:t>饲料评定中</w:t>
      </w:r>
      <w:proofErr w:type="gramStart"/>
      <w:r w:rsidRPr="00CE232E">
        <w:rPr>
          <w:rFonts w:ascii="Times New Roman" w:hint="eastAsia"/>
          <w:sz w:val="24"/>
        </w:rPr>
        <w:t>最</w:t>
      </w:r>
      <w:proofErr w:type="gramEnd"/>
      <w:r w:rsidRPr="00CE232E">
        <w:rPr>
          <w:rFonts w:ascii="Times New Roman" w:hint="eastAsia"/>
          <w:sz w:val="24"/>
        </w:rPr>
        <w:t>基础的指标，直接影响到营养成分的相对含量与采食量估算。干物质测定采用《</w:t>
      </w:r>
      <w:r w:rsidRPr="00CE232E">
        <w:rPr>
          <w:rFonts w:ascii="Times New Roman" w:hint="eastAsia"/>
          <w:sz w:val="24"/>
        </w:rPr>
        <w:t xml:space="preserve">GB/T 6435 </w:t>
      </w:r>
      <w:r w:rsidRPr="00CE232E">
        <w:rPr>
          <w:rFonts w:ascii="Times New Roman" w:hint="eastAsia"/>
          <w:sz w:val="24"/>
        </w:rPr>
        <w:t>饲料中水分测定》方法。取预先混匀后的代表性样本约</w:t>
      </w:r>
      <w:r w:rsidRPr="00CE232E">
        <w:rPr>
          <w:rFonts w:ascii="Times New Roman" w:hint="eastAsia"/>
          <w:sz w:val="24"/>
        </w:rPr>
        <w:t>100g</w:t>
      </w:r>
      <w:r w:rsidRPr="00CE232E">
        <w:rPr>
          <w:rFonts w:ascii="Times New Roman" w:hint="eastAsia"/>
          <w:sz w:val="24"/>
        </w:rPr>
        <w:t>，在</w:t>
      </w:r>
      <w:r w:rsidRPr="00CE232E">
        <w:rPr>
          <w:rFonts w:ascii="Times New Roman" w:hint="eastAsia"/>
          <w:sz w:val="24"/>
        </w:rPr>
        <w:t>105</w:t>
      </w:r>
      <w:r w:rsidRPr="00CE232E">
        <w:rPr>
          <w:rFonts w:ascii="Times New Roman" w:hint="eastAsia"/>
          <w:sz w:val="24"/>
        </w:rPr>
        <w:t>℃鼓风干燥箱中</w:t>
      </w:r>
      <w:proofErr w:type="gramStart"/>
      <w:r w:rsidRPr="00CE232E">
        <w:rPr>
          <w:rFonts w:ascii="Times New Roman" w:hint="eastAsia"/>
          <w:sz w:val="24"/>
        </w:rPr>
        <w:t>干燥至</w:t>
      </w:r>
      <w:proofErr w:type="gramEnd"/>
      <w:r w:rsidRPr="00CE232E">
        <w:rPr>
          <w:rFonts w:ascii="Times New Roman" w:hint="eastAsia"/>
          <w:sz w:val="24"/>
        </w:rPr>
        <w:t>恒重，称量并计算水分损失比，进而得出干物质含量。为提高准确性，推荐使用自动水分测定仪进行重复校核，确保测定偏差小于</w:t>
      </w:r>
      <w:r w:rsidRPr="00CE232E">
        <w:rPr>
          <w:rFonts w:ascii="Times New Roman" w:hint="eastAsia"/>
          <w:sz w:val="24"/>
        </w:rPr>
        <w:t>1%</w:t>
      </w:r>
      <w:r w:rsidRPr="00CE232E">
        <w:rPr>
          <w:rFonts w:ascii="Times New Roman" w:hint="eastAsia"/>
          <w:sz w:val="24"/>
        </w:rPr>
        <w:t>。</w:t>
      </w:r>
    </w:p>
    <w:p w14:paraId="6E0862C4" w14:textId="77777777" w:rsidR="00CE232E" w:rsidRPr="00CE232E" w:rsidRDefault="00CE232E" w:rsidP="00CE232E">
      <w:pPr>
        <w:pStyle w:val="afa"/>
        <w:spacing w:line="360" w:lineRule="auto"/>
        <w:ind w:firstLine="480"/>
        <w:rPr>
          <w:rFonts w:ascii="Times New Roman"/>
          <w:sz w:val="24"/>
        </w:rPr>
      </w:pPr>
    </w:p>
    <w:p w14:paraId="52C1DF54" w14:textId="071BC8AB"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中性洗涤纤维（</w:t>
      </w:r>
      <w:r w:rsidRPr="00CE232E">
        <w:rPr>
          <w:rFonts w:ascii="Times New Roman" w:hint="eastAsia"/>
          <w:sz w:val="24"/>
        </w:rPr>
        <w:t>NDF</w:t>
      </w:r>
      <w:r w:rsidRPr="00CE232E">
        <w:rPr>
          <w:rFonts w:ascii="Times New Roman" w:hint="eastAsia"/>
          <w:sz w:val="24"/>
        </w:rPr>
        <w:t>）和酸性洗涤纤维（</w:t>
      </w:r>
      <w:r w:rsidRPr="00CE232E">
        <w:rPr>
          <w:rFonts w:ascii="Times New Roman" w:hint="eastAsia"/>
          <w:sz w:val="24"/>
        </w:rPr>
        <w:t>ADF</w:t>
      </w:r>
      <w:r w:rsidRPr="00CE232E">
        <w:rPr>
          <w:rFonts w:ascii="Times New Roman" w:hint="eastAsia"/>
          <w:sz w:val="24"/>
        </w:rPr>
        <w:t>）是衡量青贮</w:t>
      </w:r>
      <w:r w:rsidR="002F1FD7">
        <w:rPr>
          <w:rFonts w:ascii="Times New Roman" w:hint="eastAsia"/>
          <w:sz w:val="24"/>
        </w:rPr>
        <w:t>玉米</w:t>
      </w:r>
      <w:r w:rsidRPr="00CE232E">
        <w:rPr>
          <w:rFonts w:ascii="Times New Roman" w:hint="eastAsia"/>
          <w:sz w:val="24"/>
        </w:rPr>
        <w:t>饲料细胞壁结构与粗纤维含量的重要指标，其检测采用《</w:t>
      </w:r>
      <w:r w:rsidRPr="00CE232E">
        <w:rPr>
          <w:rFonts w:ascii="Times New Roman" w:hint="eastAsia"/>
          <w:sz w:val="24"/>
        </w:rPr>
        <w:t xml:space="preserve">GB/T 20806 </w:t>
      </w:r>
      <w:r w:rsidRPr="00CE232E">
        <w:rPr>
          <w:rFonts w:ascii="Times New Roman" w:hint="eastAsia"/>
          <w:sz w:val="24"/>
        </w:rPr>
        <w:t>饲料中中性洗涤纤维和酸性洗涤纤维的测定》标准。操作时使用全自动纤维分析仪（如</w:t>
      </w:r>
      <w:r w:rsidRPr="00CE232E">
        <w:rPr>
          <w:rFonts w:ascii="Times New Roman" w:hint="eastAsia"/>
          <w:sz w:val="24"/>
        </w:rPr>
        <w:t>ANKOM 2000i</w:t>
      </w:r>
      <w:r w:rsidRPr="00CE232E">
        <w:rPr>
          <w:rFonts w:ascii="Times New Roman" w:hint="eastAsia"/>
          <w:sz w:val="24"/>
        </w:rPr>
        <w:t>），分别加入中性洗涤液或酸性洗涤液进行加热提取、过滤和干燥后称重，计算所得结果反映饲料的结构碳水化合物组成，</w:t>
      </w:r>
      <w:r w:rsidRPr="00CE232E">
        <w:rPr>
          <w:rFonts w:ascii="Times New Roman" w:hint="eastAsia"/>
          <w:sz w:val="24"/>
        </w:rPr>
        <w:t>NDF</w:t>
      </w:r>
      <w:r w:rsidRPr="00CE232E">
        <w:rPr>
          <w:rFonts w:ascii="Times New Roman" w:hint="eastAsia"/>
          <w:sz w:val="24"/>
        </w:rPr>
        <w:t>越高，饲料采食量可能越低；</w:t>
      </w:r>
      <w:r w:rsidRPr="00CE232E">
        <w:rPr>
          <w:rFonts w:ascii="Times New Roman" w:hint="eastAsia"/>
          <w:sz w:val="24"/>
        </w:rPr>
        <w:t>ADF</w:t>
      </w:r>
      <w:r w:rsidRPr="00CE232E">
        <w:rPr>
          <w:rFonts w:ascii="Times New Roman" w:hint="eastAsia"/>
          <w:sz w:val="24"/>
        </w:rPr>
        <w:t>越高，可消化能越低。</w:t>
      </w:r>
    </w:p>
    <w:p w14:paraId="3A261573" w14:textId="77777777"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相对饲喂价值（</w:t>
      </w:r>
      <w:r w:rsidRPr="00CE232E">
        <w:rPr>
          <w:rFonts w:ascii="Times New Roman" w:hint="eastAsia"/>
          <w:sz w:val="24"/>
        </w:rPr>
        <w:t>RFV</w:t>
      </w:r>
      <w:r w:rsidRPr="00CE232E">
        <w:rPr>
          <w:rFonts w:ascii="Times New Roman" w:hint="eastAsia"/>
          <w:sz w:val="24"/>
        </w:rPr>
        <w:t>）是结合</w:t>
      </w:r>
      <w:r w:rsidRPr="00CE232E">
        <w:rPr>
          <w:rFonts w:ascii="Times New Roman" w:hint="eastAsia"/>
          <w:sz w:val="24"/>
        </w:rPr>
        <w:t>NDF</w:t>
      </w:r>
      <w:r w:rsidRPr="00CE232E">
        <w:rPr>
          <w:rFonts w:ascii="Times New Roman" w:hint="eastAsia"/>
          <w:sz w:val="24"/>
        </w:rPr>
        <w:t>和</w:t>
      </w:r>
      <w:r w:rsidRPr="00CE232E">
        <w:rPr>
          <w:rFonts w:ascii="Times New Roman" w:hint="eastAsia"/>
          <w:sz w:val="24"/>
        </w:rPr>
        <w:t>ADF</w:t>
      </w:r>
      <w:r w:rsidRPr="00CE232E">
        <w:rPr>
          <w:rFonts w:ascii="Times New Roman" w:hint="eastAsia"/>
          <w:sz w:val="24"/>
        </w:rPr>
        <w:t>计算的综合指标，用于快速评估饲草类饲料的综合利用效率。</w:t>
      </w:r>
      <w:r w:rsidRPr="00CE232E">
        <w:rPr>
          <w:rFonts w:ascii="Times New Roman" w:hint="eastAsia"/>
          <w:sz w:val="24"/>
        </w:rPr>
        <w:t>RFV</w:t>
      </w:r>
      <w:r w:rsidRPr="00CE232E">
        <w:rPr>
          <w:rFonts w:ascii="Times New Roman" w:hint="eastAsia"/>
          <w:sz w:val="24"/>
        </w:rPr>
        <w:t>的计算公式为：</w:t>
      </w:r>
    </w:p>
    <w:p w14:paraId="1AB53D22" w14:textId="2F676F1E" w:rsidR="00CE232E" w:rsidRDefault="00CE232E" w:rsidP="00CE232E">
      <w:pPr>
        <w:pStyle w:val="afa"/>
        <w:spacing w:line="360" w:lineRule="auto"/>
        <w:ind w:firstLine="480"/>
        <w:rPr>
          <w:rFonts w:ascii="Times New Roman"/>
          <w:sz w:val="24"/>
        </w:rPr>
      </w:pPr>
      <w:r w:rsidRPr="00CE232E">
        <w:rPr>
          <w:rFonts w:ascii="Times New Roman"/>
          <w:sz w:val="24"/>
        </w:rPr>
        <w:t>RFV=</w:t>
      </w:r>
      <w:r w:rsidRPr="00CE232E">
        <w:rPr>
          <w:rFonts w:ascii="Times New Roman"/>
          <w:sz w:val="24"/>
        </w:rPr>
        <w:t>干物质摄入量（</w:t>
      </w:r>
      <w:r w:rsidRPr="00CE232E">
        <w:rPr>
          <w:rFonts w:ascii="Times New Roman"/>
          <w:sz w:val="24"/>
        </w:rPr>
        <w:t>DMI</w:t>
      </w:r>
      <w:r w:rsidRPr="00CE232E">
        <w:rPr>
          <w:rFonts w:ascii="Times New Roman"/>
          <w:sz w:val="24"/>
        </w:rPr>
        <w:t>）</w:t>
      </w:r>
      <w:r>
        <w:rPr>
          <w:rFonts w:ascii="Times New Roman" w:hint="eastAsia"/>
          <w:sz w:val="24"/>
        </w:rPr>
        <w:t>/</w:t>
      </w:r>
      <w:r w:rsidRPr="00CE232E">
        <w:rPr>
          <w:rFonts w:ascii="Times New Roman"/>
          <w:sz w:val="24"/>
        </w:rPr>
        <w:t>消化率（</w:t>
      </w:r>
      <w:r w:rsidRPr="00CE232E">
        <w:rPr>
          <w:rFonts w:ascii="Times New Roman"/>
          <w:sz w:val="24"/>
        </w:rPr>
        <w:t>DDM</w:t>
      </w:r>
      <w:r w:rsidRPr="00CE232E">
        <w:rPr>
          <w:rFonts w:ascii="Times New Roman"/>
          <w:sz w:val="24"/>
        </w:rPr>
        <w:t>）</w:t>
      </w:r>
      <w:r w:rsidRPr="00CE232E">
        <w:rPr>
          <w:rFonts w:ascii="Times New Roman"/>
          <w:sz w:val="24"/>
        </w:rPr>
        <w:t>×0.775</w:t>
      </w:r>
    </w:p>
    <w:p w14:paraId="4FD56CC8" w14:textId="189355F7"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其中，</w:t>
      </w:r>
      <w:r w:rsidRPr="00CE232E">
        <w:rPr>
          <w:rFonts w:ascii="Times New Roman" w:hint="eastAsia"/>
          <w:sz w:val="24"/>
        </w:rPr>
        <w:t>DMI</w:t>
      </w:r>
      <w:r w:rsidRPr="00CE232E">
        <w:rPr>
          <w:rFonts w:ascii="Times New Roman" w:hint="eastAsia"/>
          <w:sz w:val="24"/>
        </w:rPr>
        <w:t>和</w:t>
      </w:r>
      <w:r w:rsidRPr="00CE232E">
        <w:rPr>
          <w:rFonts w:ascii="Times New Roman" w:hint="eastAsia"/>
          <w:sz w:val="24"/>
        </w:rPr>
        <w:t>DDM</w:t>
      </w:r>
      <w:r w:rsidRPr="00CE232E">
        <w:rPr>
          <w:rFonts w:ascii="Times New Roman" w:hint="eastAsia"/>
          <w:sz w:val="24"/>
        </w:rPr>
        <w:t>依赖于</w:t>
      </w:r>
      <w:r w:rsidRPr="00CE232E">
        <w:rPr>
          <w:rFonts w:ascii="Times New Roman" w:hint="eastAsia"/>
          <w:sz w:val="24"/>
        </w:rPr>
        <w:t>NDF</w:t>
      </w:r>
      <w:r w:rsidRPr="00CE232E">
        <w:rPr>
          <w:rFonts w:ascii="Times New Roman" w:hint="eastAsia"/>
          <w:sz w:val="24"/>
        </w:rPr>
        <w:t>与</w:t>
      </w:r>
      <w:r w:rsidRPr="00CE232E">
        <w:rPr>
          <w:rFonts w:ascii="Times New Roman" w:hint="eastAsia"/>
          <w:sz w:val="24"/>
        </w:rPr>
        <w:t>ADF</w:t>
      </w:r>
      <w:r w:rsidRPr="00CE232E">
        <w:rPr>
          <w:rFonts w:ascii="Times New Roman" w:hint="eastAsia"/>
          <w:sz w:val="24"/>
        </w:rPr>
        <w:t>的换算值，具体计算方法参照《</w:t>
      </w:r>
      <w:r w:rsidRPr="00CE232E">
        <w:rPr>
          <w:rFonts w:ascii="Times New Roman" w:hint="eastAsia"/>
          <w:sz w:val="24"/>
        </w:rPr>
        <w:t xml:space="preserve">NY/T 20891 </w:t>
      </w:r>
      <w:r w:rsidRPr="00CE232E">
        <w:rPr>
          <w:rFonts w:ascii="Times New Roman" w:hint="eastAsia"/>
          <w:sz w:val="24"/>
        </w:rPr>
        <w:t>饲草营养价值评价技术规范》。</w:t>
      </w:r>
      <w:r w:rsidRPr="00CE232E">
        <w:rPr>
          <w:rFonts w:ascii="Times New Roman" w:hint="eastAsia"/>
          <w:sz w:val="24"/>
        </w:rPr>
        <w:t>RFV</w:t>
      </w:r>
      <w:r w:rsidRPr="00CE232E">
        <w:rPr>
          <w:rFonts w:ascii="Times New Roman" w:hint="eastAsia"/>
          <w:sz w:val="24"/>
        </w:rPr>
        <w:t>可用于青贮饲料质量的分级划分。</w:t>
      </w:r>
    </w:p>
    <w:p w14:paraId="49BB26B2" w14:textId="77777777"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挥发性脂肪酸（</w:t>
      </w:r>
      <w:r w:rsidRPr="00CE232E">
        <w:rPr>
          <w:rFonts w:ascii="Times New Roman" w:hint="eastAsia"/>
          <w:sz w:val="24"/>
        </w:rPr>
        <w:t>VFA</w:t>
      </w:r>
      <w:r w:rsidRPr="00CE232E">
        <w:rPr>
          <w:rFonts w:ascii="Times New Roman" w:hint="eastAsia"/>
          <w:sz w:val="24"/>
        </w:rPr>
        <w:t>）是反映青贮发酵过程代谢产物的核心指标，包括乳酸、乙酸、丙酸、丁酸等。其测定采用气相色谱法进行。样品制备时按</w:t>
      </w:r>
      <w:r w:rsidRPr="00CE232E">
        <w:rPr>
          <w:rFonts w:ascii="Times New Roman" w:hint="eastAsia"/>
          <w:sz w:val="24"/>
        </w:rPr>
        <w:t>1:10</w:t>
      </w:r>
      <w:r w:rsidRPr="00CE232E">
        <w:rPr>
          <w:rFonts w:ascii="Times New Roman" w:hint="eastAsia"/>
          <w:sz w:val="24"/>
        </w:rPr>
        <w:t>质量比加入蒸馏水，使用匀浆机搅拌</w:t>
      </w:r>
      <w:r w:rsidRPr="00CE232E">
        <w:rPr>
          <w:rFonts w:ascii="Times New Roman" w:hint="eastAsia"/>
          <w:sz w:val="24"/>
        </w:rPr>
        <w:t>30</w:t>
      </w:r>
      <w:r w:rsidRPr="00CE232E">
        <w:rPr>
          <w:rFonts w:ascii="Times New Roman" w:hint="eastAsia"/>
          <w:sz w:val="24"/>
        </w:rPr>
        <w:t>秒，经定性滤纸过滤后取滤液，加入内标物并在色谱条件下进行分析。色谱仪要求具备火焰离子检测器（</w:t>
      </w:r>
      <w:r w:rsidRPr="00CE232E">
        <w:rPr>
          <w:rFonts w:ascii="Times New Roman" w:hint="eastAsia"/>
          <w:sz w:val="24"/>
        </w:rPr>
        <w:t>FID</w:t>
      </w:r>
      <w:r w:rsidRPr="00CE232E">
        <w:rPr>
          <w:rFonts w:ascii="Times New Roman" w:hint="eastAsia"/>
          <w:sz w:val="24"/>
        </w:rPr>
        <w:t>），并使用</w:t>
      </w:r>
      <w:r w:rsidRPr="00CE232E">
        <w:rPr>
          <w:rFonts w:ascii="Times New Roman" w:hint="eastAsia"/>
          <w:sz w:val="24"/>
        </w:rPr>
        <w:t>DB-FFAP</w:t>
      </w:r>
      <w:r w:rsidRPr="00CE232E">
        <w:rPr>
          <w:rFonts w:ascii="Times New Roman" w:hint="eastAsia"/>
          <w:sz w:val="24"/>
        </w:rPr>
        <w:t>等适用于短链脂肪酸分离的色谱柱，以获得高分辨率数据。</w:t>
      </w:r>
    </w:p>
    <w:p w14:paraId="41FF4C46" w14:textId="77777777" w:rsidR="00CE232E" w:rsidRPr="00CE232E" w:rsidRDefault="00CE232E" w:rsidP="00CE232E">
      <w:pPr>
        <w:pStyle w:val="afa"/>
        <w:spacing w:line="360" w:lineRule="auto"/>
        <w:ind w:firstLine="480"/>
        <w:rPr>
          <w:rFonts w:ascii="Times New Roman"/>
          <w:sz w:val="24"/>
        </w:rPr>
      </w:pPr>
      <w:proofErr w:type="gramStart"/>
      <w:r w:rsidRPr="00CE232E">
        <w:rPr>
          <w:rFonts w:ascii="Times New Roman" w:hint="eastAsia"/>
          <w:sz w:val="24"/>
        </w:rPr>
        <w:t>氨态氮</w:t>
      </w:r>
      <w:proofErr w:type="gramEnd"/>
      <w:r w:rsidRPr="00CE232E">
        <w:rPr>
          <w:rFonts w:ascii="Times New Roman" w:hint="eastAsia"/>
          <w:sz w:val="24"/>
        </w:rPr>
        <w:t>（</w:t>
      </w:r>
      <w:r w:rsidRPr="00CE232E">
        <w:rPr>
          <w:rFonts w:ascii="Times New Roman"/>
          <w:sz w:val="24"/>
        </w:rPr>
        <w:t>NH₃-N</w:t>
      </w:r>
      <w:r w:rsidRPr="00CE232E">
        <w:rPr>
          <w:rFonts w:ascii="Times New Roman" w:hint="eastAsia"/>
          <w:sz w:val="24"/>
        </w:rPr>
        <w:t>）是评估蛋白降解与发酵过程异常的关键指标。常用蒸馏</w:t>
      </w:r>
      <w:r w:rsidRPr="00CE232E">
        <w:rPr>
          <w:rFonts w:ascii="Times New Roman"/>
          <w:sz w:val="24"/>
        </w:rPr>
        <w:t>-</w:t>
      </w:r>
      <w:r w:rsidRPr="00CE232E">
        <w:rPr>
          <w:rFonts w:ascii="Times New Roman" w:hint="eastAsia"/>
          <w:sz w:val="24"/>
        </w:rPr>
        <w:t>滴定法或比色法进行检测，依据《</w:t>
      </w:r>
      <w:r w:rsidRPr="00CE232E">
        <w:rPr>
          <w:rFonts w:ascii="Times New Roman"/>
          <w:sz w:val="24"/>
        </w:rPr>
        <w:t xml:space="preserve">GB/T 21514 </w:t>
      </w:r>
      <w:r w:rsidRPr="00CE232E">
        <w:rPr>
          <w:rFonts w:ascii="Times New Roman" w:hint="eastAsia"/>
          <w:sz w:val="24"/>
        </w:rPr>
        <w:t>饲料中氨态氮的测定》执行。前者通过</w:t>
      </w:r>
      <w:proofErr w:type="gramStart"/>
      <w:r w:rsidRPr="00CE232E">
        <w:rPr>
          <w:rFonts w:ascii="Times New Roman" w:hint="eastAsia"/>
          <w:sz w:val="24"/>
        </w:rPr>
        <w:t>凯氏定氮仪</w:t>
      </w:r>
      <w:proofErr w:type="gramEnd"/>
      <w:r w:rsidRPr="00CE232E">
        <w:rPr>
          <w:rFonts w:ascii="Times New Roman" w:hint="eastAsia"/>
          <w:sz w:val="24"/>
        </w:rPr>
        <w:t>进行蒸馏捕集后滴定计算；后者采用比色法试剂盒，在分光光度计下进行定量分析，操作简便、灵敏度高。</w:t>
      </w:r>
    </w:p>
    <w:p w14:paraId="692FF991" w14:textId="063BAE85"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发酵品质综合分值是对青贮发酵效果进行多因子评价的结果，通常包括</w:t>
      </w:r>
      <w:r w:rsidRPr="00CE232E">
        <w:rPr>
          <w:rFonts w:ascii="Times New Roman"/>
          <w:sz w:val="24"/>
        </w:rPr>
        <w:t xml:space="preserve"> pH</w:t>
      </w:r>
      <w:r w:rsidRPr="00CE232E">
        <w:rPr>
          <w:rFonts w:ascii="Times New Roman" w:hint="eastAsia"/>
          <w:sz w:val="24"/>
        </w:rPr>
        <w:t>、乳酸含量、乙酸</w:t>
      </w:r>
      <w:r w:rsidRPr="00CE232E">
        <w:rPr>
          <w:rFonts w:ascii="Times New Roman"/>
          <w:sz w:val="24"/>
        </w:rPr>
        <w:t>/</w:t>
      </w:r>
      <w:r w:rsidRPr="00CE232E">
        <w:rPr>
          <w:rFonts w:ascii="Times New Roman" w:hint="eastAsia"/>
          <w:sz w:val="24"/>
        </w:rPr>
        <w:t>乳酸比、丁酸、</w:t>
      </w:r>
      <w:r w:rsidRPr="00CE232E">
        <w:rPr>
          <w:rFonts w:ascii="Times New Roman"/>
          <w:sz w:val="24"/>
        </w:rPr>
        <w:t>NH₃-N</w:t>
      </w:r>
      <w:r w:rsidRPr="00CE232E">
        <w:rPr>
          <w:rFonts w:ascii="Times New Roman" w:hint="eastAsia"/>
          <w:sz w:val="24"/>
        </w:rPr>
        <w:t>等关键指标，并根据设定权重进行加权评分。此类评价常参考《</w:t>
      </w:r>
      <w:r w:rsidRPr="00CE232E">
        <w:rPr>
          <w:rFonts w:ascii="Times New Roman"/>
          <w:sz w:val="24"/>
        </w:rPr>
        <w:t xml:space="preserve">NY/T 2697—2015 </w:t>
      </w:r>
      <w:r w:rsidRPr="00CE232E">
        <w:rPr>
          <w:rFonts w:ascii="Times New Roman" w:hint="eastAsia"/>
          <w:sz w:val="24"/>
        </w:rPr>
        <w:t>饲草青贮品质评价方法》设定的评分系统，总分一般在</w:t>
      </w:r>
      <w:r w:rsidRPr="00CE232E">
        <w:rPr>
          <w:rFonts w:ascii="Times New Roman"/>
          <w:sz w:val="24"/>
        </w:rPr>
        <w:t>100</w:t>
      </w:r>
      <w:r w:rsidRPr="00CE232E">
        <w:rPr>
          <w:rFonts w:ascii="Times New Roman" w:hint="eastAsia"/>
          <w:sz w:val="24"/>
        </w:rPr>
        <w:t>分制范围内，分为优秀、良好、中等、差等等级，用于指导青贮饲料的分级使用。</w:t>
      </w:r>
    </w:p>
    <w:p w14:paraId="620DD447" w14:textId="77777777" w:rsidR="00CE232E" w:rsidRPr="00CE232E" w:rsidRDefault="00CE232E" w:rsidP="00CE232E">
      <w:pPr>
        <w:pStyle w:val="afa"/>
        <w:spacing w:line="360" w:lineRule="auto"/>
        <w:ind w:firstLine="480"/>
        <w:rPr>
          <w:rFonts w:ascii="Times New Roman"/>
          <w:sz w:val="24"/>
        </w:rPr>
      </w:pPr>
      <w:r w:rsidRPr="00CE232E">
        <w:rPr>
          <w:rFonts w:ascii="Times New Roman" w:hint="eastAsia"/>
          <w:sz w:val="24"/>
        </w:rPr>
        <w:t>卫生指标检测包括霉菌毒素（如黄曲霉毒素</w:t>
      </w:r>
      <w:r w:rsidRPr="00CE232E">
        <w:rPr>
          <w:rFonts w:ascii="Times New Roman"/>
          <w:sz w:val="24"/>
        </w:rPr>
        <w:t>B₁</w:t>
      </w:r>
      <w:r w:rsidRPr="00CE232E">
        <w:rPr>
          <w:rFonts w:ascii="Times New Roman" w:hint="eastAsia"/>
          <w:sz w:val="24"/>
        </w:rPr>
        <w:t>）、大肠菌群、沙门氏菌、杂菌总数等微生物安全和毒理风险项目。检测方法应分别依据《</w:t>
      </w:r>
      <w:r w:rsidRPr="00CE232E">
        <w:rPr>
          <w:rFonts w:ascii="Times New Roman"/>
          <w:sz w:val="24"/>
        </w:rPr>
        <w:t xml:space="preserve">GB 13078 </w:t>
      </w:r>
      <w:r w:rsidRPr="00CE232E">
        <w:rPr>
          <w:rFonts w:ascii="Times New Roman" w:hint="eastAsia"/>
          <w:sz w:val="24"/>
        </w:rPr>
        <w:t>饲料卫生标准》《</w:t>
      </w:r>
      <w:r w:rsidRPr="00CE232E">
        <w:rPr>
          <w:rFonts w:ascii="Times New Roman"/>
          <w:sz w:val="24"/>
        </w:rPr>
        <w:t xml:space="preserve">GB/T 13091 </w:t>
      </w:r>
      <w:r w:rsidRPr="00CE232E">
        <w:rPr>
          <w:rFonts w:ascii="Times New Roman" w:hint="eastAsia"/>
          <w:sz w:val="24"/>
        </w:rPr>
        <w:t>饲料中黄曲霉毒素</w:t>
      </w:r>
      <w:r w:rsidRPr="00CE232E">
        <w:rPr>
          <w:rFonts w:ascii="Times New Roman"/>
          <w:sz w:val="24"/>
        </w:rPr>
        <w:t>B₁</w:t>
      </w:r>
      <w:r w:rsidRPr="00CE232E">
        <w:rPr>
          <w:rFonts w:ascii="Times New Roman" w:hint="eastAsia"/>
          <w:sz w:val="24"/>
        </w:rPr>
        <w:t>的测定》和《</w:t>
      </w:r>
      <w:r w:rsidRPr="00CE232E">
        <w:rPr>
          <w:rFonts w:ascii="Times New Roman"/>
          <w:sz w:val="24"/>
        </w:rPr>
        <w:t xml:space="preserve">GB/T 14699.1 </w:t>
      </w:r>
      <w:r w:rsidRPr="00CE232E">
        <w:rPr>
          <w:rFonts w:ascii="Times New Roman" w:hint="eastAsia"/>
          <w:sz w:val="24"/>
        </w:rPr>
        <w:t>饲料卫生微生物学检验方法》等国家标准开展。样品须冷藏运输，采样点需避开青贮边缘或表面层，确保样品不受外源污染。部分高风险项目建议</w:t>
      </w:r>
      <w:proofErr w:type="gramStart"/>
      <w:r w:rsidRPr="00CE232E">
        <w:rPr>
          <w:rFonts w:ascii="Times New Roman" w:hint="eastAsia"/>
          <w:sz w:val="24"/>
        </w:rPr>
        <w:t>送具有</w:t>
      </w:r>
      <w:proofErr w:type="gramEnd"/>
      <w:r w:rsidRPr="00CE232E">
        <w:rPr>
          <w:rFonts w:ascii="Times New Roman"/>
          <w:sz w:val="24"/>
        </w:rPr>
        <w:t>CMA</w:t>
      </w:r>
      <w:r w:rsidRPr="00CE232E">
        <w:rPr>
          <w:rFonts w:ascii="Times New Roman" w:hint="eastAsia"/>
          <w:sz w:val="24"/>
        </w:rPr>
        <w:t>资质的第三方实验室进行检测复核，以确保数据准确可靠。</w:t>
      </w:r>
    </w:p>
    <w:p w14:paraId="76678E44" w14:textId="4FE55B24" w:rsidR="00E53C44" w:rsidRDefault="00CE232E" w:rsidP="00CE232E">
      <w:pPr>
        <w:pStyle w:val="afa"/>
        <w:spacing w:line="360" w:lineRule="auto"/>
        <w:ind w:firstLine="480"/>
        <w:rPr>
          <w:rFonts w:ascii="Times New Roman"/>
          <w:sz w:val="24"/>
        </w:rPr>
      </w:pPr>
      <w:r w:rsidRPr="00CE232E">
        <w:rPr>
          <w:rFonts w:ascii="Times New Roman" w:hint="eastAsia"/>
          <w:sz w:val="24"/>
        </w:rPr>
        <w:t>综上所述，青贮饲料的关键质量指标检测涵盖理化营养、发酵特征与安全性评估等全流程环节，所有操作应基于标准方法与规范程序进行，所用设备需满足《</w:t>
      </w:r>
      <w:r w:rsidRPr="00CE232E">
        <w:rPr>
          <w:rFonts w:ascii="Times New Roman" w:hint="eastAsia"/>
          <w:sz w:val="24"/>
        </w:rPr>
        <w:t>GB/T 6432</w:t>
      </w:r>
      <w:r w:rsidRPr="00CE232E">
        <w:rPr>
          <w:rFonts w:ascii="Times New Roman" w:hint="eastAsia"/>
          <w:sz w:val="24"/>
        </w:rPr>
        <w:t>》《</w:t>
      </w:r>
      <w:r w:rsidRPr="00CE232E">
        <w:rPr>
          <w:rFonts w:ascii="Times New Roman" w:hint="eastAsia"/>
          <w:sz w:val="24"/>
        </w:rPr>
        <w:t>NY/T 821</w:t>
      </w:r>
      <w:r w:rsidRPr="00CE232E">
        <w:rPr>
          <w:rFonts w:ascii="Times New Roman" w:hint="eastAsia"/>
          <w:sz w:val="24"/>
        </w:rPr>
        <w:t>》《</w:t>
      </w:r>
      <w:r w:rsidRPr="00CE232E">
        <w:rPr>
          <w:rFonts w:ascii="Times New Roman" w:hint="eastAsia"/>
          <w:sz w:val="24"/>
        </w:rPr>
        <w:t>GB/T 20806</w:t>
      </w:r>
      <w:r w:rsidRPr="00CE232E">
        <w:rPr>
          <w:rFonts w:ascii="Times New Roman" w:hint="eastAsia"/>
          <w:sz w:val="24"/>
        </w:rPr>
        <w:t>》《</w:t>
      </w:r>
      <w:r w:rsidRPr="00CE232E">
        <w:rPr>
          <w:rFonts w:ascii="Times New Roman" w:hint="eastAsia"/>
          <w:sz w:val="24"/>
        </w:rPr>
        <w:t>NY/T 2697</w:t>
      </w:r>
      <w:r w:rsidRPr="00CE232E">
        <w:rPr>
          <w:rFonts w:ascii="Times New Roman" w:hint="eastAsia"/>
          <w:sz w:val="24"/>
        </w:rPr>
        <w:t>》等引用文件中关于检测准确性和精密度的技术要求，以确保《青贮饲料质量评定及分级技术规程》的实用性与权威性。</w:t>
      </w:r>
      <w:r w:rsidR="00E53C44">
        <w:rPr>
          <w:rFonts w:ascii="Times New Roman" w:hint="eastAsia"/>
          <w:sz w:val="24"/>
        </w:rPr>
        <w:t>。</w:t>
      </w:r>
    </w:p>
    <w:p w14:paraId="7DC9B66B" w14:textId="58EB245E" w:rsidR="00E53C44" w:rsidRDefault="00E53C44" w:rsidP="00E53C44">
      <w:pPr>
        <w:pStyle w:val="afa"/>
        <w:spacing w:line="360" w:lineRule="auto"/>
        <w:ind w:firstLine="480"/>
        <w:rPr>
          <w:rFonts w:ascii="Times New Roman"/>
          <w:sz w:val="24"/>
        </w:rPr>
      </w:pPr>
      <w:r>
        <w:rPr>
          <w:rFonts w:ascii="Times New Roman" w:hint="eastAsia"/>
          <w:sz w:val="24"/>
        </w:rPr>
        <w:t>（</w:t>
      </w:r>
      <w:r w:rsidR="00CE232E">
        <w:rPr>
          <w:rFonts w:ascii="Times New Roman" w:hint="eastAsia"/>
          <w:sz w:val="24"/>
        </w:rPr>
        <w:t>3</w:t>
      </w:r>
      <w:r>
        <w:rPr>
          <w:rFonts w:ascii="Times New Roman" w:hint="eastAsia"/>
          <w:sz w:val="24"/>
        </w:rPr>
        <w:t>）品质分级</w:t>
      </w:r>
    </w:p>
    <w:p w14:paraId="1A28EA1F" w14:textId="73402C18" w:rsidR="0079459F" w:rsidRDefault="0024269D" w:rsidP="0079459F">
      <w:pPr>
        <w:pStyle w:val="afa"/>
        <w:spacing w:line="360" w:lineRule="auto"/>
        <w:ind w:firstLine="480"/>
        <w:rPr>
          <w:rFonts w:ascii="Times New Roman"/>
          <w:sz w:val="24"/>
        </w:rPr>
      </w:pPr>
      <w:r w:rsidRPr="0024269D">
        <w:rPr>
          <w:rFonts w:ascii="Times New Roman" w:hint="eastAsia"/>
          <w:sz w:val="24"/>
        </w:rPr>
        <w:t>在质量指标方面，青贮饲料分级评定主要依据干物质（</w:t>
      </w:r>
      <w:r w:rsidRPr="0024269D">
        <w:rPr>
          <w:rFonts w:ascii="Times New Roman"/>
          <w:sz w:val="24"/>
        </w:rPr>
        <w:t>DM</w:t>
      </w:r>
      <w:r w:rsidRPr="0024269D">
        <w:rPr>
          <w:rFonts w:ascii="Times New Roman" w:hint="eastAsia"/>
          <w:sz w:val="24"/>
        </w:rPr>
        <w:t>）、中性洗涤纤维（</w:t>
      </w:r>
      <w:r w:rsidRPr="0024269D">
        <w:rPr>
          <w:rFonts w:ascii="Times New Roman"/>
          <w:sz w:val="24"/>
        </w:rPr>
        <w:t>NDF</w:t>
      </w:r>
      <w:r w:rsidRPr="0024269D">
        <w:rPr>
          <w:rFonts w:ascii="Times New Roman" w:hint="eastAsia"/>
          <w:sz w:val="24"/>
        </w:rPr>
        <w:t>）、酸性洗涤纤维（</w:t>
      </w:r>
      <w:r w:rsidRPr="0024269D">
        <w:rPr>
          <w:rFonts w:ascii="Times New Roman"/>
          <w:sz w:val="24"/>
        </w:rPr>
        <w:t>ADF</w:t>
      </w:r>
      <w:r w:rsidRPr="0024269D">
        <w:rPr>
          <w:rFonts w:ascii="Times New Roman" w:hint="eastAsia"/>
          <w:sz w:val="24"/>
        </w:rPr>
        <w:t>）、相对饲喂价值（</w:t>
      </w:r>
      <w:r w:rsidRPr="0024269D">
        <w:rPr>
          <w:rFonts w:ascii="Times New Roman"/>
          <w:sz w:val="24"/>
        </w:rPr>
        <w:t>RFV</w:t>
      </w:r>
      <w:r w:rsidRPr="0024269D">
        <w:rPr>
          <w:rFonts w:ascii="Times New Roman" w:hint="eastAsia"/>
          <w:sz w:val="24"/>
        </w:rPr>
        <w:t>）、</w:t>
      </w:r>
      <w:r w:rsidR="0079459F" w:rsidRPr="0079459F">
        <w:rPr>
          <w:rFonts w:ascii="Times New Roman" w:hint="eastAsia"/>
          <w:sz w:val="24"/>
        </w:rPr>
        <w:t>发酵品质综合分值</w:t>
      </w:r>
      <w:r w:rsidRPr="0024269D">
        <w:rPr>
          <w:rFonts w:ascii="Times New Roman" w:hint="eastAsia"/>
          <w:sz w:val="24"/>
        </w:rPr>
        <w:t>等指标进行综合评价。各项指标采用标准化检测方法进行量化表达，依据数值区间设定明确分级阈值。</w:t>
      </w:r>
      <w:r w:rsidR="0079459F">
        <w:rPr>
          <w:rFonts w:ascii="Times New Roman" w:hint="eastAsia"/>
          <w:sz w:val="24"/>
        </w:rPr>
        <w:t>详细青贮饲料质量分级见表</w:t>
      </w:r>
      <w:r w:rsidR="0079459F">
        <w:rPr>
          <w:rFonts w:ascii="Times New Roman" w:hint="eastAsia"/>
          <w:sz w:val="24"/>
        </w:rPr>
        <w:t>1</w:t>
      </w:r>
      <w:r w:rsidR="0079459F">
        <w:rPr>
          <w:rFonts w:ascii="Times New Roman" w:hint="eastAsia"/>
          <w:sz w:val="24"/>
        </w:rPr>
        <w:t>。</w:t>
      </w:r>
    </w:p>
    <w:p w14:paraId="2EAA684D" w14:textId="77777777" w:rsidR="0079459F" w:rsidRDefault="0079459F" w:rsidP="0079459F">
      <w:pPr>
        <w:spacing w:beforeLines="50" w:before="156" w:afterLines="50" w:after="156"/>
        <w:jc w:val="center"/>
        <w:rPr>
          <w:sz w:val="24"/>
        </w:rPr>
      </w:pPr>
      <w:r>
        <w:rPr>
          <w:rFonts w:hint="eastAsia"/>
          <w:sz w:val="24"/>
        </w:rPr>
        <w:t>表</w:t>
      </w:r>
      <w:r>
        <w:rPr>
          <w:rFonts w:hint="eastAsia"/>
          <w:sz w:val="24"/>
        </w:rPr>
        <w:t>1</w:t>
      </w:r>
      <w:r>
        <w:rPr>
          <w:rFonts w:hint="eastAsia"/>
          <w:sz w:val="24"/>
        </w:rPr>
        <w:t>青贮饲料质量分级</w:t>
      </w:r>
    </w:p>
    <w:tbl>
      <w:tblPr>
        <w:tblW w:w="0" w:type="auto"/>
        <w:tblInd w:w="-459" w:type="dxa"/>
        <w:tblBorders>
          <w:top w:val="single" w:sz="12" w:space="0" w:color="auto"/>
          <w:bottom w:val="single" w:sz="12" w:space="0" w:color="auto"/>
        </w:tblBorders>
        <w:tblLook w:val="0000" w:firstRow="0" w:lastRow="0" w:firstColumn="0" w:lastColumn="0" w:noHBand="0" w:noVBand="0"/>
      </w:tblPr>
      <w:tblGrid>
        <w:gridCol w:w="2032"/>
        <w:gridCol w:w="1433"/>
        <w:gridCol w:w="1433"/>
        <w:gridCol w:w="1433"/>
        <w:gridCol w:w="1325"/>
        <w:gridCol w:w="1325"/>
      </w:tblGrid>
      <w:tr w:rsidR="0079459F" w14:paraId="51205DFE" w14:textId="77777777" w:rsidTr="005F6747">
        <w:tc>
          <w:tcPr>
            <w:tcW w:w="2032" w:type="dxa"/>
            <w:vMerge w:val="restart"/>
            <w:vAlign w:val="center"/>
          </w:tcPr>
          <w:p w14:paraId="5A701EEC" w14:textId="77777777" w:rsidR="0079459F" w:rsidRDefault="0079459F" w:rsidP="005F6747">
            <w:pPr>
              <w:spacing w:line="360" w:lineRule="auto"/>
              <w:jc w:val="center"/>
              <w:rPr>
                <w:sz w:val="24"/>
              </w:rPr>
            </w:pPr>
            <w:r>
              <w:rPr>
                <w:rFonts w:hint="eastAsia"/>
                <w:sz w:val="24"/>
              </w:rPr>
              <w:t>项目</w:t>
            </w:r>
          </w:p>
        </w:tc>
        <w:tc>
          <w:tcPr>
            <w:tcW w:w="6949" w:type="dxa"/>
            <w:gridSpan w:val="5"/>
            <w:tcBorders>
              <w:bottom w:val="single" w:sz="4" w:space="0" w:color="auto"/>
            </w:tcBorders>
            <w:vAlign w:val="center"/>
          </w:tcPr>
          <w:p w14:paraId="1A5F327B" w14:textId="77777777" w:rsidR="0079459F" w:rsidRDefault="0079459F" w:rsidP="005F6747">
            <w:pPr>
              <w:spacing w:line="360" w:lineRule="auto"/>
              <w:jc w:val="center"/>
              <w:rPr>
                <w:szCs w:val="21"/>
              </w:rPr>
            </w:pPr>
            <w:r>
              <w:rPr>
                <w:rFonts w:hint="eastAsia"/>
                <w:szCs w:val="21"/>
              </w:rPr>
              <w:t>等级</w:t>
            </w:r>
          </w:p>
        </w:tc>
      </w:tr>
      <w:tr w:rsidR="0079459F" w14:paraId="6729D777" w14:textId="77777777" w:rsidTr="005F6747">
        <w:tc>
          <w:tcPr>
            <w:tcW w:w="2032" w:type="dxa"/>
            <w:vMerge/>
            <w:tcBorders>
              <w:bottom w:val="single" w:sz="12" w:space="0" w:color="auto"/>
            </w:tcBorders>
            <w:vAlign w:val="center"/>
          </w:tcPr>
          <w:p w14:paraId="61C2B3C9" w14:textId="77777777" w:rsidR="0079459F" w:rsidRDefault="0079459F" w:rsidP="005F6747">
            <w:pPr>
              <w:spacing w:line="360" w:lineRule="auto"/>
              <w:jc w:val="center"/>
              <w:rPr>
                <w:sz w:val="24"/>
              </w:rPr>
            </w:pPr>
          </w:p>
        </w:tc>
        <w:tc>
          <w:tcPr>
            <w:tcW w:w="1433" w:type="dxa"/>
            <w:tcBorders>
              <w:top w:val="single" w:sz="4" w:space="0" w:color="auto"/>
              <w:bottom w:val="single" w:sz="12" w:space="0" w:color="auto"/>
            </w:tcBorders>
            <w:vAlign w:val="center"/>
          </w:tcPr>
          <w:p w14:paraId="0578100C" w14:textId="77777777" w:rsidR="0079459F" w:rsidRDefault="0079459F" w:rsidP="005F6747">
            <w:pPr>
              <w:spacing w:line="360" w:lineRule="auto"/>
              <w:jc w:val="center"/>
              <w:rPr>
                <w:szCs w:val="21"/>
              </w:rPr>
            </w:pPr>
            <w:r>
              <w:rPr>
                <w:rFonts w:hint="eastAsia"/>
                <w:szCs w:val="21"/>
              </w:rPr>
              <w:t>一级</w:t>
            </w:r>
          </w:p>
        </w:tc>
        <w:tc>
          <w:tcPr>
            <w:tcW w:w="1433" w:type="dxa"/>
            <w:tcBorders>
              <w:top w:val="single" w:sz="4" w:space="0" w:color="auto"/>
              <w:bottom w:val="single" w:sz="12" w:space="0" w:color="auto"/>
            </w:tcBorders>
            <w:vAlign w:val="center"/>
          </w:tcPr>
          <w:p w14:paraId="6A0C50A8" w14:textId="77777777" w:rsidR="0079459F" w:rsidRDefault="0079459F" w:rsidP="005F6747">
            <w:pPr>
              <w:spacing w:line="360" w:lineRule="auto"/>
              <w:jc w:val="center"/>
              <w:rPr>
                <w:szCs w:val="21"/>
              </w:rPr>
            </w:pPr>
            <w:r>
              <w:rPr>
                <w:rFonts w:hint="eastAsia"/>
                <w:szCs w:val="21"/>
              </w:rPr>
              <w:t>二级</w:t>
            </w:r>
          </w:p>
        </w:tc>
        <w:tc>
          <w:tcPr>
            <w:tcW w:w="1433" w:type="dxa"/>
            <w:tcBorders>
              <w:top w:val="single" w:sz="4" w:space="0" w:color="auto"/>
              <w:bottom w:val="single" w:sz="12" w:space="0" w:color="auto"/>
            </w:tcBorders>
            <w:vAlign w:val="center"/>
          </w:tcPr>
          <w:p w14:paraId="757F34FD" w14:textId="77777777" w:rsidR="0079459F" w:rsidRDefault="0079459F" w:rsidP="005F6747">
            <w:pPr>
              <w:spacing w:line="360" w:lineRule="auto"/>
              <w:jc w:val="center"/>
              <w:rPr>
                <w:szCs w:val="21"/>
              </w:rPr>
            </w:pPr>
            <w:r>
              <w:rPr>
                <w:rFonts w:hint="eastAsia"/>
                <w:szCs w:val="21"/>
              </w:rPr>
              <w:t>三级</w:t>
            </w:r>
          </w:p>
        </w:tc>
        <w:tc>
          <w:tcPr>
            <w:tcW w:w="1325" w:type="dxa"/>
            <w:tcBorders>
              <w:top w:val="single" w:sz="4" w:space="0" w:color="auto"/>
              <w:bottom w:val="single" w:sz="12" w:space="0" w:color="auto"/>
            </w:tcBorders>
          </w:tcPr>
          <w:p w14:paraId="2C20C6B2" w14:textId="77777777" w:rsidR="0079459F" w:rsidRDefault="0079459F" w:rsidP="005F6747">
            <w:pPr>
              <w:spacing w:line="360" w:lineRule="auto"/>
              <w:jc w:val="center"/>
              <w:rPr>
                <w:szCs w:val="21"/>
              </w:rPr>
            </w:pPr>
            <w:r>
              <w:rPr>
                <w:rFonts w:hint="eastAsia"/>
                <w:szCs w:val="21"/>
              </w:rPr>
              <w:t>四级</w:t>
            </w:r>
          </w:p>
        </w:tc>
        <w:tc>
          <w:tcPr>
            <w:tcW w:w="1325" w:type="dxa"/>
            <w:tcBorders>
              <w:top w:val="single" w:sz="4" w:space="0" w:color="auto"/>
              <w:bottom w:val="single" w:sz="12" w:space="0" w:color="auto"/>
            </w:tcBorders>
          </w:tcPr>
          <w:p w14:paraId="00736D04" w14:textId="77777777" w:rsidR="0079459F" w:rsidRDefault="0079459F" w:rsidP="005F6747">
            <w:pPr>
              <w:spacing w:line="360" w:lineRule="auto"/>
              <w:jc w:val="center"/>
              <w:rPr>
                <w:szCs w:val="21"/>
              </w:rPr>
            </w:pPr>
            <w:r>
              <w:rPr>
                <w:rFonts w:hint="eastAsia"/>
                <w:szCs w:val="21"/>
              </w:rPr>
              <w:t>五级</w:t>
            </w:r>
          </w:p>
        </w:tc>
      </w:tr>
      <w:tr w:rsidR="0079459F" w14:paraId="01A11A76" w14:textId="77777777" w:rsidTr="005F6747">
        <w:tc>
          <w:tcPr>
            <w:tcW w:w="2032" w:type="dxa"/>
            <w:vAlign w:val="center"/>
          </w:tcPr>
          <w:p w14:paraId="4B3BE618" w14:textId="77777777" w:rsidR="0079459F" w:rsidRDefault="0079459F" w:rsidP="005F6747">
            <w:pPr>
              <w:spacing w:line="360" w:lineRule="auto"/>
              <w:jc w:val="center"/>
              <w:rPr>
                <w:szCs w:val="21"/>
              </w:rPr>
            </w:pPr>
            <w:r>
              <w:rPr>
                <w:rFonts w:hint="eastAsia"/>
                <w:szCs w:val="21"/>
              </w:rPr>
              <w:t>干物质（</w:t>
            </w:r>
            <w:r>
              <w:rPr>
                <w:rFonts w:hint="eastAsia"/>
                <w:szCs w:val="21"/>
              </w:rPr>
              <w:t>%</w:t>
            </w:r>
            <w:r>
              <w:rPr>
                <w:rFonts w:hint="eastAsia"/>
                <w:szCs w:val="21"/>
              </w:rPr>
              <w:t>）</w:t>
            </w:r>
          </w:p>
        </w:tc>
        <w:tc>
          <w:tcPr>
            <w:tcW w:w="1433" w:type="dxa"/>
            <w:vAlign w:val="center"/>
          </w:tcPr>
          <w:p w14:paraId="53F7014E" w14:textId="77777777" w:rsidR="0079459F" w:rsidRDefault="0079459F" w:rsidP="005F6747">
            <w:pPr>
              <w:spacing w:line="360" w:lineRule="auto"/>
              <w:jc w:val="center"/>
              <w:rPr>
                <w:szCs w:val="21"/>
              </w:rPr>
            </w:pPr>
            <w:r>
              <w:rPr>
                <w:rFonts w:hint="eastAsia"/>
                <w:szCs w:val="21"/>
              </w:rPr>
              <w:t>≥</w:t>
            </w:r>
            <w:r>
              <w:rPr>
                <w:szCs w:val="21"/>
              </w:rPr>
              <w:t>30</w:t>
            </w:r>
          </w:p>
        </w:tc>
        <w:tc>
          <w:tcPr>
            <w:tcW w:w="1433" w:type="dxa"/>
            <w:vAlign w:val="center"/>
          </w:tcPr>
          <w:p w14:paraId="45F9FE54" w14:textId="77777777" w:rsidR="0079459F" w:rsidRDefault="0079459F" w:rsidP="005F6747">
            <w:pPr>
              <w:spacing w:line="360" w:lineRule="auto"/>
              <w:jc w:val="center"/>
              <w:rPr>
                <w:szCs w:val="21"/>
              </w:rPr>
            </w:pPr>
            <w:r>
              <w:rPr>
                <w:rFonts w:hint="eastAsia"/>
                <w:szCs w:val="21"/>
              </w:rPr>
              <w:t>≥</w:t>
            </w:r>
            <w:r>
              <w:rPr>
                <w:rFonts w:hint="eastAsia"/>
                <w:szCs w:val="21"/>
              </w:rPr>
              <w:t xml:space="preserve"> 25</w:t>
            </w:r>
          </w:p>
        </w:tc>
        <w:tc>
          <w:tcPr>
            <w:tcW w:w="1433" w:type="dxa"/>
            <w:vAlign w:val="center"/>
          </w:tcPr>
          <w:p w14:paraId="229EB30F" w14:textId="77777777" w:rsidR="0079459F" w:rsidRDefault="0079459F" w:rsidP="005F6747">
            <w:pPr>
              <w:spacing w:line="360" w:lineRule="auto"/>
              <w:jc w:val="center"/>
              <w:rPr>
                <w:szCs w:val="21"/>
              </w:rPr>
            </w:pPr>
            <w:r>
              <w:rPr>
                <w:rFonts w:hint="eastAsia"/>
                <w:szCs w:val="21"/>
              </w:rPr>
              <w:t>≥</w:t>
            </w:r>
            <w:r>
              <w:rPr>
                <w:rFonts w:hint="eastAsia"/>
                <w:szCs w:val="21"/>
              </w:rPr>
              <w:t xml:space="preserve"> </w:t>
            </w:r>
            <w:r>
              <w:rPr>
                <w:szCs w:val="21"/>
              </w:rPr>
              <w:t>20</w:t>
            </w:r>
          </w:p>
        </w:tc>
        <w:tc>
          <w:tcPr>
            <w:tcW w:w="1325" w:type="dxa"/>
            <w:vAlign w:val="center"/>
          </w:tcPr>
          <w:p w14:paraId="3D48186C" w14:textId="77777777" w:rsidR="0079459F" w:rsidRDefault="0079459F" w:rsidP="005F6747">
            <w:pPr>
              <w:spacing w:line="360" w:lineRule="auto"/>
              <w:jc w:val="center"/>
              <w:rPr>
                <w:szCs w:val="21"/>
              </w:rPr>
            </w:pPr>
            <w:r>
              <w:rPr>
                <w:rFonts w:hint="eastAsia"/>
                <w:szCs w:val="21"/>
              </w:rPr>
              <w:t>≥</w:t>
            </w:r>
            <w:r>
              <w:rPr>
                <w:rFonts w:hint="eastAsia"/>
                <w:szCs w:val="21"/>
              </w:rPr>
              <w:t xml:space="preserve"> </w:t>
            </w:r>
            <w:r>
              <w:rPr>
                <w:szCs w:val="21"/>
              </w:rPr>
              <w:t>15</w:t>
            </w:r>
          </w:p>
        </w:tc>
        <w:tc>
          <w:tcPr>
            <w:tcW w:w="1325" w:type="dxa"/>
            <w:vAlign w:val="center"/>
          </w:tcPr>
          <w:p w14:paraId="11DDB623" w14:textId="77777777" w:rsidR="0079459F" w:rsidRDefault="0079459F" w:rsidP="005F6747">
            <w:pPr>
              <w:spacing w:line="360" w:lineRule="auto"/>
              <w:jc w:val="center"/>
              <w:rPr>
                <w:szCs w:val="21"/>
              </w:rPr>
            </w:pPr>
            <w:r>
              <w:rPr>
                <w:rFonts w:hint="eastAsia"/>
                <w:szCs w:val="21"/>
              </w:rPr>
              <w:t>≤</w:t>
            </w:r>
            <w:r>
              <w:rPr>
                <w:rFonts w:hint="eastAsia"/>
                <w:szCs w:val="21"/>
              </w:rPr>
              <w:t xml:space="preserve"> </w:t>
            </w:r>
            <w:r>
              <w:rPr>
                <w:szCs w:val="21"/>
              </w:rPr>
              <w:t>14</w:t>
            </w:r>
          </w:p>
        </w:tc>
      </w:tr>
      <w:tr w:rsidR="0079459F" w14:paraId="467A4E12" w14:textId="77777777" w:rsidTr="005F6747">
        <w:tc>
          <w:tcPr>
            <w:tcW w:w="2032" w:type="dxa"/>
            <w:vAlign w:val="center"/>
          </w:tcPr>
          <w:p w14:paraId="1C80C7C2" w14:textId="77777777" w:rsidR="0079459F" w:rsidRDefault="0079459F" w:rsidP="005F6747">
            <w:pPr>
              <w:spacing w:line="360" w:lineRule="auto"/>
              <w:jc w:val="center"/>
              <w:rPr>
                <w:szCs w:val="21"/>
              </w:rPr>
            </w:pPr>
            <w:r>
              <w:rPr>
                <w:rFonts w:hint="eastAsia"/>
                <w:szCs w:val="21"/>
              </w:rPr>
              <w:t>中性洗涤纤维（</w:t>
            </w:r>
            <w:r>
              <w:rPr>
                <w:rFonts w:hint="eastAsia"/>
                <w:szCs w:val="21"/>
              </w:rPr>
              <w:t>%</w:t>
            </w:r>
            <w:r>
              <w:rPr>
                <w:rFonts w:hint="eastAsia"/>
                <w:szCs w:val="21"/>
              </w:rPr>
              <w:t>）</w:t>
            </w:r>
          </w:p>
        </w:tc>
        <w:tc>
          <w:tcPr>
            <w:tcW w:w="1433" w:type="dxa"/>
            <w:vAlign w:val="center"/>
          </w:tcPr>
          <w:p w14:paraId="137C1B5F" w14:textId="77777777" w:rsidR="0079459F" w:rsidRDefault="0079459F" w:rsidP="005F6747">
            <w:pPr>
              <w:spacing w:line="360" w:lineRule="auto"/>
              <w:jc w:val="center"/>
              <w:rPr>
                <w:szCs w:val="21"/>
              </w:rPr>
            </w:pPr>
            <w:r>
              <w:rPr>
                <w:rFonts w:hint="eastAsia"/>
                <w:szCs w:val="21"/>
              </w:rPr>
              <w:t>≤</w:t>
            </w:r>
            <w:r>
              <w:rPr>
                <w:szCs w:val="21"/>
              </w:rPr>
              <w:t>45</w:t>
            </w:r>
            <w:r>
              <w:rPr>
                <w:rFonts w:hint="eastAsia"/>
                <w:szCs w:val="21"/>
              </w:rPr>
              <w:t xml:space="preserve"> </w:t>
            </w:r>
          </w:p>
        </w:tc>
        <w:tc>
          <w:tcPr>
            <w:tcW w:w="1433" w:type="dxa"/>
            <w:vAlign w:val="center"/>
          </w:tcPr>
          <w:p w14:paraId="1B32CBD7" w14:textId="77777777" w:rsidR="0079459F" w:rsidRDefault="0079459F" w:rsidP="005F6747">
            <w:pPr>
              <w:spacing w:line="360" w:lineRule="auto"/>
              <w:jc w:val="center"/>
              <w:rPr>
                <w:szCs w:val="21"/>
              </w:rPr>
            </w:pPr>
            <w:r>
              <w:rPr>
                <w:rFonts w:hint="eastAsia"/>
                <w:szCs w:val="21"/>
              </w:rPr>
              <w:t>≤</w:t>
            </w:r>
            <w:r>
              <w:rPr>
                <w:rFonts w:hint="eastAsia"/>
                <w:szCs w:val="21"/>
              </w:rPr>
              <w:t xml:space="preserve"> 50</w:t>
            </w:r>
          </w:p>
        </w:tc>
        <w:tc>
          <w:tcPr>
            <w:tcW w:w="1433" w:type="dxa"/>
            <w:vAlign w:val="center"/>
          </w:tcPr>
          <w:p w14:paraId="06C2BB68" w14:textId="77777777" w:rsidR="0079459F" w:rsidRDefault="0079459F" w:rsidP="005F6747">
            <w:pPr>
              <w:spacing w:line="360" w:lineRule="auto"/>
              <w:jc w:val="center"/>
              <w:rPr>
                <w:szCs w:val="21"/>
              </w:rPr>
            </w:pPr>
            <w:r>
              <w:rPr>
                <w:rFonts w:hint="eastAsia"/>
                <w:szCs w:val="21"/>
              </w:rPr>
              <w:t>≤</w:t>
            </w:r>
            <w:r>
              <w:rPr>
                <w:rFonts w:hint="eastAsia"/>
                <w:szCs w:val="21"/>
              </w:rPr>
              <w:t xml:space="preserve"> </w:t>
            </w:r>
            <w:r>
              <w:rPr>
                <w:szCs w:val="21"/>
              </w:rPr>
              <w:t>5</w:t>
            </w:r>
            <w:r>
              <w:rPr>
                <w:rFonts w:hint="eastAsia"/>
                <w:szCs w:val="21"/>
              </w:rPr>
              <w:t>5</w:t>
            </w:r>
          </w:p>
        </w:tc>
        <w:tc>
          <w:tcPr>
            <w:tcW w:w="1325" w:type="dxa"/>
            <w:vAlign w:val="center"/>
          </w:tcPr>
          <w:p w14:paraId="779C3AC4" w14:textId="77777777" w:rsidR="0079459F" w:rsidRDefault="0079459F" w:rsidP="005F6747">
            <w:pPr>
              <w:spacing w:line="360" w:lineRule="auto"/>
              <w:jc w:val="center"/>
              <w:rPr>
                <w:szCs w:val="21"/>
              </w:rPr>
            </w:pPr>
            <w:r>
              <w:rPr>
                <w:rFonts w:hint="eastAsia"/>
                <w:szCs w:val="21"/>
              </w:rPr>
              <w:t>≤</w:t>
            </w:r>
            <w:r>
              <w:rPr>
                <w:rFonts w:hint="eastAsia"/>
                <w:szCs w:val="21"/>
              </w:rPr>
              <w:t xml:space="preserve"> 60</w:t>
            </w:r>
          </w:p>
        </w:tc>
        <w:tc>
          <w:tcPr>
            <w:tcW w:w="1325" w:type="dxa"/>
            <w:vAlign w:val="center"/>
          </w:tcPr>
          <w:p w14:paraId="3F875951" w14:textId="77777777" w:rsidR="0079459F" w:rsidRDefault="0079459F" w:rsidP="005F6747">
            <w:pPr>
              <w:spacing w:line="360" w:lineRule="auto"/>
              <w:jc w:val="center"/>
              <w:rPr>
                <w:szCs w:val="21"/>
              </w:rPr>
            </w:pPr>
            <w:r>
              <w:rPr>
                <w:rFonts w:hint="eastAsia"/>
                <w:szCs w:val="21"/>
              </w:rPr>
              <w:t>≥</w:t>
            </w:r>
            <w:r>
              <w:rPr>
                <w:rFonts w:hint="eastAsia"/>
                <w:szCs w:val="21"/>
              </w:rPr>
              <w:t xml:space="preserve"> </w:t>
            </w:r>
            <w:r>
              <w:rPr>
                <w:szCs w:val="21"/>
              </w:rPr>
              <w:t>6</w:t>
            </w:r>
            <w:r>
              <w:rPr>
                <w:rFonts w:hint="eastAsia"/>
                <w:szCs w:val="21"/>
              </w:rPr>
              <w:t>1</w:t>
            </w:r>
          </w:p>
        </w:tc>
      </w:tr>
      <w:tr w:rsidR="0079459F" w14:paraId="7BEE1549" w14:textId="77777777" w:rsidTr="005F6747">
        <w:tc>
          <w:tcPr>
            <w:tcW w:w="2032" w:type="dxa"/>
            <w:vAlign w:val="center"/>
          </w:tcPr>
          <w:p w14:paraId="5D11D39E" w14:textId="77777777" w:rsidR="0079459F" w:rsidRDefault="0079459F" w:rsidP="005F6747">
            <w:pPr>
              <w:spacing w:line="360" w:lineRule="auto"/>
              <w:jc w:val="center"/>
              <w:rPr>
                <w:szCs w:val="21"/>
              </w:rPr>
            </w:pPr>
            <w:r>
              <w:rPr>
                <w:rFonts w:hint="eastAsia"/>
                <w:szCs w:val="21"/>
              </w:rPr>
              <w:t>酸性洗涤纤维（</w:t>
            </w:r>
            <w:r>
              <w:rPr>
                <w:rFonts w:hint="eastAsia"/>
                <w:szCs w:val="21"/>
              </w:rPr>
              <w:t>%</w:t>
            </w:r>
            <w:r>
              <w:rPr>
                <w:rFonts w:hint="eastAsia"/>
                <w:szCs w:val="21"/>
              </w:rPr>
              <w:t>）</w:t>
            </w:r>
          </w:p>
        </w:tc>
        <w:tc>
          <w:tcPr>
            <w:tcW w:w="1433" w:type="dxa"/>
            <w:vAlign w:val="center"/>
          </w:tcPr>
          <w:p w14:paraId="0FF02E64" w14:textId="77777777" w:rsidR="0079459F" w:rsidRDefault="0079459F" w:rsidP="005F6747">
            <w:pPr>
              <w:spacing w:line="360" w:lineRule="auto"/>
              <w:jc w:val="center"/>
              <w:rPr>
                <w:szCs w:val="21"/>
              </w:rPr>
            </w:pPr>
            <w:r>
              <w:rPr>
                <w:rFonts w:hint="eastAsia"/>
                <w:szCs w:val="21"/>
              </w:rPr>
              <w:t>≤</w:t>
            </w:r>
            <w:r>
              <w:rPr>
                <w:rFonts w:hint="eastAsia"/>
                <w:szCs w:val="21"/>
              </w:rPr>
              <w:t>25</w:t>
            </w:r>
          </w:p>
        </w:tc>
        <w:tc>
          <w:tcPr>
            <w:tcW w:w="1433" w:type="dxa"/>
            <w:vAlign w:val="center"/>
          </w:tcPr>
          <w:p w14:paraId="0C306B94" w14:textId="77777777" w:rsidR="0079459F" w:rsidRDefault="0079459F" w:rsidP="005F6747">
            <w:pPr>
              <w:spacing w:line="360" w:lineRule="auto"/>
              <w:jc w:val="center"/>
              <w:rPr>
                <w:szCs w:val="21"/>
              </w:rPr>
            </w:pPr>
            <w:r>
              <w:rPr>
                <w:rFonts w:hint="eastAsia"/>
                <w:szCs w:val="21"/>
              </w:rPr>
              <w:t>≤</w:t>
            </w:r>
            <w:r>
              <w:rPr>
                <w:rFonts w:hint="eastAsia"/>
                <w:szCs w:val="21"/>
              </w:rPr>
              <w:t xml:space="preserve"> 28</w:t>
            </w:r>
          </w:p>
        </w:tc>
        <w:tc>
          <w:tcPr>
            <w:tcW w:w="1433" w:type="dxa"/>
            <w:vAlign w:val="center"/>
          </w:tcPr>
          <w:p w14:paraId="389BB78D" w14:textId="77777777" w:rsidR="0079459F" w:rsidRDefault="0079459F" w:rsidP="005F6747">
            <w:pPr>
              <w:spacing w:line="360" w:lineRule="auto"/>
              <w:jc w:val="center"/>
              <w:rPr>
                <w:szCs w:val="21"/>
              </w:rPr>
            </w:pPr>
            <w:r>
              <w:rPr>
                <w:rFonts w:hint="eastAsia"/>
                <w:szCs w:val="21"/>
              </w:rPr>
              <w:t>≤</w:t>
            </w:r>
            <w:r>
              <w:rPr>
                <w:rFonts w:hint="eastAsia"/>
                <w:szCs w:val="21"/>
              </w:rPr>
              <w:t xml:space="preserve"> 33</w:t>
            </w:r>
          </w:p>
        </w:tc>
        <w:tc>
          <w:tcPr>
            <w:tcW w:w="1325" w:type="dxa"/>
            <w:vAlign w:val="center"/>
          </w:tcPr>
          <w:p w14:paraId="48DD6B32" w14:textId="77777777" w:rsidR="0079459F" w:rsidRDefault="0079459F" w:rsidP="005F6747">
            <w:pPr>
              <w:spacing w:line="360" w:lineRule="auto"/>
              <w:jc w:val="center"/>
              <w:rPr>
                <w:szCs w:val="21"/>
              </w:rPr>
            </w:pPr>
            <w:r>
              <w:rPr>
                <w:rFonts w:hint="eastAsia"/>
                <w:szCs w:val="21"/>
              </w:rPr>
              <w:t>≤</w:t>
            </w:r>
            <w:r>
              <w:rPr>
                <w:rFonts w:hint="eastAsia"/>
                <w:szCs w:val="21"/>
              </w:rPr>
              <w:t xml:space="preserve"> 38</w:t>
            </w:r>
          </w:p>
        </w:tc>
        <w:tc>
          <w:tcPr>
            <w:tcW w:w="1325" w:type="dxa"/>
            <w:vAlign w:val="center"/>
          </w:tcPr>
          <w:p w14:paraId="7166483C" w14:textId="77777777" w:rsidR="0079459F" w:rsidRDefault="0079459F" w:rsidP="005F6747">
            <w:pPr>
              <w:spacing w:line="360" w:lineRule="auto"/>
              <w:jc w:val="center"/>
              <w:rPr>
                <w:szCs w:val="21"/>
              </w:rPr>
            </w:pPr>
            <w:r>
              <w:rPr>
                <w:rFonts w:hint="eastAsia"/>
                <w:szCs w:val="21"/>
              </w:rPr>
              <w:t>≥</w:t>
            </w:r>
            <w:r>
              <w:rPr>
                <w:rFonts w:hint="eastAsia"/>
                <w:szCs w:val="21"/>
              </w:rPr>
              <w:t xml:space="preserve"> 39</w:t>
            </w:r>
          </w:p>
        </w:tc>
      </w:tr>
      <w:tr w:rsidR="0079459F" w14:paraId="6E92C3D4" w14:textId="77777777" w:rsidTr="005F6747">
        <w:tc>
          <w:tcPr>
            <w:tcW w:w="2032" w:type="dxa"/>
            <w:vAlign w:val="center"/>
          </w:tcPr>
          <w:p w14:paraId="77B39C82" w14:textId="77777777" w:rsidR="0079459F" w:rsidRDefault="0079459F" w:rsidP="005F6747">
            <w:pPr>
              <w:spacing w:line="360" w:lineRule="auto"/>
              <w:jc w:val="center"/>
              <w:rPr>
                <w:szCs w:val="21"/>
              </w:rPr>
            </w:pPr>
            <w:r>
              <w:rPr>
                <w:rFonts w:hint="eastAsia"/>
                <w:szCs w:val="21"/>
              </w:rPr>
              <w:t>相对饲喂价值</w:t>
            </w:r>
          </w:p>
        </w:tc>
        <w:tc>
          <w:tcPr>
            <w:tcW w:w="1433" w:type="dxa"/>
            <w:vAlign w:val="center"/>
          </w:tcPr>
          <w:p w14:paraId="40882555" w14:textId="77777777" w:rsidR="0079459F" w:rsidRDefault="0079459F" w:rsidP="005F6747">
            <w:pPr>
              <w:spacing w:line="360" w:lineRule="auto"/>
              <w:jc w:val="center"/>
              <w:rPr>
                <w:szCs w:val="21"/>
              </w:rPr>
            </w:pPr>
            <w:r>
              <w:rPr>
                <w:rFonts w:hint="eastAsia"/>
                <w:szCs w:val="21"/>
              </w:rPr>
              <w:t>≥</w:t>
            </w:r>
            <w:r>
              <w:rPr>
                <w:rFonts w:hint="eastAsia"/>
                <w:szCs w:val="21"/>
              </w:rPr>
              <w:t>144</w:t>
            </w:r>
          </w:p>
        </w:tc>
        <w:tc>
          <w:tcPr>
            <w:tcW w:w="1433" w:type="dxa"/>
            <w:vAlign w:val="center"/>
          </w:tcPr>
          <w:p w14:paraId="420CFC54" w14:textId="77777777" w:rsidR="0079459F" w:rsidRDefault="0079459F" w:rsidP="005F6747">
            <w:pPr>
              <w:spacing w:line="360" w:lineRule="auto"/>
              <w:jc w:val="center"/>
              <w:rPr>
                <w:szCs w:val="21"/>
              </w:rPr>
            </w:pPr>
            <w:r>
              <w:rPr>
                <w:rFonts w:hint="eastAsia"/>
                <w:szCs w:val="21"/>
              </w:rPr>
              <w:t xml:space="preserve"> </w:t>
            </w:r>
            <w:r>
              <w:rPr>
                <w:rFonts w:hint="eastAsia"/>
                <w:szCs w:val="21"/>
              </w:rPr>
              <w:t>≥</w:t>
            </w:r>
            <w:r>
              <w:rPr>
                <w:rFonts w:hint="eastAsia"/>
                <w:szCs w:val="21"/>
              </w:rPr>
              <w:t xml:space="preserve"> 125</w:t>
            </w:r>
          </w:p>
        </w:tc>
        <w:tc>
          <w:tcPr>
            <w:tcW w:w="1433" w:type="dxa"/>
            <w:vAlign w:val="center"/>
          </w:tcPr>
          <w:p w14:paraId="0739032D" w14:textId="77777777" w:rsidR="0079459F" w:rsidRDefault="0079459F" w:rsidP="005F6747">
            <w:pPr>
              <w:spacing w:line="360" w:lineRule="auto"/>
              <w:jc w:val="center"/>
              <w:rPr>
                <w:szCs w:val="21"/>
              </w:rPr>
            </w:pPr>
            <w:r>
              <w:rPr>
                <w:rFonts w:hint="eastAsia"/>
                <w:szCs w:val="21"/>
              </w:rPr>
              <w:t xml:space="preserve"> </w:t>
            </w:r>
            <w:r>
              <w:rPr>
                <w:rFonts w:hint="eastAsia"/>
                <w:szCs w:val="21"/>
              </w:rPr>
              <w:t>≥</w:t>
            </w:r>
            <w:r>
              <w:rPr>
                <w:rFonts w:hint="eastAsia"/>
                <w:szCs w:val="21"/>
              </w:rPr>
              <w:t xml:space="preserve"> 108</w:t>
            </w:r>
          </w:p>
        </w:tc>
        <w:tc>
          <w:tcPr>
            <w:tcW w:w="1325" w:type="dxa"/>
            <w:vAlign w:val="center"/>
          </w:tcPr>
          <w:p w14:paraId="313B94F7" w14:textId="77777777" w:rsidR="0079459F" w:rsidRDefault="0079459F" w:rsidP="005F6747">
            <w:pPr>
              <w:spacing w:line="360" w:lineRule="auto"/>
              <w:jc w:val="center"/>
              <w:rPr>
                <w:szCs w:val="21"/>
              </w:rPr>
            </w:pPr>
            <w:r>
              <w:rPr>
                <w:rFonts w:hint="eastAsia"/>
                <w:szCs w:val="21"/>
              </w:rPr>
              <w:t>≥</w:t>
            </w:r>
            <w:r>
              <w:rPr>
                <w:rFonts w:hint="eastAsia"/>
                <w:szCs w:val="21"/>
              </w:rPr>
              <w:t xml:space="preserve"> 93</w:t>
            </w:r>
          </w:p>
        </w:tc>
        <w:tc>
          <w:tcPr>
            <w:tcW w:w="1325" w:type="dxa"/>
            <w:vAlign w:val="center"/>
          </w:tcPr>
          <w:p w14:paraId="55CE835F" w14:textId="77777777" w:rsidR="0079459F" w:rsidRDefault="0079459F" w:rsidP="005F6747">
            <w:pPr>
              <w:spacing w:line="360" w:lineRule="auto"/>
              <w:jc w:val="center"/>
              <w:rPr>
                <w:szCs w:val="21"/>
              </w:rPr>
            </w:pPr>
            <w:r>
              <w:rPr>
                <w:rFonts w:hint="eastAsia"/>
                <w:szCs w:val="21"/>
              </w:rPr>
              <w:t>≤</w:t>
            </w:r>
            <w:r>
              <w:rPr>
                <w:rFonts w:hint="eastAsia"/>
                <w:szCs w:val="21"/>
              </w:rPr>
              <w:t xml:space="preserve"> 82</w:t>
            </w:r>
          </w:p>
        </w:tc>
      </w:tr>
      <w:tr w:rsidR="0079459F" w14:paraId="4DA2569B" w14:textId="77777777" w:rsidTr="005F6747">
        <w:tc>
          <w:tcPr>
            <w:tcW w:w="2032" w:type="dxa"/>
            <w:tcBorders>
              <w:bottom w:val="single" w:sz="4" w:space="0" w:color="auto"/>
            </w:tcBorders>
            <w:vAlign w:val="center"/>
          </w:tcPr>
          <w:p w14:paraId="0F6F8093" w14:textId="77777777" w:rsidR="0079459F" w:rsidRDefault="0079459F" w:rsidP="005F6747">
            <w:pPr>
              <w:spacing w:line="360" w:lineRule="auto"/>
              <w:jc w:val="center"/>
              <w:rPr>
                <w:szCs w:val="21"/>
              </w:rPr>
            </w:pPr>
            <w:r>
              <w:rPr>
                <w:szCs w:val="21"/>
              </w:rPr>
              <w:t>发酵品质综合分值</w:t>
            </w:r>
          </w:p>
        </w:tc>
        <w:tc>
          <w:tcPr>
            <w:tcW w:w="1433" w:type="dxa"/>
            <w:tcBorders>
              <w:bottom w:val="single" w:sz="4" w:space="0" w:color="auto"/>
            </w:tcBorders>
            <w:vAlign w:val="center"/>
          </w:tcPr>
          <w:p w14:paraId="43A431E3" w14:textId="77777777" w:rsidR="0079459F" w:rsidRDefault="0079459F" w:rsidP="005F6747">
            <w:pPr>
              <w:spacing w:line="360" w:lineRule="auto"/>
              <w:jc w:val="center"/>
              <w:rPr>
                <w:szCs w:val="21"/>
              </w:rPr>
            </w:pPr>
            <w:r>
              <w:rPr>
                <w:rFonts w:hint="eastAsia"/>
                <w:szCs w:val="21"/>
              </w:rPr>
              <w:t>90 ~ 100</w:t>
            </w:r>
          </w:p>
        </w:tc>
        <w:tc>
          <w:tcPr>
            <w:tcW w:w="1433" w:type="dxa"/>
            <w:tcBorders>
              <w:bottom w:val="single" w:sz="4" w:space="0" w:color="auto"/>
            </w:tcBorders>
            <w:vAlign w:val="center"/>
          </w:tcPr>
          <w:p w14:paraId="0D1AAAEF" w14:textId="77777777" w:rsidR="0079459F" w:rsidRDefault="0079459F" w:rsidP="005F6747">
            <w:pPr>
              <w:spacing w:line="360" w:lineRule="auto"/>
              <w:jc w:val="center"/>
              <w:rPr>
                <w:szCs w:val="21"/>
              </w:rPr>
            </w:pPr>
            <w:r>
              <w:rPr>
                <w:rFonts w:hint="eastAsia"/>
                <w:szCs w:val="21"/>
              </w:rPr>
              <w:t>72 ~ 89</w:t>
            </w:r>
          </w:p>
        </w:tc>
        <w:tc>
          <w:tcPr>
            <w:tcW w:w="1433" w:type="dxa"/>
            <w:tcBorders>
              <w:bottom w:val="single" w:sz="4" w:space="0" w:color="auto"/>
            </w:tcBorders>
            <w:vAlign w:val="center"/>
          </w:tcPr>
          <w:p w14:paraId="531C41A7" w14:textId="77777777" w:rsidR="0079459F" w:rsidRDefault="0079459F" w:rsidP="005F6747">
            <w:pPr>
              <w:spacing w:line="360" w:lineRule="auto"/>
              <w:jc w:val="center"/>
              <w:rPr>
                <w:szCs w:val="21"/>
              </w:rPr>
            </w:pPr>
            <w:r>
              <w:rPr>
                <w:rFonts w:hint="eastAsia"/>
                <w:szCs w:val="21"/>
              </w:rPr>
              <w:t>52 ~ 71</w:t>
            </w:r>
          </w:p>
        </w:tc>
        <w:tc>
          <w:tcPr>
            <w:tcW w:w="1325" w:type="dxa"/>
            <w:tcBorders>
              <w:bottom w:val="single" w:sz="4" w:space="0" w:color="auto"/>
            </w:tcBorders>
            <w:vAlign w:val="center"/>
          </w:tcPr>
          <w:p w14:paraId="7E0F91A9" w14:textId="77777777" w:rsidR="0079459F" w:rsidRDefault="0079459F" w:rsidP="005F6747">
            <w:pPr>
              <w:spacing w:line="360" w:lineRule="auto"/>
              <w:jc w:val="center"/>
              <w:rPr>
                <w:szCs w:val="21"/>
              </w:rPr>
            </w:pPr>
            <w:r>
              <w:rPr>
                <w:rFonts w:hint="eastAsia"/>
                <w:szCs w:val="21"/>
              </w:rPr>
              <w:t>30 ~ 51</w:t>
            </w:r>
          </w:p>
        </w:tc>
        <w:tc>
          <w:tcPr>
            <w:tcW w:w="1325" w:type="dxa"/>
            <w:tcBorders>
              <w:bottom w:val="single" w:sz="4" w:space="0" w:color="auto"/>
            </w:tcBorders>
            <w:vAlign w:val="center"/>
          </w:tcPr>
          <w:p w14:paraId="3653F31C" w14:textId="77777777" w:rsidR="0079459F" w:rsidRDefault="0079459F" w:rsidP="005F6747">
            <w:pPr>
              <w:spacing w:line="360" w:lineRule="auto"/>
              <w:jc w:val="center"/>
              <w:rPr>
                <w:szCs w:val="21"/>
              </w:rPr>
            </w:pPr>
            <w:r>
              <w:rPr>
                <w:rFonts w:hint="eastAsia"/>
                <w:szCs w:val="21"/>
              </w:rPr>
              <w:t>＜</w:t>
            </w:r>
            <w:r>
              <w:rPr>
                <w:rFonts w:hint="eastAsia"/>
                <w:szCs w:val="21"/>
              </w:rPr>
              <w:t xml:space="preserve"> 30</w:t>
            </w:r>
          </w:p>
        </w:tc>
      </w:tr>
      <w:tr w:rsidR="0079459F" w14:paraId="3948AADC" w14:textId="77777777" w:rsidTr="005F6747">
        <w:tc>
          <w:tcPr>
            <w:tcW w:w="6331" w:type="dxa"/>
            <w:gridSpan w:val="4"/>
            <w:tcBorders>
              <w:top w:val="single" w:sz="4" w:space="0" w:color="auto"/>
            </w:tcBorders>
            <w:vAlign w:val="center"/>
          </w:tcPr>
          <w:p w14:paraId="67E1658D" w14:textId="77777777" w:rsidR="0079459F" w:rsidRDefault="0079459F" w:rsidP="005F6747">
            <w:pPr>
              <w:spacing w:line="360" w:lineRule="auto"/>
              <w:jc w:val="left"/>
              <w:rPr>
                <w:szCs w:val="21"/>
              </w:rPr>
            </w:pPr>
            <w:r>
              <w:rPr>
                <w:rFonts w:hint="eastAsia"/>
                <w:szCs w:val="21"/>
              </w:rPr>
              <w:t>注：表中中性洗涤纤维、酸性洗涤纤维检测值为干物质基础</w:t>
            </w:r>
          </w:p>
        </w:tc>
        <w:tc>
          <w:tcPr>
            <w:tcW w:w="1325" w:type="dxa"/>
            <w:tcBorders>
              <w:top w:val="single" w:sz="4" w:space="0" w:color="auto"/>
            </w:tcBorders>
            <w:vAlign w:val="center"/>
          </w:tcPr>
          <w:p w14:paraId="4D01CBFB" w14:textId="77777777" w:rsidR="0079459F" w:rsidRDefault="0079459F" w:rsidP="005F6747">
            <w:pPr>
              <w:spacing w:line="360" w:lineRule="auto"/>
              <w:jc w:val="center"/>
              <w:rPr>
                <w:szCs w:val="21"/>
              </w:rPr>
            </w:pPr>
          </w:p>
        </w:tc>
        <w:tc>
          <w:tcPr>
            <w:tcW w:w="1325" w:type="dxa"/>
            <w:tcBorders>
              <w:top w:val="single" w:sz="4" w:space="0" w:color="auto"/>
            </w:tcBorders>
            <w:vAlign w:val="center"/>
          </w:tcPr>
          <w:p w14:paraId="58FB3C64" w14:textId="77777777" w:rsidR="0079459F" w:rsidRDefault="0079459F" w:rsidP="005F6747">
            <w:pPr>
              <w:spacing w:line="360" w:lineRule="auto"/>
              <w:jc w:val="center"/>
              <w:rPr>
                <w:szCs w:val="21"/>
              </w:rPr>
            </w:pPr>
          </w:p>
        </w:tc>
      </w:tr>
    </w:tbl>
    <w:p w14:paraId="4A20560A"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通过统一质量指标、明确分级标准与规范登记制度，本技术规程为青贮饲料生产、流通与利用全过程提供了科学依据与标准支撑，具有较强的实用性和推广价值。</w:t>
      </w:r>
    </w:p>
    <w:p w14:paraId="3BB2E108" w14:textId="273DB5E7" w:rsidR="00E53C44" w:rsidRDefault="00E53C44" w:rsidP="00E53C44">
      <w:pPr>
        <w:pStyle w:val="afa"/>
        <w:spacing w:line="360" w:lineRule="auto"/>
        <w:ind w:firstLine="480"/>
        <w:rPr>
          <w:rFonts w:ascii="Times New Roman"/>
          <w:sz w:val="24"/>
        </w:rPr>
      </w:pPr>
      <w:r>
        <w:rPr>
          <w:rFonts w:ascii="Times New Roman" w:hint="eastAsia"/>
          <w:sz w:val="24"/>
        </w:rPr>
        <w:t>（</w:t>
      </w:r>
      <w:r w:rsidR="00CE232E">
        <w:rPr>
          <w:rFonts w:ascii="Times New Roman" w:hint="eastAsia"/>
          <w:sz w:val="24"/>
        </w:rPr>
        <w:t>4</w:t>
      </w:r>
      <w:r>
        <w:rPr>
          <w:rFonts w:ascii="Times New Roman" w:hint="eastAsia"/>
          <w:sz w:val="24"/>
        </w:rPr>
        <w:t>）检验规则</w:t>
      </w:r>
    </w:p>
    <w:p w14:paraId="31A4E472"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本规程在制定过程中，充分考虑了青贮饲料实际生产中存在的物理不均匀性与发酵状态差异，明确规定了同一批次青贮饲料样品的判定标准、代表性采样方法及检验结果的允许误差范围，以确保评定结果具有科学性、代表性与可重复性。</w:t>
      </w:r>
    </w:p>
    <w:p w14:paraId="383B91CC"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同一批次是指在同一贮藏设施（如青贮窖、青贮袋或青贮塔）内，于同一时间段、使用相同原料、采用一致工艺调制而成的青贮饲料。判定该批次质量等级时，应以具有代表性的多点混合样本为依据，综合考察其营养品质、发酵指标及卫生状况。</w:t>
      </w:r>
    </w:p>
    <w:p w14:paraId="3912F1D3"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采样方法依照《</w:t>
      </w:r>
      <w:r w:rsidRPr="0024269D">
        <w:rPr>
          <w:rFonts w:ascii="Times New Roman" w:hint="eastAsia"/>
          <w:sz w:val="24"/>
        </w:rPr>
        <w:t xml:space="preserve">GB/T 14699.1 </w:t>
      </w:r>
      <w:r w:rsidRPr="0024269D">
        <w:rPr>
          <w:rFonts w:ascii="Times New Roman" w:hint="eastAsia"/>
          <w:sz w:val="24"/>
        </w:rPr>
        <w:t>饲料卫生微生物学检验方法</w:t>
      </w:r>
      <w:r w:rsidRPr="0024269D">
        <w:rPr>
          <w:rFonts w:ascii="Times New Roman" w:hint="eastAsia"/>
          <w:sz w:val="24"/>
        </w:rPr>
        <w:t xml:space="preserve"> </w:t>
      </w:r>
      <w:r w:rsidRPr="0024269D">
        <w:rPr>
          <w:rFonts w:ascii="Times New Roman" w:hint="eastAsia"/>
          <w:sz w:val="24"/>
        </w:rPr>
        <w:t>第</w:t>
      </w:r>
      <w:r w:rsidRPr="0024269D">
        <w:rPr>
          <w:rFonts w:ascii="Times New Roman" w:hint="eastAsia"/>
          <w:sz w:val="24"/>
        </w:rPr>
        <w:t>1</w:t>
      </w:r>
      <w:r w:rsidRPr="0024269D">
        <w:rPr>
          <w:rFonts w:ascii="Times New Roman" w:hint="eastAsia"/>
          <w:sz w:val="24"/>
        </w:rPr>
        <w:t>部分：总则》及《</w:t>
      </w:r>
      <w:r w:rsidRPr="0024269D">
        <w:rPr>
          <w:rFonts w:ascii="Times New Roman" w:hint="eastAsia"/>
          <w:sz w:val="24"/>
        </w:rPr>
        <w:t xml:space="preserve">NY/T 915 </w:t>
      </w:r>
      <w:r w:rsidRPr="0024269D">
        <w:rPr>
          <w:rFonts w:ascii="Times New Roman" w:hint="eastAsia"/>
          <w:sz w:val="24"/>
        </w:rPr>
        <w:t>青贮饲料取样与制样技术规范》执行，采用多点多层采样原则，具体为从</w:t>
      </w:r>
      <w:proofErr w:type="gramStart"/>
      <w:r w:rsidRPr="0024269D">
        <w:rPr>
          <w:rFonts w:ascii="Times New Roman" w:hint="eastAsia"/>
          <w:sz w:val="24"/>
        </w:rPr>
        <w:t>青贮堆体的</w:t>
      </w:r>
      <w:proofErr w:type="gramEnd"/>
      <w:r w:rsidRPr="0024269D">
        <w:rPr>
          <w:rFonts w:ascii="Times New Roman" w:hint="eastAsia"/>
          <w:sz w:val="24"/>
        </w:rPr>
        <w:t>上、中、下三个不同深度各随机取样若干份，每份不少于</w:t>
      </w:r>
      <w:r w:rsidRPr="0024269D">
        <w:rPr>
          <w:rFonts w:ascii="Times New Roman" w:hint="eastAsia"/>
          <w:sz w:val="24"/>
        </w:rPr>
        <w:t>500g</w:t>
      </w:r>
      <w:r w:rsidRPr="0024269D">
        <w:rPr>
          <w:rFonts w:ascii="Times New Roman" w:hint="eastAsia"/>
          <w:sz w:val="24"/>
        </w:rPr>
        <w:t>，经充分混匀后制备为复合样品，分装于密封样品袋中，立即送检。采样工具应洁净、干燥，避免交叉污染；高温季节采样应尽量避开正午，样品须在</w:t>
      </w:r>
      <w:r w:rsidRPr="0024269D">
        <w:rPr>
          <w:rFonts w:ascii="Times New Roman" w:hint="eastAsia"/>
          <w:sz w:val="24"/>
        </w:rPr>
        <w:t>4</w:t>
      </w:r>
      <w:r w:rsidRPr="0024269D">
        <w:rPr>
          <w:rFonts w:ascii="Times New Roman" w:hint="eastAsia"/>
          <w:sz w:val="24"/>
        </w:rPr>
        <w:t>℃条件下冷藏保存并于</w:t>
      </w:r>
      <w:r w:rsidRPr="0024269D">
        <w:rPr>
          <w:rFonts w:ascii="Times New Roman" w:hint="eastAsia"/>
          <w:sz w:val="24"/>
        </w:rPr>
        <w:t>24</w:t>
      </w:r>
      <w:r w:rsidRPr="0024269D">
        <w:rPr>
          <w:rFonts w:ascii="Times New Roman" w:hint="eastAsia"/>
          <w:sz w:val="24"/>
        </w:rPr>
        <w:t>小时内完成检测。</w:t>
      </w:r>
    </w:p>
    <w:p w14:paraId="2DC13182"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在检验结果误差判定方面，考虑到青贮饲料天然物质变异与实验操作波动，《青贮饲料质量评定及分级技术规程》设定了主要指标的允许误差范围。干物质、粗蛋白、中性洗涤纤维、酸性洗涤纤维等理化指标的重复检验结果误差不得超过±</w:t>
      </w:r>
      <w:r w:rsidRPr="0024269D">
        <w:rPr>
          <w:rFonts w:ascii="Times New Roman" w:hint="eastAsia"/>
          <w:sz w:val="24"/>
        </w:rPr>
        <w:t>3%</w:t>
      </w:r>
      <w:r w:rsidRPr="0024269D">
        <w:rPr>
          <w:rFonts w:ascii="Times New Roman" w:hint="eastAsia"/>
          <w:sz w:val="24"/>
        </w:rPr>
        <w:t>；</w:t>
      </w:r>
      <w:r w:rsidRPr="0024269D">
        <w:rPr>
          <w:rFonts w:ascii="Times New Roman" w:hint="eastAsia"/>
          <w:sz w:val="24"/>
        </w:rPr>
        <w:t>pH</w:t>
      </w:r>
      <w:r w:rsidRPr="0024269D">
        <w:rPr>
          <w:rFonts w:ascii="Times New Roman" w:hint="eastAsia"/>
          <w:sz w:val="24"/>
        </w:rPr>
        <w:t>值允许误差范围为±</w:t>
      </w:r>
      <w:r w:rsidRPr="0024269D">
        <w:rPr>
          <w:rFonts w:ascii="Times New Roman" w:hint="eastAsia"/>
          <w:sz w:val="24"/>
        </w:rPr>
        <w:t>0.2</w:t>
      </w:r>
      <w:r w:rsidRPr="0024269D">
        <w:rPr>
          <w:rFonts w:ascii="Times New Roman" w:hint="eastAsia"/>
          <w:sz w:val="24"/>
        </w:rPr>
        <w:t>；</w:t>
      </w:r>
      <w:proofErr w:type="gramStart"/>
      <w:r w:rsidRPr="0024269D">
        <w:rPr>
          <w:rFonts w:ascii="Times New Roman" w:hint="eastAsia"/>
          <w:sz w:val="24"/>
        </w:rPr>
        <w:t>氨态氮占</w:t>
      </w:r>
      <w:proofErr w:type="gramEnd"/>
      <w:r w:rsidRPr="0024269D">
        <w:rPr>
          <w:rFonts w:ascii="Times New Roman" w:hint="eastAsia"/>
          <w:sz w:val="24"/>
        </w:rPr>
        <w:t>总氮比例误差不得超过±</w:t>
      </w:r>
      <w:r w:rsidRPr="0024269D">
        <w:rPr>
          <w:rFonts w:ascii="Times New Roman" w:hint="eastAsia"/>
          <w:sz w:val="24"/>
        </w:rPr>
        <w:t>1</w:t>
      </w:r>
      <w:r w:rsidRPr="0024269D">
        <w:rPr>
          <w:rFonts w:ascii="Times New Roman" w:hint="eastAsia"/>
          <w:sz w:val="24"/>
        </w:rPr>
        <w:t>个百分点；发酵品质评分在总分</w:t>
      </w:r>
      <w:r w:rsidRPr="0024269D">
        <w:rPr>
          <w:rFonts w:ascii="Times New Roman" w:hint="eastAsia"/>
          <w:sz w:val="24"/>
        </w:rPr>
        <w:t>100</w:t>
      </w:r>
      <w:r w:rsidRPr="0024269D">
        <w:rPr>
          <w:rFonts w:ascii="Times New Roman" w:hint="eastAsia"/>
          <w:sz w:val="24"/>
        </w:rPr>
        <w:t>分制下允许浮动不超过±</w:t>
      </w:r>
      <w:r w:rsidRPr="0024269D">
        <w:rPr>
          <w:rFonts w:ascii="Times New Roman" w:hint="eastAsia"/>
          <w:sz w:val="24"/>
        </w:rPr>
        <w:t>5</w:t>
      </w:r>
      <w:r w:rsidRPr="0024269D">
        <w:rPr>
          <w:rFonts w:ascii="Times New Roman" w:hint="eastAsia"/>
          <w:sz w:val="24"/>
        </w:rPr>
        <w:t>分；霉菌毒素、微生物指标等安全性项目则应严格执行国家强制性标准，原则上不得超过检测方法的最小检出限。</w:t>
      </w:r>
    </w:p>
    <w:p w14:paraId="5E5A2295"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若同一批次样品在重复检验中个别数据略有浮动，且仍处于同一等级区间范围内，可判定为该等级有效样品。如关键指标接近等级临界值（±</w:t>
      </w:r>
      <w:r w:rsidRPr="0024269D">
        <w:rPr>
          <w:rFonts w:ascii="Times New Roman" w:hint="eastAsia"/>
          <w:sz w:val="24"/>
        </w:rPr>
        <w:t>3%</w:t>
      </w:r>
      <w:r w:rsidRPr="0024269D">
        <w:rPr>
          <w:rFonts w:ascii="Times New Roman" w:hint="eastAsia"/>
          <w:sz w:val="24"/>
        </w:rPr>
        <w:t>以内），应由具备资质的实验室进行重复复检或组织技术专家评审后作最终判定。</w:t>
      </w:r>
    </w:p>
    <w:p w14:paraId="586FBB48" w14:textId="6E4421F3" w:rsidR="00E53C44" w:rsidRDefault="0024269D" w:rsidP="0024269D">
      <w:pPr>
        <w:pStyle w:val="afa"/>
        <w:spacing w:line="360" w:lineRule="auto"/>
        <w:ind w:firstLine="480"/>
        <w:rPr>
          <w:rFonts w:ascii="Times New Roman"/>
          <w:sz w:val="24"/>
        </w:rPr>
      </w:pPr>
      <w:r w:rsidRPr="0024269D">
        <w:rPr>
          <w:rFonts w:ascii="Times New Roman" w:hint="eastAsia"/>
          <w:sz w:val="24"/>
        </w:rPr>
        <w:t>通过上述样品判定机制和允许误差控制，本技术规程有效提高了青贮饲料质量评定的稳定性与决策的科学性，为行业标准化生产和高效利用提供了重要支撑。</w:t>
      </w:r>
    </w:p>
    <w:p w14:paraId="5170AF05" w14:textId="6DF5B55D" w:rsidR="00E53C44" w:rsidRDefault="00E53C44" w:rsidP="00E53C44">
      <w:pPr>
        <w:pStyle w:val="afa"/>
        <w:spacing w:line="360" w:lineRule="auto"/>
        <w:ind w:firstLine="480"/>
        <w:rPr>
          <w:rFonts w:ascii="Times New Roman"/>
          <w:sz w:val="24"/>
        </w:rPr>
      </w:pPr>
      <w:r>
        <w:rPr>
          <w:rFonts w:ascii="Times New Roman" w:hint="eastAsia"/>
          <w:sz w:val="24"/>
        </w:rPr>
        <w:t>（</w:t>
      </w:r>
      <w:r w:rsidR="00CE232E">
        <w:rPr>
          <w:rFonts w:ascii="Times New Roman" w:hint="eastAsia"/>
          <w:sz w:val="24"/>
        </w:rPr>
        <w:t>5</w:t>
      </w:r>
      <w:r>
        <w:rPr>
          <w:rFonts w:ascii="Times New Roman" w:hint="eastAsia"/>
          <w:sz w:val="24"/>
        </w:rPr>
        <w:t>）标签、包装、运输和贮存</w:t>
      </w:r>
    </w:p>
    <w:p w14:paraId="3AF6A7CF"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为保障青贮饲料在流通过程中的质量安全与可追溯性，本规程对其标签标识、包装物使用、运输条件及贮存管理等提出统一技术要求，确保各环节操作规范、责任明确、风险可控。</w:t>
      </w:r>
    </w:p>
    <w:p w14:paraId="78325426"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标签标识应牢固、清晰地粘贴或印刷于包装</w:t>
      </w:r>
      <w:proofErr w:type="gramStart"/>
      <w:r w:rsidRPr="0024269D">
        <w:rPr>
          <w:rFonts w:ascii="Times New Roman" w:hint="eastAsia"/>
          <w:sz w:val="24"/>
        </w:rPr>
        <w:t>物显著</w:t>
      </w:r>
      <w:proofErr w:type="gramEnd"/>
      <w:r w:rsidRPr="0024269D">
        <w:rPr>
          <w:rFonts w:ascii="Times New Roman" w:hint="eastAsia"/>
          <w:sz w:val="24"/>
        </w:rPr>
        <w:t>位置，内容应包括：产品名称、饲料类型（如玉米青贮、高粱青贮、混合型青贮等）、生产企业名称及地址、联系人与电话、生产日期、生产批号、净含量、青贮原料组成、推荐使用对象、质量等级判定结果（Ⅰ级</w:t>
      </w:r>
      <w:r w:rsidRPr="0024269D">
        <w:rPr>
          <w:rFonts w:ascii="Times New Roman" w:hint="eastAsia"/>
          <w:sz w:val="24"/>
        </w:rPr>
        <w:t>/</w:t>
      </w:r>
      <w:r w:rsidRPr="0024269D">
        <w:rPr>
          <w:rFonts w:ascii="Times New Roman" w:hint="eastAsia"/>
          <w:sz w:val="24"/>
        </w:rPr>
        <w:t>Ⅱ级</w:t>
      </w:r>
      <w:r w:rsidRPr="0024269D">
        <w:rPr>
          <w:rFonts w:ascii="Times New Roman" w:hint="eastAsia"/>
          <w:sz w:val="24"/>
        </w:rPr>
        <w:t>/</w:t>
      </w:r>
      <w:r w:rsidRPr="0024269D">
        <w:rPr>
          <w:rFonts w:ascii="Times New Roman" w:hint="eastAsia"/>
          <w:sz w:val="24"/>
        </w:rPr>
        <w:t>Ⅲ级</w:t>
      </w:r>
      <w:r w:rsidRPr="0024269D">
        <w:rPr>
          <w:rFonts w:ascii="Times New Roman" w:hint="eastAsia"/>
          <w:sz w:val="24"/>
        </w:rPr>
        <w:t>/</w:t>
      </w:r>
      <w:r w:rsidRPr="0024269D">
        <w:rPr>
          <w:rFonts w:ascii="Times New Roman" w:hint="eastAsia"/>
          <w:sz w:val="24"/>
        </w:rPr>
        <w:t>Ⅳ级）、贮存注意事项、运输要求及检验机构信息等内容。标签内容应符合《饲料标签管理办法》及《</w:t>
      </w:r>
      <w:r w:rsidRPr="0024269D">
        <w:rPr>
          <w:rFonts w:ascii="Times New Roman" w:hint="eastAsia"/>
          <w:sz w:val="24"/>
        </w:rPr>
        <w:t xml:space="preserve">GB 10648 </w:t>
      </w:r>
      <w:r w:rsidRPr="0024269D">
        <w:rPr>
          <w:rFonts w:ascii="Times New Roman" w:hint="eastAsia"/>
          <w:sz w:val="24"/>
        </w:rPr>
        <w:t>饲料标签通则》的相关规定。</w:t>
      </w:r>
    </w:p>
    <w:p w14:paraId="6C5E2A5E"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包装物应选用符合农业用途、具备良好密封性与耐穿刺性的包装材料。常用材料包括多层</w:t>
      </w:r>
      <w:r w:rsidRPr="0024269D">
        <w:rPr>
          <w:rFonts w:ascii="Times New Roman" w:hint="eastAsia"/>
          <w:sz w:val="24"/>
        </w:rPr>
        <w:t>PE</w:t>
      </w:r>
      <w:r w:rsidRPr="0024269D">
        <w:rPr>
          <w:rFonts w:ascii="Times New Roman" w:hint="eastAsia"/>
          <w:sz w:val="24"/>
        </w:rPr>
        <w:t>覆膜袋、青贮专用拉伸膜、复合塑编布袋等。容器类包装（如桶、罐、塑料仓等）应坚固耐用、防水耐腐蚀。青贮袋封口应严密，贴合良好，无鼓包、漏气、发霉现象。所有包装物须满足食品</w:t>
      </w:r>
      <w:r w:rsidRPr="0024269D">
        <w:rPr>
          <w:rFonts w:ascii="Times New Roman" w:hint="eastAsia"/>
          <w:sz w:val="24"/>
        </w:rPr>
        <w:t>/</w:t>
      </w:r>
      <w:r w:rsidRPr="0024269D">
        <w:rPr>
          <w:rFonts w:ascii="Times New Roman" w:hint="eastAsia"/>
          <w:sz w:val="24"/>
        </w:rPr>
        <w:t>饲料接触材料安全性标准，严禁使用二次污染或未清洗干净的容器重复装填。</w:t>
      </w:r>
    </w:p>
    <w:p w14:paraId="65272011"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运输过程应在避免破损与二次污染的前提下进行，采用干净、防潮、防鼠虫、防紫外线的运输工具。运输时严禁与有毒、有害或易腐物品混装混运。长距离运输应做好通风与遮阳防护，避免高温暴晒导致包装胀气或饲料变质。运输中发现包装破损、渗液、异味</w:t>
      </w:r>
      <w:proofErr w:type="gramStart"/>
      <w:r w:rsidRPr="0024269D">
        <w:rPr>
          <w:rFonts w:ascii="Times New Roman" w:hint="eastAsia"/>
          <w:sz w:val="24"/>
        </w:rPr>
        <w:t>或胀包情况</w:t>
      </w:r>
      <w:proofErr w:type="gramEnd"/>
      <w:r w:rsidRPr="0024269D">
        <w:rPr>
          <w:rFonts w:ascii="Times New Roman" w:hint="eastAsia"/>
          <w:sz w:val="24"/>
        </w:rPr>
        <w:t>，应立即单独处理并记录在案。</w:t>
      </w:r>
    </w:p>
    <w:p w14:paraId="68078EC7"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贮存管理方面，青贮饲料应存放于阴凉、通风、干燥、无阳光直射的场所，远离污染源，防止鼠害与虫蛀。包装应码放整齐、离地离墙、设有防潮垫层。堆垛高度应控制在安全范围内，避免堆压变形和通风不良。贮存温度建议控制在</w:t>
      </w:r>
      <w:r w:rsidRPr="0024269D">
        <w:rPr>
          <w:rFonts w:ascii="Times New Roman" w:hint="eastAsia"/>
          <w:sz w:val="24"/>
        </w:rPr>
        <w:t>5</w:t>
      </w:r>
      <w:r w:rsidRPr="0024269D">
        <w:rPr>
          <w:rFonts w:ascii="Times New Roman" w:hint="eastAsia"/>
          <w:sz w:val="24"/>
        </w:rPr>
        <w:t>℃～</w:t>
      </w:r>
      <w:r w:rsidRPr="0024269D">
        <w:rPr>
          <w:rFonts w:ascii="Times New Roman" w:hint="eastAsia"/>
          <w:sz w:val="24"/>
        </w:rPr>
        <w:t>25</w:t>
      </w:r>
      <w:r w:rsidRPr="0024269D">
        <w:rPr>
          <w:rFonts w:ascii="Times New Roman" w:hint="eastAsia"/>
          <w:sz w:val="24"/>
        </w:rPr>
        <w:t>℃之间，相对湿度不超过</w:t>
      </w:r>
      <w:r w:rsidRPr="0024269D">
        <w:rPr>
          <w:rFonts w:ascii="Times New Roman" w:hint="eastAsia"/>
          <w:sz w:val="24"/>
        </w:rPr>
        <w:t>75%</w:t>
      </w:r>
      <w:r w:rsidRPr="0024269D">
        <w:rPr>
          <w:rFonts w:ascii="Times New Roman" w:hint="eastAsia"/>
          <w:sz w:val="24"/>
        </w:rPr>
        <w:t>。露天临时贮存应加盖遮阳布或防水膜，并确保排水通畅，严防积水浸泡。</w:t>
      </w:r>
    </w:p>
    <w:p w14:paraId="052389E7"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青贮饲料开启后应尽快使用，已启封但未使用完的部分应重新压实密封，原则上不得超过</w:t>
      </w:r>
      <w:r w:rsidRPr="0024269D">
        <w:rPr>
          <w:rFonts w:ascii="Times New Roman" w:hint="eastAsia"/>
          <w:sz w:val="24"/>
        </w:rPr>
        <w:t>48</w:t>
      </w:r>
      <w:r w:rsidRPr="0024269D">
        <w:rPr>
          <w:rFonts w:ascii="Times New Roman" w:hint="eastAsia"/>
          <w:sz w:val="24"/>
        </w:rPr>
        <w:t>小时暴露。超过推荐贮存期（一般为</w:t>
      </w:r>
      <w:r w:rsidRPr="0024269D">
        <w:rPr>
          <w:rFonts w:ascii="Times New Roman" w:hint="eastAsia"/>
          <w:sz w:val="24"/>
        </w:rPr>
        <w:t>6</w:t>
      </w:r>
      <w:r w:rsidRPr="0024269D">
        <w:rPr>
          <w:rFonts w:ascii="Times New Roman" w:hint="eastAsia"/>
          <w:sz w:val="24"/>
        </w:rPr>
        <w:t>～</w:t>
      </w:r>
      <w:r w:rsidRPr="0024269D">
        <w:rPr>
          <w:rFonts w:ascii="Times New Roman" w:hint="eastAsia"/>
          <w:sz w:val="24"/>
        </w:rPr>
        <w:t>12</w:t>
      </w:r>
      <w:r w:rsidRPr="0024269D">
        <w:rPr>
          <w:rFonts w:ascii="Times New Roman" w:hint="eastAsia"/>
          <w:sz w:val="24"/>
        </w:rPr>
        <w:t>个月，</w:t>
      </w:r>
      <w:proofErr w:type="gramStart"/>
      <w:r w:rsidRPr="0024269D">
        <w:rPr>
          <w:rFonts w:ascii="Times New Roman" w:hint="eastAsia"/>
          <w:sz w:val="24"/>
        </w:rPr>
        <w:t>视原料</w:t>
      </w:r>
      <w:proofErr w:type="gramEnd"/>
      <w:r w:rsidRPr="0024269D">
        <w:rPr>
          <w:rFonts w:ascii="Times New Roman" w:hint="eastAsia"/>
          <w:sz w:val="24"/>
        </w:rPr>
        <w:t>和密封情况确定）的青贮饲料，需经重新抽样检验合格后方可继续使用。</w:t>
      </w:r>
    </w:p>
    <w:p w14:paraId="7F075F38" w14:textId="77777777" w:rsidR="0024269D" w:rsidRPr="0024269D" w:rsidRDefault="0024269D" w:rsidP="0024269D">
      <w:pPr>
        <w:pStyle w:val="afa"/>
        <w:spacing w:line="360" w:lineRule="auto"/>
        <w:ind w:firstLine="480"/>
        <w:rPr>
          <w:rFonts w:ascii="Times New Roman"/>
          <w:sz w:val="24"/>
        </w:rPr>
      </w:pPr>
      <w:r w:rsidRPr="0024269D">
        <w:rPr>
          <w:rFonts w:ascii="Times New Roman" w:hint="eastAsia"/>
          <w:sz w:val="24"/>
        </w:rPr>
        <w:t>通过以上规定，本规程为青贮饲料从生产、包装到运输、贮存的全流程质量控制提供技术支撑，保障其营养价值和饲喂安全，提升青贮饲料标准化、规模化利用水平。</w:t>
      </w:r>
    </w:p>
    <w:p w14:paraId="57212B37" w14:textId="396CA605" w:rsidR="0079459F" w:rsidRDefault="00D932A7" w:rsidP="00D932A7">
      <w:pPr>
        <w:pStyle w:val="1"/>
      </w:pPr>
      <w:bookmarkStart w:id="19" w:name="_Toc176547937"/>
      <w:bookmarkStart w:id="20" w:name="_Toc203506482"/>
      <w:r w:rsidRPr="008C4EF2">
        <w:rPr>
          <w:rFonts w:hint="eastAsia"/>
        </w:rPr>
        <w:t>六、</w:t>
      </w:r>
      <w:r>
        <w:rPr>
          <w:rFonts w:hint="eastAsia"/>
        </w:rPr>
        <w:t>采用的国际标准</w:t>
      </w:r>
      <w:bookmarkEnd w:id="19"/>
      <w:bookmarkEnd w:id="20"/>
    </w:p>
    <w:p w14:paraId="2E83B2C6" w14:textId="77777777" w:rsidR="0079459F" w:rsidRPr="0079459F" w:rsidRDefault="0079459F" w:rsidP="0079459F">
      <w:pPr>
        <w:ind w:firstLineChars="200" w:firstLine="480"/>
        <w:rPr>
          <w:sz w:val="24"/>
        </w:rPr>
      </w:pPr>
      <w:r w:rsidRPr="0079459F">
        <w:rPr>
          <w:rFonts w:hint="eastAsia"/>
          <w:sz w:val="24"/>
        </w:rPr>
        <w:t>无。</w:t>
      </w:r>
    </w:p>
    <w:p w14:paraId="0D6E2EF3" w14:textId="5FB4FB51" w:rsidR="0079459F" w:rsidRDefault="00D932A7" w:rsidP="0079459F">
      <w:pPr>
        <w:pStyle w:val="1"/>
      </w:pPr>
      <w:bookmarkStart w:id="21" w:name="_Toc176453405"/>
      <w:bookmarkStart w:id="22" w:name="_Toc203506483"/>
      <w:r>
        <w:rPr>
          <w:rFonts w:hint="eastAsia"/>
        </w:rPr>
        <w:t>七、</w:t>
      </w:r>
      <w:r w:rsidR="0079459F">
        <w:rPr>
          <w:rFonts w:hint="eastAsia"/>
        </w:rPr>
        <w:t>与现行法律法规和强制性标准的关系</w:t>
      </w:r>
      <w:bookmarkEnd w:id="21"/>
      <w:bookmarkEnd w:id="22"/>
    </w:p>
    <w:p w14:paraId="570BCBA9" w14:textId="77777777" w:rsidR="0079459F" w:rsidRPr="0079459F" w:rsidRDefault="0079459F" w:rsidP="0079459F">
      <w:pPr>
        <w:ind w:firstLineChars="200" w:firstLine="480"/>
        <w:rPr>
          <w:color w:val="000000"/>
          <w:sz w:val="24"/>
        </w:rPr>
      </w:pPr>
      <w:r w:rsidRPr="0079459F">
        <w:rPr>
          <w:color w:val="000000"/>
          <w:sz w:val="24"/>
        </w:rPr>
        <w:t>本标准与现行法律法规和强制性标准没有冲突。</w:t>
      </w:r>
    </w:p>
    <w:p w14:paraId="7A90F2C0" w14:textId="3373D818" w:rsidR="0079459F" w:rsidRDefault="00D932A7" w:rsidP="0079459F">
      <w:pPr>
        <w:pStyle w:val="1"/>
      </w:pPr>
      <w:bookmarkStart w:id="23" w:name="_Toc176453406"/>
      <w:bookmarkStart w:id="24" w:name="_Toc203506484"/>
      <w:r>
        <w:rPr>
          <w:rFonts w:hint="eastAsia"/>
        </w:rPr>
        <w:t>八</w:t>
      </w:r>
      <w:r w:rsidR="0079459F">
        <w:t>、</w:t>
      </w:r>
      <w:r w:rsidR="0079459F">
        <w:rPr>
          <w:rFonts w:hint="eastAsia"/>
        </w:rPr>
        <w:t>重大分歧意见的处理经过和依据</w:t>
      </w:r>
      <w:bookmarkEnd w:id="23"/>
      <w:bookmarkEnd w:id="24"/>
    </w:p>
    <w:p w14:paraId="25BDA038" w14:textId="77777777" w:rsidR="0079459F" w:rsidRPr="0079459F" w:rsidRDefault="0079459F" w:rsidP="0079459F">
      <w:pPr>
        <w:spacing w:beforeLines="50" w:before="156"/>
        <w:ind w:firstLine="482"/>
        <w:rPr>
          <w:color w:val="000000"/>
          <w:sz w:val="24"/>
        </w:rPr>
      </w:pPr>
      <w:r w:rsidRPr="0079459F">
        <w:rPr>
          <w:color w:val="000000"/>
          <w:sz w:val="24"/>
        </w:rPr>
        <w:t>无。</w:t>
      </w:r>
    </w:p>
    <w:p w14:paraId="76B8508B" w14:textId="768DF4F2" w:rsidR="0079459F" w:rsidRDefault="00D932A7" w:rsidP="0079459F">
      <w:pPr>
        <w:pStyle w:val="1"/>
        <w:rPr>
          <w:rStyle w:val="10"/>
        </w:rPr>
      </w:pPr>
      <w:bookmarkStart w:id="25" w:name="_Toc176453407"/>
      <w:bookmarkStart w:id="26" w:name="_Toc203506485"/>
      <w:r>
        <w:rPr>
          <w:rFonts w:hint="eastAsia"/>
        </w:rPr>
        <w:t>九</w:t>
      </w:r>
      <w:r w:rsidR="0079459F">
        <w:t>、标准作为强制性或推荐性标准的意见</w:t>
      </w:r>
      <w:bookmarkEnd w:id="25"/>
      <w:bookmarkEnd w:id="26"/>
    </w:p>
    <w:p w14:paraId="17F6DA49" w14:textId="77777777" w:rsidR="0079459F" w:rsidRPr="0079459F" w:rsidRDefault="0079459F" w:rsidP="0079459F">
      <w:pPr>
        <w:spacing w:beforeLines="50" w:before="156"/>
        <w:ind w:firstLine="482"/>
        <w:rPr>
          <w:color w:val="000000"/>
          <w:sz w:val="24"/>
        </w:rPr>
      </w:pPr>
      <w:r w:rsidRPr="0079459F">
        <w:rPr>
          <w:color w:val="000000"/>
          <w:sz w:val="24"/>
        </w:rPr>
        <w:t>建议将本标准作为推荐性标准发布实施，并加强标准的宣贯。</w:t>
      </w:r>
    </w:p>
    <w:p w14:paraId="7420EAAC" w14:textId="43722106" w:rsidR="0079459F" w:rsidRDefault="00D932A7" w:rsidP="0079459F">
      <w:pPr>
        <w:pStyle w:val="1"/>
      </w:pPr>
      <w:bookmarkStart w:id="27" w:name="_Toc176453408"/>
      <w:bookmarkStart w:id="28" w:name="_Toc203506486"/>
      <w:r>
        <w:rPr>
          <w:rFonts w:hint="eastAsia"/>
        </w:rPr>
        <w:t>十</w:t>
      </w:r>
      <w:r>
        <w:t>、贯彻标准的要求和措施建议</w:t>
      </w:r>
      <w:bookmarkEnd w:id="27"/>
      <w:bookmarkEnd w:id="28"/>
    </w:p>
    <w:p w14:paraId="2DD7C59E" w14:textId="77777777" w:rsidR="0079459F" w:rsidRPr="0079459F" w:rsidRDefault="0079459F" w:rsidP="0079459F">
      <w:pPr>
        <w:spacing w:beforeLines="50" w:before="156" w:line="360" w:lineRule="auto"/>
        <w:ind w:firstLine="482"/>
        <w:rPr>
          <w:color w:val="000000"/>
          <w:sz w:val="24"/>
        </w:rPr>
      </w:pPr>
      <w:r w:rsidRPr="0079459F">
        <w:rPr>
          <w:rFonts w:hint="eastAsia"/>
          <w:color w:val="000000"/>
          <w:sz w:val="24"/>
        </w:rPr>
        <w:t>为实现酒糟</w:t>
      </w:r>
      <w:proofErr w:type="gramStart"/>
      <w:r w:rsidRPr="0079459F">
        <w:rPr>
          <w:rFonts w:hint="eastAsia"/>
          <w:color w:val="000000"/>
          <w:sz w:val="24"/>
        </w:rPr>
        <w:t>发酵全混合日</w:t>
      </w:r>
      <w:proofErr w:type="gramEnd"/>
      <w:r w:rsidRPr="0079459F">
        <w:rPr>
          <w:rFonts w:hint="eastAsia"/>
          <w:color w:val="000000"/>
          <w:sz w:val="24"/>
        </w:rPr>
        <w:t>粮调制技术的推广及应用，应</w:t>
      </w:r>
      <w:r w:rsidRPr="0079459F">
        <w:rPr>
          <w:color w:val="000000"/>
          <w:sz w:val="24"/>
        </w:rPr>
        <w:t>加强对标准的宣传、讲解</w:t>
      </w:r>
      <w:r w:rsidRPr="0079459F">
        <w:rPr>
          <w:rFonts w:hint="eastAsia"/>
          <w:color w:val="000000"/>
          <w:sz w:val="24"/>
        </w:rPr>
        <w:t>和技术指导，通过组织培训班、现场观摩会、技术讲座等形式，提高广大农户、农业企业及相关研究机构对酒糟饲用化的认识和重视程度。同时，应建立技术咨询和指导服务机制，为实施者提供及时、有效的技术支持，解决他们在实际应用中遇到的问题。此外，还可以通过媒体宣传、网络推广等方式，扩大酒糟</w:t>
      </w:r>
      <w:proofErr w:type="gramStart"/>
      <w:r w:rsidRPr="0079459F">
        <w:rPr>
          <w:rFonts w:hint="eastAsia"/>
          <w:color w:val="000000"/>
          <w:sz w:val="24"/>
        </w:rPr>
        <w:t>发酵全混合日</w:t>
      </w:r>
      <w:proofErr w:type="gramEnd"/>
      <w:r w:rsidRPr="0079459F">
        <w:rPr>
          <w:rFonts w:hint="eastAsia"/>
          <w:color w:val="000000"/>
          <w:sz w:val="24"/>
        </w:rPr>
        <w:t>粮调制技术规程的影响力和知晓度，吸引更多的社会资源投入到酒糟饲用化的发展中来，共同推动我国畜牧业的快速健康发展</w:t>
      </w:r>
      <w:r w:rsidRPr="0079459F">
        <w:rPr>
          <w:color w:val="000000"/>
          <w:sz w:val="24"/>
        </w:rPr>
        <w:t>。</w:t>
      </w:r>
    </w:p>
    <w:p w14:paraId="49C4FF10" w14:textId="0C69C8B6" w:rsidR="0079459F" w:rsidRDefault="0079459F" w:rsidP="0079459F">
      <w:pPr>
        <w:pStyle w:val="1"/>
      </w:pPr>
      <w:bookmarkStart w:id="29" w:name="_Toc176453409"/>
      <w:bookmarkStart w:id="30" w:name="_Toc203506487"/>
      <w:r>
        <w:rPr>
          <w:rFonts w:hint="eastAsia"/>
        </w:rPr>
        <w:t>十</w:t>
      </w:r>
      <w:r w:rsidR="00D932A7">
        <w:rPr>
          <w:rFonts w:hint="eastAsia"/>
        </w:rPr>
        <w:t>一</w:t>
      </w:r>
      <w:r>
        <w:t>、废止现行有关标准的建议</w:t>
      </w:r>
      <w:bookmarkEnd w:id="29"/>
      <w:bookmarkEnd w:id="30"/>
    </w:p>
    <w:p w14:paraId="2579D94A" w14:textId="77777777" w:rsidR="0079459F" w:rsidRPr="0079459F" w:rsidRDefault="0079459F" w:rsidP="0079459F">
      <w:pPr>
        <w:spacing w:beforeLines="50" w:before="156"/>
        <w:ind w:firstLine="482"/>
        <w:rPr>
          <w:color w:val="000000"/>
          <w:sz w:val="24"/>
        </w:rPr>
      </w:pPr>
      <w:r w:rsidRPr="0079459F">
        <w:rPr>
          <w:color w:val="000000"/>
          <w:sz w:val="24"/>
        </w:rPr>
        <w:t>无。</w:t>
      </w:r>
    </w:p>
    <w:p w14:paraId="4E91A281" w14:textId="780A2DBD" w:rsidR="0079459F" w:rsidRDefault="0079459F" w:rsidP="0079459F">
      <w:pPr>
        <w:pStyle w:val="1"/>
      </w:pPr>
      <w:bookmarkStart w:id="31" w:name="_Toc176453410"/>
      <w:bookmarkStart w:id="32" w:name="_Toc203506488"/>
      <w:r>
        <w:t>十</w:t>
      </w:r>
      <w:r w:rsidR="00D932A7">
        <w:rPr>
          <w:rFonts w:hint="eastAsia"/>
        </w:rPr>
        <w:t>二</w:t>
      </w:r>
      <w:r>
        <w:t>、其他应予说明的事项</w:t>
      </w:r>
      <w:bookmarkEnd w:id="31"/>
      <w:bookmarkEnd w:id="32"/>
    </w:p>
    <w:p w14:paraId="441418A9" w14:textId="77777777" w:rsidR="0079459F" w:rsidRPr="0079459F" w:rsidRDefault="0079459F" w:rsidP="0079459F">
      <w:pPr>
        <w:spacing w:beforeLines="50" w:before="156"/>
        <w:ind w:firstLine="482"/>
        <w:rPr>
          <w:color w:val="000000"/>
          <w:sz w:val="24"/>
        </w:rPr>
      </w:pPr>
      <w:r w:rsidRPr="0079459F">
        <w:rPr>
          <w:color w:val="000000"/>
          <w:sz w:val="24"/>
        </w:rPr>
        <w:t>无。</w:t>
      </w:r>
      <w:r w:rsidRPr="0079459F">
        <w:rPr>
          <w:color w:val="000000"/>
          <w:sz w:val="24"/>
        </w:rPr>
        <w:fldChar w:fldCharType="begin"/>
      </w:r>
      <w:r w:rsidRPr="0079459F">
        <w:rPr>
          <w:color w:val="000000"/>
          <w:sz w:val="24"/>
        </w:rPr>
        <w:instrText xml:space="preserve"> ADDIN EN.REFLIST </w:instrText>
      </w:r>
      <w:r w:rsidRPr="0079459F">
        <w:rPr>
          <w:color w:val="000000"/>
          <w:sz w:val="24"/>
        </w:rPr>
        <w:fldChar w:fldCharType="separate"/>
      </w:r>
      <w:r w:rsidRPr="0079459F">
        <w:rPr>
          <w:color w:val="000000"/>
          <w:sz w:val="24"/>
        </w:rPr>
        <w:fldChar w:fldCharType="end"/>
      </w:r>
    </w:p>
    <w:p w14:paraId="5202F784" w14:textId="77777777" w:rsidR="0079459F" w:rsidRDefault="0079459F" w:rsidP="0079459F">
      <w:pPr>
        <w:ind w:firstLineChars="200" w:firstLine="420"/>
        <w:rPr>
          <w:color w:val="000000"/>
        </w:rPr>
      </w:pPr>
    </w:p>
    <w:p w14:paraId="56DE60EA" w14:textId="77777777" w:rsidR="0079459F" w:rsidRDefault="0079459F" w:rsidP="0079459F">
      <w:pPr>
        <w:ind w:firstLineChars="200" w:firstLine="420"/>
      </w:pPr>
    </w:p>
    <w:p w14:paraId="2C38C24E" w14:textId="77777777" w:rsidR="0079459F" w:rsidRDefault="0079459F" w:rsidP="0079459F">
      <w:pPr>
        <w:ind w:firstLine="480"/>
      </w:pPr>
    </w:p>
    <w:p w14:paraId="62EA3B78" w14:textId="77777777" w:rsidR="00CD52EC" w:rsidRDefault="00CD52EC" w:rsidP="0079459F">
      <w:pPr>
        <w:pStyle w:val="afa"/>
        <w:spacing w:line="360" w:lineRule="auto"/>
        <w:ind w:firstLine="480"/>
        <w:rPr>
          <w:sz w:val="24"/>
        </w:rPr>
      </w:pPr>
    </w:p>
    <w:sectPr w:rsidR="00CD52EC">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C9B7" w14:textId="77777777" w:rsidR="00614845" w:rsidRDefault="00614845">
      <w:r>
        <w:separator/>
      </w:r>
    </w:p>
  </w:endnote>
  <w:endnote w:type="continuationSeparator" w:id="0">
    <w:p w14:paraId="2CDCF2D5" w14:textId="77777777" w:rsidR="00614845" w:rsidRDefault="0061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234D" w14:textId="77777777" w:rsidR="00CD52EC" w:rsidRDefault="00000000">
    <w:pPr>
      <w:pStyle w:val="ae"/>
      <w:framePr w:wrap="around" w:vAnchor="text" w:hAnchor="margin" w:xAlign="center" w:y="1"/>
      <w:rPr>
        <w:rStyle w:val="af6"/>
      </w:rPr>
    </w:pPr>
    <w:r>
      <w:fldChar w:fldCharType="begin"/>
    </w:r>
    <w:r>
      <w:rPr>
        <w:rStyle w:val="af6"/>
      </w:rPr>
      <w:instrText xml:space="preserve">PAGE  </w:instrText>
    </w:r>
    <w:r>
      <w:fldChar w:fldCharType="end"/>
    </w:r>
  </w:p>
  <w:p w14:paraId="31382321" w14:textId="77777777" w:rsidR="00CD52EC" w:rsidRDefault="00CD52E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140D" w14:textId="77777777" w:rsidR="00CD52EC" w:rsidRDefault="00000000">
    <w:pPr>
      <w:pStyle w:val="ae"/>
      <w:framePr w:wrap="around" w:vAnchor="text" w:hAnchor="margin" w:xAlign="center" w:y="1"/>
      <w:jc w:val="right"/>
      <w:rPr>
        <w:rStyle w:val="af6"/>
      </w:rPr>
    </w:pPr>
    <w:r>
      <w:fldChar w:fldCharType="begin"/>
    </w:r>
    <w:r>
      <w:rPr>
        <w:rStyle w:val="af6"/>
      </w:rPr>
      <w:instrText xml:space="preserve">PAGE  </w:instrText>
    </w:r>
    <w:r>
      <w:fldChar w:fldCharType="separate"/>
    </w:r>
    <w:r>
      <w:rPr>
        <w:rStyle w:val="af6"/>
      </w:rPr>
      <w:t>16</w:t>
    </w:r>
    <w:r>
      <w:fldChar w:fldCharType="end"/>
    </w:r>
  </w:p>
  <w:p w14:paraId="68BF082B" w14:textId="77777777" w:rsidR="00CD52EC" w:rsidRDefault="00CD52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6475" w14:textId="77777777" w:rsidR="00614845" w:rsidRDefault="00614845">
      <w:r>
        <w:separator/>
      </w:r>
    </w:p>
  </w:footnote>
  <w:footnote w:type="continuationSeparator" w:id="0">
    <w:p w14:paraId="3B7F3676" w14:textId="77777777" w:rsidR="00614845" w:rsidRDefault="0061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099AB"/>
    <w:multiLevelType w:val="singleLevel"/>
    <w:tmpl w:val="96B099AB"/>
    <w:lvl w:ilvl="0">
      <w:start w:val="1"/>
      <w:numFmt w:val="lowerLetter"/>
      <w:suff w:val="space"/>
      <w:lvlText w:val="%1."/>
      <w:lvlJc w:val="left"/>
    </w:lvl>
  </w:abstractNum>
  <w:abstractNum w:abstractNumId="1" w15:restartNumberingAfterBreak="0">
    <w:nsid w:val="99FBF923"/>
    <w:multiLevelType w:val="singleLevel"/>
    <w:tmpl w:val="99FBF923"/>
    <w:lvl w:ilvl="0">
      <w:start w:val="1"/>
      <w:numFmt w:val="decimal"/>
      <w:lvlText w:val="(%1)"/>
      <w:lvlJc w:val="left"/>
      <w:pPr>
        <w:ind w:left="425" w:hanging="425"/>
      </w:pPr>
      <w:rPr>
        <w:rFonts w:hint="default"/>
      </w:rPr>
    </w:lvl>
  </w:abstractNum>
  <w:abstractNum w:abstractNumId="2"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3" w15:restartNumberingAfterBreak="0">
    <w:nsid w:val="1AF70A4E"/>
    <w:multiLevelType w:val="singleLevel"/>
    <w:tmpl w:val="1AF70A4E"/>
    <w:lvl w:ilvl="0">
      <w:start w:val="1"/>
      <w:numFmt w:val="chineseCounting"/>
      <w:suff w:val="nothing"/>
      <w:lvlText w:val="%1．"/>
      <w:lvlJc w:val="left"/>
      <w:rPr>
        <w:rFonts w:hint="eastAsia"/>
      </w:rPr>
    </w:lvl>
  </w:abstractNum>
  <w:abstractNum w:abstractNumId="4" w15:restartNumberingAfterBreak="0">
    <w:nsid w:val="482ACC36"/>
    <w:multiLevelType w:val="singleLevel"/>
    <w:tmpl w:val="482ACC36"/>
    <w:lvl w:ilvl="0">
      <w:start w:val="1"/>
      <w:numFmt w:val="decimal"/>
      <w:suff w:val="space"/>
      <w:lvlText w:val="%1."/>
      <w:lvlJc w:val="left"/>
    </w:lvl>
  </w:abstractNum>
  <w:abstractNum w:abstractNumId="5"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491EF07"/>
    <w:multiLevelType w:val="singleLevel"/>
    <w:tmpl w:val="6491EF07"/>
    <w:lvl w:ilvl="0">
      <w:start w:val="1"/>
      <w:numFmt w:val="decimal"/>
      <w:lvlText w:val="(%1)"/>
      <w:lvlJc w:val="left"/>
      <w:pPr>
        <w:ind w:left="425" w:hanging="425"/>
      </w:pPr>
      <w:rPr>
        <w:rFonts w:hint="default"/>
      </w:rPr>
    </w:lvl>
  </w:abstractNum>
  <w:abstractNum w:abstractNumId="7" w15:restartNumberingAfterBreak="0">
    <w:nsid w:val="6E980FFD"/>
    <w:multiLevelType w:val="singleLevel"/>
    <w:tmpl w:val="6E980FFD"/>
    <w:lvl w:ilvl="0">
      <w:start w:val="2"/>
      <w:numFmt w:val="decimal"/>
      <w:suff w:val="space"/>
      <w:lvlText w:val="%1."/>
      <w:lvlJc w:val="left"/>
    </w:lvl>
  </w:abstractNum>
  <w:num w:numId="1" w16cid:durableId="772170037">
    <w:abstractNumId w:val="5"/>
  </w:num>
  <w:num w:numId="2" w16cid:durableId="1682707431">
    <w:abstractNumId w:val="3"/>
  </w:num>
  <w:num w:numId="3" w16cid:durableId="743336698">
    <w:abstractNumId w:val="6"/>
  </w:num>
  <w:num w:numId="4" w16cid:durableId="307521162">
    <w:abstractNumId w:val="1"/>
  </w:num>
  <w:num w:numId="5" w16cid:durableId="716707834">
    <w:abstractNumId w:val="0"/>
  </w:num>
  <w:num w:numId="6" w16cid:durableId="548153486">
    <w:abstractNumId w:val="2"/>
  </w:num>
  <w:num w:numId="7" w16cid:durableId="1070075025">
    <w:abstractNumId w:val="7"/>
  </w:num>
  <w:num w:numId="8" w16cid:durableId="126854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5YTk3NTJhNmNjYzk3ZmEzZTlhOGE4Nzg1MjU4NzMifQ=="/>
  </w:docVars>
  <w:rsids>
    <w:rsidRoot w:val="00F74370"/>
    <w:rsid w:val="0000128E"/>
    <w:rsid w:val="00055C25"/>
    <w:rsid w:val="00090BCD"/>
    <w:rsid w:val="00096470"/>
    <w:rsid w:val="000A2D84"/>
    <w:rsid w:val="000C73D6"/>
    <w:rsid w:val="001178C2"/>
    <w:rsid w:val="00162779"/>
    <w:rsid w:val="0018266A"/>
    <w:rsid w:val="00184BE5"/>
    <w:rsid w:val="001F271B"/>
    <w:rsid w:val="00206097"/>
    <w:rsid w:val="0024269D"/>
    <w:rsid w:val="00247D8B"/>
    <w:rsid w:val="002F1FD7"/>
    <w:rsid w:val="002F280D"/>
    <w:rsid w:val="00316A0D"/>
    <w:rsid w:val="003A6EF0"/>
    <w:rsid w:val="003D21FC"/>
    <w:rsid w:val="003F4EDA"/>
    <w:rsid w:val="00410153"/>
    <w:rsid w:val="004168B3"/>
    <w:rsid w:val="004263A3"/>
    <w:rsid w:val="0044353E"/>
    <w:rsid w:val="004A132A"/>
    <w:rsid w:val="004B3CFC"/>
    <w:rsid w:val="004F4DE7"/>
    <w:rsid w:val="005602F2"/>
    <w:rsid w:val="00587F8E"/>
    <w:rsid w:val="0059761D"/>
    <w:rsid w:val="00614845"/>
    <w:rsid w:val="00640167"/>
    <w:rsid w:val="00682F8D"/>
    <w:rsid w:val="006A6B0D"/>
    <w:rsid w:val="006B7DD6"/>
    <w:rsid w:val="006F63C3"/>
    <w:rsid w:val="007464A5"/>
    <w:rsid w:val="0079459F"/>
    <w:rsid w:val="00797774"/>
    <w:rsid w:val="007E3679"/>
    <w:rsid w:val="00830055"/>
    <w:rsid w:val="00866D90"/>
    <w:rsid w:val="00881CA2"/>
    <w:rsid w:val="00884990"/>
    <w:rsid w:val="008C4EF2"/>
    <w:rsid w:val="008C5C76"/>
    <w:rsid w:val="008E2EF6"/>
    <w:rsid w:val="00944AEE"/>
    <w:rsid w:val="00975598"/>
    <w:rsid w:val="009C051A"/>
    <w:rsid w:val="00A01863"/>
    <w:rsid w:val="00A475CE"/>
    <w:rsid w:val="00A65DF0"/>
    <w:rsid w:val="00A81770"/>
    <w:rsid w:val="00A82C10"/>
    <w:rsid w:val="00AA47F9"/>
    <w:rsid w:val="00AC4366"/>
    <w:rsid w:val="00B2130F"/>
    <w:rsid w:val="00B60AFD"/>
    <w:rsid w:val="00B837F5"/>
    <w:rsid w:val="00BB19B9"/>
    <w:rsid w:val="00C3252E"/>
    <w:rsid w:val="00CB6D55"/>
    <w:rsid w:val="00CC218B"/>
    <w:rsid w:val="00CD52EC"/>
    <w:rsid w:val="00CD5E3B"/>
    <w:rsid w:val="00CE232E"/>
    <w:rsid w:val="00D356EA"/>
    <w:rsid w:val="00D57286"/>
    <w:rsid w:val="00D65D3D"/>
    <w:rsid w:val="00D932A7"/>
    <w:rsid w:val="00DB59B3"/>
    <w:rsid w:val="00DB615E"/>
    <w:rsid w:val="00E53C44"/>
    <w:rsid w:val="00EA47CF"/>
    <w:rsid w:val="00ED506E"/>
    <w:rsid w:val="00F21CEA"/>
    <w:rsid w:val="00F2794F"/>
    <w:rsid w:val="00F401BB"/>
    <w:rsid w:val="00F547FD"/>
    <w:rsid w:val="00F74279"/>
    <w:rsid w:val="00F74370"/>
    <w:rsid w:val="079A3B3F"/>
    <w:rsid w:val="2A0235B4"/>
    <w:rsid w:val="37EF566E"/>
    <w:rsid w:val="6712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C8AEE"/>
  <w15:docId w15:val="{A39132D1-94BF-44E8-9182-14BB5A56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rsid w:val="00F547FD"/>
    <w:pPr>
      <w:keepNext/>
      <w:keepLines/>
      <w:spacing w:before="240" w:after="240" w:line="360"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semiHidden/>
    <w:qFormat/>
    <w:pPr>
      <w:shd w:val="clear" w:color="auto" w:fill="000080"/>
    </w:pPr>
  </w:style>
  <w:style w:type="paragraph" w:styleId="a6">
    <w:name w:val="annotation text"/>
    <w:basedOn w:val="a0"/>
    <w:link w:val="a7"/>
    <w:semiHidden/>
    <w:pPr>
      <w:jc w:val="left"/>
    </w:pPr>
  </w:style>
  <w:style w:type="paragraph" w:styleId="a8">
    <w:name w:val="Body Text Indent"/>
    <w:basedOn w:val="a0"/>
    <w:link w:val="a9"/>
    <w:qFormat/>
    <w:pPr>
      <w:ind w:firstLineChars="200" w:firstLine="600"/>
    </w:pPr>
    <w:rPr>
      <w:rFonts w:ascii="宋体" w:hAnsi="宋体"/>
      <w:sz w:val="30"/>
    </w:rPr>
  </w:style>
  <w:style w:type="paragraph" w:styleId="TOC3">
    <w:name w:val="toc 3"/>
    <w:basedOn w:val="a0"/>
    <w:next w:val="a0"/>
    <w:semiHidden/>
    <w:pPr>
      <w:ind w:leftChars="400" w:left="840"/>
    </w:pPr>
  </w:style>
  <w:style w:type="paragraph" w:styleId="aa">
    <w:name w:val="Date"/>
    <w:basedOn w:val="a0"/>
    <w:next w:val="a0"/>
    <w:link w:val="ab"/>
    <w:qFormat/>
    <w:pPr>
      <w:ind w:leftChars="2500" w:left="100"/>
    </w:pPr>
    <w:rPr>
      <w:rFonts w:asciiTheme="minorHAnsi" w:eastAsiaTheme="minorEastAsia" w:hAnsiTheme="minorHAnsi" w:cstheme="minorBidi"/>
    </w:rPr>
  </w:style>
  <w:style w:type="paragraph" w:styleId="ac">
    <w:name w:val="Balloon Text"/>
    <w:basedOn w:val="a0"/>
    <w:link w:val="ad"/>
    <w:semiHidden/>
    <w:rPr>
      <w:sz w:val="18"/>
      <w:szCs w:val="18"/>
    </w:rPr>
  </w:style>
  <w:style w:type="paragraph" w:styleId="ae">
    <w:name w:val="footer"/>
    <w:basedOn w:val="a0"/>
    <w:link w:val="af"/>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4">
    <w:name w:val="toc 4"/>
    <w:basedOn w:val="TOC3"/>
    <w:next w:val="a0"/>
    <w:semiHidden/>
    <w:qFormat/>
    <w:pPr>
      <w:widowControl/>
      <w:ind w:leftChars="0" w:left="0"/>
    </w:pPr>
    <w:rPr>
      <w:rFonts w:ascii="宋体"/>
      <w:kern w:val="0"/>
      <w:szCs w:val="20"/>
    </w:rPr>
  </w:style>
  <w:style w:type="paragraph" w:styleId="af2">
    <w:name w:val="Normal (Web)"/>
    <w:basedOn w:val="a0"/>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annotation subject"/>
    <w:basedOn w:val="a6"/>
    <w:next w:val="a6"/>
    <w:link w:val="af4"/>
    <w:semiHidden/>
    <w:qFormat/>
    <w:rPr>
      <w:b/>
      <w:bCs/>
    </w:rPr>
  </w:style>
  <w:style w:type="table" w:styleId="af5">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lassic 1"/>
    <w:basedOn w:val="a2"/>
    <w:qFormat/>
    <w:pPr>
      <w:widowControl w:val="0"/>
      <w:jc w:val="both"/>
    </w:pPr>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6">
    <w:name w:val="page number"/>
    <w:basedOn w:val="a1"/>
    <w:qFormat/>
  </w:style>
  <w:style w:type="character" w:styleId="af7">
    <w:name w:val="Hyperlink"/>
    <w:uiPriority w:val="99"/>
    <w:qFormat/>
    <w:rPr>
      <w:rFonts w:ascii="Times New Roman" w:eastAsia="宋体" w:hAnsi="Times New Roman"/>
      <w:color w:val="auto"/>
      <w:spacing w:val="0"/>
      <w:w w:val="100"/>
      <w:position w:val="0"/>
      <w:sz w:val="21"/>
      <w:u w:val="none"/>
      <w:vertAlign w:val="baseline"/>
    </w:rPr>
  </w:style>
  <w:style w:type="character" w:styleId="HTML">
    <w:name w:val="HTML Code"/>
    <w:qFormat/>
    <w:rPr>
      <w:rFonts w:ascii="Courier New" w:hAnsi="Courier New"/>
      <w:sz w:val="20"/>
      <w:szCs w:val="20"/>
    </w:rPr>
  </w:style>
  <w:style w:type="character" w:styleId="af8">
    <w:name w:val="annotation reference"/>
    <w:semiHidden/>
    <w:qFormat/>
    <w:rPr>
      <w:sz w:val="21"/>
      <w:szCs w:val="21"/>
    </w:rPr>
  </w:style>
  <w:style w:type="character" w:customStyle="1" w:styleId="ab">
    <w:name w:val="日期 字符"/>
    <w:link w:val="aa"/>
    <w:qFormat/>
    <w:rPr>
      <w:szCs w:val="24"/>
    </w:rPr>
  </w:style>
  <w:style w:type="character" w:customStyle="1" w:styleId="af1">
    <w:name w:val="页眉 字符"/>
    <w:link w:val="af0"/>
    <w:qFormat/>
    <w:rPr>
      <w:sz w:val="18"/>
      <w:szCs w:val="18"/>
    </w:rPr>
  </w:style>
  <w:style w:type="character" w:customStyle="1" w:styleId="Char">
    <w:name w:val="封面标准名称 Char"/>
    <w:link w:val="af9"/>
    <w:qFormat/>
    <w:rPr>
      <w:rFonts w:ascii="黑体" w:eastAsia="黑体"/>
      <w:sz w:val="52"/>
    </w:rPr>
  </w:style>
  <w:style w:type="paragraph" w:customStyle="1" w:styleId="af9">
    <w:name w:val="封面标准名称"/>
    <w:link w:val="Char"/>
    <w:pPr>
      <w:framePr w:w="9638" w:h="6917" w:hRule="exact" w:wrap="around" w:hAnchor="margin" w:xAlign="center" w:y="5955" w:anchorLock="1"/>
      <w:widowControl w:val="0"/>
      <w:spacing w:line="680" w:lineRule="exact"/>
      <w:jc w:val="center"/>
      <w:textAlignment w:val="center"/>
    </w:pPr>
    <w:rPr>
      <w:rFonts w:ascii="黑体" w:eastAsia="黑体"/>
      <w:kern w:val="2"/>
      <w:sz w:val="52"/>
      <w:szCs w:val="22"/>
    </w:rPr>
  </w:style>
  <w:style w:type="character" w:customStyle="1" w:styleId="a7">
    <w:name w:val="批注文字 字符"/>
    <w:basedOn w:val="a1"/>
    <w:link w:val="a6"/>
    <w:semiHidden/>
    <w:rPr>
      <w:rFonts w:ascii="Times New Roman" w:eastAsia="宋体" w:hAnsi="Times New Roman" w:cs="Times New Roman"/>
      <w:szCs w:val="24"/>
    </w:rPr>
  </w:style>
  <w:style w:type="character" w:customStyle="1" w:styleId="a9">
    <w:name w:val="正文文本缩进 字符"/>
    <w:basedOn w:val="a1"/>
    <w:link w:val="a8"/>
    <w:qFormat/>
    <w:rPr>
      <w:rFonts w:ascii="宋体" w:eastAsia="宋体" w:hAnsi="宋体" w:cs="Times New Roman"/>
      <w:sz w:val="30"/>
      <w:szCs w:val="24"/>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d">
    <w:name w:val="批注框文本 字符"/>
    <w:basedOn w:val="a1"/>
    <w:link w:val="ac"/>
    <w:semiHidden/>
    <w:rPr>
      <w:rFonts w:ascii="Times New Roman" w:eastAsia="宋体" w:hAnsi="Times New Roman" w:cs="Times New Roman"/>
      <w:sz w:val="18"/>
      <w:szCs w:val="18"/>
    </w:rPr>
  </w:style>
  <w:style w:type="character" w:customStyle="1" w:styleId="Char1">
    <w:name w:val="页眉 Char1"/>
    <w:basedOn w:val="a1"/>
    <w:uiPriority w:val="99"/>
    <w:semiHidden/>
    <w:qFormat/>
    <w:rPr>
      <w:rFonts w:ascii="Times New Roman" w:eastAsia="宋体" w:hAnsi="Times New Roman" w:cs="Times New Roman"/>
      <w:sz w:val="18"/>
      <w:szCs w:val="18"/>
    </w:rPr>
  </w:style>
  <w:style w:type="character" w:customStyle="1" w:styleId="a5">
    <w:name w:val="文档结构图 字符"/>
    <w:basedOn w:val="a1"/>
    <w:link w:val="a4"/>
    <w:semiHidden/>
    <w:qFormat/>
    <w:rPr>
      <w:rFonts w:ascii="Times New Roman" w:eastAsia="宋体" w:hAnsi="Times New Roman" w:cs="Times New Roman"/>
      <w:szCs w:val="24"/>
      <w:shd w:val="clear" w:color="auto" w:fill="000080"/>
    </w:rPr>
  </w:style>
  <w:style w:type="character" w:customStyle="1" w:styleId="Char10">
    <w:name w:val="日期 Char1"/>
    <w:basedOn w:val="a1"/>
    <w:uiPriority w:val="99"/>
    <w:semiHidden/>
    <w:qFormat/>
    <w:rPr>
      <w:rFonts w:ascii="Times New Roman" w:eastAsia="宋体" w:hAnsi="Times New Roman" w:cs="Times New Roman"/>
      <w:szCs w:val="24"/>
    </w:rPr>
  </w:style>
  <w:style w:type="character" w:customStyle="1" w:styleId="af4">
    <w:name w:val="批注主题 字符"/>
    <w:basedOn w:val="a7"/>
    <w:link w:val="af3"/>
    <w:semiHidden/>
    <w:qFormat/>
    <w:rPr>
      <w:rFonts w:ascii="Times New Roman" w:eastAsia="宋体" w:hAnsi="Times New Roman" w:cs="Times New Roman"/>
      <w:b/>
      <w:bCs/>
      <w:szCs w:val="24"/>
    </w:rPr>
  </w:style>
  <w:style w:type="paragraph" w:customStyle="1" w:styleId="afa">
    <w:name w:val="段"/>
    <w:link w:val="Char0"/>
    <w:qFormat/>
    <w:pPr>
      <w:autoSpaceDE w:val="0"/>
      <w:autoSpaceDN w:val="0"/>
      <w:ind w:firstLineChars="200" w:firstLine="200"/>
      <w:jc w:val="both"/>
    </w:pPr>
    <w:rPr>
      <w:rFonts w:ascii="宋体" w:eastAsia="宋体" w:hAnsi="Times New Roman" w:cs="Times New Roman"/>
      <w:sz w:val="21"/>
    </w:rPr>
  </w:style>
  <w:style w:type="paragraph" w:customStyle="1" w:styleId="a">
    <w:name w:val="正文表标题"/>
    <w:next w:val="afa"/>
    <w:qFormat/>
    <w:pPr>
      <w:numPr>
        <w:numId w:val="1"/>
      </w:numPr>
      <w:jc w:val="center"/>
    </w:pPr>
    <w:rPr>
      <w:rFonts w:ascii="黑体" w:eastAsia="黑体" w:hAnsi="Times New Roman" w:cs="Times New Roman"/>
      <w:sz w:val="21"/>
    </w:rPr>
  </w:style>
  <w:style w:type="character" w:customStyle="1" w:styleId="Char0">
    <w:name w:val="段 Char"/>
    <w:link w:val="afa"/>
    <w:qFormat/>
    <w:rPr>
      <w:rFonts w:ascii="宋体" w:eastAsia="宋体" w:hAnsi="Times New Roman" w:cs="Times New Roman"/>
      <w:kern w:val="0"/>
      <w:szCs w:val="20"/>
    </w:rPr>
  </w:style>
  <w:style w:type="paragraph" w:customStyle="1" w:styleId="WPSOffice1">
    <w:name w:val="WPSOffice手动目录 1"/>
    <w:rsid w:val="00F547FD"/>
    <w:rPr>
      <w:rFonts w:ascii="Times New Roman" w:eastAsia="宋体" w:hAnsi="Times New Roman" w:cs="Times New Roman"/>
    </w:rPr>
  </w:style>
  <w:style w:type="paragraph" w:customStyle="1" w:styleId="WPSOffice2">
    <w:name w:val="WPSOffice手动目录 2"/>
    <w:rsid w:val="00F547FD"/>
    <w:pPr>
      <w:ind w:leftChars="200" w:left="200"/>
    </w:pPr>
    <w:rPr>
      <w:rFonts w:ascii="Times New Roman" w:eastAsia="宋体" w:hAnsi="Times New Roman" w:cs="Times New Roman"/>
    </w:rPr>
  </w:style>
  <w:style w:type="character" w:customStyle="1" w:styleId="10">
    <w:name w:val="标题 1 字符"/>
    <w:basedOn w:val="a1"/>
    <w:link w:val="1"/>
    <w:uiPriority w:val="9"/>
    <w:qFormat/>
    <w:rsid w:val="00F547FD"/>
    <w:rPr>
      <w:rFonts w:ascii="Times New Roman" w:eastAsia="宋体" w:hAnsi="Times New Roman" w:cs="Times New Roman"/>
      <w:b/>
      <w:bCs/>
      <w:kern w:val="44"/>
      <w:sz w:val="28"/>
      <w:szCs w:val="44"/>
    </w:rPr>
  </w:style>
  <w:style w:type="paragraph" w:styleId="TOC1">
    <w:name w:val="toc 1"/>
    <w:basedOn w:val="a0"/>
    <w:next w:val="a0"/>
    <w:autoRedefine/>
    <w:uiPriority w:val="39"/>
    <w:unhideWhenUsed/>
    <w:rsid w:val="00AA47F9"/>
  </w:style>
  <w:style w:type="paragraph" w:styleId="TOC2">
    <w:name w:val="toc 2"/>
    <w:basedOn w:val="a0"/>
    <w:next w:val="a0"/>
    <w:autoRedefine/>
    <w:uiPriority w:val="39"/>
    <w:unhideWhenUsed/>
    <w:rsid w:val="00AA47F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4527</Words>
  <Characters>4845</Characters>
  <Application>Microsoft Office Word</Application>
  <DocSecurity>0</DocSecurity>
  <Lines>220</Lines>
  <Paragraphs>191</Paragraphs>
  <ScaleCrop>false</ScaleCrop>
  <Company>Lenovo</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ThinkPad</cp:lastModifiedBy>
  <cp:revision>21</cp:revision>
  <dcterms:created xsi:type="dcterms:W3CDTF">2020-04-09T02:45:00Z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43082819EDB04A3F961218D2124FD385</vt:lpwstr>
  </property>
</Properties>
</file>