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4ACB" w14:textId="77777777" w:rsidR="0012734E" w:rsidRDefault="0012734E" w:rsidP="00D63FC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D8CDAA8" w14:textId="77777777" w:rsidR="0012734E" w:rsidRDefault="0012734E" w:rsidP="00D63FC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2C7BC0F" w14:textId="77777777" w:rsidR="0012734E" w:rsidRDefault="0012734E" w:rsidP="00D63FC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0CCB466" w14:textId="77777777" w:rsidR="0012734E" w:rsidRDefault="0012734E" w:rsidP="00D63FC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3FA4BF5" w14:textId="1A2EFD39" w:rsidR="003A3544" w:rsidRPr="007503AC" w:rsidRDefault="002B3C92" w:rsidP="00D63FC9">
      <w:pPr>
        <w:jc w:val="center"/>
        <w:rPr>
          <w:sz w:val="72"/>
          <w:szCs w:val="72"/>
        </w:rPr>
      </w:pPr>
      <w:r w:rsidRPr="007503AC">
        <w:rPr>
          <w:rFonts w:ascii="Times New Roman" w:hAnsi="Times New Roman" w:cs="Times New Roman" w:hint="eastAsia"/>
          <w:sz w:val="72"/>
          <w:szCs w:val="72"/>
        </w:rPr>
        <w:t>团</w:t>
      </w:r>
      <w:r w:rsidR="0012734E" w:rsidRPr="007503AC">
        <w:rPr>
          <w:rFonts w:ascii="Times New Roman" w:hAnsi="Times New Roman" w:cs="Times New Roman" w:hint="eastAsia"/>
          <w:sz w:val="72"/>
          <w:szCs w:val="72"/>
        </w:rPr>
        <w:t xml:space="preserve"> </w:t>
      </w:r>
      <w:r w:rsidRPr="007503AC">
        <w:rPr>
          <w:rFonts w:ascii="Times New Roman" w:hAnsi="Times New Roman" w:cs="Times New Roman" w:hint="eastAsia"/>
          <w:sz w:val="72"/>
          <w:szCs w:val="72"/>
        </w:rPr>
        <w:t>体</w:t>
      </w:r>
      <w:r w:rsidR="0012734E" w:rsidRPr="007503AC">
        <w:rPr>
          <w:rFonts w:ascii="Times New Roman" w:hAnsi="Times New Roman" w:cs="Times New Roman" w:hint="eastAsia"/>
          <w:sz w:val="72"/>
          <w:szCs w:val="72"/>
        </w:rPr>
        <w:t xml:space="preserve"> </w:t>
      </w:r>
      <w:r w:rsidRPr="007503AC">
        <w:rPr>
          <w:rFonts w:ascii="Times New Roman" w:hAnsi="Times New Roman" w:cs="Times New Roman" w:hint="eastAsia"/>
          <w:sz w:val="72"/>
          <w:szCs w:val="72"/>
        </w:rPr>
        <w:t>标</w:t>
      </w:r>
      <w:r w:rsidR="0012734E" w:rsidRPr="007503AC">
        <w:rPr>
          <w:rFonts w:ascii="Times New Roman" w:hAnsi="Times New Roman" w:cs="Times New Roman" w:hint="eastAsia"/>
          <w:sz w:val="72"/>
          <w:szCs w:val="72"/>
        </w:rPr>
        <w:t xml:space="preserve"> </w:t>
      </w:r>
      <w:r w:rsidRPr="007503AC">
        <w:rPr>
          <w:rFonts w:ascii="Times New Roman" w:hAnsi="Times New Roman" w:cs="Times New Roman" w:hint="eastAsia"/>
          <w:sz w:val="72"/>
          <w:szCs w:val="72"/>
        </w:rPr>
        <w:t>准</w:t>
      </w:r>
    </w:p>
    <w:p w14:paraId="658CB7F2" w14:textId="77777777" w:rsidR="003A3544" w:rsidRDefault="003A3544" w:rsidP="003A3544">
      <w:pPr>
        <w:rPr>
          <w:sz w:val="32"/>
          <w:szCs w:val="32"/>
        </w:rPr>
      </w:pPr>
    </w:p>
    <w:p w14:paraId="515B1D38" w14:textId="77777777" w:rsidR="007503AC" w:rsidRDefault="007503AC" w:rsidP="002B3C92">
      <w:pPr>
        <w:spacing w:after="240" w:line="360" w:lineRule="auto"/>
      </w:pPr>
      <w:bookmarkStart w:id="0" w:name="_Hlk197522111"/>
      <w:bookmarkStart w:id="1" w:name="_Hlk197279369"/>
    </w:p>
    <w:p w14:paraId="7AC98EF6" w14:textId="1A0FE563" w:rsidR="007A7133" w:rsidRPr="007503AC" w:rsidRDefault="002B3C92" w:rsidP="007503AC">
      <w:pPr>
        <w:spacing w:after="240" w:line="360" w:lineRule="auto"/>
        <w:jc w:val="center"/>
        <w:rPr>
          <w:rFonts w:ascii="黑体" w:eastAsia="黑体" w:hAnsi="黑体" w:cs="黑体"/>
          <w:color w:val="000000"/>
          <w:kern w:val="0"/>
          <w:sz w:val="40"/>
          <w:szCs w:val="40"/>
        </w:rPr>
      </w:pPr>
      <w:r w:rsidRPr="007503AC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《</w:t>
      </w:r>
      <w:r w:rsidR="00E63CDD" w:rsidRPr="00E63CDD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北方苏打盐碱化草地</w:t>
      </w:r>
      <w:r w:rsidR="00012007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低</w:t>
      </w:r>
      <w:r w:rsidR="00E63CDD" w:rsidRPr="00E63CDD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扰动修复技术规程</w:t>
      </w:r>
      <w:r w:rsidRPr="007503AC"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》</w:t>
      </w:r>
    </w:p>
    <w:bookmarkEnd w:id="0"/>
    <w:p w14:paraId="663E2DC6" w14:textId="77777777" w:rsidR="002B3C92" w:rsidRDefault="002B3C92" w:rsidP="007C3BB2">
      <w:pPr>
        <w:spacing w:after="240" w:line="360" w:lineRule="auto"/>
        <w:ind w:leftChars="-1" w:left="-2" w:firstLine="1"/>
        <w:jc w:val="center"/>
        <w:rPr>
          <w:rFonts w:ascii="黑体" w:eastAsia="黑体" w:hAnsi="黑体" w:cs="黑体"/>
          <w:color w:val="000000"/>
          <w:kern w:val="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编制说明</w:t>
      </w:r>
    </w:p>
    <w:bookmarkEnd w:id="1"/>
    <w:p w14:paraId="296D7BBF" w14:textId="77777777" w:rsidR="00331322" w:rsidRPr="002B3C92" w:rsidRDefault="00331322" w:rsidP="00D63FC9">
      <w:pPr>
        <w:jc w:val="center"/>
        <w:rPr>
          <w:sz w:val="32"/>
          <w:szCs w:val="32"/>
        </w:rPr>
      </w:pPr>
    </w:p>
    <w:p w14:paraId="7F9C99CE" w14:textId="77777777" w:rsidR="00331322" w:rsidRPr="008C53CE" w:rsidRDefault="00331322">
      <w:pPr>
        <w:rPr>
          <w:sz w:val="32"/>
          <w:szCs w:val="32"/>
        </w:rPr>
      </w:pPr>
    </w:p>
    <w:p w14:paraId="6EE72A2B" w14:textId="77777777" w:rsidR="00331322" w:rsidRDefault="00331322"/>
    <w:p w14:paraId="6B6FC8D8" w14:textId="77777777" w:rsidR="00331322" w:rsidRDefault="00331322"/>
    <w:p w14:paraId="45DBEFF2" w14:textId="77777777" w:rsidR="00331322" w:rsidRDefault="00331322"/>
    <w:p w14:paraId="712B7526" w14:textId="77777777" w:rsidR="00331322" w:rsidRDefault="00331322"/>
    <w:p w14:paraId="7FA00339" w14:textId="77777777" w:rsidR="00331322" w:rsidRDefault="00331322"/>
    <w:p w14:paraId="241639C7" w14:textId="77777777" w:rsidR="00331322" w:rsidRDefault="00331322"/>
    <w:p w14:paraId="5E2F1528" w14:textId="77777777" w:rsidR="00331322" w:rsidRDefault="00331322"/>
    <w:p w14:paraId="68516357" w14:textId="77777777" w:rsidR="00C855F5" w:rsidRDefault="00C855F5"/>
    <w:p w14:paraId="292BF6F2" w14:textId="77777777" w:rsidR="00C855F5" w:rsidRDefault="00C855F5"/>
    <w:p w14:paraId="74BF1B75" w14:textId="77777777" w:rsidR="007503AC" w:rsidRDefault="007503AC"/>
    <w:p w14:paraId="5F823981" w14:textId="77777777" w:rsidR="007503AC" w:rsidRDefault="007503AC"/>
    <w:p w14:paraId="514066C0" w14:textId="77777777" w:rsidR="0012734E" w:rsidRDefault="0012734E"/>
    <w:p w14:paraId="1B356370" w14:textId="77777777" w:rsidR="0012734E" w:rsidRDefault="0012734E"/>
    <w:p w14:paraId="15B32B09" w14:textId="77777777" w:rsidR="00331322" w:rsidRDefault="00331322"/>
    <w:p w14:paraId="56880B2D" w14:textId="6154D33B" w:rsidR="00331322" w:rsidRDefault="00435CC3" w:rsidP="007503AC">
      <w:pPr>
        <w:spacing w:after="240" w:line="360" w:lineRule="auto"/>
        <w:jc w:val="center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12734E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《</w:t>
      </w:r>
      <w:r w:rsidR="00E63CDD" w:rsidRPr="00E63CDD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北方苏打盐碱化草地</w:t>
      </w:r>
      <w:r w:rsidR="006126AB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低</w:t>
      </w:r>
      <w:r w:rsidR="00E63CDD" w:rsidRPr="00E63CDD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扰动修复技术规程</w:t>
      </w:r>
      <w:r w:rsidRPr="0012734E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》</w:t>
      </w:r>
      <w:proofErr w:type="gramStart"/>
      <w:r w:rsidR="0012734E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团标制定</w:t>
      </w:r>
      <w:proofErr w:type="gramEnd"/>
      <w:r w:rsidR="0012734E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组</w:t>
      </w:r>
    </w:p>
    <w:p w14:paraId="385D263E" w14:textId="356C782D" w:rsidR="0012734E" w:rsidRPr="005B7C9E" w:rsidRDefault="0012734E" w:rsidP="0012734E">
      <w:pPr>
        <w:widowControl/>
        <w:jc w:val="center"/>
        <w:rPr>
          <w:rFonts w:ascii="黑体" w:eastAsia="黑体" w:hAnsi="黑体"/>
          <w:bCs/>
          <w:sz w:val="28"/>
          <w:szCs w:val="28"/>
        </w:rPr>
      </w:pPr>
      <w:r w:rsidRPr="005B7C9E">
        <w:rPr>
          <w:rFonts w:ascii="黑体" w:eastAsia="黑体" w:hAnsi="黑体"/>
          <w:bCs/>
          <w:sz w:val="28"/>
          <w:szCs w:val="28"/>
        </w:rPr>
        <w:t>二</w:t>
      </w:r>
      <w:r w:rsidRPr="005B7C9E">
        <w:rPr>
          <w:rFonts w:ascii="黑体" w:eastAsia="黑体" w:hAnsi="黑体"/>
          <w:sz w:val="28"/>
          <w:szCs w:val="28"/>
        </w:rPr>
        <w:t>〇</w:t>
      </w:r>
      <w:r w:rsidRPr="005B7C9E">
        <w:rPr>
          <w:rFonts w:ascii="黑体" w:eastAsia="黑体" w:hAnsi="黑体"/>
          <w:bCs/>
          <w:sz w:val="28"/>
          <w:szCs w:val="28"/>
        </w:rPr>
        <w:t>二</w:t>
      </w:r>
      <w:r>
        <w:rPr>
          <w:rFonts w:ascii="黑体" w:eastAsia="黑体" w:hAnsi="黑体" w:hint="eastAsia"/>
          <w:bCs/>
          <w:sz w:val="28"/>
          <w:szCs w:val="28"/>
        </w:rPr>
        <w:t>五</w:t>
      </w:r>
      <w:r w:rsidRPr="005B7C9E">
        <w:rPr>
          <w:rFonts w:ascii="黑体" w:eastAsia="黑体" w:hAnsi="黑体"/>
          <w:bCs/>
          <w:sz w:val="28"/>
          <w:szCs w:val="28"/>
        </w:rPr>
        <w:t>年</w:t>
      </w:r>
      <w:r w:rsidR="00FB00E1">
        <w:rPr>
          <w:rFonts w:ascii="黑体" w:eastAsia="黑体" w:hAnsi="黑体" w:hint="eastAsia"/>
          <w:bCs/>
          <w:sz w:val="28"/>
          <w:szCs w:val="28"/>
        </w:rPr>
        <w:t>八</w:t>
      </w:r>
      <w:r w:rsidRPr="005B7C9E">
        <w:rPr>
          <w:rFonts w:ascii="黑体" w:eastAsia="黑体" w:hAnsi="黑体"/>
          <w:bCs/>
          <w:sz w:val="28"/>
          <w:szCs w:val="28"/>
        </w:rPr>
        <w:t>月</w:t>
      </w:r>
    </w:p>
    <w:bookmarkStart w:id="2" w:name="_Hlk197281221" w:displacedByCustomXml="next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1450354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D0714E" w14:textId="4AA15B41" w:rsidR="00547468" w:rsidRDefault="00547468" w:rsidP="00547468">
          <w:pPr>
            <w:pStyle w:val="TOC"/>
            <w:jc w:val="center"/>
            <w:rPr>
              <w:rStyle w:val="ae"/>
              <w:color w:val="auto"/>
            </w:rPr>
          </w:pPr>
          <w:r w:rsidRPr="00547468">
            <w:rPr>
              <w:rStyle w:val="ae"/>
              <w:color w:val="auto"/>
            </w:rPr>
            <w:t>目</w:t>
          </w:r>
          <w:r>
            <w:rPr>
              <w:rStyle w:val="ae"/>
              <w:rFonts w:hint="eastAsia"/>
              <w:color w:val="auto"/>
            </w:rPr>
            <w:t xml:space="preserve">  </w:t>
          </w:r>
          <w:r w:rsidRPr="00547468">
            <w:rPr>
              <w:rStyle w:val="ae"/>
              <w:color w:val="auto"/>
            </w:rPr>
            <w:t>次</w:t>
          </w:r>
        </w:p>
        <w:p w14:paraId="0C6C2E0B" w14:textId="11A84086" w:rsidR="00AE0870" w:rsidRDefault="00547468">
          <w:pPr>
            <w:pStyle w:val="TOC1"/>
            <w:rPr>
              <w:noProof/>
              <w:szCs w:val="22"/>
            </w:rPr>
          </w:pPr>
          <w:r w:rsidRPr="007C3BB2">
            <w:rPr>
              <w:sz w:val="24"/>
            </w:rPr>
            <w:fldChar w:fldCharType="begin"/>
          </w:r>
          <w:r w:rsidRPr="007C3BB2">
            <w:rPr>
              <w:sz w:val="24"/>
            </w:rPr>
            <w:instrText xml:space="preserve"> TOC \o "1-3" \h \z \u </w:instrText>
          </w:r>
          <w:r w:rsidRPr="007C3BB2">
            <w:rPr>
              <w:sz w:val="24"/>
            </w:rPr>
            <w:fldChar w:fldCharType="separate"/>
          </w:r>
          <w:hyperlink w:anchor="_Toc207094384" w:history="1">
            <w:r w:rsidR="00AE0870" w:rsidRPr="0042659C">
              <w:rPr>
                <w:rStyle w:val="ac"/>
                <w:noProof/>
              </w:rPr>
              <w:t>一、任务来源及制定标准的背景和意义</w:t>
            </w:r>
            <w:r w:rsidR="00AE0870">
              <w:rPr>
                <w:noProof/>
                <w:webHidden/>
              </w:rPr>
              <w:tab/>
            </w:r>
            <w:r w:rsidR="00AE0870">
              <w:rPr>
                <w:noProof/>
                <w:webHidden/>
              </w:rPr>
              <w:fldChar w:fldCharType="begin"/>
            </w:r>
            <w:r w:rsidR="00AE0870">
              <w:rPr>
                <w:noProof/>
                <w:webHidden/>
              </w:rPr>
              <w:instrText xml:space="preserve"> PAGEREF _Toc207094384 \h </w:instrText>
            </w:r>
            <w:r w:rsidR="00AE0870">
              <w:rPr>
                <w:noProof/>
                <w:webHidden/>
              </w:rPr>
            </w:r>
            <w:r w:rsidR="00AE0870">
              <w:rPr>
                <w:noProof/>
                <w:webHidden/>
              </w:rPr>
              <w:fldChar w:fldCharType="separate"/>
            </w:r>
            <w:r w:rsidR="00AE0870">
              <w:rPr>
                <w:noProof/>
                <w:webHidden/>
              </w:rPr>
              <w:t>3</w:t>
            </w:r>
            <w:r w:rsidR="00AE0870">
              <w:rPr>
                <w:noProof/>
                <w:webHidden/>
              </w:rPr>
              <w:fldChar w:fldCharType="end"/>
            </w:r>
          </w:hyperlink>
        </w:p>
        <w:p w14:paraId="2D2F0B5A" w14:textId="41CC0F4F" w:rsidR="00AE0870" w:rsidRDefault="00AE0870">
          <w:pPr>
            <w:pStyle w:val="TOC1"/>
            <w:rPr>
              <w:noProof/>
              <w:szCs w:val="22"/>
            </w:rPr>
          </w:pPr>
          <w:hyperlink w:anchor="_Toc207094385" w:history="1">
            <w:r w:rsidRPr="0042659C">
              <w:rPr>
                <w:rStyle w:val="ac"/>
                <w:noProof/>
              </w:rPr>
              <w:t>二、主要起草过程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34DBF" w14:textId="0E7545CC" w:rsidR="00AE0870" w:rsidRDefault="00AE0870">
          <w:pPr>
            <w:pStyle w:val="TOC1"/>
            <w:rPr>
              <w:noProof/>
              <w:szCs w:val="22"/>
            </w:rPr>
          </w:pPr>
          <w:hyperlink w:anchor="_Toc207094386" w:history="1">
            <w:r w:rsidRPr="0042659C">
              <w:rPr>
                <w:rStyle w:val="ac"/>
                <w:noProof/>
              </w:rPr>
              <w:t>三、标准编制原则和主要技术内容确定的依据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47E4" w14:textId="4A8A1CD4" w:rsidR="00AE0870" w:rsidRDefault="00AE0870">
          <w:pPr>
            <w:pStyle w:val="TOC1"/>
            <w:rPr>
              <w:noProof/>
              <w:szCs w:val="22"/>
            </w:rPr>
          </w:pPr>
          <w:hyperlink w:anchor="_Toc207094387" w:history="1">
            <w:r w:rsidRPr="0042659C">
              <w:rPr>
                <w:rStyle w:val="ac"/>
                <w:noProof/>
              </w:rPr>
              <w:t>四、采用的国际标准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4D5D0" w14:textId="33A18B61" w:rsidR="00AE0870" w:rsidRDefault="00AE0870">
          <w:pPr>
            <w:pStyle w:val="TOC1"/>
            <w:rPr>
              <w:noProof/>
              <w:szCs w:val="22"/>
            </w:rPr>
          </w:pPr>
          <w:hyperlink w:anchor="_Toc207094388" w:history="1">
            <w:r w:rsidRPr="0042659C">
              <w:rPr>
                <w:rStyle w:val="ac"/>
                <w:noProof/>
              </w:rPr>
              <w:t>五、与现行法律法规和强制性标准的关系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B65A8" w14:textId="16324A81" w:rsidR="00AE0870" w:rsidRDefault="00AE0870">
          <w:pPr>
            <w:pStyle w:val="TOC1"/>
            <w:rPr>
              <w:noProof/>
              <w:szCs w:val="22"/>
            </w:rPr>
          </w:pPr>
          <w:hyperlink w:anchor="_Toc207094389" w:history="1">
            <w:r w:rsidRPr="0042659C">
              <w:rPr>
                <w:rStyle w:val="ac"/>
                <w:noProof/>
              </w:rPr>
              <w:t>六、重大分歧意见的处理经过和依据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79061" w14:textId="547381A8" w:rsidR="00AE0870" w:rsidRDefault="00AE0870">
          <w:pPr>
            <w:pStyle w:val="TOC1"/>
            <w:rPr>
              <w:noProof/>
              <w:szCs w:val="22"/>
            </w:rPr>
          </w:pPr>
          <w:hyperlink w:anchor="_Toc207094390" w:history="1">
            <w:r w:rsidRPr="0042659C">
              <w:rPr>
                <w:rStyle w:val="ac"/>
                <w:noProof/>
              </w:rPr>
              <w:t>七、标准作为强制性或推荐性标准的意见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ADBD7" w14:textId="32B2FDC8" w:rsidR="00AE0870" w:rsidRDefault="00AE0870">
          <w:pPr>
            <w:pStyle w:val="TOC1"/>
            <w:rPr>
              <w:noProof/>
              <w:szCs w:val="22"/>
            </w:rPr>
          </w:pPr>
          <w:hyperlink w:anchor="_Toc207094391" w:history="1">
            <w:r w:rsidRPr="0042659C">
              <w:rPr>
                <w:rStyle w:val="ac"/>
                <w:noProof/>
              </w:rPr>
              <w:t>八、贯彻标准的要求和措施建议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091AA" w14:textId="2C6731BE" w:rsidR="00AE0870" w:rsidRDefault="00AE0870">
          <w:pPr>
            <w:pStyle w:val="TOC1"/>
            <w:rPr>
              <w:noProof/>
              <w:szCs w:val="22"/>
            </w:rPr>
          </w:pPr>
          <w:hyperlink w:anchor="_Toc207094392" w:history="1">
            <w:r w:rsidRPr="0042659C">
              <w:rPr>
                <w:rStyle w:val="ac"/>
                <w:noProof/>
              </w:rPr>
              <w:t>九、废止现行有关</w:t>
            </w:r>
            <w:r w:rsidRPr="0042659C">
              <w:rPr>
                <w:rStyle w:val="ac"/>
                <w:noProof/>
              </w:rPr>
              <w:t>标</w:t>
            </w:r>
            <w:r w:rsidRPr="0042659C">
              <w:rPr>
                <w:rStyle w:val="ac"/>
                <w:noProof/>
              </w:rPr>
              <w:t>准的建议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0CFF8" w14:textId="2CFB89A8" w:rsidR="00AE0870" w:rsidRDefault="00AE0870">
          <w:pPr>
            <w:pStyle w:val="TOC1"/>
            <w:rPr>
              <w:noProof/>
              <w:szCs w:val="22"/>
            </w:rPr>
          </w:pPr>
          <w:hyperlink w:anchor="_Toc207094393" w:history="1">
            <w:r w:rsidRPr="0042659C">
              <w:rPr>
                <w:rStyle w:val="ac"/>
                <w:noProof/>
              </w:rPr>
              <w:t>十、其他应予说明的事项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_Toc207094393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7BED0" w14:textId="40976E38" w:rsidR="00547468" w:rsidRDefault="00547468">
          <w:r w:rsidRPr="007C3BB2"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14:paraId="50354778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54B24B84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6661253B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6502CD7B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70690471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28E793AE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7FF6FCB2" w14:textId="77777777" w:rsidR="0012734E" w:rsidRDefault="0012734E" w:rsidP="002B3C92">
      <w:pPr>
        <w:spacing w:after="240"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14:paraId="128DDA18" w14:textId="4C69E3B8" w:rsidR="002B3C92" w:rsidRPr="00BE3A8B" w:rsidRDefault="002B3C92" w:rsidP="0043628F">
      <w:pPr>
        <w:pStyle w:val="1"/>
      </w:pPr>
      <w:bookmarkStart w:id="3" w:name="_Toc207094384"/>
      <w:bookmarkEnd w:id="2"/>
      <w:r w:rsidRPr="00BE3A8B">
        <w:rPr>
          <w:rFonts w:hint="eastAsia"/>
        </w:rPr>
        <w:lastRenderedPageBreak/>
        <w:t>一、</w:t>
      </w:r>
      <w:r w:rsidR="0012734E" w:rsidRPr="00BE3A8B">
        <w:rPr>
          <w:rFonts w:hint="eastAsia"/>
        </w:rPr>
        <w:t>任务来源</w:t>
      </w:r>
      <w:r w:rsidR="00D6402C">
        <w:rPr>
          <w:rFonts w:hint="eastAsia"/>
        </w:rPr>
        <w:t>及</w:t>
      </w:r>
      <w:r w:rsidR="00D6402C" w:rsidRPr="00BE3A8B">
        <w:rPr>
          <w:rFonts w:hint="eastAsia"/>
        </w:rPr>
        <w:t>制定标准的背景和意义</w:t>
      </w:r>
      <w:bookmarkEnd w:id="3"/>
    </w:p>
    <w:p w14:paraId="66F48DB4" w14:textId="77777777" w:rsidR="002B3C92" w:rsidRPr="0037695E" w:rsidRDefault="002B3C92" w:rsidP="002B3C92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1、任务来源</w:t>
      </w:r>
    </w:p>
    <w:p w14:paraId="45A56645" w14:textId="42F39E4F" w:rsidR="00AF307B" w:rsidRPr="00A859B3" w:rsidRDefault="00AF307B" w:rsidP="002F3DD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859B3">
        <w:rPr>
          <w:rFonts w:ascii="Times New Roman" w:eastAsia="宋体" w:hAnsi="Times New Roman" w:cs="Times New Roman" w:hint="eastAsia"/>
          <w:sz w:val="24"/>
        </w:rPr>
        <w:t>项目</w:t>
      </w:r>
      <w:r w:rsidR="002F3DD3">
        <w:rPr>
          <w:rFonts w:ascii="Times New Roman" w:eastAsia="宋体" w:hAnsi="Times New Roman" w:cs="Times New Roman" w:hint="eastAsia"/>
          <w:sz w:val="24"/>
        </w:rPr>
        <w:t>在</w:t>
      </w:r>
      <w:r w:rsidR="002F3DD3" w:rsidRPr="002F3DD3">
        <w:rPr>
          <w:rFonts w:ascii="Times New Roman" w:eastAsia="宋体" w:hAnsi="Times New Roman" w:cs="Times New Roman" w:hint="eastAsia"/>
          <w:sz w:val="24"/>
        </w:rPr>
        <w:t>中国华能集团有限公司科技项目</w:t>
      </w:r>
      <w:r w:rsidR="003D0163" w:rsidRPr="00A859B3">
        <w:rPr>
          <w:rFonts w:ascii="Times New Roman" w:eastAsia="宋体" w:hAnsi="Times New Roman" w:cs="Times New Roman" w:hint="eastAsia"/>
          <w:sz w:val="24"/>
        </w:rPr>
        <w:t>“</w:t>
      </w:r>
      <w:r w:rsidR="002F3DD3" w:rsidRPr="002F3DD3">
        <w:rPr>
          <w:rFonts w:ascii="Times New Roman" w:eastAsia="宋体" w:hAnsi="Times New Roman" w:cs="Times New Roman" w:hint="eastAsia"/>
          <w:sz w:val="24"/>
        </w:rPr>
        <w:t>光伏电站适用抗逆植物筛选与牧光互补生态产业技术研发</w:t>
      </w:r>
      <w:r w:rsidR="003D0163" w:rsidRPr="00A859B3">
        <w:rPr>
          <w:rFonts w:ascii="Times New Roman" w:eastAsia="宋体" w:hAnsi="Times New Roman" w:cs="Times New Roman" w:hint="eastAsia"/>
          <w:sz w:val="24"/>
        </w:rPr>
        <w:t>”</w:t>
      </w:r>
      <w:r w:rsidR="002F3DD3">
        <w:rPr>
          <w:rFonts w:ascii="Times New Roman" w:eastAsia="宋体" w:hAnsi="Times New Roman" w:cs="Times New Roman" w:hint="eastAsia"/>
          <w:sz w:val="24"/>
        </w:rPr>
        <w:t>的</w:t>
      </w:r>
      <w:r w:rsidRPr="00A859B3">
        <w:rPr>
          <w:rFonts w:ascii="Times New Roman" w:eastAsia="宋体" w:hAnsi="Times New Roman" w:cs="Times New Roman" w:hint="eastAsia"/>
          <w:sz w:val="24"/>
        </w:rPr>
        <w:t>资助和支持下完成。</w:t>
      </w:r>
    </w:p>
    <w:p w14:paraId="79342B7F" w14:textId="68999452" w:rsidR="002B3C92" w:rsidRPr="0037695E" w:rsidRDefault="002B3C92" w:rsidP="0037695E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2、起草单位</w:t>
      </w:r>
      <w:r w:rsidR="00AF307B"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与参编</w:t>
      </w: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单位</w:t>
      </w:r>
    </w:p>
    <w:p w14:paraId="7938BA5C" w14:textId="60B3F4E1" w:rsidR="002B3C92" w:rsidRPr="00D6402C" w:rsidRDefault="002F3DD3" w:rsidP="00D6402C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F3DD3">
        <w:rPr>
          <w:rFonts w:ascii="Times New Roman" w:eastAsia="宋体" w:hAnsi="Times New Roman" w:cs="Times New Roman" w:hint="eastAsia"/>
          <w:sz w:val="24"/>
        </w:rPr>
        <w:t>中国科学院植物研究所</w:t>
      </w:r>
      <w:r w:rsidR="00AF307B" w:rsidRPr="00AF307B">
        <w:rPr>
          <w:rFonts w:ascii="Times New Roman" w:eastAsia="宋体" w:hAnsi="Times New Roman" w:cs="Times New Roman" w:hint="eastAsia"/>
          <w:sz w:val="24"/>
        </w:rPr>
        <w:t>、</w:t>
      </w:r>
      <w:r w:rsidRPr="002F3DD3">
        <w:rPr>
          <w:rFonts w:ascii="Times New Roman" w:eastAsia="宋体" w:hAnsi="Times New Roman" w:cs="Times New Roman" w:hint="eastAsia"/>
          <w:sz w:val="24"/>
        </w:rPr>
        <w:t>华能集团新能源股份有限公司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Pr="002F3DD3">
        <w:rPr>
          <w:rFonts w:ascii="Times New Roman" w:eastAsia="宋体" w:hAnsi="Times New Roman" w:cs="Times New Roman" w:hint="eastAsia"/>
          <w:sz w:val="24"/>
        </w:rPr>
        <w:t>华能集团新能源</w:t>
      </w:r>
      <w:proofErr w:type="gramStart"/>
      <w:r w:rsidRPr="002F3DD3">
        <w:rPr>
          <w:rFonts w:ascii="Times New Roman" w:eastAsia="宋体" w:hAnsi="Times New Roman" w:cs="Times New Roman" w:hint="eastAsia"/>
          <w:sz w:val="24"/>
        </w:rPr>
        <w:t>股份有限公司蒙东分公司</w:t>
      </w:r>
      <w:proofErr w:type="gramEnd"/>
      <w:r w:rsidR="00556C27" w:rsidRPr="00AF307B">
        <w:rPr>
          <w:rFonts w:ascii="Times New Roman" w:eastAsia="宋体" w:hAnsi="Times New Roman" w:cs="Times New Roman" w:hint="eastAsia"/>
          <w:sz w:val="24"/>
        </w:rPr>
        <w:t>。</w:t>
      </w:r>
    </w:p>
    <w:p w14:paraId="658BAC42" w14:textId="05617189" w:rsidR="00D6402C" w:rsidRPr="0037695E" w:rsidRDefault="00D6402C" w:rsidP="00D6402C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3</w:t>
      </w:r>
      <w:r w:rsid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、</w:t>
      </w: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制定标准的背景和意义</w:t>
      </w:r>
    </w:p>
    <w:p w14:paraId="2E54FC06" w14:textId="50CEDEE3" w:rsidR="00975917" w:rsidRDefault="00975917" w:rsidP="00B57039">
      <w:pPr>
        <w:spacing w:line="360" w:lineRule="auto"/>
        <w:ind w:firstLineChars="200" w:firstLine="480"/>
        <w:rPr>
          <w:rFonts w:asciiTheme="minorEastAsia" w:hAnsiTheme="minorEastAsia" w:cs="Times New Roman"/>
          <w:b/>
          <w:bCs/>
          <w:color w:val="000000"/>
          <w:sz w:val="24"/>
        </w:rPr>
      </w:pP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天然苏打盐碱化草地常见于我国东北松嫩平原、西北干旱地区等地，其土壤表层盐分含量和pH高，土壤胶结严重、透气透水性极差。在这些区域，由于禁止使用机械翻耕手段，传统依赖翻耕改土和深松的改良方法难以实施。因此研发一种“</w:t>
      </w:r>
      <w:r w:rsidR="00EA38C7">
        <w:rPr>
          <w:rFonts w:asciiTheme="minorEastAsia" w:hAnsiTheme="minorEastAsia" w:cs="Times New Roman" w:hint="eastAsia"/>
          <w:bCs/>
          <w:color w:val="000000"/>
          <w:sz w:val="24"/>
        </w:rPr>
        <w:t>低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扰动”盐碱改良技术显得尤为重要：既要能够显著提高土壤水分渗透性，加速盐分淋洗，又不能破坏地表植被和土壤结构。针对这一需求，本技术规程利用表面活性剂结合改良剂，实现对苏打盐碱化草地的生态友好型快速改良。</w:t>
      </w:r>
    </w:p>
    <w:p w14:paraId="1BF71FF8" w14:textId="52E85B69" w:rsidR="002B3C92" w:rsidRPr="00BE3A8B" w:rsidRDefault="00D6402C" w:rsidP="0043628F">
      <w:pPr>
        <w:pStyle w:val="1"/>
      </w:pPr>
      <w:bookmarkStart w:id="4" w:name="_Toc207094385"/>
      <w:r>
        <w:rPr>
          <w:rFonts w:hint="eastAsia"/>
        </w:rPr>
        <w:t>二</w:t>
      </w:r>
      <w:r w:rsidR="002B3C92" w:rsidRPr="00BE3A8B">
        <w:rPr>
          <w:rFonts w:hint="eastAsia"/>
        </w:rPr>
        <w:t>、主要起草过程</w:t>
      </w:r>
      <w:bookmarkEnd w:id="4"/>
    </w:p>
    <w:p w14:paraId="187684FB" w14:textId="453CC8B0" w:rsidR="00AA4624" w:rsidRPr="00AA4624" w:rsidRDefault="00AA4624" w:rsidP="00AA462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AA4624">
        <w:rPr>
          <w:rFonts w:ascii="宋体" w:hAnsi="宋体" w:cs="宋体"/>
          <w:sz w:val="24"/>
        </w:rPr>
        <w:t>2025年7月</w:t>
      </w:r>
      <w:r>
        <w:rPr>
          <w:rFonts w:ascii="宋体" w:hAnsi="宋体" w:cs="宋体" w:hint="eastAsia"/>
          <w:sz w:val="24"/>
        </w:rPr>
        <w:t>，</w:t>
      </w:r>
      <w:r w:rsidRPr="00AA4624">
        <w:rPr>
          <w:rFonts w:ascii="宋体" w:hAnsi="宋体" w:cs="宋体"/>
          <w:sz w:val="24"/>
        </w:rPr>
        <w:t>依据2025年《北京华夏草业产业技术创新战略联盟团体标准制修订管理办法》的相关规定，中国科学院植物研究所牵头组建了标准起草小组，并就标准编写工作进行了讨论。</w:t>
      </w:r>
    </w:p>
    <w:p w14:paraId="15D84C74" w14:textId="6C6F3281" w:rsidR="00AA4624" w:rsidRPr="00AA4624" w:rsidRDefault="00AA4624" w:rsidP="00AA462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AA4624">
        <w:rPr>
          <w:rFonts w:ascii="宋体" w:hAnsi="宋体" w:cs="宋体"/>
          <w:sz w:val="24"/>
        </w:rPr>
        <w:t>2025年8月</w:t>
      </w:r>
      <w:r>
        <w:rPr>
          <w:rFonts w:ascii="宋体" w:hAnsi="宋体" w:cs="宋体" w:hint="eastAsia"/>
          <w:sz w:val="24"/>
        </w:rPr>
        <w:t>，</w:t>
      </w:r>
      <w:r w:rsidRPr="00AA4624">
        <w:rPr>
          <w:rFonts w:ascii="宋体" w:hAnsi="宋体" w:cs="宋体"/>
          <w:sz w:val="24"/>
        </w:rPr>
        <w:t>在系统总结</w:t>
      </w:r>
      <w:r w:rsidR="00F9238B">
        <w:rPr>
          <w:rFonts w:ascii="宋体" w:hAnsi="宋体" w:cs="宋体" w:hint="eastAsia"/>
          <w:sz w:val="24"/>
        </w:rPr>
        <w:t>研究团队</w:t>
      </w:r>
      <w:r w:rsidRPr="00AA4624">
        <w:rPr>
          <w:rFonts w:ascii="宋体" w:hAnsi="宋体" w:cs="宋体"/>
          <w:sz w:val="24"/>
        </w:rPr>
        <w:t>现有研究成果的基础上，</w:t>
      </w:r>
      <w:r w:rsidR="00F9238B" w:rsidRPr="00AA4624">
        <w:rPr>
          <w:rFonts w:ascii="宋体" w:hAnsi="宋体" w:cs="宋体"/>
          <w:sz w:val="24"/>
        </w:rPr>
        <w:t>起草小组</w:t>
      </w:r>
      <w:r w:rsidRPr="00AA4624">
        <w:rPr>
          <w:rFonts w:ascii="宋体" w:hAnsi="宋体" w:cs="宋体"/>
          <w:sz w:val="24"/>
        </w:rPr>
        <w:t>向北京华夏草业产业技术创新战略联盟提交了《北方苏打盐碱化草地</w:t>
      </w:r>
      <w:r w:rsidR="00F9238B">
        <w:rPr>
          <w:rFonts w:ascii="宋体" w:hAnsi="宋体" w:cs="宋体" w:hint="eastAsia"/>
          <w:sz w:val="24"/>
        </w:rPr>
        <w:t>低</w:t>
      </w:r>
      <w:r w:rsidRPr="00AA4624">
        <w:rPr>
          <w:rFonts w:ascii="宋体" w:hAnsi="宋体" w:cs="宋体"/>
          <w:sz w:val="24"/>
        </w:rPr>
        <w:t>扰动修复技术规程》团体标准立项申请表，正式申请立项。</w:t>
      </w:r>
    </w:p>
    <w:p w14:paraId="25F9CB9E" w14:textId="6673C71B" w:rsidR="00AA4624" w:rsidRPr="00AA4624" w:rsidRDefault="00AA4624" w:rsidP="00AA462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AA4624">
        <w:rPr>
          <w:rFonts w:ascii="宋体" w:hAnsi="宋体" w:cs="宋体"/>
          <w:sz w:val="24"/>
        </w:rPr>
        <w:t>2025年</w:t>
      </w:r>
      <w:r w:rsidR="00F9238B">
        <w:rPr>
          <w:rFonts w:ascii="宋体" w:hAnsi="宋体" w:cs="宋体"/>
          <w:sz w:val="24"/>
        </w:rPr>
        <w:t>8</w:t>
      </w:r>
      <w:r w:rsidRPr="00AA4624">
        <w:rPr>
          <w:rFonts w:ascii="宋体" w:hAnsi="宋体" w:cs="宋体"/>
          <w:sz w:val="24"/>
        </w:rPr>
        <w:t>月</w:t>
      </w:r>
      <w:r>
        <w:rPr>
          <w:rFonts w:ascii="宋体" w:hAnsi="宋体" w:cs="宋体" w:hint="eastAsia"/>
          <w:sz w:val="24"/>
        </w:rPr>
        <w:t>，</w:t>
      </w:r>
      <w:r w:rsidRPr="00AA4624">
        <w:rPr>
          <w:rFonts w:ascii="宋体" w:hAnsi="宋体" w:cs="宋体"/>
          <w:sz w:val="24"/>
        </w:rPr>
        <w:t>北京华夏草业产业技术创新战略联盟组织了对该团体标准</w:t>
      </w:r>
      <w:r w:rsidR="00F9238B">
        <w:rPr>
          <w:rFonts w:ascii="宋体" w:hAnsi="宋体" w:cs="宋体" w:hint="eastAsia"/>
          <w:sz w:val="24"/>
        </w:rPr>
        <w:t>立项</w:t>
      </w:r>
      <w:r w:rsidRPr="00AA4624">
        <w:rPr>
          <w:rFonts w:ascii="宋体" w:hAnsi="宋体" w:cs="宋体"/>
          <w:sz w:val="24"/>
        </w:rPr>
        <w:t>的评审，并于</w:t>
      </w:r>
      <w:r w:rsidR="00F9238B">
        <w:rPr>
          <w:rFonts w:ascii="宋体" w:hAnsi="宋体" w:cs="宋体"/>
          <w:sz w:val="24"/>
        </w:rPr>
        <w:t>8</w:t>
      </w:r>
      <w:r w:rsidRPr="00AA4624">
        <w:rPr>
          <w:rFonts w:ascii="宋体" w:hAnsi="宋体" w:cs="宋体"/>
          <w:sz w:val="24"/>
        </w:rPr>
        <w:t>月</w:t>
      </w:r>
      <w:r w:rsidR="00F9238B">
        <w:rPr>
          <w:rFonts w:ascii="宋体" w:hAnsi="宋体" w:cs="宋体"/>
          <w:sz w:val="24"/>
        </w:rPr>
        <w:t>25</w:t>
      </w:r>
      <w:r w:rsidRPr="00AA4624">
        <w:rPr>
          <w:rFonts w:ascii="宋体" w:hAnsi="宋体" w:cs="宋体"/>
          <w:sz w:val="24"/>
        </w:rPr>
        <w:t>日正式发布了</w:t>
      </w:r>
      <w:r w:rsidR="00CF2E8D">
        <w:rPr>
          <w:rFonts w:ascii="宋体" w:hAnsi="宋体" w:cs="宋体" w:hint="eastAsia"/>
          <w:sz w:val="24"/>
        </w:rPr>
        <w:t>“</w:t>
      </w:r>
      <w:r w:rsidR="00F9238B" w:rsidRPr="00F9238B">
        <w:rPr>
          <w:rFonts w:ascii="宋体" w:hAnsi="宋体" w:cs="宋体" w:hint="eastAsia"/>
          <w:sz w:val="24"/>
        </w:rPr>
        <w:t>草联盟关于对《北方苏打盐碱化草地</w:t>
      </w:r>
      <w:r w:rsidR="00F9238B">
        <w:rPr>
          <w:rFonts w:ascii="宋体" w:hAnsi="宋体" w:cs="宋体" w:hint="eastAsia"/>
          <w:sz w:val="24"/>
        </w:rPr>
        <w:t>低</w:t>
      </w:r>
      <w:r w:rsidR="00F9238B" w:rsidRPr="00F9238B">
        <w:rPr>
          <w:rFonts w:ascii="宋体" w:hAnsi="宋体" w:cs="宋体" w:hint="eastAsia"/>
          <w:sz w:val="24"/>
        </w:rPr>
        <w:t>扰动修复技术规程》团体标准立项的公告</w:t>
      </w:r>
      <w:r w:rsidR="00CF2E8D">
        <w:rPr>
          <w:rFonts w:ascii="宋体" w:hAnsi="宋体" w:cs="宋体" w:hint="eastAsia"/>
          <w:sz w:val="24"/>
        </w:rPr>
        <w:t>”</w:t>
      </w:r>
      <w:r w:rsidRPr="00AA4624">
        <w:rPr>
          <w:rFonts w:ascii="宋体" w:hAnsi="宋体" w:cs="宋体"/>
          <w:sz w:val="24"/>
        </w:rPr>
        <w:t>，</w:t>
      </w:r>
      <w:r w:rsidR="00F9238B" w:rsidRPr="00F9238B">
        <w:rPr>
          <w:rFonts w:ascii="宋体" w:hAnsi="宋体" w:cs="宋体" w:hint="eastAsia"/>
          <w:sz w:val="24"/>
        </w:rPr>
        <w:t>通过其立项</w:t>
      </w:r>
      <w:r w:rsidRPr="00AA4624">
        <w:rPr>
          <w:rFonts w:ascii="宋体" w:hAnsi="宋体" w:cs="宋体"/>
          <w:sz w:val="24"/>
        </w:rPr>
        <w:t>。</w:t>
      </w:r>
    </w:p>
    <w:p w14:paraId="3658AE76" w14:textId="5A82CF26" w:rsidR="00AA4624" w:rsidRDefault="00AA4624" w:rsidP="0019184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AA4624">
        <w:rPr>
          <w:rFonts w:ascii="宋体" w:hAnsi="宋体" w:cs="宋体"/>
          <w:sz w:val="24"/>
        </w:rPr>
        <w:t>2025年</w:t>
      </w:r>
      <w:r w:rsidR="00F9238B">
        <w:rPr>
          <w:rFonts w:ascii="宋体" w:hAnsi="宋体" w:cs="宋体"/>
          <w:sz w:val="24"/>
        </w:rPr>
        <w:t>9</w:t>
      </w:r>
      <w:r w:rsidRPr="00AA4624">
        <w:rPr>
          <w:rFonts w:ascii="宋体" w:hAnsi="宋体" w:cs="宋体"/>
          <w:sz w:val="24"/>
        </w:rPr>
        <w:t>月</w:t>
      </w:r>
      <w:r>
        <w:rPr>
          <w:rFonts w:ascii="宋体" w:hAnsi="宋体" w:cs="宋体" w:hint="eastAsia"/>
          <w:sz w:val="24"/>
        </w:rPr>
        <w:t>，</w:t>
      </w:r>
      <w:r w:rsidRPr="00AA4624">
        <w:rPr>
          <w:rFonts w:ascii="宋体" w:hAnsi="宋体" w:cs="宋体"/>
          <w:sz w:val="24"/>
        </w:rPr>
        <w:t>编制组在北方苏打盐碱化草地</w:t>
      </w:r>
      <w:r>
        <w:rPr>
          <w:rFonts w:ascii="宋体" w:hAnsi="宋体" w:cs="宋体" w:hint="eastAsia"/>
          <w:sz w:val="24"/>
        </w:rPr>
        <w:t>低</w:t>
      </w:r>
      <w:r w:rsidRPr="00AA4624">
        <w:rPr>
          <w:rFonts w:ascii="宋体" w:hAnsi="宋体" w:cs="宋体"/>
          <w:sz w:val="24"/>
        </w:rPr>
        <w:t>扰动修复实验数据的基础上，结合大量文献调研</w:t>
      </w:r>
      <w:r w:rsidR="00DB188E">
        <w:rPr>
          <w:rFonts w:ascii="宋体" w:hAnsi="宋体" w:cs="宋体" w:hint="eastAsia"/>
          <w:sz w:val="24"/>
        </w:rPr>
        <w:t>以及</w:t>
      </w:r>
      <w:r w:rsidRPr="00AA4624">
        <w:rPr>
          <w:rFonts w:ascii="宋体" w:hAnsi="宋体" w:cs="宋体"/>
          <w:sz w:val="24"/>
        </w:rPr>
        <w:t>吸纳团体标准评审专家</w:t>
      </w:r>
      <w:r w:rsidR="00DB188E">
        <w:rPr>
          <w:rFonts w:ascii="宋体" w:hAnsi="宋体" w:cs="宋体" w:hint="eastAsia"/>
          <w:sz w:val="24"/>
        </w:rPr>
        <w:t>的</w:t>
      </w:r>
      <w:r w:rsidRPr="00AA4624">
        <w:rPr>
          <w:rFonts w:ascii="宋体" w:hAnsi="宋体" w:cs="宋体"/>
          <w:sz w:val="24"/>
        </w:rPr>
        <w:t>意见，完成了《北方苏打盐碱化</w:t>
      </w:r>
      <w:r w:rsidRPr="00AA4624">
        <w:rPr>
          <w:rFonts w:ascii="宋体" w:hAnsi="宋体" w:cs="宋体"/>
          <w:sz w:val="24"/>
        </w:rPr>
        <w:lastRenderedPageBreak/>
        <w:t>草地</w:t>
      </w:r>
      <w:r w:rsidR="00DB188E">
        <w:rPr>
          <w:rFonts w:ascii="宋体" w:hAnsi="宋体" w:cs="宋体" w:hint="eastAsia"/>
          <w:sz w:val="24"/>
        </w:rPr>
        <w:t>低</w:t>
      </w:r>
      <w:r w:rsidRPr="00AA4624">
        <w:rPr>
          <w:rFonts w:ascii="宋体" w:hAnsi="宋体" w:cs="宋体"/>
          <w:sz w:val="24"/>
        </w:rPr>
        <w:t>扰动修复技术规程》征求意见稿及编制说明的撰写，并提交至</w:t>
      </w:r>
      <w:r w:rsidR="00DB188E" w:rsidRPr="00DB188E">
        <w:rPr>
          <w:rFonts w:ascii="宋体" w:hAnsi="宋体" w:cs="宋体" w:hint="eastAsia"/>
          <w:sz w:val="24"/>
        </w:rPr>
        <w:t>北京华夏草业产业技术创新战略联盟</w:t>
      </w:r>
      <w:r w:rsidRPr="00AA4624">
        <w:rPr>
          <w:rFonts w:ascii="宋体" w:hAnsi="宋体" w:cs="宋体"/>
          <w:sz w:val="24"/>
        </w:rPr>
        <w:t>。</w:t>
      </w:r>
    </w:p>
    <w:p w14:paraId="4DCCAC23" w14:textId="6F619454" w:rsidR="002B3C92" w:rsidRPr="00BE3A8B" w:rsidRDefault="00D6402C" w:rsidP="0043628F">
      <w:pPr>
        <w:pStyle w:val="1"/>
      </w:pPr>
      <w:bookmarkStart w:id="5" w:name="_Toc207094386"/>
      <w:r>
        <w:rPr>
          <w:rFonts w:hint="eastAsia"/>
        </w:rPr>
        <w:t>三</w:t>
      </w:r>
      <w:r w:rsidR="002B3C92" w:rsidRPr="00BE3A8B">
        <w:rPr>
          <w:rFonts w:hint="eastAsia"/>
        </w:rPr>
        <w:t>、</w:t>
      </w:r>
      <w:r w:rsidR="007461DB" w:rsidRPr="00BE3A8B">
        <w:rPr>
          <w:rFonts w:hint="eastAsia"/>
        </w:rPr>
        <w:t>标准编制原则和主要技术内容确定的依据</w:t>
      </w:r>
      <w:bookmarkEnd w:id="5"/>
    </w:p>
    <w:p w14:paraId="3FF48EC9" w14:textId="3A023F86" w:rsidR="002B3C92" w:rsidRPr="0037695E" w:rsidRDefault="002B3C92" w:rsidP="0037695E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1、</w:t>
      </w:r>
      <w:r w:rsidR="00857E44"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标准</w:t>
      </w: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编制原则</w:t>
      </w:r>
    </w:p>
    <w:p w14:paraId="5189E387" w14:textId="073FC8AD" w:rsidR="00F238F0" w:rsidRDefault="00F238F0" w:rsidP="004E460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F238F0">
        <w:rPr>
          <w:rFonts w:ascii="宋体" w:hAnsi="宋体" w:cs="宋体"/>
          <w:sz w:val="24"/>
        </w:rPr>
        <w:t>本标准的</w:t>
      </w:r>
      <w:r w:rsidR="008B2D17" w:rsidRPr="00F238F0">
        <w:rPr>
          <w:rFonts w:ascii="宋体" w:hAnsi="宋体" w:cs="宋体"/>
          <w:sz w:val="24"/>
        </w:rPr>
        <w:t>编制</w:t>
      </w:r>
      <w:r w:rsidR="008B2D17">
        <w:rPr>
          <w:rFonts w:ascii="宋体" w:hAnsi="宋体" w:cs="宋体" w:hint="eastAsia"/>
          <w:sz w:val="24"/>
        </w:rPr>
        <w:t>严格</w:t>
      </w:r>
      <w:r w:rsidRPr="00F238F0">
        <w:rPr>
          <w:rFonts w:ascii="宋体" w:hAnsi="宋体" w:cs="宋体"/>
          <w:sz w:val="24"/>
        </w:rPr>
        <w:t>遵循GB/T 1.1—2020《标准化工作导则 第1部分：标准化文件的结构和起草规则》的要求</w:t>
      </w:r>
      <w:r w:rsidR="008B2D17">
        <w:rPr>
          <w:rFonts w:ascii="宋体" w:hAnsi="宋体" w:cs="宋体" w:hint="eastAsia"/>
          <w:sz w:val="24"/>
        </w:rPr>
        <w:t>与规定</w:t>
      </w:r>
      <w:r w:rsidRPr="00F238F0">
        <w:rPr>
          <w:rFonts w:ascii="宋体" w:hAnsi="宋体" w:cs="宋体"/>
          <w:sz w:val="24"/>
        </w:rPr>
        <w:t>。在编制过程中，</w:t>
      </w:r>
      <w:r>
        <w:rPr>
          <w:rFonts w:ascii="宋体" w:hAnsi="宋体" w:cs="宋体" w:hint="eastAsia"/>
          <w:sz w:val="24"/>
        </w:rPr>
        <w:t>标准起草小组</w:t>
      </w:r>
      <w:r w:rsidR="001F5186">
        <w:rPr>
          <w:rFonts w:ascii="宋体" w:hAnsi="宋体" w:cs="宋体" w:hint="eastAsia"/>
          <w:sz w:val="24"/>
        </w:rPr>
        <w:t>始终</w:t>
      </w:r>
      <w:r w:rsidRPr="00F238F0">
        <w:rPr>
          <w:rFonts w:ascii="宋体" w:hAnsi="宋体" w:cs="宋体"/>
          <w:sz w:val="24"/>
        </w:rPr>
        <w:t>坚持科学性、规范性与可操作性相结合的原则</w:t>
      </w:r>
      <w:r>
        <w:rPr>
          <w:rFonts w:ascii="宋体" w:hAnsi="宋体" w:cs="宋体" w:hint="eastAsia"/>
          <w:sz w:val="24"/>
        </w:rPr>
        <w:t>，</w:t>
      </w:r>
      <w:r w:rsidRPr="00F238F0">
        <w:rPr>
          <w:rFonts w:ascii="宋体" w:hAnsi="宋体" w:cs="宋体"/>
          <w:sz w:val="24"/>
        </w:rPr>
        <w:t>系统总结了</w:t>
      </w:r>
      <w:r>
        <w:rPr>
          <w:rFonts w:ascii="宋体" w:hAnsi="宋体" w:cs="宋体" w:hint="eastAsia"/>
          <w:sz w:val="24"/>
        </w:rPr>
        <w:t>研究团队</w:t>
      </w:r>
      <w:r w:rsidRPr="00F238F0">
        <w:rPr>
          <w:rFonts w:ascii="宋体" w:hAnsi="宋体" w:cs="宋体"/>
          <w:sz w:val="24"/>
        </w:rPr>
        <w:t>在北方苏打盐碱化草地</w:t>
      </w:r>
      <w:r>
        <w:rPr>
          <w:rFonts w:ascii="宋体" w:hAnsi="宋体" w:cs="宋体" w:hint="eastAsia"/>
          <w:sz w:val="24"/>
        </w:rPr>
        <w:t>低</w:t>
      </w:r>
      <w:r w:rsidRPr="00F238F0">
        <w:rPr>
          <w:rFonts w:ascii="宋体" w:hAnsi="宋体" w:cs="宋体"/>
          <w:sz w:val="24"/>
        </w:rPr>
        <w:t>扰动修复技术研发中所取得的成果，</w:t>
      </w:r>
      <w:r w:rsidR="001F5186">
        <w:rPr>
          <w:rFonts w:ascii="宋体" w:hAnsi="宋体" w:cs="宋体" w:hint="eastAsia"/>
          <w:sz w:val="24"/>
        </w:rPr>
        <w:t>同时</w:t>
      </w:r>
      <w:r w:rsidRPr="00F238F0">
        <w:rPr>
          <w:rFonts w:ascii="宋体" w:hAnsi="宋体" w:cs="宋体"/>
          <w:sz w:val="24"/>
        </w:rPr>
        <w:t>参考和吸收了国内</w:t>
      </w:r>
      <w:r w:rsidR="001F5186">
        <w:rPr>
          <w:rFonts w:ascii="宋体" w:hAnsi="宋体" w:cs="宋体" w:hint="eastAsia"/>
          <w:sz w:val="24"/>
        </w:rPr>
        <w:t>外</w:t>
      </w:r>
      <w:r w:rsidRPr="00F238F0">
        <w:rPr>
          <w:rFonts w:ascii="宋体" w:hAnsi="宋体" w:cs="宋体"/>
          <w:sz w:val="24"/>
        </w:rPr>
        <w:t>相关</w:t>
      </w:r>
      <w:r w:rsidR="001F5186">
        <w:rPr>
          <w:rFonts w:ascii="宋体" w:hAnsi="宋体" w:cs="宋体" w:hint="eastAsia"/>
          <w:sz w:val="24"/>
        </w:rPr>
        <w:t>文献和技术的</w:t>
      </w:r>
      <w:r w:rsidRPr="00F238F0">
        <w:rPr>
          <w:rFonts w:ascii="宋体" w:hAnsi="宋体" w:cs="宋体"/>
          <w:sz w:val="24"/>
        </w:rPr>
        <w:t>成熟经验，</w:t>
      </w:r>
      <w:r w:rsidR="00D9153A">
        <w:rPr>
          <w:rFonts w:ascii="宋体" w:hAnsi="宋体" w:cs="宋体" w:hint="eastAsia"/>
          <w:sz w:val="24"/>
        </w:rPr>
        <w:t>以</w:t>
      </w:r>
      <w:r w:rsidRPr="00F238F0">
        <w:rPr>
          <w:rFonts w:ascii="宋体" w:hAnsi="宋体" w:cs="宋体"/>
          <w:sz w:val="24"/>
        </w:rPr>
        <w:t>确保</w:t>
      </w:r>
      <w:r w:rsidR="001F5186">
        <w:rPr>
          <w:rFonts w:ascii="宋体" w:hAnsi="宋体" w:cs="宋体" w:hint="eastAsia"/>
          <w:sz w:val="24"/>
        </w:rPr>
        <w:t>本</w:t>
      </w:r>
      <w:r w:rsidRPr="00F238F0">
        <w:rPr>
          <w:rFonts w:ascii="宋体" w:hAnsi="宋体" w:cs="宋体"/>
          <w:sz w:val="24"/>
        </w:rPr>
        <w:t>标准内容</w:t>
      </w:r>
      <w:r w:rsidR="00D9153A">
        <w:rPr>
          <w:rFonts w:ascii="宋体" w:hAnsi="宋体" w:cs="宋体" w:hint="eastAsia"/>
          <w:sz w:val="24"/>
        </w:rPr>
        <w:t>详尽</w:t>
      </w:r>
      <w:r w:rsidRPr="00F238F0">
        <w:rPr>
          <w:rFonts w:ascii="宋体" w:hAnsi="宋体" w:cs="宋体"/>
          <w:sz w:val="24"/>
        </w:rPr>
        <w:t>、</w:t>
      </w:r>
      <w:r w:rsidR="00D9153A">
        <w:rPr>
          <w:rFonts w:ascii="宋体" w:hAnsi="宋体" w:cs="宋体" w:hint="eastAsia"/>
          <w:sz w:val="24"/>
        </w:rPr>
        <w:t>表述</w:t>
      </w:r>
      <w:r w:rsidR="001F5186">
        <w:rPr>
          <w:rFonts w:ascii="宋体" w:hAnsi="宋体" w:cs="宋体" w:hint="eastAsia"/>
          <w:sz w:val="24"/>
        </w:rPr>
        <w:t>准确以及具有较</w:t>
      </w:r>
      <w:r w:rsidR="001F5186" w:rsidRPr="00F238F0">
        <w:rPr>
          <w:rFonts w:ascii="宋体" w:hAnsi="宋体" w:cs="宋体"/>
          <w:sz w:val="24"/>
        </w:rPr>
        <w:t>强</w:t>
      </w:r>
      <w:r w:rsidR="001F5186">
        <w:rPr>
          <w:rFonts w:ascii="宋体" w:hAnsi="宋体" w:cs="宋体" w:hint="eastAsia"/>
          <w:sz w:val="24"/>
        </w:rPr>
        <w:t>的可</w:t>
      </w:r>
      <w:r w:rsidRPr="00F238F0">
        <w:rPr>
          <w:rFonts w:ascii="宋体" w:hAnsi="宋体" w:cs="宋体"/>
          <w:sz w:val="24"/>
        </w:rPr>
        <w:t>操作性。本标准与现行法律法规</w:t>
      </w:r>
      <w:r w:rsidR="008B2D17">
        <w:rPr>
          <w:rFonts w:ascii="宋体" w:hAnsi="宋体" w:cs="宋体" w:hint="eastAsia"/>
          <w:sz w:val="24"/>
        </w:rPr>
        <w:t>无冲突</w:t>
      </w:r>
      <w:r w:rsidRPr="00F238F0">
        <w:rPr>
          <w:rFonts w:ascii="宋体" w:hAnsi="宋体" w:cs="宋体"/>
          <w:sz w:val="24"/>
        </w:rPr>
        <w:t>，且所引用的标准均为最新有效版本。</w:t>
      </w:r>
    </w:p>
    <w:p w14:paraId="0FF39888" w14:textId="77777777" w:rsidR="00F238F0" w:rsidRDefault="00F238F0" w:rsidP="004E4609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11B6E00D" w14:textId="100E5909" w:rsidR="007461DB" w:rsidRPr="0037695E" w:rsidRDefault="00704131" w:rsidP="0037695E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2</w:t>
      </w:r>
      <w:r w:rsidR="007461DB" w:rsidRPr="0037695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、主要技术内容确定的论据</w:t>
      </w:r>
    </w:p>
    <w:p w14:paraId="0FF5846D" w14:textId="34C9784B" w:rsidR="00C5299A" w:rsidRDefault="007461DB" w:rsidP="00C529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6558C0">
        <w:rPr>
          <w:rFonts w:asciiTheme="majorEastAsia" w:eastAsiaTheme="majorEastAsia" w:hAnsiTheme="majorEastAsia" w:cs="Times New Roman" w:hint="eastAsia"/>
          <w:color w:val="000000"/>
          <w:sz w:val="24"/>
        </w:rPr>
        <w:t>（1）适用范围</w:t>
      </w:r>
    </w:p>
    <w:p w14:paraId="0E9D99D5" w14:textId="34EF42D9" w:rsidR="00C5299A" w:rsidRPr="00C5299A" w:rsidRDefault="00C5299A" w:rsidP="00C529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5299A">
        <w:rPr>
          <w:rFonts w:ascii="宋体" w:hAnsi="宋体" w:cs="宋体" w:hint="eastAsia"/>
          <w:sz w:val="24"/>
        </w:rPr>
        <w:t>本</w:t>
      </w:r>
      <w:r>
        <w:rPr>
          <w:rFonts w:ascii="宋体" w:hAnsi="宋体" w:cs="宋体" w:hint="eastAsia"/>
          <w:sz w:val="24"/>
        </w:rPr>
        <w:t>标准</w:t>
      </w:r>
      <w:r w:rsidRPr="00C5299A">
        <w:rPr>
          <w:rFonts w:ascii="宋体" w:hAnsi="宋体" w:cs="宋体" w:hint="eastAsia"/>
          <w:sz w:val="24"/>
        </w:rPr>
        <w:t>规定了一种无需翻耕，利用表面活性剂、有机酸和脱硫石膏联合作用改良苏打盐碱化草地的技术规程。</w:t>
      </w:r>
    </w:p>
    <w:p w14:paraId="00E58A1B" w14:textId="77777777" w:rsidR="00C5299A" w:rsidRDefault="00C5299A" w:rsidP="00C529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5299A">
        <w:rPr>
          <w:rFonts w:ascii="宋体" w:hAnsi="宋体" w:cs="宋体" w:hint="eastAsia"/>
          <w:sz w:val="24"/>
        </w:rPr>
        <w:t>本技术规程适合于我国北方禁止翻耕的苏打盐碱化草原的修复。</w:t>
      </w:r>
    </w:p>
    <w:p w14:paraId="5F62BB5E" w14:textId="1432EE1D" w:rsidR="007461DB" w:rsidRPr="006558C0" w:rsidRDefault="007461DB" w:rsidP="00C5299A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color w:val="000000"/>
          <w:sz w:val="24"/>
        </w:rPr>
      </w:pPr>
      <w:r w:rsidRPr="006558C0">
        <w:rPr>
          <w:rFonts w:asciiTheme="majorEastAsia" w:eastAsiaTheme="majorEastAsia" w:hAnsiTheme="majorEastAsia" w:cs="Times New Roman" w:hint="eastAsia"/>
          <w:color w:val="000000"/>
          <w:sz w:val="24"/>
        </w:rPr>
        <w:t>（2）</w:t>
      </w:r>
      <w:r w:rsidR="003A5BE5" w:rsidRPr="006558C0">
        <w:rPr>
          <w:rFonts w:asciiTheme="majorEastAsia" w:eastAsiaTheme="majorEastAsia" w:hAnsiTheme="majorEastAsia" w:cs="Times New Roman" w:hint="eastAsia"/>
          <w:color w:val="000000"/>
          <w:sz w:val="24"/>
        </w:rPr>
        <w:t>规范性引用文件</w:t>
      </w:r>
    </w:p>
    <w:p w14:paraId="720B6E65" w14:textId="6A526561" w:rsidR="009106F7" w:rsidRDefault="00D13BF3" w:rsidP="006558C0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color w:val="000000"/>
          <w:sz w:val="24"/>
        </w:rPr>
      </w:pPr>
      <w:r>
        <w:rPr>
          <w:rFonts w:ascii="宋体" w:hAnsi="宋体" w:cs="宋体" w:hint="eastAsia"/>
          <w:sz w:val="24"/>
        </w:rPr>
        <w:t>本标准制定主要参考了</w:t>
      </w:r>
      <w:r w:rsidR="009106F7" w:rsidRPr="009106F7">
        <w:rPr>
          <w:rFonts w:ascii="宋体" w:hAnsi="宋体" w:cs="宋体" w:hint="eastAsia"/>
          <w:sz w:val="24"/>
        </w:rPr>
        <w:t>GB 19377《天然草地退化、沙化、盐渍化的分级指标》</w:t>
      </w:r>
      <w:r>
        <w:rPr>
          <w:rFonts w:ascii="宋体" w:hAnsi="宋体" w:cs="宋体" w:hint="eastAsia"/>
          <w:sz w:val="24"/>
        </w:rPr>
        <w:t>，</w:t>
      </w:r>
      <w:r w:rsidR="009106F7" w:rsidRPr="009106F7">
        <w:rPr>
          <w:rFonts w:ascii="宋体" w:hAnsi="宋体" w:cs="宋体" w:hint="eastAsia"/>
          <w:sz w:val="24"/>
        </w:rPr>
        <w:t>DB23/T 2387-2019</w:t>
      </w:r>
      <w:r w:rsidRPr="009106F7">
        <w:rPr>
          <w:rFonts w:ascii="宋体" w:hAnsi="宋体" w:cs="宋体" w:hint="eastAsia"/>
          <w:sz w:val="24"/>
        </w:rPr>
        <w:t>《</w:t>
      </w:r>
      <w:r w:rsidR="009106F7" w:rsidRPr="009106F7">
        <w:rPr>
          <w:rFonts w:ascii="宋体" w:hAnsi="宋体" w:cs="宋体" w:hint="eastAsia"/>
          <w:sz w:val="24"/>
        </w:rPr>
        <w:t>盐碱化草地植被恢复与重建技术规程</w:t>
      </w:r>
      <w:r w:rsidRPr="009106F7"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，</w:t>
      </w:r>
      <w:r w:rsidR="009106F7" w:rsidRPr="009106F7">
        <w:rPr>
          <w:rFonts w:ascii="宋体" w:hAnsi="宋体" w:cs="宋体" w:hint="eastAsia"/>
          <w:sz w:val="24"/>
        </w:rPr>
        <w:t>DB65/T 4658-2023</w:t>
      </w:r>
      <w:r w:rsidRPr="009106F7">
        <w:rPr>
          <w:rFonts w:ascii="宋体" w:hAnsi="宋体" w:cs="宋体" w:hint="eastAsia"/>
          <w:sz w:val="24"/>
        </w:rPr>
        <w:t>《</w:t>
      </w:r>
      <w:r w:rsidR="009106F7" w:rsidRPr="009106F7">
        <w:rPr>
          <w:rFonts w:ascii="宋体" w:hAnsi="宋体" w:cs="宋体" w:hint="eastAsia"/>
          <w:sz w:val="24"/>
        </w:rPr>
        <w:t>盐化低地草甸退化草地修复技术规范</w:t>
      </w:r>
      <w:r w:rsidRPr="009106F7"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以及</w:t>
      </w:r>
      <w:r w:rsidR="009106F7" w:rsidRPr="009106F7">
        <w:rPr>
          <w:rFonts w:ascii="宋体" w:hAnsi="宋体" w:cs="宋体" w:hint="eastAsia"/>
          <w:sz w:val="24"/>
        </w:rPr>
        <w:t>DB14/T 3409-2025</w:t>
      </w:r>
      <w:r w:rsidRPr="009106F7">
        <w:rPr>
          <w:rFonts w:ascii="宋体" w:hAnsi="宋体" w:cs="宋体" w:hint="eastAsia"/>
          <w:sz w:val="24"/>
        </w:rPr>
        <w:t>《</w:t>
      </w:r>
      <w:r w:rsidR="009106F7" w:rsidRPr="009106F7">
        <w:rPr>
          <w:rFonts w:ascii="宋体" w:hAnsi="宋体" w:cs="宋体" w:hint="eastAsia"/>
          <w:sz w:val="24"/>
        </w:rPr>
        <w:t>盐渍化草地生态修复技术规程</w:t>
      </w:r>
      <w:r w:rsidRPr="009106F7"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。</w:t>
      </w:r>
    </w:p>
    <w:p w14:paraId="0293FC38" w14:textId="1439374E" w:rsidR="003A5BE5" w:rsidRPr="006558C0" w:rsidRDefault="003A5BE5" w:rsidP="006558C0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color w:val="000000"/>
          <w:sz w:val="24"/>
        </w:rPr>
      </w:pPr>
      <w:r w:rsidRPr="006558C0">
        <w:rPr>
          <w:rFonts w:asciiTheme="majorEastAsia" w:eastAsiaTheme="majorEastAsia" w:hAnsiTheme="majorEastAsia" w:cs="Times New Roman" w:hint="eastAsia"/>
          <w:color w:val="000000"/>
          <w:sz w:val="24"/>
        </w:rPr>
        <w:t>（3）术语与定义</w:t>
      </w:r>
    </w:p>
    <w:p w14:paraId="75ED3999" w14:textId="7E2E5C09" w:rsidR="008B38A4" w:rsidRPr="008B38A4" w:rsidRDefault="005F50D9" w:rsidP="00C41DB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起草小组结合项目团队多年的生产实践经验，</w:t>
      </w:r>
      <w:r w:rsidR="005D7033">
        <w:rPr>
          <w:rFonts w:ascii="Times New Roman" w:hAnsi="Times New Roman" w:cs="Times New Roman" w:hint="eastAsia"/>
          <w:sz w:val="24"/>
        </w:rPr>
        <w:t>并借鉴现有相关标准和文献，</w:t>
      </w:r>
      <w:r w:rsidR="008B38A4" w:rsidRPr="008B38A4">
        <w:rPr>
          <w:rFonts w:ascii="Times New Roman" w:hAnsi="Times New Roman" w:cs="Times New Roman" w:hint="eastAsia"/>
          <w:sz w:val="24"/>
        </w:rPr>
        <w:t>确定了</w:t>
      </w:r>
      <w:r w:rsidR="005D7033" w:rsidRPr="008B38A4">
        <w:rPr>
          <w:rFonts w:ascii="Times New Roman" w:hAnsi="Times New Roman" w:cs="Times New Roman" w:hint="eastAsia"/>
          <w:sz w:val="24"/>
        </w:rPr>
        <w:t xml:space="preserve"> </w:t>
      </w:r>
      <w:r w:rsidR="008B38A4" w:rsidRPr="008B38A4">
        <w:rPr>
          <w:rFonts w:ascii="Times New Roman" w:hAnsi="Times New Roman" w:cs="Times New Roman" w:hint="eastAsia"/>
          <w:sz w:val="24"/>
        </w:rPr>
        <w:t>“</w:t>
      </w:r>
      <w:r w:rsidR="00C5299A" w:rsidRPr="00C5299A">
        <w:rPr>
          <w:rFonts w:ascii="Times New Roman" w:hAnsi="Times New Roman" w:cs="Times New Roman" w:hint="eastAsia"/>
          <w:sz w:val="24"/>
        </w:rPr>
        <w:t>苏打盐碱化草地</w:t>
      </w:r>
      <w:r w:rsidR="00A75771" w:rsidRPr="00A75771">
        <w:rPr>
          <w:rFonts w:ascii="Times New Roman" w:hAnsi="Times New Roman" w:cs="Times New Roman" w:hint="eastAsia"/>
          <w:sz w:val="24"/>
        </w:rPr>
        <w:t>、</w:t>
      </w:r>
      <w:r w:rsidR="00C5299A" w:rsidRPr="00C5299A">
        <w:rPr>
          <w:rFonts w:ascii="Times New Roman" w:hAnsi="Times New Roman" w:cs="Times New Roman" w:hint="eastAsia"/>
          <w:sz w:val="24"/>
        </w:rPr>
        <w:t>表面活性剂</w:t>
      </w:r>
      <w:r w:rsidR="00A75771" w:rsidRPr="00A75771">
        <w:rPr>
          <w:rFonts w:ascii="Times New Roman" w:hAnsi="Times New Roman" w:cs="Times New Roman" w:hint="eastAsia"/>
          <w:sz w:val="24"/>
        </w:rPr>
        <w:t>、</w:t>
      </w:r>
      <w:r w:rsidR="00C5299A" w:rsidRPr="00C5299A">
        <w:rPr>
          <w:rFonts w:ascii="Times New Roman" w:hAnsi="Times New Roman" w:cs="Times New Roman" w:hint="eastAsia"/>
          <w:sz w:val="24"/>
        </w:rPr>
        <w:t>脱硫石膏</w:t>
      </w:r>
      <w:r w:rsidR="00C5299A">
        <w:rPr>
          <w:rFonts w:ascii="Times New Roman" w:hAnsi="Times New Roman" w:cs="Times New Roman" w:hint="eastAsia"/>
          <w:sz w:val="24"/>
        </w:rPr>
        <w:t>、有机酸</w:t>
      </w:r>
      <w:r w:rsidR="008B38A4" w:rsidRPr="008B38A4">
        <w:rPr>
          <w:rFonts w:ascii="Times New Roman" w:hAnsi="Times New Roman" w:cs="Times New Roman" w:hint="eastAsia"/>
          <w:sz w:val="24"/>
        </w:rPr>
        <w:t>”</w:t>
      </w:r>
      <w:r w:rsidR="005D7033" w:rsidRPr="005D7033">
        <w:rPr>
          <w:rFonts w:ascii="Times New Roman" w:hAnsi="Times New Roman" w:cs="Times New Roman" w:hint="eastAsia"/>
          <w:sz w:val="24"/>
        </w:rPr>
        <w:t xml:space="preserve"> </w:t>
      </w:r>
      <w:r w:rsidR="005D7033">
        <w:rPr>
          <w:rFonts w:ascii="Times New Roman" w:hAnsi="Times New Roman" w:cs="Times New Roman" w:hint="eastAsia"/>
          <w:sz w:val="24"/>
        </w:rPr>
        <w:t>等四个</w:t>
      </w:r>
      <w:r w:rsidR="005D7033">
        <w:rPr>
          <w:rFonts w:ascii="Times New Roman" w:hAnsi="Times New Roman" w:cs="Times New Roman" w:hint="eastAsia"/>
          <w:sz w:val="24"/>
        </w:rPr>
        <w:t>术语</w:t>
      </w:r>
      <w:r w:rsidR="005D7033">
        <w:rPr>
          <w:rFonts w:ascii="Times New Roman" w:hAnsi="Times New Roman" w:cs="Times New Roman" w:hint="eastAsia"/>
          <w:sz w:val="24"/>
        </w:rPr>
        <w:t>及其</w:t>
      </w:r>
      <w:r w:rsidR="008B38A4" w:rsidRPr="008B38A4">
        <w:rPr>
          <w:rFonts w:ascii="Times New Roman" w:hAnsi="Times New Roman" w:cs="Times New Roman" w:hint="eastAsia"/>
          <w:sz w:val="24"/>
        </w:rPr>
        <w:t>定义。</w:t>
      </w:r>
    </w:p>
    <w:p w14:paraId="118F55DD" w14:textId="013CA9F7" w:rsidR="003A5BE5" w:rsidRPr="00BC7703" w:rsidRDefault="00BC7703" w:rsidP="00C41DBA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color w:val="000000"/>
          <w:sz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</w:rPr>
        <w:t>（4）</w:t>
      </w:r>
      <w:r w:rsidR="00C5299A">
        <w:rPr>
          <w:rFonts w:asciiTheme="majorEastAsia" w:eastAsiaTheme="majorEastAsia" w:hAnsiTheme="majorEastAsia" w:cs="Times New Roman" w:hint="eastAsia"/>
          <w:color w:val="000000"/>
          <w:sz w:val="24"/>
        </w:rPr>
        <w:t>修复措施</w:t>
      </w:r>
    </w:p>
    <w:p w14:paraId="0F54C367" w14:textId="0EA5A54A" w:rsidR="00C5299A" w:rsidRPr="00975917" w:rsidRDefault="00C5299A" w:rsidP="00C5299A">
      <w:pPr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sz w:val="24"/>
        </w:rPr>
      </w:pP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与传统的</w:t>
      </w:r>
      <w:r w:rsidR="005D7033">
        <w:rPr>
          <w:rFonts w:asciiTheme="minorEastAsia" w:hAnsiTheme="minorEastAsia" w:cs="Times New Roman" w:hint="eastAsia"/>
          <w:bCs/>
          <w:color w:val="000000"/>
          <w:sz w:val="24"/>
        </w:rPr>
        <w:t>盐碱草地修复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方法相比，本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规程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具有</w:t>
      </w:r>
      <w:r w:rsidR="00AE0870">
        <w:rPr>
          <w:rFonts w:asciiTheme="minorEastAsia" w:hAnsiTheme="minorEastAsia" w:cs="Times New Roman" w:hint="eastAsia"/>
          <w:bCs/>
          <w:color w:val="000000"/>
          <w:sz w:val="24"/>
        </w:rPr>
        <w:t>以下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明显技术优势：</w:t>
      </w:r>
    </w:p>
    <w:p w14:paraId="41D8FC7B" w14:textId="77777777" w:rsidR="00C5299A" w:rsidRPr="00975917" w:rsidRDefault="00C5299A" w:rsidP="00C5299A">
      <w:pPr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sz w:val="24"/>
        </w:rPr>
      </w:pPr>
      <w:r>
        <w:rPr>
          <w:rFonts w:asciiTheme="minorEastAsia" w:hAnsiTheme="minorEastAsia" w:cs="Times New Roman" w:hint="eastAsia"/>
          <w:bCs/>
          <w:color w:val="000000"/>
          <w:sz w:val="24"/>
        </w:rPr>
        <w:lastRenderedPageBreak/>
        <w:t>（1）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无需翻耕，生态友好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。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本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规程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不破坏地表植被和土壤结构，非常适用于因生态保护法规禁止翻耕的天然草原。通过表面活性剂的应用，取代了机械翻土的作用，使改良剂无需犁翻即可渗透入土。这避免了翻耕可能引发的水土流失和植被破坏，保护了原有生态系统的完整性，实现了边改良边保育。原生草本植物在改良过程中得以保留并逐步恢复生长，无需重新播种，维护</w:t>
      </w:r>
      <w:proofErr w:type="gramStart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了草</w:t>
      </w:r>
      <w:proofErr w:type="gramEnd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地原有的生物多样性。</w:t>
      </w:r>
    </w:p>
    <w:p w14:paraId="3C5AC367" w14:textId="77777777" w:rsidR="00C5299A" w:rsidRPr="00975917" w:rsidRDefault="00C5299A" w:rsidP="00C5299A">
      <w:pPr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sz w:val="24"/>
        </w:rPr>
      </w:pPr>
      <w:r>
        <w:rPr>
          <w:rFonts w:asciiTheme="minorEastAsia" w:hAnsiTheme="minorEastAsia" w:cs="Times New Roman" w:hint="eastAsia"/>
          <w:bCs/>
          <w:color w:val="000000"/>
          <w:sz w:val="24"/>
        </w:rPr>
        <w:t>（</w:t>
      </w:r>
      <w:r>
        <w:rPr>
          <w:rFonts w:asciiTheme="minorEastAsia" w:hAnsiTheme="minorEastAsia" w:cs="Times New Roman"/>
          <w:bCs/>
          <w:color w:val="000000"/>
          <w:sz w:val="24"/>
        </w:rPr>
        <w:t>2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）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快速见效，综合改善土壤理化性状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。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通过化学和物理协同作用，土壤盐碱度和pH能够在较短周期内明显下降。钙离子置换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与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有机酸中和的机制使土壤中过量的钠离子和</w:t>
      </w:r>
      <w:proofErr w:type="gramStart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碱得到</w:t>
      </w:r>
      <w:proofErr w:type="gramEnd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快速削减，显著降低盐碱危害。与翻耕深施石膏后需等待雨水</w:t>
      </w:r>
      <w:proofErr w:type="gramStart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慢慢溶滤相比</w:t>
      </w:r>
      <w:proofErr w:type="gramEnd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，本方法在施用当季即可看到土壤pH下降、板结度减轻的效果。试验表明改良一年内土壤pH即可降低约1个单位，盐碱度指数下降约20%。同时，土壤结构因钙离子引入和有机质补充而改善，孔隙度提高、容重下降，透水透气性大幅增强。这些理化性质的综合改良为植物生长创造了良好条件。</w:t>
      </w:r>
    </w:p>
    <w:p w14:paraId="010717F2" w14:textId="77777777" w:rsidR="00C5299A" w:rsidRPr="00975917" w:rsidRDefault="00C5299A" w:rsidP="00C5299A">
      <w:pPr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sz w:val="24"/>
        </w:rPr>
      </w:pPr>
      <w:r>
        <w:rPr>
          <w:rFonts w:asciiTheme="minorEastAsia" w:hAnsiTheme="minorEastAsia" w:cs="Times New Roman" w:hint="eastAsia"/>
          <w:bCs/>
          <w:color w:val="000000"/>
          <w:sz w:val="24"/>
        </w:rPr>
        <w:t>（</w:t>
      </w:r>
      <w:r>
        <w:rPr>
          <w:rFonts w:asciiTheme="minorEastAsia" w:hAnsiTheme="minorEastAsia" w:cs="Times New Roman"/>
          <w:bCs/>
          <w:color w:val="000000"/>
          <w:sz w:val="24"/>
        </w:rPr>
        <w:t>3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）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保持草地产能，提高植被生长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。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改良</w:t>
      </w:r>
      <w:proofErr w:type="gramStart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剂除了</w:t>
      </w:r>
      <w:proofErr w:type="gramEnd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降低盐碱危害，本身还为土壤带入有益成分。例如石膏中的硫元素、有机酸和腐殖质中的碳营养等，都是植物和微生物生长所需的元素。改良后土壤肥力和微生物活性上升，为草地植被提供更充足的养分供给。同时，由于未破坏原有草皮，草地可以边改良</w:t>
      </w:r>
      <w:proofErr w:type="gramStart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边发挥</w:t>
      </w:r>
      <w:proofErr w:type="gramEnd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生态功能，不会出现传统改良翻地后裸地阶段的风蚀、水蚀风险。实际观察到改良一年后草地植被盖度增加，可食牧草产量提升，植被生长状况显著好转。</w:t>
      </w:r>
    </w:p>
    <w:p w14:paraId="082E4402" w14:textId="77777777" w:rsidR="00C5299A" w:rsidRPr="00975917" w:rsidRDefault="00C5299A" w:rsidP="00C5299A">
      <w:pPr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sz w:val="24"/>
        </w:rPr>
      </w:pPr>
      <w:r>
        <w:rPr>
          <w:rFonts w:asciiTheme="minorEastAsia" w:hAnsiTheme="minorEastAsia" w:cs="Times New Roman" w:hint="eastAsia"/>
          <w:bCs/>
          <w:color w:val="000000"/>
          <w:sz w:val="24"/>
        </w:rPr>
        <w:t>（</w:t>
      </w:r>
      <w:r>
        <w:rPr>
          <w:rFonts w:asciiTheme="minorEastAsia" w:hAnsiTheme="minorEastAsia" w:cs="Times New Roman"/>
          <w:bCs/>
          <w:color w:val="000000"/>
          <w:sz w:val="24"/>
        </w:rPr>
        <w:t>4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）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操作简便，成本低且可持续</w:t>
      </w:r>
      <w:r>
        <w:rPr>
          <w:rFonts w:asciiTheme="minorEastAsia" w:hAnsiTheme="minorEastAsia" w:cs="Times New Roman" w:hint="eastAsia"/>
          <w:bCs/>
          <w:color w:val="000000"/>
          <w:sz w:val="24"/>
        </w:rPr>
        <w:t>。</w:t>
      </w:r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本技术采用的材料廉价易得：脱硫石膏是火电厂烟气脱硫副产物，来源广泛成本低；有机酸如柠檬酸可由生物发酵获得；表面活性剂用量很少，摊薄成本低廉。整个改良过程主要借助常规喷洒设备和灌溉手段，无需大型机械作业，投入成本远低于翻耕改土。同时这些材料均为无毒环保型，不会在土壤中累积有害物质。表面活性剂会被土壤微生物逐步降解，不留残毒，允许长期反复使用。因而本方法具有良好的环境友好性和</w:t>
      </w:r>
      <w:proofErr w:type="gramStart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可</w:t>
      </w:r>
      <w:proofErr w:type="gramEnd"/>
      <w:r w:rsidRPr="00975917">
        <w:rPr>
          <w:rFonts w:asciiTheme="minorEastAsia" w:hAnsiTheme="minorEastAsia" w:cs="Times New Roman" w:hint="eastAsia"/>
          <w:bCs/>
          <w:color w:val="000000"/>
          <w:sz w:val="24"/>
        </w:rPr>
        <w:t>持续性，可在保持低成本的同时持续发挥改良作用。</w:t>
      </w:r>
    </w:p>
    <w:p w14:paraId="2FCC6BA3" w14:textId="3B4A17B0" w:rsidR="002B3C92" w:rsidRPr="00BE3A8B" w:rsidRDefault="00D6402C" w:rsidP="0043628F">
      <w:pPr>
        <w:pStyle w:val="1"/>
      </w:pPr>
      <w:bookmarkStart w:id="6" w:name="_Toc207094387"/>
      <w:r>
        <w:rPr>
          <w:rFonts w:hint="eastAsia"/>
        </w:rPr>
        <w:t>四</w:t>
      </w:r>
      <w:r w:rsidR="002B3C92" w:rsidRPr="00BE3A8B">
        <w:rPr>
          <w:rFonts w:hint="eastAsia"/>
        </w:rPr>
        <w:t>、</w:t>
      </w:r>
      <w:r w:rsidR="003A5BE5" w:rsidRPr="00BE3A8B">
        <w:rPr>
          <w:rFonts w:hint="eastAsia"/>
        </w:rPr>
        <w:t>采用的国际标准</w:t>
      </w:r>
      <w:bookmarkEnd w:id="6"/>
    </w:p>
    <w:p w14:paraId="03B45628" w14:textId="77777777" w:rsidR="004013A0" w:rsidRPr="00A67CCB" w:rsidRDefault="003A5BE5" w:rsidP="00A67CCB">
      <w:pPr>
        <w:ind w:firstLineChars="200" w:firstLine="480"/>
        <w:rPr>
          <w:color w:val="000000"/>
          <w:sz w:val="24"/>
        </w:rPr>
      </w:pPr>
      <w:r w:rsidRPr="00A67CCB">
        <w:rPr>
          <w:rFonts w:hint="eastAsia"/>
          <w:color w:val="000000"/>
          <w:sz w:val="24"/>
        </w:rPr>
        <w:t>无。</w:t>
      </w:r>
    </w:p>
    <w:p w14:paraId="03B66C9A" w14:textId="6071D43F" w:rsidR="002B3C92" w:rsidRPr="00BE3A8B" w:rsidRDefault="00D6402C" w:rsidP="0043628F">
      <w:pPr>
        <w:pStyle w:val="1"/>
      </w:pPr>
      <w:bookmarkStart w:id="7" w:name="_Toc207094388"/>
      <w:r>
        <w:rPr>
          <w:rFonts w:hint="eastAsia"/>
        </w:rPr>
        <w:lastRenderedPageBreak/>
        <w:t>五</w:t>
      </w:r>
      <w:r w:rsidR="003A5BE5" w:rsidRPr="00BE3A8B">
        <w:rPr>
          <w:rFonts w:hint="eastAsia"/>
        </w:rPr>
        <w:t>、与</w:t>
      </w:r>
      <w:r w:rsidR="00AE0870">
        <w:rPr>
          <w:rFonts w:hint="eastAsia"/>
        </w:rPr>
        <w:t>现行</w:t>
      </w:r>
      <w:r w:rsidR="003A5BE5" w:rsidRPr="00BE3A8B">
        <w:rPr>
          <w:rFonts w:hint="eastAsia"/>
        </w:rPr>
        <w:t>法律法规和强制性标准的关系</w:t>
      </w:r>
      <w:bookmarkEnd w:id="7"/>
    </w:p>
    <w:p w14:paraId="4A561D38" w14:textId="04A897CB" w:rsidR="003A5BE5" w:rsidRPr="00A67CCB" w:rsidRDefault="003A5BE5" w:rsidP="00A67CCB">
      <w:pPr>
        <w:ind w:firstLineChars="200" w:firstLine="480"/>
        <w:rPr>
          <w:color w:val="000000"/>
          <w:sz w:val="24"/>
        </w:rPr>
      </w:pPr>
      <w:r w:rsidRPr="00A67CCB">
        <w:rPr>
          <w:rFonts w:hint="eastAsia"/>
          <w:color w:val="000000"/>
          <w:sz w:val="24"/>
        </w:rPr>
        <w:t>本标准与现行法律法规和强制性标准没有冲突。</w:t>
      </w:r>
    </w:p>
    <w:p w14:paraId="5E887217" w14:textId="054B1AC2" w:rsidR="003A5BE5" w:rsidRPr="00BE3A8B" w:rsidRDefault="00D6402C" w:rsidP="0043628F">
      <w:pPr>
        <w:pStyle w:val="1"/>
      </w:pPr>
      <w:bookmarkStart w:id="8" w:name="_Toc207094389"/>
      <w:r>
        <w:rPr>
          <w:rFonts w:hint="eastAsia"/>
        </w:rPr>
        <w:t>六</w:t>
      </w:r>
      <w:r w:rsidR="003A5BE5" w:rsidRPr="00BE3A8B">
        <w:rPr>
          <w:rFonts w:hint="eastAsia"/>
        </w:rPr>
        <w:t>、重大分歧意见的处理经过和依据</w:t>
      </w:r>
      <w:bookmarkEnd w:id="8"/>
    </w:p>
    <w:p w14:paraId="6CFC4FD8" w14:textId="7EFFD523" w:rsidR="003A5BE5" w:rsidRPr="00A67CCB" w:rsidRDefault="003A5BE5" w:rsidP="00A67CCB">
      <w:pPr>
        <w:ind w:firstLineChars="200" w:firstLine="480"/>
        <w:rPr>
          <w:color w:val="000000"/>
          <w:sz w:val="24"/>
        </w:rPr>
      </w:pPr>
      <w:r w:rsidRPr="00A67CCB">
        <w:rPr>
          <w:rFonts w:hint="eastAsia"/>
          <w:color w:val="000000"/>
          <w:sz w:val="24"/>
        </w:rPr>
        <w:t>无。</w:t>
      </w:r>
    </w:p>
    <w:p w14:paraId="5E59F06C" w14:textId="6872376A" w:rsidR="003A5BE5" w:rsidRPr="00BE3A8B" w:rsidRDefault="00D6402C" w:rsidP="0043628F">
      <w:pPr>
        <w:pStyle w:val="1"/>
      </w:pPr>
      <w:bookmarkStart w:id="9" w:name="_Toc207094390"/>
      <w:r>
        <w:rPr>
          <w:rFonts w:hint="eastAsia"/>
        </w:rPr>
        <w:t>七</w:t>
      </w:r>
      <w:r w:rsidR="003A5BE5" w:rsidRPr="00BE3A8B">
        <w:rPr>
          <w:rFonts w:hint="eastAsia"/>
        </w:rPr>
        <w:t>、标准作为强制性或推荐性标准的意见</w:t>
      </w:r>
      <w:bookmarkEnd w:id="9"/>
    </w:p>
    <w:p w14:paraId="5958F44A" w14:textId="2B22EEFF" w:rsidR="003A5BE5" w:rsidRPr="00A67CCB" w:rsidRDefault="003A5BE5" w:rsidP="00A67CCB">
      <w:pPr>
        <w:ind w:firstLineChars="200" w:firstLine="480"/>
        <w:rPr>
          <w:color w:val="000000"/>
          <w:sz w:val="24"/>
        </w:rPr>
      </w:pPr>
      <w:r w:rsidRPr="00A67CCB">
        <w:rPr>
          <w:rFonts w:hint="eastAsia"/>
          <w:color w:val="000000"/>
          <w:sz w:val="24"/>
        </w:rPr>
        <w:t>建议将本标准作为推荐性标准发布实施，并加强标准的宣贯。</w:t>
      </w:r>
    </w:p>
    <w:p w14:paraId="4CF109EF" w14:textId="5640D75E" w:rsidR="003A5BE5" w:rsidRPr="00BE3A8B" w:rsidRDefault="00D6402C" w:rsidP="0043628F">
      <w:pPr>
        <w:pStyle w:val="1"/>
      </w:pPr>
      <w:bookmarkStart w:id="10" w:name="_Toc207094391"/>
      <w:r>
        <w:rPr>
          <w:rFonts w:hint="eastAsia"/>
        </w:rPr>
        <w:t>八</w:t>
      </w:r>
      <w:r w:rsidR="003A5BE5" w:rsidRPr="00BE3A8B">
        <w:rPr>
          <w:rFonts w:hint="eastAsia"/>
        </w:rPr>
        <w:t>、贯彻标准的要求和措施建议</w:t>
      </w:r>
      <w:bookmarkEnd w:id="10"/>
    </w:p>
    <w:p w14:paraId="2C573639" w14:textId="3660626D" w:rsidR="00CC5B18" w:rsidRPr="00CC5B18" w:rsidRDefault="00CC5B18" w:rsidP="006E0A2A">
      <w:pPr>
        <w:spacing w:line="360" w:lineRule="auto"/>
        <w:ind w:firstLineChars="225" w:firstLine="540"/>
        <w:rPr>
          <w:color w:val="000000"/>
          <w:sz w:val="24"/>
        </w:rPr>
      </w:pPr>
      <w:r w:rsidRPr="00CC5B18">
        <w:rPr>
          <w:rFonts w:hint="eastAsia"/>
          <w:color w:val="000000"/>
          <w:sz w:val="24"/>
        </w:rPr>
        <w:t>加大对本标准的宣传解读与技术指导力度，确保实施者全面掌握其技术规范。在实施过程中需根据技术发展持续对标准内容进行修订与补充。鼓励各应用单位在使用过程中及时反馈所遇到的问题，为后续修订和完善提供依据。标准委员会应充分发挥企业间桥梁的作用，加强沟通协调，共同推动行业持续进步。</w:t>
      </w:r>
    </w:p>
    <w:p w14:paraId="4959B9E7" w14:textId="74464AD5" w:rsidR="003A5BE5" w:rsidRPr="00BE3A8B" w:rsidRDefault="00D6402C" w:rsidP="0043628F">
      <w:pPr>
        <w:pStyle w:val="1"/>
      </w:pPr>
      <w:bookmarkStart w:id="11" w:name="_Toc207094392"/>
      <w:bookmarkStart w:id="12" w:name="_GoBack"/>
      <w:bookmarkEnd w:id="12"/>
      <w:r>
        <w:rPr>
          <w:rFonts w:hint="eastAsia"/>
        </w:rPr>
        <w:t>九</w:t>
      </w:r>
      <w:r w:rsidR="003A5BE5" w:rsidRPr="00BE3A8B">
        <w:rPr>
          <w:rFonts w:hint="eastAsia"/>
        </w:rPr>
        <w:t>、废止现行有关标准的建议</w:t>
      </w:r>
      <w:bookmarkEnd w:id="11"/>
    </w:p>
    <w:p w14:paraId="6469B104" w14:textId="612C3DF3" w:rsidR="003A5BE5" w:rsidRPr="00A67CCB" w:rsidRDefault="003A5BE5" w:rsidP="003A5BE5">
      <w:pPr>
        <w:ind w:firstLineChars="200" w:firstLine="480"/>
        <w:rPr>
          <w:color w:val="000000"/>
          <w:sz w:val="24"/>
        </w:rPr>
      </w:pPr>
      <w:r w:rsidRPr="00A67CCB">
        <w:rPr>
          <w:rFonts w:hint="eastAsia"/>
          <w:color w:val="000000"/>
          <w:sz w:val="24"/>
        </w:rPr>
        <w:t>无。</w:t>
      </w:r>
    </w:p>
    <w:p w14:paraId="2A3B5BD4" w14:textId="47B1D141" w:rsidR="002B3C92" w:rsidRPr="00BE3A8B" w:rsidRDefault="003A5BE5" w:rsidP="0043628F">
      <w:pPr>
        <w:pStyle w:val="1"/>
      </w:pPr>
      <w:bookmarkStart w:id="13" w:name="_Toc207094393"/>
      <w:r w:rsidRPr="00BE3A8B">
        <w:rPr>
          <w:rFonts w:hint="eastAsia"/>
        </w:rPr>
        <w:t>十</w:t>
      </w:r>
      <w:r w:rsidR="002B3C92" w:rsidRPr="00BE3A8B">
        <w:rPr>
          <w:rFonts w:hint="eastAsia"/>
        </w:rPr>
        <w:t>、其他应</w:t>
      </w:r>
      <w:r w:rsidR="00A27F5D" w:rsidRPr="00BE3A8B">
        <w:rPr>
          <w:rFonts w:hint="eastAsia"/>
        </w:rPr>
        <w:t>予</w:t>
      </w:r>
      <w:r w:rsidR="002B3C92" w:rsidRPr="00BE3A8B">
        <w:rPr>
          <w:rFonts w:hint="eastAsia"/>
        </w:rPr>
        <w:t>说明的事项</w:t>
      </w:r>
      <w:bookmarkEnd w:id="13"/>
    </w:p>
    <w:p w14:paraId="423E9B6C" w14:textId="77777777" w:rsidR="002B3C92" w:rsidRPr="00A67CCB" w:rsidRDefault="002B3C92" w:rsidP="00A67CCB">
      <w:pPr>
        <w:ind w:firstLineChars="200" w:firstLine="480"/>
        <w:rPr>
          <w:color w:val="000000"/>
          <w:sz w:val="24"/>
        </w:rPr>
      </w:pPr>
      <w:r w:rsidRPr="00A67CCB">
        <w:rPr>
          <w:rFonts w:hint="eastAsia"/>
          <w:color w:val="000000"/>
          <w:sz w:val="24"/>
        </w:rPr>
        <w:t>无。</w:t>
      </w:r>
    </w:p>
    <w:sectPr w:rsidR="002B3C92" w:rsidRPr="00A67CCB" w:rsidSect="00B57039">
      <w:footerReference w:type="default" r:id="rId8"/>
      <w:pgSz w:w="11906" w:h="16838"/>
      <w:pgMar w:top="1440" w:right="1800" w:bottom="1440" w:left="1800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7C261" w14:textId="77777777" w:rsidR="00870CD9" w:rsidRDefault="00870CD9" w:rsidP="00F54B4A">
      <w:r>
        <w:separator/>
      </w:r>
    </w:p>
  </w:endnote>
  <w:endnote w:type="continuationSeparator" w:id="0">
    <w:p w14:paraId="01E03AFE" w14:textId="77777777" w:rsidR="00870CD9" w:rsidRDefault="00870CD9" w:rsidP="00F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047362"/>
      <w:docPartObj>
        <w:docPartGallery w:val="Page Numbers (Bottom of Page)"/>
        <w:docPartUnique/>
      </w:docPartObj>
    </w:sdtPr>
    <w:sdtEndPr/>
    <w:sdtContent>
      <w:p w14:paraId="6AEE6566" w14:textId="1FC690BF" w:rsidR="00B57039" w:rsidRDefault="00B570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DD7A6D" w14:textId="77777777" w:rsidR="00B57039" w:rsidRDefault="00B570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22E1" w14:textId="77777777" w:rsidR="00870CD9" w:rsidRDefault="00870CD9" w:rsidP="00F54B4A">
      <w:r>
        <w:separator/>
      </w:r>
    </w:p>
  </w:footnote>
  <w:footnote w:type="continuationSeparator" w:id="0">
    <w:p w14:paraId="12CCE93F" w14:textId="77777777" w:rsidR="00870CD9" w:rsidRDefault="00870CD9" w:rsidP="00F5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E5932"/>
    <w:multiLevelType w:val="singleLevel"/>
    <w:tmpl w:val="59EE593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g5ZjliM2Q3YTdhMjcwMWNmMjRmZTg4OTRlZmJmMTUifQ=="/>
  </w:docVars>
  <w:rsids>
    <w:rsidRoot w:val="70472E3E"/>
    <w:rsid w:val="0000124D"/>
    <w:rsid w:val="00007599"/>
    <w:rsid w:val="00012007"/>
    <w:rsid w:val="00013711"/>
    <w:rsid w:val="00013780"/>
    <w:rsid w:val="00032F6D"/>
    <w:rsid w:val="00041104"/>
    <w:rsid w:val="00051684"/>
    <w:rsid w:val="00061CDD"/>
    <w:rsid w:val="00072317"/>
    <w:rsid w:val="0008152A"/>
    <w:rsid w:val="00083993"/>
    <w:rsid w:val="00086FB6"/>
    <w:rsid w:val="000906F9"/>
    <w:rsid w:val="000945BC"/>
    <w:rsid w:val="0009775A"/>
    <w:rsid w:val="000A2C28"/>
    <w:rsid w:val="000B3762"/>
    <w:rsid w:val="000C0F76"/>
    <w:rsid w:val="000D3A6D"/>
    <w:rsid w:val="000E0212"/>
    <w:rsid w:val="001042BF"/>
    <w:rsid w:val="00106CAE"/>
    <w:rsid w:val="0011775D"/>
    <w:rsid w:val="0012734E"/>
    <w:rsid w:val="0013252F"/>
    <w:rsid w:val="00141931"/>
    <w:rsid w:val="0014330C"/>
    <w:rsid w:val="00151833"/>
    <w:rsid w:val="00156BFC"/>
    <w:rsid w:val="00163915"/>
    <w:rsid w:val="00171F91"/>
    <w:rsid w:val="0017779B"/>
    <w:rsid w:val="00182AB7"/>
    <w:rsid w:val="00184242"/>
    <w:rsid w:val="0019184C"/>
    <w:rsid w:val="001A57BC"/>
    <w:rsid w:val="001E37BA"/>
    <w:rsid w:val="001E7346"/>
    <w:rsid w:val="001F0DEF"/>
    <w:rsid w:val="001F5186"/>
    <w:rsid w:val="001F6F10"/>
    <w:rsid w:val="00207B70"/>
    <w:rsid w:val="00231436"/>
    <w:rsid w:val="00234873"/>
    <w:rsid w:val="002401FA"/>
    <w:rsid w:val="00254E90"/>
    <w:rsid w:val="0026039B"/>
    <w:rsid w:val="002856B1"/>
    <w:rsid w:val="002A350A"/>
    <w:rsid w:val="002B3C92"/>
    <w:rsid w:val="002B7801"/>
    <w:rsid w:val="002C366D"/>
    <w:rsid w:val="002D02CE"/>
    <w:rsid w:val="002D0934"/>
    <w:rsid w:val="002D481E"/>
    <w:rsid w:val="002D6856"/>
    <w:rsid w:val="002E0F0F"/>
    <w:rsid w:val="002E2745"/>
    <w:rsid w:val="002F3DD3"/>
    <w:rsid w:val="00311F8A"/>
    <w:rsid w:val="003163A9"/>
    <w:rsid w:val="0032111E"/>
    <w:rsid w:val="00327BA4"/>
    <w:rsid w:val="00327DD7"/>
    <w:rsid w:val="00331322"/>
    <w:rsid w:val="0033547A"/>
    <w:rsid w:val="00335CEB"/>
    <w:rsid w:val="003439F1"/>
    <w:rsid w:val="00344ACF"/>
    <w:rsid w:val="00346A73"/>
    <w:rsid w:val="0035563D"/>
    <w:rsid w:val="003568F4"/>
    <w:rsid w:val="0037695E"/>
    <w:rsid w:val="003827B2"/>
    <w:rsid w:val="003843E7"/>
    <w:rsid w:val="0039109B"/>
    <w:rsid w:val="00397837"/>
    <w:rsid w:val="003A3544"/>
    <w:rsid w:val="003A4038"/>
    <w:rsid w:val="003A5BE5"/>
    <w:rsid w:val="003B19BB"/>
    <w:rsid w:val="003B3784"/>
    <w:rsid w:val="003C048A"/>
    <w:rsid w:val="003D0163"/>
    <w:rsid w:val="003D08D4"/>
    <w:rsid w:val="003D1DF0"/>
    <w:rsid w:val="003D21FC"/>
    <w:rsid w:val="003E5E58"/>
    <w:rsid w:val="003E676A"/>
    <w:rsid w:val="003F2930"/>
    <w:rsid w:val="004013A0"/>
    <w:rsid w:val="004057DE"/>
    <w:rsid w:val="004247FD"/>
    <w:rsid w:val="004325D5"/>
    <w:rsid w:val="00435CC3"/>
    <w:rsid w:val="0043628F"/>
    <w:rsid w:val="0044404F"/>
    <w:rsid w:val="00460EC9"/>
    <w:rsid w:val="00462C34"/>
    <w:rsid w:val="00477693"/>
    <w:rsid w:val="00484567"/>
    <w:rsid w:val="00492E20"/>
    <w:rsid w:val="004B2E30"/>
    <w:rsid w:val="004B5735"/>
    <w:rsid w:val="004C7B9C"/>
    <w:rsid w:val="004D5AA9"/>
    <w:rsid w:val="004E4609"/>
    <w:rsid w:val="00524CCA"/>
    <w:rsid w:val="00525DF2"/>
    <w:rsid w:val="00544ABC"/>
    <w:rsid w:val="005450CF"/>
    <w:rsid w:val="00545564"/>
    <w:rsid w:val="00547468"/>
    <w:rsid w:val="00547AD4"/>
    <w:rsid w:val="00556C27"/>
    <w:rsid w:val="0058496D"/>
    <w:rsid w:val="00593A94"/>
    <w:rsid w:val="00596233"/>
    <w:rsid w:val="005A40AE"/>
    <w:rsid w:val="005A5A02"/>
    <w:rsid w:val="005D7033"/>
    <w:rsid w:val="005D71C9"/>
    <w:rsid w:val="005E23B6"/>
    <w:rsid w:val="005E3404"/>
    <w:rsid w:val="005E4D73"/>
    <w:rsid w:val="005F19E5"/>
    <w:rsid w:val="005F50D9"/>
    <w:rsid w:val="006126AB"/>
    <w:rsid w:val="00625734"/>
    <w:rsid w:val="00634B88"/>
    <w:rsid w:val="00641A7F"/>
    <w:rsid w:val="006471C9"/>
    <w:rsid w:val="00652CC1"/>
    <w:rsid w:val="006558C0"/>
    <w:rsid w:val="00656A03"/>
    <w:rsid w:val="00667097"/>
    <w:rsid w:val="00673CBB"/>
    <w:rsid w:val="006A0925"/>
    <w:rsid w:val="006A16FE"/>
    <w:rsid w:val="006B42FE"/>
    <w:rsid w:val="006B77B7"/>
    <w:rsid w:val="006C5A4B"/>
    <w:rsid w:val="006D1219"/>
    <w:rsid w:val="006E0A2A"/>
    <w:rsid w:val="006E2646"/>
    <w:rsid w:val="006F6106"/>
    <w:rsid w:val="006F75AF"/>
    <w:rsid w:val="007036AF"/>
    <w:rsid w:val="00704131"/>
    <w:rsid w:val="0071088D"/>
    <w:rsid w:val="007204C3"/>
    <w:rsid w:val="00733672"/>
    <w:rsid w:val="007461DB"/>
    <w:rsid w:val="007503AC"/>
    <w:rsid w:val="00754E4D"/>
    <w:rsid w:val="007564AD"/>
    <w:rsid w:val="00756E70"/>
    <w:rsid w:val="00757F8B"/>
    <w:rsid w:val="007658C9"/>
    <w:rsid w:val="00767F12"/>
    <w:rsid w:val="00770A22"/>
    <w:rsid w:val="00775697"/>
    <w:rsid w:val="007760F9"/>
    <w:rsid w:val="007820C7"/>
    <w:rsid w:val="00783214"/>
    <w:rsid w:val="007875B5"/>
    <w:rsid w:val="007A7133"/>
    <w:rsid w:val="007C2EE3"/>
    <w:rsid w:val="007C3BB2"/>
    <w:rsid w:val="007E27EE"/>
    <w:rsid w:val="007E4EDC"/>
    <w:rsid w:val="007E66CD"/>
    <w:rsid w:val="007E6FE1"/>
    <w:rsid w:val="007F61CE"/>
    <w:rsid w:val="007F6C96"/>
    <w:rsid w:val="00805BEB"/>
    <w:rsid w:val="008206A4"/>
    <w:rsid w:val="00825417"/>
    <w:rsid w:val="008402FD"/>
    <w:rsid w:val="008443DC"/>
    <w:rsid w:val="008503EC"/>
    <w:rsid w:val="0085183D"/>
    <w:rsid w:val="00852B8E"/>
    <w:rsid w:val="00854BD1"/>
    <w:rsid w:val="00857E44"/>
    <w:rsid w:val="00867AF5"/>
    <w:rsid w:val="00867DB2"/>
    <w:rsid w:val="00870CD9"/>
    <w:rsid w:val="00883DFB"/>
    <w:rsid w:val="00887E94"/>
    <w:rsid w:val="0089009A"/>
    <w:rsid w:val="00897E02"/>
    <w:rsid w:val="008A0437"/>
    <w:rsid w:val="008B2D17"/>
    <w:rsid w:val="008B38A4"/>
    <w:rsid w:val="008B466B"/>
    <w:rsid w:val="008C16A6"/>
    <w:rsid w:val="008C53CE"/>
    <w:rsid w:val="008D3A38"/>
    <w:rsid w:val="008D44B3"/>
    <w:rsid w:val="008D6494"/>
    <w:rsid w:val="008D78C9"/>
    <w:rsid w:val="008E28F0"/>
    <w:rsid w:val="008E62DF"/>
    <w:rsid w:val="008E7C04"/>
    <w:rsid w:val="00901C3D"/>
    <w:rsid w:val="009036E4"/>
    <w:rsid w:val="009050BC"/>
    <w:rsid w:val="009055F1"/>
    <w:rsid w:val="009106F7"/>
    <w:rsid w:val="00913B18"/>
    <w:rsid w:val="00917EB0"/>
    <w:rsid w:val="00920419"/>
    <w:rsid w:val="00927AB9"/>
    <w:rsid w:val="00927E65"/>
    <w:rsid w:val="00952B73"/>
    <w:rsid w:val="00961325"/>
    <w:rsid w:val="00964244"/>
    <w:rsid w:val="009730C2"/>
    <w:rsid w:val="00973D8C"/>
    <w:rsid w:val="00975917"/>
    <w:rsid w:val="00981E57"/>
    <w:rsid w:val="009821B0"/>
    <w:rsid w:val="00982581"/>
    <w:rsid w:val="00997C96"/>
    <w:rsid w:val="009A046D"/>
    <w:rsid w:val="009A1D72"/>
    <w:rsid w:val="009A3A39"/>
    <w:rsid w:val="009A7B2A"/>
    <w:rsid w:val="009B4892"/>
    <w:rsid w:val="009B5FE5"/>
    <w:rsid w:val="009C099C"/>
    <w:rsid w:val="009C5892"/>
    <w:rsid w:val="009C6D05"/>
    <w:rsid w:val="009D01A8"/>
    <w:rsid w:val="009D45FC"/>
    <w:rsid w:val="009D68E4"/>
    <w:rsid w:val="009E6733"/>
    <w:rsid w:val="00A01825"/>
    <w:rsid w:val="00A108DE"/>
    <w:rsid w:val="00A10FD6"/>
    <w:rsid w:val="00A20EC4"/>
    <w:rsid w:val="00A27F5D"/>
    <w:rsid w:val="00A307FB"/>
    <w:rsid w:val="00A31961"/>
    <w:rsid w:val="00A35A9A"/>
    <w:rsid w:val="00A53FE2"/>
    <w:rsid w:val="00A64878"/>
    <w:rsid w:val="00A67CCB"/>
    <w:rsid w:val="00A75771"/>
    <w:rsid w:val="00A80B3B"/>
    <w:rsid w:val="00A859B3"/>
    <w:rsid w:val="00AA4624"/>
    <w:rsid w:val="00AB09DB"/>
    <w:rsid w:val="00AB0FD9"/>
    <w:rsid w:val="00AC01AD"/>
    <w:rsid w:val="00AC2DB3"/>
    <w:rsid w:val="00AE0870"/>
    <w:rsid w:val="00AE1383"/>
    <w:rsid w:val="00AE43B9"/>
    <w:rsid w:val="00AF307B"/>
    <w:rsid w:val="00AF4ECB"/>
    <w:rsid w:val="00B06FAF"/>
    <w:rsid w:val="00B07827"/>
    <w:rsid w:val="00B10706"/>
    <w:rsid w:val="00B22F4B"/>
    <w:rsid w:val="00B24FD3"/>
    <w:rsid w:val="00B25D20"/>
    <w:rsid w:val="00B347DD"/>
    <w:rsid w:val="00B35934"/>
    <w:rsid w:val="00B54CD9"/>
    <w:rsid w:val="00B57039"/>
    <w:rsid w:val="00B60A82"/>
    <w:rsid w:val="00B732AF"/>
    <w:rsid w:val="00B74993"/>
    <w:rsid w:val="00BA6372"/>
    <w:rsid w:val="00BB5FC6"/>
    <w:rsid w:val="00BC1CDE"/>
    <w:rsid w:val="00BC487D"/>
    <w:rsid w:val="00BC7703"/>
    <w:rsid w:val="00BE3A8B"/>
    <w:rsid w:val="00BE66A4"/>
    <w:rsid w:val="00C07275"/>
    <w:rsid w:val="00C15CFC"/>
    <w:rsid w:val="00C15E88"/>
    <w:rsid w:val="00C26F83"/>
    <w:rsid w:val="00C27717"/>
    <w:rsid w:val="00C302D3"/>
    <w:rsid w:val="00C327A8"/>
    <w:rsid w:val="00C327E0"/>
    <w:rsid w:val="00C41D3A"/>
    <w:rsid w:val="00C41DBA"/>
    <w:rsid w:val="00C42AEE"/>
    <w:rsid w:val="00C5299A"/>
    <w:rsid w:val="00C75F1A"/>
    <w:rsid w:val="00C80403"/>
    <w:rsid w:val="00C855F5"/>
    <w:rsid w:val="00C97346"/>
    <w:rsid w:val="00CB7AF7"/>
    <w:rsid w:val="00CC5B18"/>
    <w:rsid w:val="00CD3B7F"/>
    <w:rsid w:val="00CD510A"/>
    <w:rsid w:val="00CD5E50"/>
    <w:rsid w:val="00CF2E8D"/>
    <w:rsid w:val="00CF3F6B"/>
    <w:rsid w:val="00CF7CC7"/>
    <w:rsid w:val="00CF7D0B"/>
    <w:rsid w:val="00D13BF3"/>
    <w:rsid w:val="00D14804"/>
    <w:rsid w:val="00D20F06"/>
    <w:rsid w:val="00D52348"/>
    <w:rsid w:val="00D53A06"/>
    <w:rsid w:val="00D5546D"/>
    <w:rsid w:val="00D568BF"/>
    <w:rsid w:val="00D62120"/>
    <w:rsid w:val="00D63FC9"/>
    <w:rsid w:val="00D6402C"/>
    <w:rsid w:val="00D752F0"/>
    <w:rsid w:val="00D9153A"/>
    <w:rsid w:val="00D91B34"/>
    <w:rsid w:val="00D93930"/>
    <w:rsid w:val="00DA602D"/>
    <w:rsid w:val="00DB0FA9"/>
    <w:rsid w:val="00DB188E"/>
    <w:rsid w:val="00DC667D"/>
    <w:rsid w:val="00DD2A1E"/>
    <w:rsid w:val="00E018A7"/>
    <w:rsid w:val="00E1505B"/>
    <w:rsid w:val="00E16BA7"/>
    <w:rsid w:val="00E207E4"/>
    <w:rsid w:val="00E2220E"/>
    <w:rsid w:val="00E2416B"/>
    <w:rsid w:val="00E32BD1"/>
    <w:rsid w:val="00E36860"/>
    <w:rsid w:val="00E36A04"/>
    <w:rsid w:val="00E47906"/>
    <w:rsid w:val="00E47FAB"/>
    <w:rsid w:val="00E51BE2"/>
    <w:rsid w:val="00E526A9"/>
    <w:rsid w:val="00E56425"/>
    <w:rsid w:val="00E63CDD"/>
    <w:rsid w:val="00E64EDB"/>
    <w:rsid w:val="00E70B3C"/>
    <w:rsid w:val="00E768F5"/>
    <w:rsid w:val="00E92215"/>
    <w:rsid w:val="00E92E0F"/>
    <w:rsid w:val="00E96D6F"/>
    <w:rsid w:val="00EA38C7"/>
    <w:rsid w:val="00EA476B"/>
    <w:rsid w:val="00EB1727"/>
    <w:rsid w:val="00EB5260"/>
    <w:rsid w:val="00EC7156"/>
    <w:rsid w:val="00ED41DA"/>
    <w:rsid w:val="00ED4212"/>
    <w:rsid w:val="00EE1541"/>
    <w:rsid w:val="00EE5BFF"/>
    <w:rsid w:val="00EF020B"/>
    <w:rsid w:val="00F039A7"/>
    <w:rsid w:val="00F0493A"/>
    <w:rsid w:val="00F04B55"/>
    <w:rsid w:val="00F10F8E"/>
    <w:rsid w:val="00F13498"/>
    <w:rsid w:val="00F17A03"/>
    <w:rsid w:val="00F238F0"/>
    <w:rsid w:val="00F25B74"/>
    <w:rsid w:val="00F371D2"/>
    <w:rsid w:val="00F5415B"/>
    <w:rsid w:val="00F54B4A"/>
    <w:rsid w:val="00F9238B"/>
    <w:rsid w:val="00F9545D"/>
    <w:rsid w:val="00F97F4A"/>
    <w:rsid w:val="00FA4E04"/>
    <w:rsid w:val="00FB00E1"/>
    <w:rsid w:val="00FC1020"/>
    <w:rsid w:val="00FC12F6"/>
    <w:rsid w:val="00FD0199"/>
    <w:rsid w:val="057228FE"/>
    <w:rsid w:val="0AFE1F55"/>
    <w:rsid w:val="4F6F066C"/>
    <w:rsid w:val="704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0C5CE"/>
  <w15:docId w15:val="{54E284AF-88F8-434F-A85B-033E02A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5C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3628F"/>
    <w:pPr>
      <w:keepNext/>
      <w:keepLines/>
      <w:spacing w:before="240" w:after="240" w:line="360" w:lineRule="auto"/>
      <w:outlineLvl w:val="0"/>
    </w:pPr>
    <w:rPr>
      <w:rFonts w:eastAsiaTheme="majorEastAsia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pPr>
      <w:jc w:val="lef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Revision"/>
    <w:hidden/>
    <w:uiPriority w:val="99"/>
    <w:unhideWhenUsed/>
    <w:rsid w:val="00F54B4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header"/>
    <w:basedOn w:val="a"/>
    <w:link w:val="a9"/>
    <w:rsid w:val="00F54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54B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F5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54B4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1">
    <w:name w:val="网格型1"/>
    <w:basedOn w:val="a1"/>
    <w:next w:val="a5"/>
    <w:qFormat/>
    <w:rsid w:val="002B3C92"/>
    <w:pPr>
      <w:spacing w:after="80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0"/>
    <w:link w:val="1"/>
    <w:rsid w:val="0043628F"/>
    <w:rPr>
      <w:rFonts w:asciiTheme="minorHAnsi" w:eastAsiaTheme="majorEastAsia" w:hAnsiTheme="minorHAnsi" w:cstheme="minorBidi"/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47468"/>
    <w:pPr>
      <w:widowControl/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D53A0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1F0DEF"/>
    <w:pPr>
      <w:tabs>
        <w:tab w:val="right" w:leader="dot" w:pos="8296"/>
      </w:tabs>
      <w:spacing w:beforeLines="50" w:before="156" w:line="360" w:lineRule="auto"/>
    </w:pPr>
  </w:style>
  <w:style w:type="character" w:styleId="ac">
    <w:name w:val="Hyperlink"/>
    <w:basedOn w:val="a0"/>
    <w:uiPriority w:val="99"/>
    <w:unhideWhenUsed/>
    <w:rsid w:val="00547468"/>
    <w:rPr>
      <w:color w:val="0026E5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5474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54746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E5B8-5926-489A-A18C-8D034581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王运涛</dc:creator>
  <cp:lastModifiedBy>Administrator</cp:lastModifiedBy>
  <cp:revision>15</cp:revision>
  <dcterms:created xsi:type="dcterms:W3CDTF">2025-08-25T09:42:00Z</dcterms:created>
  <dcterms:modified xsi:type="dcterms:W3CDTF">2025-08-26T01:53:00Z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142043A12B844951B735D006E014C346_11</vt:lpwstr>
  </property>
  <property fmtid="{D5CDD505-2E9C-101B-9397-08002B2CF9AE}" pid="4" name="GrammarlyDocumentId">
    <vt:lpwstr>0f6d7e0fa0734309d7c46eb319fd4556cc51d45ccf254f27ca3ac95058dea104</vt:lpwstr>
  </property>
</Properties>
</file>