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4DC63D">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3CBAE3E8">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68C61BA3">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131F2CAF">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775DC753">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w:t>
      </w:r>
      <w:r>
        <w:rPr>
          <w:rFonts w:hint="default" w:ascii="黑体" w:hAnsi="黑体" w:eastAsia="黑体" w:cs="宋体"/>
          <w:sz w:val="48"/>
          <w:szCs w:val="48"/>
        </w:rPr>
        <w:t>烹饪艺术家评价规范</w:t>
      </w:r>
      <w:r>
        <w:rPr>
          <w:rFonts w:ascii="黑体" w:hAnsi="黑体" w:eastAsia="黑体" w:cs="宋体"/>
          <w:sz w:val="48"/>
          <w:szCs w:val="48"/>
          <w:lang w:val="zh-TW"/>
        </w:rPr>
        <w:t>》</w:t>
      </w:r>
    </w:p>
    <w:p w14:paraId="2E0201B4">
      <w:pPr>
        <w:framePr w:wrap="auto" w:vAnchor="margin" w:hAnchor="text" w:yAlign="inline"/>
        <w:spacing w:before="120" w:beforeLines="50" w:after="120" w:afterLines="50" w:line="300" w:lineRule="auto"/>
        <w:jc w:val="center"/>
        <w:outlineLvl w:val="0"/>
        <w:rPr>
          <w:rFonts w:hint="default" w:ascii="黑体" w:hAnsi="黑体" w:eastAsia="黑体" w:cs="宋体"/>
          <w:sz w:val="48"/>
          <w:szCs w:val="48"/>
          <w:lang w:val="zh-TW" w:eastAsia="zh-TW"/>
        </w:rPr>
      </w:pPr>
      <w:r>
        <w:rPr>
          <w:rFonts w:ascii="黑体" w:hAnsi="黑体" w:eastAsia="黑体" w:cs="宋体"/>
          <w:sz w:val="48"/>
          <w:szCs w:val="48"/>
          <w:lang w:val="zh-TW" w:eastAsia="zh-TW"/>
        </w:rPr>
        <w:t>团体标准</w:t>
      </w:r>
      <w:bookmarkStart w:id="0" w:name="_GoBack"/>
      <w:bookmarkEnd w:id="0"/>
      <w:r>
        <w:rPr>
          <w:rFonts w:ascii="黑体" w:hAnsi="黑体" w:eastAsia="黑体" w:cs="宋体"/>
          <w:sz w:val="48"/>
          <w:szCs w:val="48"/>
          <w:lang w:val="zh-TW" w:eastAsia="zh-TW"/>
        </w:rPr>
        <w:t>编制说明</w:t>
      </w:r>
    </w:p>
    <w:p w14:paraId="1E081ED9">
      <w:pPr>
        <w:framePr w:wrap="auto" w:vAnchor="margin" w:hAnchor="text" w:yAlign="inline"/>
        <w:spacing w:before="120" w:beforeLines="50" w:after="120" w:afterLines="50" w:line="300" w:lineRule="auto"/>
        <w:jc w:val="center"/>
        <w:outlineLvl w:val="0"/>
        <w:rPr>
          <w:rFonts w:hint="default" w:ascii="黑体" w:hAnsi="黑体" w:eastAsia="黑体" w:cs="宋体"/>
          <w:sz w:val="48"/>
          <w:szCs w:val="48"/>
          <w:lang w:val="zh-TW"/>
        </w:rPr>
      </w:pPr>
      <w:r>
        <w:rPr>
          <w:rFonts w:ascii="黑体" w:hAnsi="黑体" w:eastAsia="黑体" w:cs="宋体"/>
          <w:sz w:val="48"/>
          <w:szCs w:val="48"/>
          <w:lang w:val="zh-TW" w:eastAsia="zh-TW"/>
        </w:rPr>
        <w:t>（</w:t>
      </w:r>
      <w:r>
        <w:rPr>
          <w:rFonts w:ascii="黑体" w:hAnsi="黑体" w:eastAsia="黑体" w:cs="宋体"/>
          <w:sz w:val="48"/>
          <w:szCs w:val="48"/>
        </w:rPr>
        <w:t>征求意见</w:t>
      </w:r>
      <w:r>
        <w:rPr>
          <w:rFonts w:ascii="黑体" w:hAnsi="黑体" w:eastAsia="黑体" w:cs="宋体"/>
          <w:sz w:val="48"/>
          <w:szCs w:val="48"/>
          <w:lang w:val="zh-TW" w:eastAsia="zh-TW"/>
        </w:rPr>
        <w:t>稿）</w:t>
      </w:r>
    </w:p>
    <w:p w14:paraId="3894371C">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29130391">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597C95B6">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1B883E43">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54C94D55">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49A88A2C">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61C9A115">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0F35A070">
      <w:pPr>
        <w:framePr w:wrap="auto" w:vAnchor="margin" w:hAnchor="text" w:yAlign="inline"/>
        <w:spacing w:before="120" w:beforeLines="50" w:after="120" w:afterLines="50" w:line="300" w:lineRule="auto"/>
        <w:jc w:val="center"/>
        <w:outlineLvl w:val="0"/>
        <w:rPr>
          <w:rFonts w:hint="default" w:ascii="宋体" w:hAnsi="宋体" w:eastAsia="宋体" w:cs="宋体"/>
          <w:b/>
          <w:bCs/>
          <w:sz w:val="28"/>
          <w:szCs w:val="28"/>
          <w:lang w:val="zh-TW"/>
        </w:rPr>
      </w:pPr>
      <w:r>
        <w:rPr>
          <w:rFonts w:hint="cs" w:ascii="宋体" w:hAnsi="宋体" w:eastAsia="宋体" w:cs="宋体"/>
          <w:b/>
          <w:bCs/>
          <w:sz w:val="28"/>
          <w:szCs w:val="28"/>
          <w:lang w:val="zh-TW" w:eastAsia="zh-TW"/>
        </w:rPr>
        <w:t>中国国际贸易促进委员会商业行业委员会</w:t>
      </w:r>
    </w:p>
    <w:p w14:paraId="17589B31">
      <w:pPr>
        <w:framePr w:wrap="auto" w:vAnchor="margin" w:hAnchor="text" w:yAlign="inline"/>
        <w:spacing w:before="120" w:beforeLines="50" w:after="120" w:afterLines="50" w:line="300" w:lineRule="auto"/>
        <w:jc w:val="center"/>
        <w:outlineLvl w:val="0"/>
        <w:rPr>
          <w:rFonts w:hint="default" w:ascii="宋体" w:hAnsi="宋体" w:eastAsia="宋体" w:cs="宋体"/>
          <w:sz w:val="28"/>
          <w:szCs w:val="28"/>
          <w:lang w:val="zh-TW" w:eastAsia="zh-TW"/>
        </w:rPr>
      </w:pPr>
      <w:r>
        <w:rPr>
          <w:rFonts w:ascii="宋体" w:hAnsi="宋体" w:eastAsia="宋体" w:cs="宋体"/>
          <w:sz w:val="28"/>
          <w:szCs w:val="28"/>
          <w:lang w:val="zh-TW" w:eastAsia="zh-TW"/>
        </w:rPr>
        <w:t>二〇二五年</w:t>
      </w:r>
      <w:r>
        <w:rPr>
          <w:rFonts w:ascii="宋体" w:hAnsi="宋体" w:eastAsia="宋体" w:cs="宋体"/>
          <w:sz w:val="28"/>
          <w:szCs w:val="28"/>
          <w:lang w:eastAsia="zh-TW"/>
        </w:rPr>
        <w:t>八</w:t>
      </w:r>
      <w:r>
        <w:rPr>
          <w:rFonts w:ascii="宋体" w:hAnsi="宋体" w:eastAsia="宋体" w:cs="宋体"/>
          <w:sz w:val="28"/>
          <w:szCs w:val="28"/>
          <w:lang w:val="zh-TW" w:eastAsia="zh-TW"/>
        </w:rPr>
        <w:t>月二十一日</w:t>
      </w:r>
    </w:p>
    <w:p w14:paraId="3D466A9D">
      <w:pPr>
        <w:framePr w:wrap="auto" w:vAnchor="margin" w:hAnchor="text" w:yAlign="inline"/>
        <w:spacing w:line="300" w:lineRule="auto"/>
        <w:jc w:val="center"/>
        <w:outlineLvl w:val="0"/>
        <w:rPr>
          <w:rFonts w:hint="default" w:ascii="宋体" w:hAnsi="宋体" w:eastAsia="宋体" w:cs="宋体"/>
          <w:b/>
          <w:bCs/>
          <w:sz w:val="32"/>
          <w:szCs w:val="32"/>
          <w:lang w:val="zh-TW" w:eastAsia="zh-TW"/>
        </w:rPr>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1" w:footer="992" w:gutter="0"/>
          <w:pgNumType w:start="1"/>
          <w:cols w:space="720" w:num="1"/>
        </w:sectPr>
      </w:pPr>
    </w:p>
    <w:p w14:paraId="5174CB45">
      <w:pPr>
        <w:framePr w:wrap="auto" w:vAnchor="margin" w:hAnchor="text" w:yAlign="inline"/>
        <w:spacing w:line="300" w:lineRule="auto"/>
        <w:jc w:val="center"/>
        <w:outlineLvl w:val="0"/>
        <w:rPr>
          <w:rFonts w:hint="default"/>
          <w:b/>
          <w:bCs/>
          <w:sz w:val="32"/>
          <w:szCs w:val="32"/>
          <w:lang w:val="zh-TW" w:eastAsia="zh-TW"/>
        </w:rPr>
      </w:pPr>
      <w:r>
        <w:rPr>
          <w:rFonts w:hint="cs" w:ascii="宋体" w:hAnsi="宋体" w:eastAsia="宋体" w:cs="宋体"/>
          <w:b/>
          <w:bCs/>
          <w:sz w:val="32"/>
          <w:szCs w:val="32"/>
          <w:lang w:val="zh-TW" w:eastAsia="zh-TW"/>
        </w:rPr>
        <w:t>《</w:t>
      </w:r>
      <w:r>
        <w:rPr>
          <w:rFonts w:hint="default" w:ascii="宋体" w:hAnsi="宋体" w:eastAsia="宋体" w:cs="宋体"/>
          <w:b/>
          <w:bCs/>
          <w:sz w:val="32"/>
          <w:szCs w:val="32"/>
        </w:rPr>
        <w:t>烹饪艺术家评价规范</w:t>
      </w:r>
      <w:r>
        <w:rPr>
          <w:rFonts w:hint="cs" w:ascii="宋体" w:hAnsi="宋体" w:eastAsia="宋体" w:cs="宋体"/>
          <w:b/>
          <w:bCs/>
          <w:sz w:val="32"/>
          <w:szCs w:val="32"/>
          <w:lang w:val="zh-TW" w:eastAsia="zh-TW"/>
        </w:rPr>
        <w:t>》</w:t>
      </w:r>
      <w:r>
        <w:rPr>
          <w:rFonts w:ascii="宋体" w:hAnsi="宋体" w:eastAsia="宋体" w:cs="宋体"/>
          <w:b/>
          <w:bCs/>
          <w:sz w:val="32"/>
          <w:szCs w:val="32"/>
          <w:lang w:val="zh-TW" w:eastAsia="zh-TW"/>
        </w:rPr>
        <w:t>团体标准编制说明</w:t>
      </w:r>
    </w:p>
    <w:p w14:paraId="08A705CA">
      <w:pPr>
        <w:framePr w:wrap="auto" w:vAnchor="margin" w:hAnchor="text" w:yAlign="inline"/>
        <w:spacing w:line="360" w:lineRule="auto"/>
        <w:ind w:firstLine="482"/>
        <w:rPr>
          <w:rFonts w:hint="default" w:ascii="宋体" w:hAnsi="宋体" w:eastAsia="宋体" w:cs="宋体"/>
          <w:b/>
          <w:bCs/>
          <w:kern w:val="0"/>
          <w:sz w:val="24"/>
          <w:szCs w:val="24"/>
          <w:lang w:eastAsia="zh-TW"/>
        </w:rPr>
      </w:pPr>
    </w:p>
    <w:p w14:paraId="0A95C332">
      <w:pPr>
        <w:pStyle w:val="12"/>
        <w:framePr w:wrap="auto" w:vAnchor="margin" w:hAnchor="text" w:yAlign="inline"/>
        <w:numPr>
          <w:ilvl w:val="0"/>
          <w:numId w:val="2"/>
        </w:numPr>
        <w:spacing w:line="360" w:lineRule="auto"/>
        <w:rPr>
          <w:rFonts w:hint="default"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4C20A657">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cs="宋体" w:eastAsiaTheme="minorEastAsia"/>
          <w:color w:val="auto"/>
          <w:sz w:val="24"/>
          <w:szCs w:val="24"/>
          <w:lang w:val="zh-TW"/>
        </w:rPr>
        <w:t>餐饮行业作为消费领域的重中之重，</w:t>
      </w:r>
      <w:r>
        <w:rPr>
          <w:rFonts w:hint="default" w:ascii="宋体" w:hAnsi="宋体" w:cs="宋体" w:eastAsiaTheme="minorEastAsia"/>
          <w:color w:val="auto"/>
          <w:sz w:val="24"/>
          <w:szCs w:val="24"/>
          <w:lang w:val="zh-TW"/>
        </w:rPr>
        <w:t>其从业者</w:t>
      </w:r>
      <w:r>
        <w:rPr>
          <w:rFonts w:ascii="宋体" w:hAnsi="宋体" w:cs="宋体" w:eastAsiaTheme="minorEastAsia"/>
          <w:color w:val="auto"/>
          <w:sz w:val="24"/>
          <w:szCs w:val="24"/>
          <w:lang w:val="zh-TW"/>
        </w:rPr>
        <w:t>——</w:t>
      </w:r>
      <w:r>
        <w:rPr>
          <w:rFonts w:hint="default" w:ascii="宋体" w:hAnsi="宋体" w:cs="宋体" w:eastAsiaTheme="minorEastAsia"/>
          <w:color w:val="auto"/>
          <w:sz w:val="24"/>
          <w:szCs w:val="24"/>
          <w:lang w:val="zh-TW"/>
        </w:rPr>
        <w:t>厨师的专业素养、创新能力与文化传承意识直接决定了餐饮</w:t>
      </w:r>
      <w:r>
        <w:rPr>
          <w:rFonts w:ascii="宋体" w:hAnsi="宋体" w:cs="宋体" w:eastAsiaTheme="minorEastAsia"/>
          <w:color w:val="auto"/>
          <w:sz w:val="24"/>
          <w:szCs w:val="24"/>
          <w:lang w:val="zh-TW"/>
        </w:rPr>
        <w:t>的</w:t>
      </w:r>
      <w:r>
        <w:rPr>
          <w:rFonts w:hint="default" w:ascii="宋体" w:hAnsi="宋体" w:cs="宋体" w:eastAsiaTheme="minorEastAsia"/>
          <w:color w:val="auto"/>
          <w:sz w:val="24"/>
          <w:szCs w:val="24"/>
          <w:lang w:val="zh-TW"/>
        </w:rPr>
        <w:t>品质</w:t>
      </w:r>
      <w:r>
        <w:rPr>
          <w:rFonts w:ascii="宋体" w:hAnsi="宋体" w:cs="宋体" w:eastAsiaTheme="minorEastAsia"/>
          <w:color w:val="auto"/>
          <w:sz w:val="24"/>
          <w:szCs w:val="24"/>
          <w:lang w:val="zh-TW"/>
        </w:rPr>
        <w:t>以及行业发展的质量</w:t>
      </w:r>
      <w:r>
        <w:rPr>
          <w:rFonts w:ascii="宋体" w:hAnsi="宋体" w:eastAsia="宋体" w:cs="宋体"/>
          <w:color w:val="auto"/>
          <w:sz w:val="24"/>
          <w:szCs w:val="24"/>
          <w:lang w:val="zh-TW" w:eastAsia="zh-TW"/>
        </w:rPr>
        <w:t>。</w:t>
      </w:r>
      <w:r>
        <w:rPr>
          <w:rFonts w:hint="default" w:ascii="宋体" w:hAnsi="宋体" w:eastAsia="宋体" w:cs="宋体"/>
          <w:color w:val="auto"/>
          <w:sz w:val="24"/>
          <w:szCs w:val="24"/>
          <w:lang w:val="zh-TW" w:eastAsia="zh-TW"/>
        </w:rPr>
        <w:t>当前，行业内对厨师的评价多集中于技艺熟练度、菜品口感等单一维度，对烹饪艺术的审美表达、文化内涵挖掘、可持续创新等方面关注不足，导致评价体系缺乏系统性与权威性，难以满足行业高质量发展对高素质烹饪人才的需求。</w:t>
      </w:r>
    </w:p>
    <w:p w14:paraId="07153AA2">
      <w:pPr>
        <w:framePr w:wrap="auto" w:vAnchor="margin" w:hAnchor="text" w:yAlign="inline"/>
        <w:spacing w:line="360" w:lineRule="auto"/>
        <w:ind w:firstLine="480"/>
        <w:rPr>
          <w:rFonts w:hint="default" w:ascii="宋体" w:hAnsi="宋体" w:eastAsia="宋体" w:cs="宋体"/>
          <w:color w:val="auto"/>
          <w:sz w:val="24"/>
          <w:szCs w:val="24"/>
          <w:lang w:val="zh-TW"/>
        </w:rPr>
      </w:pPr>
      <w:r>
        <w:rPr>
          <w:rFonts w:hint="default" w:ascii="宋体" w:hAnsi="宋体" w:eastAsia="宋体" w:cs="宋体"/>
          <w:color w:val="auto"/>
          <w:sz w:val="24"/>
          <w:szCs w:val="24"/>
          <w:lang w:val="zh-TW"/>
        </w:rPr>
        <w:t>近年来，随着消费升级与文化自信提升，消费者对餐饮的需求已从 “</w:t>
      </w:r>
      <w:r>
        <w:rPr>
          <w:rFonts w:ascii="宋体" w:hAnsi="宋体" w:eastAsia="宋体" w:cs="宋体"/>
          <w:color w:val="auto"/>
          <w:sz w:val="24"/>
          <w:szCs w:val="24"/>
          <w:lang w:val="zh-TW"/>
        </w:rPr>
        <w:t>吃饱</w:t>
      </w:r>
      <w:r>
        <w:rPr>
          <w:rFonts w:hint="default" w:ascii="宋体" w:hAnsi="宋体" w:eastAsia="宋体" w:cs="宋体"/>
          <w:color w:val="auto"/>
          <w:sz w:val="24"/>
          <w:szCs w:val="24"/>
          <w:lang w:val="zh-TW"/>
        </w:rPr>
        <w:t>” 转向 “</w:t>
      </w:r>
      <w:r>
        <w:rPr>
          <w:rFonts w:ascii="宋体" w:hAnsi="宋体" w:eastAsia="宋体" w:cs="宋体"/>
          <w:color w:val="auto"/>
          <w:sz w:val="24"/>
          <w:szCs w:val="24"/>
          <w:lang w:val="zh-TW"/>
        </w:rPr>
        <w:t>吃健康、吃预约</w:t>
      </w:r>
      <w:r>
        <w:rPr>
          <w:rFonts w:hint="default" w:ascii="宋体" w:hAnsi="宋体" w:eastAsia="宋体" w:cs="宋体"/>
          <w:color w:val="auto"/>
          <w:sz w:val="24"/>
          <w:szCs w:val="24"/>
          <w:lang w:val="zh-TW"/>
        </w:rPr>
        <w:t>”，对烹饪的</w:t>
      </w:r>
      <w:r>
        <w:rPr>
          <w:rFonts w:ascii="宋体" w:hAnsi="宋体" w:eastAsia="宋体" w:cs="宋体"/>
          <w:color w:val="auto"/>
          <w:sz w:val="24"/>
          <w:szCs w:val="24"/>
          <w:lang w:val="zh-TW"/>
        </w:rPr>
        <w:t>健康性、审美</w:t>
      </w:r>
      <w:r>
        <w:rPr>
          <w:rFonts w:hint="default" w:ascii="宋体" w:hAnsi="宋体" w:eastAsia="宋体" w:cs="宋体"/>
          <w:color w:val="auto"/>
          <w:sz w:val="24"/>
          <w:szCs w:val="24"/>
          <w:lang w:val="zh-TW"/>
        </w:rPr>
        <w:t>性、文化性期待显著提高，亟需建立科学的评价标准引导厨师</w:t>
      </w:r>
      <w:r>
        <w:rPr>
          <w:rFonts w:ascii="宋体" w:hAnsi="宋体" w:eastAsia="宋体" w:cs="宋体"/>
          <w:color w:val="auto"/>
          <w:sz w:val="24"/>
          <w:szCs w:val="24"/>
          <w:lang w:val="zh-TW"/>
        </w:rPr>
        <w:t>向高质量</w:t>
      </w:r>
      <w:r>
        <w:rPr>
          <w:rFonts w:hint="default" w:ascii="宋体" w:hAnsi="宋体" w:eastAsia="宋体" w:cs="宋体"/>
          <w:color w:val="auto"/>
          <w:sz w:val="24"/>
          <w:szCs w:val="24"/>
          <w:lang w:val="zh-TW"/>
        </w:rPr>
        <w:t>转型</w:t>
      </w:r>
      <w:r>
        <w:rPr>
          <w:rFonts w:ascii="宋体" w:hAnsi="宋体" w:eastAsia="宋体" w:cs="宋体"/>
          <w:color w:val="auto"/>
          <w:sz w:val="24"/>
          <w:szCs w:val="24"/>
          <w:lang w:val="zh-TW"/>
        </w:rPr>
        <w:t>、从单纯的味觉审美向五觉审美转型，同时注重文化的传承与环境的友好</w:t>
      </w:r>
      <w:r>
        <w:rPr>
          <w:rFonts w:hint="default" w:ascii="宋体" w:hAnsi="宋体" w:eastAsia="宋体" w:cs="宋体"/>
          <w:color w:val="auto"/>
          <w:sz w:val="24"/>
          <w:szCs w:val="24"/>
          <w:lang w:val="zh-TW"/>
        </w:rPr>
        <w:t>。</w:t>
      </w:r>
    </w:p>
    <w:p w14:paraId="20BCF079">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本标准</w:t>
      </w:r>
      <w:r>
        <w:rPr>
          <w:rFonts w:hint="default" w:ascii="宋体" w:hAnsi="宋体" w:eastAsia="宋体" w:cs="宋体"/>
          <w:color w:val="auto"/>
          <w:sz w:val="24"/>
          <w:szCs w:val="24"/>
          <w:lang w:val="zh-TW"/>
        </w:rPr>
        <w:t>是起草工作组在对我国</w:t>
      </w:r>
      <w:r>
        <w:rPr>
          <w:rFonts w:ascii="宋体" w:hAnsi="宋体" w:eastAsia="宋体" w:cs="宋体"/>
          <w:color w:val="auto"/>
          <w:sz w:val="24"/>
          <w:szCs w:val="24"/>
          <w:lang w:val="zh-TW"/>
        </w:rPr>
        <w:t>厨师</w:t>
      </w:r>
      <w:r>
        <w:rPr>
          <w:rFonts w:hint="default" w:ascii="宋体" w:hAnsi="宋体" w:eastAsia="宋体" w:cs="宋体"/>
          <w:color w:val="auto"/>
          <w:sz w:val="24"/>
          <w:szCs w:val="24"/>
          <w:lang w:val="zh-TW"/>
        </w:rPr>
        <w:t>人才现状充分调研的基础上提出</w:t>
      </w:r>
      <w:r>
        <w:rPr>
          <w:rFonts w:ascii="宋体" w:hAnsi="宋体" w:eastAsia="宋体" w:cs="宋体"/>
          <w:color w:val="auto"/>
          <w:sz w:val="24"/>
          <w:szCs w:val="24"/>
          <w:lang w:val="zh-TW"/>
        </w:rPr>
        <w:t>申请并立项，为</w:t>
      </w:r>
      <w:r>
        <w:rPr>
          <w:rFonts w:hint="default" w:ascii="宋体" w:hAnsi="宋体" w:eastAsia="宋体" w:cs="宋体"/>
          <w:color w:val="auto"/>
          <w:sz w:val="24"/>
          <w:szCs w:val="24"/>
          <w:lang w:val="zh-TW"/>
        </w:rPr>
        <w:t>规范</w:t>
      </w:r>
      <w:r>
        <w:rPr>
          <w:rFonts w:ascii="宋体" w:hAnsi="宋体" w:eastAsia="宋体" w:cs="宋体"/>
          <w:color w:val="auto"/>
          <w:sz w:val="24"/>
          <w:szCs w:val="24"/>
          <w:lang w:val="zh-TW"/>
        </w:rPr>
        <w:t>餐饮</w:t>
      </w:r>
      <w:r>
        <w:rPr>
          <w:rFonts w:hint="default" w:ascii="宋体" w:hAnsi="宋体" w:eastAsia="宋体" w:cs="宋体"/>
          <w:color w:val="auto"/>
          <w:sz w:val="24"/>
          <w:szCs w:val="24"/>
          <w:lang w:val="zh-TW"/>
        </w:rPr>
        <w:t>行业人才评价</w:t>
      </w:r>
      <w:r>
        <w:rPr>
          <w:rFonts w:ascii="宋体" w:hAnsi="宋体" w:eastAsia="宋体" w:cs="宋体"/>
          <w:color w:val="auto"/>
          <w:sz w:val="24"/>
          <w:szCs w:val="24"/>
          <w:lang w:val="zh-TW"/>
        </w:rPr>
        <w:t>，提升餐饮品质，实现餐饮行业高质量发展。</w:t>
      </w:r>
    </w:p>
    <w:p w14:paraId="1B9A2ADA">
      <w:pPr>
        <w:pStyle w:val="12"/>
        <w:framePr w:wrap="auto" w:vAnchor="margin" w:hAnchor="text" w:yAlign="inline"/>
        <w:spacing w:line="360" w:lineRule="auto"/>
        <w:ind w:left="482" w:firstLine="0"/>
        <w:rPr>
          <w:rFonts w:hint="default"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二、标准制定的目的和意义</w:t>
      </w:r>
    </w:p>
    <w:p w14:paraId="0D755311">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习近平总书记指出，中华文化是我们提高国家文化软实力最深厚的源泉。作为中华优秀传统文化的重要组成部分，中国美食是其中一道独特的风景。借助中国美食传播中国文化，能让全世界感受到中华文化的博大精深。烹饪艺术家是美食的创造者，认可并践行“匠心、亮德、拒烹、裸烹”的核心价值观，具备视觉、味觉、嗅觉、触觉、听觉五觉审美能力和高超的烹饪技艺。作为厨师中的佼佼者，他们是推动中餐守正创新和传播中华饮食文化的核心力量。</w:t>
      </w:r>
    </w:p>
    <w:p w14:paraId="690074F6">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规范化与标准化对烹饪艺术家的评价，有重大意义：</w:t>
      </w:r>
    </w:p>
    <w:p w14:paraId="5193EDA3">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1.推动中餐文化传承：烹饪艺术家强调对烹饪工艺的精益求精、对食材的尊重和对健康饮食的追求，评价活动可推动中餐优秀文化传承，并有助于创新。</w:t>
      </w:r>
    </w:p>
    <w:p w14:paraId="3310721D">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2.提升中餐国际地位：烹饪艺术家是传播中华饮食文化的使者，他们对烹饪技艺的传播，更有助于增强中餐的国际影响力和文化软实力。</w:t>
      </w:r>
    </w:p>
    <w:p w14:paraId="18F68B98">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3.提升餐饮行业标准：树立餐饮行业标杆，推动从业者向高标准看齐，促进国内外厨师交流与合作，提升行业整体水平。</w:t>
      </w:r>
    </w:p>
    <w:p w14:paraId="4555FD84">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4.培养优秀烹饪人才：激励年轻厨师追求卓越，培养一批具有国际视野和创新能力的烹饪人才，为中餐的未来发展提供人才支持。</w:t>
      </w:r>
    </w:p>
    <w:p w14:paraId="0EEB8CBE">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5.增强消费者信任：消费者将更信任获得“烹饪艺术家”称号的厨师及其所在的餐厅，由此增强对中餐品牌的信任度和忠诚度。</w:t>
      </w:r>
    </w:p>
    <w:p w14:paraId="046ABF78">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因此，本标准有助于推动中餐产业高质量发展，对弘扬中国饮食文化、提升中餐国际地位、擦亮中餐金字招牌、增强文化自信有着十分重大的现实意义。</w:t>
      </w:r>
    </w:p>
    <w:p w14:paraId="0E402302">
      <w:pPr>
        <w:pStyle w:val="12"/>
        <w:framePr w:wrap="auto" w:vAnchor="margin" w:hAnchor="text" w:yAlign="inline"/>
        <w:spacing w:line="360" w:lineRule="auto"/>
        <w:ind w:left="482" w:firstLine="0"/>
        <w:rPr>
          <w:rFonts w:hint="default"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三、标准起草的过程简述</w:t>
      </w:r>
    </w:p>
    <w:p w14:paraId="4D8BB0FC">
      <w:pPr>
        <w:framePr w:wrap="auto" w:vAnchor="margin" w:hAnchor="text" w:yAlign="inline"/>
        <w:spacing w:line="360" w:lineRule="auto"/>
        <w:ind w:firstLine="236" w:firstLineChars="98"/>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（一）预研阶段</w:t>
      </w:r>
    </w:p>
    <w:p w14:paraId="0311824D">
      <w:pPr>
        <w:framePr w:wrap="auto" w:vAnchor="margin" w:hAnchor="text" w:yAlign="inline"/>
        <w:spacing w:line="360" w:lineRule="auto"/>
        <w:ind w:firstLine="480"/>
        <w:rPr>
          <w:rFonts w:hint="default"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为建立科学的</w:t>
      </w:r>
      <w:r>
        <w:rPr>
          <w:rFonts w:ascii="宋体" w:hAnsi="宋体" w:eastAsia="宋体" w:cs="宋体"/>
          <w:color w:val="auto"/>
          <w:sz w:val="24"/>
          <w:szCs w:val="24"/>
          <w:lang w:val="zh-TW" w:eastAsia="zh-TW"/>
        </w:rPr>
        <w:t>厨师</w:t>
      </w:r>
      <w:r>
        <w:rPr>
          <w:rFonts w:hint="default" w:ascii="宋体" w:hAnsi="宋体" w:eastAsia="宋体" w:cs="宋体"/>
          <w:color w:val="auto"/>
          <w:sz w:val="24"/>
          <w:szCs w:val="24"/>
          <w:lang w:val="zh-TW" w:eastAsia="zh-TW"/>
        </w:rPr>
        <w:t>评价体系、规范行业人才评价、助力</w:t>
      </w:r>
      <w:r>
        <w:rPr>
          <w:rFonts w:ascii="宋体" w:hAnsi="宋体" w:eastAsia="宋体" w:cs="宋体"/>
          <w:color w:val="auto"/>
          <w:sz w:val="24"/>
          <w:szCs w:val="24"/>
          <w:lang w:val="zh-TW" w:eastAsia="zh-TW"/>
        </w:rPr>
        <w:t>餐饮行业</w:t>
      </w:r>
      <w:r>
        <w:rPr>
          <w:rFonts w:hint="default" w:ascii="宋体" w:hAnsi="宋体" w:eastAsia="宋体" w:cs="宋体"/>
          <w:color w:val="auto"/>
          <w:sz w:val="24"/>
          <w:szCs w:val="24"/>
          <w:lang w:val="zh-TW" w:eastAsia="zh-TW"/>
        </w:rPr>
        <w:t>高质量发展，北京东方美食研究院于2024年10月启动《烹饪艺术家评价规范》团体标准预研工作，成立标准起草工作组，</w:t>
      </w:r>
      <w:r>
        <w:rPr>
          <w:rFonts w:hint="default" w:ascii="宋体" w:hAnsi="宋体" w:eastAsia="宋体" w:cs="宋体"/>
          <w:color w:val="auto"/>
          <w:sz w:val="24"/>
          <w:szCs w:val="24"/>
        </w:rPr>
        <w:t>开展内外部调研，收集和梳理基础素材</w:t>
      </w:r>
      <w:r>
        <w:rPr>
          <w:rFonts w:ascii="宋体" w:hAnsi="宋体" w:eastAsia="宋体" w:cs="宋体"/>
          <w:color w:val="auto"/>
          <w:sz w:val="24"/>
          <w:szCs w:val="24"/>
        </w:rPr>
        <w:t>，并形成标准草案稿</w:t>
      </w:r>
      <w:r>
        <w:rPr>
          <w:rFonts w:ascii="宋体" w:hAnsi="宋体" w:eastAsia="宋体" w:cs="宋体"/>
          <w:color w:val="auto"/>
          <w:sz w:val="24"/>
          <w:szCs w:val="24"/>
          <w:lang w:val="zh-TW" w:eastAsia="zh-TW"/>
        </w:rPr>
        <w:t>。</w:t>
      </w:r>
    </w:p>
    <w:p w14:paraId="51C073C7">
      <w:pPr>
        <w:framePr w:wrap="auto" w:vAnchor="margin" w:hAnchor="text" w:yAlign="inline"/>
        <w:spacing w:line="360" w:lineRule="auto"/>
        <w:ind w:firstLine="236" w:firstLineChars="98"/>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（二）立项阶段</w:t>
      </w:r>
    </w:p>
    <w:p w14:paraId="5F266EC9">
      <w:pPr>
        <w:framePr w:wrap="auto" w:vAnchor="margin" w:hAnchor="text" w:yAlign="inline"/>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2025年3月31日，中国贸促会商业行业委员会经由专家审查同意立项《烹饪艺术家评价规范》团体标准（项目编号：CCPIT-CSC-JH2025312）。</w:t>
      </w:r>
    </w:p>
    <w:p w14:paraId="60750F87">
      <w:pPr>
        <w:framePr w:wrap="auto" w:vAnchor="margin" w:hAnchor="text" w:yAlign="inline"/>
        <w:spacing w:line="360" w:lineRule="auto"/>
        <w:ind w:firstLine="236" w:firstLineChars="98"/>
        <w:rPr>
          <w:rFonts w:hint="default" w:ascii="宋体" w:hAnsi="宋体" w:eastAsia="宋体" w:cs="宋体"/>
          <w:color w:val="FF0000"/>
          <w:sz w:val="24"/>
          <w:szCs w:val="24"/>
        </w:rPr>
      </w:pPr>
      <w:r>
        <w:rPr>
          <w:rFonts w:ascii="宋体" w:hAnsi="宋体" w:eastAsia="宋体" w:cs="宋体"/>
          <w:b/>
          <w:bCs/>
          <w:sz w:val="24"/>
          <w:szCs w:val="24"/>
          <w:lang w:val="zh-TW" w:eastAsia="zh-TW"/>
        </w:rPr>
        <w:t>（三）起草阶段</w:t>
      </w:r>
    </w:p>
    <w:p w14:paraId="13360534">
      <w:pPr>
        <w:framePr w:wrap="auto" w:vAnchor="margin" w:hAnchor="text" w:yAlign="inline"/>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2025 年 4 月，工作组经会议讨论制定了工作方案和工作计划，同时确定了指导思想、编制原则和编写大纲，拟定出标准的编写计划安排。</w:t>
      </w:r>
    </w:p>
    <w:p w14:paraId="0AF7E578">
      <w:pPr>
        <w:framePr w:wrap="auto" w:vAnchor="margin" w:hAnchor="text" w:yAlign="inline"/>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2025 年 5 月至 6 月，工作组根据编写计划，</w:t>
      </w:r>
      <w:r>
        <w:rPr>
          <w:rFonts w:ascii="宋体" w:hAnsi="宋体" w:eastAsia="宋体" w:cs="宋体"/>
          <w:color w:val="auto"/>
          <w:sz w:val="24"/>
          <w:szCs w:val="24"/>
        </w:rPr>
        <w:t>通过调研结果与已收集的资料，结合烹饪艺术家核心理念，对标准草案稿进行修改完善，形成讨论稿</w:t>
      </w:r>
      <w:r>
        <w:rPr>
          <w:rFonts w:hint="default" w:ascii="宋体" w:hAnsi="宋体" w:eastAsia="宋体" w:cs="宋体"/>
          <w:color w:val="auto"/>
          <w:sz w:val="24"/>
          <w:szCs w:val="24"/>
        </w:rPr>
        <w:t>一稿。</w:t>
      </w:r>
    </w:p>
    <w:p w14:paraId="7C765789">
      <w:pPr>
        <w:framePr w:wrap="auto" w:vAnchor="margin" w:hAnchor="text" w:yAlign="inline"/>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2025 年 7 月，</w:t>
      </w:r>
      <w:r>
        <w:rPr>
          <w:rFonts w:ascii="宋体" w:hAnsi="宋体" w:eastAsia="宋体" w:cs="宋体"/>
          <w:color w:val="auto"/>
          <w:sz w:val="24"/>
          <w:szCs w:val="24"/>
        </w:rPr>
        <w:t>召集</w:t>
      </w:r>
      <w:r>
        <w:rPr>
          <w:rFonts w:hint="default" w:ascii="宋体" w:hAnsi="宋体" w:eastAsia="宋体" w:cs="宋体"/>
          <w:color w:val="auto"/>
          <w:sz w:val="24"/>
          <w:szCs w:val="24"/>
        </w:rPr>
        <w:t>餐饮企业、烹饪大师、行业协会等</w:t>
      </w:r>
      <w:r>
        <w:rPr>
          <w:rFonts w:ascii="宋体" w:hAnsi="宋体" w:eastAsia="宋体" w:cs="宋体"/>
          <w:color w:val="auto"/>
          <w:sz w:val="24"/>
          <w:szCs w:val="24"/>
        </w:rPr>
        <w:t>行业</w:t>
      </w:r>
      <w:r>
        <w:rPr>
          <w:rFonts w:hint="default" w:ascii="宋体" w:hAnsi="宋体" w:eastAsia="宋体" w:cs="宋体"/>
          <w:color w:val="auto"/>
          <w:sz w:val="24"/>
          <w:szCs w:val="24"/>
        </w:rPr>
        <w:t>相关方</w:t>
      </w:r>
      <w:r>
        <w:rPr>
          <w:rFonts w:ascii="宋体" w:hAnsi="宋体" w:eastAsia="宋体" w:cs="宋体"/>
          <w:color w:val="auto"/>
          <w:sz w:val="24"/>
          <w:szCs w:val="24"/>
        </w:rPr>
        <w:t>进行讨论与修改，</w:t>
      </w:r>
      <w:r>
        <w:rPr>
          <w:rFonts w:hint="default" w:ascii="宋体" w:hAnsi="宋体" w:eastAsia="宋体" w:cs="宋体"/>
          <w:color w:val="auto"/>
          <w:sz w:val="24"/>
          <w:szCs w:val="24"/>
        </w:rPr>
        <w:t>针对评价指标的全面性、逻辑性</w:t>
      </w:r>
      <w:r>
        <w:rPr>
          <w:rFonts w:ascii="宋体" w:hAnsi="宋体" w:eastAsia="宋体" w:cs="宋体"/>
          <w:color w:val="auto"/>
          <w:sz w:val="24"/>
          <w:szCs w:val="24"/>
        </w:rPr>
        <w:t>、分值分配合理性</w:t>
      </w:r>
      <w:r>
        <w:rPr>
          <w:rFonts w:hint="default" w:ascii="宋体" w:hAnsi="宋体" w:eastAsia="宋体" w:cs="宋体"/>
          <w:color w:val="auto"/>
          <w:sz w:val="24"/>
          <w:szCs w:val="24"/>
        </w:rPr>
        <w:t>等内容进行调整</w:t>
      </w:r>
      <w:r>
        <w:rPr>
          <w:rFonts w:ascii="宋体" w:hAnsi="宋体" w:eastAsia="宋体" w:cs="宋体"/>
          <w:color w:val="auto"/>
          <w:sz w:val="24"/>
          <w:szCs w:val="24"/>
        </w:rPr>
        <w:t>，形成</w:t>
      </w:r>
      <w:r>
        <w:rPr>
          <w:rFonts w:hint="default" w:ascii="宋体" w:hAnsi="宋体" w:eastAsia="宋体" w:cs="宋体"/>
          <w:color w:val="auto"/>
          <w:sz w:val="24"/>
          <w:szCs w:val="24"/>
        </w:rPr>
        <w:t>讨论稿二稿。</w:t>
      </w:r>
    </w:p>
    <w:p w14:paraId="4185359B">
      <w:pPr>
        <w:framePr w:wrap="auto" w:vAnchor="margin" w:hAnchor="text" w:yAlign="inline"/>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2025 年 8 月初，工作组</w:t>
      </w:r>
      <w:r>
        <w:rPr>
          <w:rFonts w:ascii="宋体" w:hAnsi="宋体" w:eastAsia="宋体" w:cs="宋体"/>
          <w:color w:val="auto"/>
          <w:sz w:val="24"/>
          <w:szCs w:val="24"/>
        </w:rPr>
        <w:t>进一步</w:t>
      </w:r>
      <w:r>
        <w:rPr>
          <w:rFonts w:hint="default" w:ascii="宋体" w:hAnsi="宋体" w:eastAsia="宋体" w:cs="宋体"/>
          <w:color w:val="auto"/>
          <w:sz w:val="24"/>
          <w:szCs w:val="24"/>
        </w:rPr>
        <w:t>征求行业</w:t>
      </w:r>
      <w:r>
        <w:rPr>
          <w:rFonts w:ascii="宋体" w:hAnsi="宋体" w:eastAsia="宋体" w:cs="宋体"/>
          <w:color w:val="auto"/>
          <w:sz w:val="24"/>
          <w:szCs w:val="24"/>
        </w:rPr>
        <w:t>资深</w:t>
      </w:r>
      <w:r>
        <w:rPr>
          <w:rFonts w:hint="default" w:ascii="宋体" w:hAnsi="宋体" w:eastAsia="宋体" w:cs="宋体"/>
          <w:color w:val="auto"/>
          <w:sz w:val="24"/>
          <w:szCs w:val="24"/>
        </w:rPr>
        <w:t>专家意见</w:t>
      </w:r>
      <w:r>
        <w:rPr>
          <w:rFonts w:ascii="宋体" w:hAnsi="宋体" w:eastAsia="宋体" w:cs="宋体"/>
          <w:color w:val="auto"/>
          <w:sz w:val="24"/>
          <w:szCs w:val="24"/>
        </w:rPr>
        <w:t>，聚焦匠心、亮</w:t>
      </w:r>
      <w:r>
        <w:rPr>
          <w:rFonts w:hint="eastAsia" w:ascii="宋体" w:hAnsi="宋体" w:eastAsia="宋体" w:cs="宋体"/>
          <w:color w:val="auto"/>
          <w:sz w:val="24"/>
          <w:szCs w:val="24"/>
          <w:lang w:eastAsia="zh-CN"/>
        </w:rPr>
        <w:t>德</w:t>
      </w:r>
      <w:r>
        <w:rPr>
          <w:rFonts w:ascii="宋体" w:hAnsi="宋体" w:eastAsia="宋体" w:cs="宋体"/>
          <w:color w:val="auto"/>
          <w:sz w:val="24"/>
          <w:szCs w:val="24"/>
        </w:rPr>
        <w:t>、传承等烹饪艺术家核心理念，重视可持续烹饪技艺，在此基础上</w:t>
      </w:r>
      <w:r>
        <w:rPr>
          <w:rFonts w:hint="default" w:ascii="宋体" w:hAnsi="宋体" w:eastAsia="宋体" w:cs="宋体"/>
          <w:color w:val="auto"/>
          <w:sz w:val="24"/>
          <w:szCs w:val="24"/>
        </w:rPr>
        <w:t>完善指标体系，形成《烹饪艺术家评价规范》（征求意见稿）。</w:t>
      </w:r>
    </w:p>
    <w:p w14:paraId="380CDBF0">
      <w:pPr>
        <w:framePr w:wrap="auto" w:vAnchor="margin" w:hAnchor="text" w:yAlign="inline"/>
        <w:spacing w:line="360" w:lineRule="auto"/>
        <w:ind w:firstLine="236" w:firstLineChars="98"/>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（四）征求意见阶段</w:t>
      </w:r>
    </w:p>
    <w:p w14:paraId="605E5E4D">
      <w:pPr>
        <w:framePr w:wrap="auto" w:vAnchor="margin" w:hAnchor="text" w:yAlign="inline"/>
        <w:spacing w:line="360" w:lineRule="auto"/>
        <w:ind w:firstLine="480"/>
        <w:rPr>
          <w:rFonts w:hint="default" w:ascii="宋体" w:hAnsi="宋体" w:eastAsia="宋体" w:cs="宋体"/>
          <w:sz w:val="24"/>
          <w:szCs w:val="24"/>
        </w:rPr>
      </w:pPr>
      <w:r>
        <w:rPr>
          <w:rFonts w:ascii="宋体" w:hAnsi="宋体" w:eastAsia="宋体" w:cs="宋体"/>
          <w:sz w:val="24"/>
          <w:szCs w:val="24"/>
        </w:rPr>
        <w:t>2025年8月底，正式提交征求意见稿，开始征求意见</w:t>
      </w:r>
      <w:r>
        <w:rPr>
          <w:rFonts w:hint="default" w:ascii="宋体" w:hAnsi="宋体" w:eastAsia="宋体" w:cs="宋体"/>
          <w:sz w:val="24"/>
          <w:szCs w:val="24"/>
        </w:rPr>
        <w:t>。</w:t>
      </w:r>
    </w:p>
    <w:p w14:paraId="1F54A131">
      <w:pPr>
        <w:framePr w:wrap="auto" w:vAnchor="margin" w:hAnchor="text" w:yAlign="inline"/>
        <w:spacing w:line="360" w:lineRule="auto"/>
        <w:ind w:firstLine="482"/>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四、标准的主要内容和依据</w:t>
      </w:r>
    </w:p>
    <w:p w14:paraId="0CB899E3">
      <w:pPr>
        <w:framePr w:wrap="auto" w:vAnchor="margin" w:hAnchor="text" w:yAlign="inline"/>
        <w:spacing w:line="360" w:lineRule="auto"/>
        <w:ind w:firstLine="480"/>
        <w:rPr>
          <w:rFonts w:hint="default" w:ascii="宋体" w:hAnsi="宋体" w:eastAsia="宋体" w:cs="宋体"/>
          <w:color w:val="auto"/>
          <w:sz w:val="24"/>
          <w:szCs w:val="24"/>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val="zh-TW" w:eastAsia="zh-TW"/>
        </w:rPr>
        <w:t>制定原则</w:t>
      </w:r>
    </w:p>
    <w:p w14:paraId="20F45F13">
      <w:pPr>
        <w:pStyle w:val="9"/>
        <w:spacing w:line="360" w:lineRule="auto"/>
        <w:ind w:firstLine="480"/>
        <w:rPr>
          <w:rFonts w:hAnsi="宋体" w:cs="宋体"/>
          <w:kern w:val="2"/>
          <w:sz w:val="24"/>
          <w:szCs w:val="24"/>
          <w:u w:color="000000"/>
          <w:lang w:val="zh-TW"/>
        </w:rPr>
      </w:pPr>
      <w:r>
        <w:rPr>
          <w:rFonts w:hAnsi="宋体" w:cs="宋体"/>
          <w:kern w:val="2"/>
          <w:sz w:val="24"/>
          <w:szCs w:val="24"/>
          <w:u w:color="000000"/>
          <w:lang w:val="zh-TW"/>
        </w:rPr>
        <w:t>本标准的编写符合GB/T 1.1-2020《标准化工作导则  第1部分：标准化文件的结构和起草规划》的相关要求，以保证标准的编写质量。</w:t>
      </w:r>
    </w:p>
    <w:p w14:paraId="53586E0A">
      <w:pPr>
        <w:pStyle w:val="9"/>
        <w:spacing w:line="360" w:lineRule="auto"/>
        <w:ind w:firstLine="480"/>
        <w:rPr>
          <w:rFonts w:hAnsi="宋体" w:cs="宋体"/>
          <w:kern w:val="2"/>
          <w:sz w:val="24"/>
          <w:szCs w:val="24"/>
          <w:u w:color="000000"/>
        </w:rPr>
      </w:pPr>
      <w:r>
        <w:rPr>
          <w:rFonts w:hAnsi="宋体" w:cs="宋体"/>
          <w:kern w:val="2"/>
          <w:sz w:val="24"/>
          <w:szCs w:val="24"/>
          <w:u w:color="000000"/>
        </w:rPr>
        <w:t>编制过程中遵循科学性</w:t>
      </w:r>
      <w:r>
        <w:rPr>
          <w:rFonts w:hint="eastAsia" w:hAnsi="宋体" w:cs="宋体"/>
          <w:kern w:val="2"/>
          <w:sz w:val="24"/>
          <w:szCs w:val="24"/>
          <w:u w:color="000000"/>
        </w:rPr>
        <w:t>、</w:t>
      </w:r>
      <w:r>
        <w:rPr>
          <w:rFonts w:hAnsi="宋体" w:cs="宋体"/>
          <w:kern w:val="2"/>
          <w:sz w:val="24"/>
          <w:szCs w:val="24"/>
          <w:u w:color="000000"/>
        </w:rPr>
        <w:t>系统性</w:t>
      </w:r>
      <w:r>
        <w:rPr>
          <w:rFonts w:hint="eastAsia" w:hAnsi="宋体" w:cs="宋体"/>
          <w:kern w:val="2"/>
          <w:sz w:val="24"/>
          <w:szCs w:val="24"/>
          <w:u w:color="000000"/>
        </w:rPr>
        <w:t>、</w:t>
      </w:r>
      <w:r>
        <w:rPr>
          <w:rFonts w:hAnsi="宋体" w:cs="宋体"/>
          <w:kern w:val="2"/>
          <w:sz w:val="24"/>
          <w:szCs w:val="24"/>
          <w:u w:color="000000"/>
        </w:rPr>
        <w:t>可比性规范性原则</w:t>
      </w:r>
      <w:r>
        <w:rPr>
          <w:rFonts w:hint="eastAsia" w:hAnsi="宋体" w:cs="宋体"/>
          <w:kern w:val="2"/>
          <w:sz w:val="24"/>
          <w:szCs w:val="24"/>
          <w:u w:color="000000"/>
        </w:rPr>
        <w:t>，确保评价结果的公平公正与行业适用性</w:t>
      </w:r>
      <w:r>
        <w:rPr>
          <w:rFonts w:hAnsi="宋体" w:cs="宋体"/>
          <w:kern w:val="2"/>
          <w:sz w:val="24"/>
          <w:szCs w:val="24"/>
          <w:u w:color="000000"/>
        </w:rPr>
        <w:t>。</w:t>
      </w:r>
    </w:p>
    <w:p w14:paraId="59F02BED">
      <w:pPr>
        <w:pStyle w:val="8"/>
        <w:numPr>
          <w:ilvl w:val="0"/>
          <w:numId w:val="0"/>
        </w:numPr>
        <w:tabs>
          <w:tab w:val="left" w:pos="312"/>
        </w:tabs>
        <w:spacing w:before="240" w:after="240"/>
      </w:pPr>
      <w:r>
        <w:rPr>
          <w:rFonts w:hint="eastAsia" w:ascii="宋体" w:hAnsi="宋体" w:eastAsia="宋体" w:cs="宋体"/>
          <w:color w:val="FF0000"/>
          <w:sz w:val="24"/>
          <w:szCs w:val="24"/>
          <w:lang w:val="zh-TW"/>
        </w:rPr>
        <w:t xml:space="preserve">   </w:t>
      </w:r>
      <w:r>
        <w:rPr>
          <w:rFonts w:hint="eastAsia" w:ascii="宋体" w:hAnsi="宋体" w:eastAsia="宋体" w:cs="宋体"/>
          <w:sz w:val="24"/>
          <w:szCs w:val="24"/>
          <w:lang w:val="zh-TW"/>
        </w:rPr>
        <w:t xml:space="preserve"> </w:t>
      </w:r>
      <w:r>
        <w:rPr>
          <w:rFonts w:hint="eastAsia" w:ascii="宋体" w:hAnsi="宋体" w:eastAsia="宋体" w:cs="宋体"/>
          <w:sz w:val="24"/>
          <w:szCs w:val="24"/>
          <w:lang w:val="zh-TW" w:eastAsia="zh-CN"/>
        </w:rPr>
        <w:t>2.</w:t>
      </w:r>
      <w:r>
        <w:rPr>
          <w:rFonts w:ascii="宋体" w:hAnsi="宋体" w:eastAsia="宋体" w:cs="宋体"/>
          <w:sz w:val="24"/>
          <w:szCs w:val="24"/>
          <w:lang w:val="zh-TW" w:eastAsia="zh-TW"/>
        </w:rPr>
        <w:t>主要技术内容的说</w:t>
      </w:r>
      <w:r>
        <w:rPr>
          <w:rFonts w:hint="eastAsia" w:ascii="宋体" w:hAnsi="宋体" w:eastAsia="宋体" w:cs="宋体"/>
          <w:sz w:val="24"/>
          <w:szCs w:val="24"/>
          <w:lang w:val="zh-TW"/>
        </w:rPr>
        <w:t>明</w:t>
      </w:r>
    </w:p>
    <w:p w14:paraId="078ED9F1">
      <w:pPr>
        <w:pStyle w:val="9"/>
        <w:spacing w:line="360" w:lineRule="auto"/>
        <w:ind w:firstLine="480"/>
        <w:rPr>
          <w:rFonts w:hAnsi="宋体" w:cs="宋体"/>
          <w:kern w:val="2"/>
          <w:sz w:val="24"/>
          <w:szCs w:val="24"/>
          <w:u w:color="000000"/>
          <w:lang w:val="zh-TW"/>
        </w:rPr>
      </w:pPr>
      <w:r>
        <w:rPr>
          <w:rFonts w:hAnsi="宋体" w:cs="宋体"/>
          <w:kern w:val="2"/>
          <w:sz w:val="24"/>
          <w:szCs w:val="24"/>
          <w:u w:color="000000"/>
          <w:lang w:val="zh-TW"/>
        </w:rPr>
        <w:t>本文件规定了烹饪艺术家的评价原则、评价指标、评价流程和评价结果等相关内容和要求。</w:t>
      </w:r>
    </w:p>
    <w:p w14:paraId="6DD1FCA2">
      <w:pPr>
        <w:pStyle w:val="9"/>
        <w:spacing w:line="360" w:lineRule="auto"/>
        <w:ind w:firstLine="480"/>
        <w:rPr>
          <w:rFonts w:hAnsi="宋体" w:cs="宋体"/>
          <w:kern w:val="2"/>
          <w:sz w:val="24"/>
          <w:szCs w:val="24"/>
          <w:u w:color="000000"/>
          <w:lang w:val="zh-TW"/>
        </w:rPr>
      </w:pPr>
      <w:r>
        <w:rPr>
          <w:rFonts w:hAnsi="宋体" w:cs="宋体"/>
          <w:kern w:val="2"/>
          <w:sz w:val="24"/>
          <w:szCs w:val="24"/>
          <w:u w:color="000000"/>
          <w:lang w:val="zh-TW"/>
        </w:rPr>
        <w:t>本文件适用于授权的第三方机构开展烹饪艺术家评价，相关行业组织、企业可参照执行，其他相关评价活动可参照使用。</w:t>
      </w:r>
    </w:p>
    <w:p w14:paraId="2BD5D561">
      <w:pPr>
        <w:framePr w:wrap="auto" w:vAnchor="margin" w:hAnchor="text" w:yAlign="inline"/>
        <w:spacing w:line="360" w:lineRule="auto"/>
        <w:ind w:firstLine="482"/>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五、标准的水平</w:t>
      </w:r>
    </w:p>
    <w:p w14:paraId="4567ADC0">
      <w:pPr>
        <w:pStyle w:val="9"/>
        <w:spacing w:line="360" w:lineRule="auto"/>
        <w:ind w:firstLine="480"/>
        <w:rPr>
          <w:rFonts w:hAnsi="宋体" w:cs="宋体"/>
          <w:kern w:val="2"/>
          <w:sz w:val="24"/>
          <w:szCs w:val="24"/>
          <w:u w:color="000000"/>
          <w:lang w:val="zh-TW"/>
        </w:rPr>
      </w:pPr>
      <w:r>
        <w:rPr>
          <w:rFonts w:hAnsi="宋体" w:cs="宋体"/>
          <w:kern w:val="2"/>
          <w:sz w:val="24"/>
          <w:szCs w:val="24"/>
          <w:u w:color="000000"/>
          <w:lang w:val="zh-TW"/>
        </w:rPr>
        <w:t>本标准系自主制定项目，立足</w:t>
      </w:r>
      <w:r>
        <w:rPr>
          <w:rFonts w:hint="eastAsia" w:hAnsi="宋体" w:cs="宋体"/>
          <w:kern w:val="2"/>
          <w:sz w:val="24"/>
          <w:szCs w:val="24"/>
          <w:u w:color="000000"/>
          <w:lang w:val="zh-TW"/>
        </w:rPr>
        <w:t>中餐</w:t>
      </w:r>
      <w:r>
        <w:rPr>
          <w:rFonts w:hAnsi="宋体" w:cs="宋体"/>
          <w:kern w:val="2"/>
          <w:sz w:val="24"/>
          <w:szCs w:val="24"/>
          <w:u w:color="000000"/>
          <w:lang w:val="zh-TW"/>
        </w:rPr>
        <w:t>行业特点</w:t>
      </w:r>
      <w:r>
        <w:rPr>
          <w:rFonts w:hint="eastAsia" w:hAnsi="宋体" w:cs="宋体"/>
          <w:kern w:val="2"/>
          <w:sz w:val="24"/>
          <w:szCs w:val="24"/>
          <w:u w:color="000000"/>
          <w:lang w:val="zh-TW"/>
        </w:rPr>
        <w:t>，融合烹饪艺术与文化传承，</w:t>
      </w:r>
      <w:r>
        <w:rPr>
          <w:rFonts w:hAnsi="宋体" w:cs="宋体"/>
          <w:kern w:val="2"/>
          <w:sz w:val="24"/>
          <w:szCs w:val="24"/>
          <w:u w:color="000000"/>
          <w:lang w:val="zh-TW"/>
        </w:rPr>
        <w:t>居国内领先水平。</w:t>
      </w:r>
    </w:p>
    <w:p w14:paraId="35816B7A">
      <w:pPr>
        <w:framePr w:wrap="auto" w:vAnchor="margin" w:hAnchor="text" w:yAlign="inline"/>
        <w:spacing w:line="360" w:lineRule="auto"/>
        <w:ind w:firstLine="482"/>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六、与有关的现行法律、法规和强制性国家标准的关系</w:t>
      </w:r>
    </w:p>
    <w:p w14:paraId="41050129">
      <w:pPr>
        <w:pStyle w:val="9"/>
        <w:spacing w:line="360" w:lineRule="auto"/>
        <w:ind w:firstLine="480"/>
        <w:rPr>
          <w:rFonts w:hAnsi="宋体" w:cs="宋体"/>
          <w:kern w:val="2"/>
          <w:sz w:val="24"/>
          <w:szCs w:val="24"/>
          <w:u w:color="000000"/>
          <w:lang w:val="zh-TW"/>
        </w:rPr>
      </w:pPr>
      <w:r>
        <w:rPr>
          <w:rFonts w:hAnsi="宋体" w:cs="宋体"/>
          <w:kern w:val="2"/>
          <w:sz w:val="24"/>
          <w:szCs w:val="24"/>
          <w:u w:color="000000"/>
          <w:lang w:val="zh-TW"/>
        </w:rPr>
        <w:t>本标准符合国家现行法律、法规、规章和强制性国家标准的要求。按GB/T 1.1-2020《标准化工作导则 第1部分：标准化文件的结构和起草规则》规定进行编写，与</w:t>
      </w:r>
      <w:r>
        <w:rPr>
          <w:rFonts w:hint="eastAsia" w:hAnsi="宋体" w:cs="宋体"/>
          <w:kern w:val="2"/>
          <w:sz w:val="24"/>
          <w:szCs w:val="24"/>
          <w:u w:color="000000"/>
          <w:lang w:val="zh-TW" w:eastAsia="zh-CN"/>
        </w:rPr>
        <w:t>其他</w:t>
      </w:r>
      <w:r>
        <w:rPr>
          <w:rFonts w:hAnsi="宋体" w:cs="宋体"/>
          <w:kern w:val="2"/>
          <w:sz w:val="24"/>
          <w:szCs w:val="24"/>
          <w:u w:color="000000"/>
          <w:lang w:val="zh-TW"/>
        </w:rPr>
        <w:t>相关标准没有矛盾和抵触。</w:t>
      </w:r>
    </w:p>
    <w:p w14:paraId="780A5390">
      <w:pPr>
        <w:framePr w:wrap="auto" w:vAnchor="margin" w:hAnchor="text" w:yAlign="inline"/>
        <w:spacing w:line="360" w:lineRule="auto"/>
        <w:ind w:firstLine="482"/>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七、贯彻标准的要求和措施建议</w:t>
      </w:r>
    </w:p>
    <w:p w14:paraId="49E21B50">
      <w:pPr>
        <w:pStyle w:val="9"/>
        <w:spacing w:line="360" w:lineRule="auto"/>
        <w:ind w:firstLine="480"/>
        <w:rPr>
          <w:rFonts w:hAnsi="宋体" w:cs="宋体"/>
          <w:kern w:val="2"/>
          <w:sz w:val="24"/>
          <w:szCs w:val="24"/>
          <w:u w:color="000000"/>
          <w:lang w:val="zh-TW"/>
        </w:rPr>
      </w:pPr>
      <w:r>
        <w:rPr>
          <w:rFonts w:hAnsi="宋体" w:cs="宋体"/>
          <w:kern w:val="2"/>
          <w:sz w:val="24"/>
          <w:szCs w:val="24"/>
          <w:u w:color="000000"/>
          <w:lang w:val="zh-TW"/>
        </w:rPr>
        <w:t>该标准的主要起草单位将通过以下措施推动标准的贯彻实施：</w:t>
      </w:r>
    </w:p>
    <w:p w14:paraId="023EBA49">
      <w:pPr>
        <w:pStyle w:val="9"/>
        <w:spacing w:line="360" w:lineRule="auto"/>
        <w:ind w:firstLine="480"/>
        <w:rPr>
          <w:rFonts w:hAnsi="宋体" w:cs="宋体"/>
          <w:kern w:val="2"/>
          <w:sz w:val="24"/>
          <w:szCs w:val="24"/>
          <w:u w:color="000000"/>
          <w:lang w:val="zh-TW"/>
        </w:rPr>
      </w:pPr>
      <w:r>
        <w:rPr>
          <w:rFonts w:hint="eastAsia" w:hAnsi="宋体" w:cs="宋体"/>
          <w:kern w:val="2"/>
          <w:sz w:val="24"/>
          <w:szCs w:val="24"/>
          <w:u w:color="000000"/>
          <w:lang w:val="zh-TW"/>
        </w:rPr>
        <w:t>1.</w:t>
      </w:r>
      <w:r>
        <w:rPr>
          <w:rFonts w:hAnsi="宋体" w:cs="宋体"/>
          <w:kern w:val="2"/>
          <w:sz w:val="24"/>
          <w:szCs w:val="24"/>
          <w:u w:color="000000"/>
          <w:lang w:val="zh-TW"/>
        </w:rPr>
        <w:t>标准发布后，在餐饮品牌大会、烹饪艺术家年会等行业重要活动中面向社会及餐饮行业正式发布本标准，扩大标准的行业影响力与认知度；</w:t>
      </w:r>
    </w:p>
    <w:p w14:paraId="3B7D3D6A">
      <w:pPr>
        <w:pStyle w:val="9"/>
        <w:spacing w:line="360" w:lineRule="auto"/>
        <w:ind w:firstLine="480"/>
        <w:rPr>
          <w:rFonts w:hAnsi="宋体" w:cs="宋体"/>
          <w:kern w:val="2"/>
          <w:sz w:val="24"/>
          <w:szCs w:val="24"/>
          <w:u w:color="000000"/>
          <w:lang w:val="zh-TW"/>
        </w:rPr>
      </w:pPr>
      <w:r>
        <w:rPr>
          <w:rFonts w:hint="eastAsia" w:hAnsi="宋体" w:cs="宋体"/>
          <w:kern w:val="2"/>
          <w:sz w:val="24"/>
          <w:szCs w:val="24"/>
          <w:u w:color="000000"/>
          <w:lang w:val="zh-TW"/>
        </w:rPr>
        <w:t>2.</w:t>
      </w:r>
      <w:r>
        <w:rPr>
          <w:rFonts w:hAnsi="宋体" w:cs="宋体"/>
          <w:kern w:val="2"/>
          <w:sz w:val="24"/>
          <w:szCs w:val="24"/>
          <w:u w:color="000000"/>
          <w:lang w:val="zh-TW"/>
        </w:rPr>
        <w:t>针对餐饮企业管理者、厨师群体、教学机构教师等不同对象，开展分层分类的宣传与培训工作，解读标准内容、操作流程及应用要点，提升行业相关人员对标准的理解与应用能力；</w:t>
      </w:r>
    </w:p>
    <w:p w14:paraId="4EA9DC82">
      <w:pPr>
        <w:pStyle w:val="9"/>
        <w:spacing w:line="360" w:lineRule="auto"/>
        <w:ind w:firstLine="480"/>
        <w:rPr>
          <w:rFonts w:hAnsi="宋体" w:cs="宋体"/>
          <w:kern w:val="2"/>
          <w:sz w:val="24"/>
          <w:szCs w:val="24"/>
          <w:u w:color="000000"/>
          <w:lang w:val="zh-TW"/>
        </w:rPr>
      </w:pPr>
      <w:r>
        <w:rPr>
          <w:rFonts w:hint="eastAsia" w:hAnsi="宋体" w:cs="宋体"/>
          <w:kern w:val="2"/>
          <w:sz w:val="24"/>
          <w:szCs w:val="24"/>
          <w:u w:color="000000"/>
          <w:lang w:val="zh-TW"/>
        </w:rPr>
        <w:t>3.</w:t>
      </w:r>
      <w:r>
        <w:rPr>
          <w:rFonts w:hAnsi="宋体" w:cs="宋体"/>
          <w:kern w:val="2"/>
          <w:sz w:val="24"/>
          <w:szCs w:val="24"/>
          <w:u w:color="000000"/>
          <w:lang w:val="zh-TW"/>
        </w:rPr>
        <w:t>建立常态化实施机制，每年组织一次烹饪艺术家的申报、评价与发布活动，以实践推动标准落地，形成示范效应；</w:t>
      </w:r>
    </w:p>
    <w:p w14:paraId="657D3F44">
      <w:pPr>
        <w:pStyle w:val="9"/>
        <w:spacing w:line="360" w:lineRule="auto"/>
        <w:ind w:firstLine="480"/>
        <w:rPr>
          <w:rFonts w:hAnsi="宋体" w:cs="宋体"/>
          <w:kern w:val="2"/>
          <w:sz w:val="24"/>
          <w:szCs w:val="24"/>
          <w:u w:color="000000"/>
          <w:lang w:val="zh-TW"/>
        </w:rPr>
      </w:pPr>
      <w:r>
        <w:rPr>
          <w:rFonts w:hint="eastAsia" w:hAnsi="宋体" w:cs="宋体"/>
          <w:kern w:val="2"/>
          <w:sz w:val="24"/>
          <w:szCs w:val="24"/>
          <w:u w:color="000000"/>
          <w:lang w:val="zh-TW"/>
        </w:rPr>
        <w:t>4.</w:t>
      </w:r>
      <w:r>
        <w:rPr>
          <w:rFonts w:hAnsi="宋体" w:cs="宋体"/>
          <w:kern w:val="2"/>
          <w:sz w:val="24"/>
          <w:szCs w:val="24"/>
          <w:u w:color="000000"/>
          <w:lang w:val="zh-TW"/>
        </w:rPr>
        <w:t>利用行业媒体、大众媒体及新媒体平台，对评价出的烹饪艺术家进行宣传报道，强化标准的引导作用；</w:t>
      </w:r>
    </w:p>
    <w:p w14:paraId="3F34BB11">
      <w:pPr>
        <w:pStyle w:val="9"/>
        <w:spacing w:line="360" w:lineRule="auto"/>
        <w:ind w:firstLine="480"/>
        <w:rPr>
          <w:rFonts w:hAnsi="宋体" w:cs="宋体"/>
          <w:kern w:val="2"/>
          <w:sz w:val="24"/>
          <w:szCs w:val="24"/>
          <w:u w:color="000000"/>
          <w:lang w:val="zh-TW"/>
        </w:rPr>
      </w:pPr>
      <w:r>
        <w:rPr>
          <w:rFonts w:hint="eastAsia" w:hAnsi="宋体" w:cs="宋体"/>
          <w:kern w:val="2"/>
          <w:sz w:val="24"/>
          <w:szCs w:val="24"/>
          <w:u w:color="000000"/>
          <w:lang w:val="zh-TW"/>
        </w:rPr>
        <w:t>5.</w:t>
      </w:r>
      <w:r>
        <w:rPr>
          <w:rFonts w:hAnsi="宋体" w:cs="宋体"/>
          <w:kern w:val="2"/>
          <w:sz w:val="24"/>
          <w:szCs w:val="24"/>
          <w:u w:color="000000"/>
          <w:lang w:val="zh-TW"/>
        </w:rPr>
        <w:t>在标准宣贯和应用过程中，广泛收集餐厅、厨师、教学机构、第三方机构等不同应用主体的反馈意见，及时汇总问题与改进建议，反馈至标准起草工作组，持续推动标准修订完善。</w:t>
      </w:r>
    </w:p>
    <w:p w14:paraId="64F94979">
      <w:pPr>
        <w:framePr w:wrap="auto" w:vAnchor="margin" w:hAnchor="text" w:yAlign="inline"/>
        <w:spacing w:line="360" w:lineRule="auto"/>
        <w:ind w:firstLine="482"/>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八、标准实施的预期效果</w:t>
      </w:r>
    </w:p>
    <w:p w14:paraId="24E16FBC">
      <w:pPr>
        <w:framePr w:wrap="auto" w:vAnchor="margin" w:hAnchor="text" w:yAlign="inline"/>
        <w:spacing w:line="360" w:lineRule="auto"/>
        <w:ind w:firstLine="480"/>
        <w:rPr>
          <w:rFonts w:hint="default" w:ascii="宋体" w:hAnsi="宋体" w:eastAsia="宋体" w:cs="宋体"/>
          <w:color w:val="auto"/>
          <w:sz w:val="24"/>
          <w:szCs w:val="24"/>
          <w:lang w:val="zh-TW"/>
        </w:rPr>
      </w:pPr>
    </w:p>
    <w:p w14:paraId="1A3CFC5F">
      <w:pPr>
        <w:framePr w:wrap="auto" w:vAnchor="margin" w:hAnchor="text" w:yAlign="inline"/>
        <w:spacing w:line="360" w:lineRule="auto"/>
        <w:ind w:firstLine="480"/>
        <w:rPr>
          <w:rFonts w:hint="default" w:ascii="宋体" w:hAnsi="宋体" w:eastAsia="宋体" w:cs="宋体"/>
          <w:color w:val="auto"/>
          <w:sz w:val="24"/>
          <w:szCs w:val="24"/>
          <w:lang w:val="zh-TW"/>
        </w:rPr>
      </w:pPr>
      <w:r>
        <w:rPr>
          <w:rFonts w:hint="default" w:ascii="宋体" w:hAnsi="宋体" w:eastAsia="宋体" w:cs="宋体"/>
          <w:color w:val="auto"/>
          <w:sz w:val="24"/>
          <w:szCs w:val="24"/>
          <w:lang w:val="zh-TW" w:eastAsia="zh-TW"/>
        </w:rPr>
        <w:t>本标准系统构建了针对</w:t>
      </w:r>
      <w:r>
        <w:rPr>
          <w:rFonts w:ascii="宋体" w:hAnsi="宋体" w:eastAsia="宋体" w:cs="宋体"/>
          <w:color w:val="auto"/>
          <w:sz w:val="24"/>
          <w:szCs w:val="24"/>
          <w:lang w:val="zh-TW" w:eastAsia="zh-TW"/>
        </w:rPr>
        <w:t>厨师职业的科学</w:t>
      </w:r>
      <w:r>
        <w:rPr>
          <w:rFonts w:hint="default" w:ascii="宋体" w:hAnsi="宋体" w:eastAsia="宋体" w:cs="宋体"/>
          <w:color w:val="auto"/>
          <w:sz w:val="24"/>
          <w:szCs w:val="24"/>
          <w:lang w:val="zh-TW" w:eastAsia="zh-TW"/>
        </w:rPr>
        <w:t>评价工具，</w:t>
      </w:r>
      <w:r>
        <w:rPr>
          <w:rFonts w:ascii="宋体" w:hAnsi="宋体" w:eastAsia="宋体" w:cs="宋体"/>
          <w:color w:val="auto"/>
          <w:sz w:val="24"/>
          <w:szCs w:val="24"/>
          <w:lang w:val="zh-TW"/>
        </w:rPr>
        <w:t>不仅可以用于</w:t>
      </w:r>
      <w:r>
        <w:rPr>
          <w:rFonts w:hint="default" w:ascii="宋体" w:hAnsi="宋体" w:eastAsia="宋体" w:cs="宋体"/>
          <w:color w:val="auto"/>
          <w:sz w:val="24"/>
          <w:szCs w:val="24"/>
          <w:lang w:val="zh-TW" w:eastAsia="zh-TW"/>
        </w:rPr>
        <w:t>厨师自我评估</w:t>
      </w:r>
      <w:r>
        <w:rPr>
          <w:rFonts w:ascii="宋体" w:hAnsi="宋体" w:eastAsia="宋体" w:cs="宋体"/>
          <w:color w:val="auto"/>
          <w:sz w:val="24"/>
          <w:szCs w:val="24"/>
          <w:lang w:val="zh-TW"/>
        </w:rPr>
        <w:t>、餐厅评价考核，还能够</w:t>
      </w:r>
      <w:r>
        <w:rPr>
          <w:rFonts w:hint="default" w:ascii="宋体" w:hAnsi="宋体" w:eastAsia="宋体" w:cs="宋体"/>
          <w:color w:val="auto"/>
          <w:sz w:val="24"/>
          <w:szCs w:val="24"/>
          <w:lang w:val="zh-TW" w:eastAsia="zh-TW"/>
        </w:rPr>
        <w:t>为教学机构提供课程设计与教学评估的参考框架，</w:t>
      </w:r>
      <w:r>
        <w:rPr>
          <w:rFonts w:ascii="宋体" w:hAnsi="宋体" w:eastAsia="宋体" w:cs="宋体"/>
          <w:color w:val="auto"/>
          <w:sz w:val="24"/>
          <w:szCs w:val="24"/>
          <w:lang w:val="zh-TW" w:eastAsia="zh-TW"/>
        </w:rPr>
        <w:t>以及</w:t>
      </w:r>
      <w:r>
        <w:rPr>
          <w:rFonts w:hint="default" w:ascii="宋体" w:hAnsi="宋体" w:eastAsia="宋体" w:cs="宋体"/>
          <w:color w:val="auto"/>
          <w:sz w:val="24"/>
          <w:szCs w:val="24"/>
          <w:lang w:val="zh-TW" w:eastAsia="zh-TW"/>
        </w:rPr>
        <w:t>为第三方机构开展烹饪艺术家评价活动提供标准化指引</w:t>
      </w:r>
      <w:r>
        <w:rPr>
          <w:rFonts w:ascii="宋体" w:hAnsi="宋体" w:eastAsia="宋体" w:cs="宋体"/>
          <w:color w:val="auto"/>
          <w:sz w:val="24"/>
          <w:szCs w:val="24"/>
          <w:lang w:val="zh-TW"/>
        </w:rPr>
        <w:t>，</w:t>
      </w:r>
      <w:r>
        <w:rPr>
          <w:rFonts w:hint="eastAsia" w:ascii="宋体" w:hAnsi="宋体" w:eastAsia="宋体" w:cs="宋体"/>
          <w:color w:val="auto"/>
          <w:sz w:val="24"/>
          <w:szCs w:val="24"/>
          <w:lang w:val="zh-TW" w:eastAsia="zh-CN"/>
        </w:rPr>
        <w:t>助力</w:t>
      </w:r>
      <w:r>
        <w:rPr>
          <w:rFonts w:hint="default" w:ascii="宋体" w:hAnsi="宋体" w:eastAsia="宋体" w:cs="宋体"/>
          <w:color w:val="auto"/>
          <w:sz w:val="24"/>
          <w:szCs w:val="24"/>
          <w:lang w:val="zh-TW" w:eastAsia="zh-TW"/>
        </w:rPr>
        <w:t>厨师队伍专业水平</w:t>
      </w:r>
      <w:r>
        <w:rPr>
          <w:rFonts w:ascii="宋体" w:hAnsi="宋体" w:eastAsia="宋体" w:cs="宋体"/>
          <w:color w:val="auto"/>
          <w:sz w:val="24"/>
          <w:szCs w:val="24"/>
          <w:lang w:val="zh-TW" w:eastAsia="zh-TW"/>
        </w:rPr>
        <w:t>的提升</w:t>
      </w:r>
      <w:r>
        <w:rPr>
          <w:rFonts w:ascii="宋体" w:hAnsi="宋体" w:eastAsia="宋体" w:cs="宋体"/>
          <w:color w:val="auto"/>
          <w:sz w:val="24"/>
          <w:szCs w:val="24"/>
          <w:lang w:val="zh-TW"/>
        </w:rPr>
        <w:t>，并带动行业高质量发展。</w:t>
      </w:r>
      <w:r>
        <w:rPr>
          <w:rFonts w:hint="default" w:ascii="宋体" w:hAnsi="宋体" w:eastAsia="宋体" w:cs="宋体"/>
          <w:color w:val="auto"/>
          <w:sz w:val="24"/>
          <w:szCs w:val="24"/>
          <w:lang w:val="zh-TW"/>
        </w:rPr>
        <w:t>同时，通过拓宽烹饪艺术内涵、纳入五觉审美指标，可提升从业者的烹饪艺术认知与修养，</w:t>
      </w:r>
      <w:r>
        <w:rPr>
          <w:rFonts w:hint="default" w:ascii="宋体" w:hAnsi="宋体" w:eastAsia="宋体" w:cs="宋体"/>
          <w:color w:val="auto"/>
          <w:sz w:val="24"/>
          <w:szCs w:val="24"/>
          <w:lang w:val="zh-TW" w:eastAsia="zh-TW"/>
        </w:rPr>
        <w:t>整体上推动</w:t>
      </w:r>
      <w:r>
        <w:rPr>
          <w:rFonts w:ascii="宋体" w:hAnsi="宋体" w:eastAsia="宋体" w:cs="宋体"/>
          <w:color w:val="auto"/>
          <w:sz w:val="24"/>
          <w:szCs w:val="24"/>
          <w:lang w:val="zh-TW" w:eastAsia="zh-TW"/>
        </w:rPr>
        <w:t>餐饮</w:t>
      </w:r>
      <w:r>
        <w:rPr>
          <w:rFonts w:hint="default" w:ascii="宋体" w:hAnsi="宋体" w:eastAsia="宋体" w:cs="宋体"/>
          <w:color w:val="auto"/>
          <w:sz w:val="24"/>
          <w:szCs w:val="24"/>
          <w:lang w:val="zh-TW" w:eastAsia="zh-TW"/>
        </w:rPr>
        <w:t>行业从技艺层面向艺术层面升级</w:t>
      </w:r>
      <w:r>
        <w:rPr>
          <w:rFonts w:hint="default" w:ascii="宋体" w:hAnsi="宋体" w:eastAsia="宋体" w:cs="宋体"/>
          <w:color w:val="auto"/>
          <w:sz w:val="24"/>
          <w:szCs w:val="24"/>
          <w:lang w:val="zh-TW"/>
        </w:rPr>
        <w:t>。</w:t>
      </w:r>
      <w:r>
        <w:rPr>
          <w:rFonts w:hint="default" w:ascii="宋体" w:hAnsi="宋体" w:eastAsia="宋体" w:cs="宋体"/>
          <w:color w:val="auto"/>
          <w:sz w:val="24"/>
          <w:szCs w:val="24"/>
          <w:lang w:val="zh-TW" w:eastAsia="zh-TW"/>
        </w:rPr>
        <w:t>此外，标准重视文化传承，能促使</w:t>
      </w:r>
      <w:r>
        <w:rPr>
          <w:rFonts w:ascii="宋体" w:hAnsi="宋体" w:eastAsia="宋体" w:cs="宋体"/>
          <w:color w:val="auto"/>
          <w:sz w:val="24"/>
          <w:szCs w:val="24"/>
          <w:lang w:val="zh-TW" w:eastAsia="zh-TW"/>
        </w:rPr>
        <w:t>中餐</w:t>
      </w:r>
      <w:r>
        <w:rPr>
          <w:rFonts w:hint="default" w:ascii="宋体" w:hAnsi="宋体" w:eastAsia="宋体" w:cs="宋体"/>
          <w:color w:val="auto"/>
          <w:sz w:val="24"/>
          <w:szCs w:val="24"/>
          <w:lang w:val="zh-TW" w:eastAsia="zh-TW"/>
        </w:rPr>
        <w:t>更好地肩负文化传播使命，助力中餐文化的传承与传播，提升中国烹饪艺术的国际影响力</w:t>
      </w:r>
      <w:r>
        <w:rPr>
          <w:rFonts w:ascii="宋体" w:hAnsi="宋体" w:eastAsia="宋体" w:cs="宋体"/>
          <w:color w:val="auto"/>
          <w:sz w:val="24"/>
          <w:szCs w:val="24"/>
          <w:lang w:val="zh-TW"/>
        </w:rPr>
        <w:t>。</w:t>
      </w:r>
    </w:p>
    <w:p w14:paraId="4A84A00A">
      <w:pPr>
        <w:framePr w:wrap="auto" w:vAnchor="margin" w:hAnchor="text" w:yAlign="inline"/>
        <w:spacing w:line="360" w:lineRule="auto"/>
        <w:ind w:firstLine="480"/>
        <w:rPr>
          <w:rFonts w:hint="default"/>
          <w:color w:val="FF0000"/>
        </w:rPr>
      </w:pPr>
    </w:p>
    <w:sectPr>
      <w:headerReference r:id="rId9" w:type="default"/>
      <w:footerReference r:id="rId10"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Helvetica Neue">
    <w:altName w:val="Times New Roman"/>
    <w:panose1 w:val="02000503000000020004"/>
    <w:charset w:val="00"/>
    <w:family w:val="auto"/>
    <w:pitch w:val="default"/>
    <w:sig w:usb0="00000000" w:usb1="00000000" w:usb2="0000001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F519">
    <w:pPr>
      <w:pStyle w:val="2"/>
      <w:framePr w:wrap="auto" w:vAnchor="margin" w:hAnchor="text" w:yAlign="inline"/>
      <w:tabs>
        <w:tab w:val="right" w:pos="8280"/>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6931">
    <w:pPr>
      <w:pStyle w:val="2"/>
      <w:framePr w:wrap="arou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89BE">
    <w:pPr>
      <w:pStyle w:val="2"/>
      <w:framePr w:wrap="arou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330A">
    <w:pPr>
      <w:pStyle w:val="2"/>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3323">
    <w:pPr>
      <w:pStyle w:val="11"/>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17F8023B">
                          <w:pPr>
                            <w:pStyle w:val="2"/>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TVBjaAAAADQEAAA8AAAAAAAAAAQAgAAAAIgAAAGRy&#10;cy9kb3ducmV2LnhtbFBLAQIUABQAAAAIAIdO4kBoGCiJAwIAAPUDAAAOAAAAAAAAAAEAIAAAACkB&#10;AABkcnMvZTJvRG9jLnhtbFBLBQYAAAAABgAGAFkBAACeBQAAAAA=&#10;">
              <v:fill on="f" focussize="0,0"/>
              <v:stroke on="f" weight="1pt" miterlimit="4" joinstyle="miter"/>
              <v:imagedata o:title=""/>
              <o:lock v:ext="edit" aspectratio="f"/>
              <v:textbox inset="0mm,0mm,0mm,0mm">
                <w:txbxContent>
                  <w:p w14:paraId="17F8023B">
                    <w:pPr>
                      <w:pStyle w:val="2"/>
                    </w:pPr>
                    <w:r>
                      <w:fldChar w:fldCharType="begin"/>
                    </w:r>
                    <w:r>
                      <w:instrText xml:space="preserve"> PAGE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BE11">
    <w:pPr>
      <w:pStyle w:val="3"/>
      <w:framePr w:wrap="around"/>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D0D3">
    <w:pPr>
      <w:pStyle w:val="3"/>
      <w:framePr w:wrap="around"/>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AD8B">
    <w:pPr>
      <w:pStyle w:val="11"/>
      <w:framePr w:wrap="auto" w:vAnchor="margin" w:hAnchor="text" w:yAlign="inline"/>
    </w:pPr>
    <w:r>
      <mc:AlternateContent>
        <mc:Choice Requires="wps">
          <w:drawing>
            <wp:anchor distT="152400" distB="152400" distL="152400" distR="152400" simplePos="0" relativeHeight="251660288"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0F6A3C88">
                          <w:pPr>
                            <w:pStyle w:val="2"/>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6192;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0F6A3C88">
                    <w:pPr>
                      <w:pStyle w:val="2"/>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
  <w:docVars>
    <w:docVar w:name="commondata" w:val="eyJoZGlkIjoiZmFhOTEwOTA4M2RhMmU1NGE4Zjg4ZmY1NTkwZWFmMjUifQ=="/>
  </w:docVars>
  <w:rsids>
    <w:rsidRoot w:val="001C1971"/>
    <w:rsid w:val="0000007A"/>
    <w:rsid w:val="00001B5B"/>
    <w:rsid w:val="00010B53"/>
    <w:rsid w:val="000117FA"/>
    <w:rsid w:val="00015ECA"/>
    <w:rsid w:val="00021F88"/>
    <w:rsid w:val="00023AB0"/>
    <w:rsid w:val="00035B6D"/>
    <w:rsid w:val="00037A2E"/>
    <w:rsid w:val="00050AEC"/>
    <w:rsid w:val="000711C6"/>
    <w:rsid w:val="00082FF1"/>
    <w:rsid w:val="00084859"/>
    <w:rsid w:val="000905AB"/>
    <w:rsid w:val="00094129"/>
    <w:rsid w:val="000B3167"/>
    <w:rsid w:val="000C006E"/>
    <w:rsid w:val="000F45D3"/>
    <w:rsid w:val="000F71FA"/>
    <w:rsid w:val="00102875"/>
    <w:rsid w:val="00136DC2"/>
    <w:rsid w:val="001445DA"/>
    <w:rsid w:val="001C1971"/>
    <w:rsid w:val="00204F84"/>
    <w:rsid w:val="00215DD7"/>
    <w:rsid w:val="002512F2"/>
    <w:rsid w:val="00264B72"/>
    <w:rsid w:val="002663D9"/>
    <w:rsid w:val="002665EC"/>
    <w:rsid w:val="0028709D"/>
    <w:rsid w:val="00295751"/>
    <w:rsid w:val="002B4CE6"/>
    <w:rsid w:val="002D4343"/>
    <w:rsid w:val="002F0B8B"/>
    <w:rsid w:val="002F3AA6"/>
    <w:rsid w:val="002F3F3E"/>
    <w:rsid w:val="0030564F"/>
    <w:rsid w:val="0031319C"/>
    <w:rsid w:val="0035380E"/>
    <w:rsid w:val="00377697"/>
    <w:rsid w:val="00391E44"/>
    <w:rsid w:val="00392AF6"/>
    <w:rsid w:val="0039677A"/>
    <w:rsid w:val="003A0FD7"/>
    <w:rsid w:val="003B30F9"/>
    <w:rsid w:val="003C6A3F"/>
    <w:rsid w:val="003C6F12"/>
    <w:rsid w:val="003D652D"/>
    <w:rsid w:val="004005B0"/>
    <w:rsid w:val="004240F0"/>
    <w:rsid w:val="00435909"/>
    <w:rsid w:val="00453F8D"/>
    <w:rsid w:val="004B46F1"/>
    <w:rsid w:val="004B56C3"/>
    <w:rsid w:val="004D05EE"/>
    <w:rsid w:val="004D285A"/>
    <w:rsid w:val="00525B9B"/>
    <w:rsid w:val="00546C9F"/>
    <w:rsid w:val="00550AA3"/>
    <w:rsid w:val="00555768"/>
    <w:rsid w:val="0059365C"/>
    <w:rsid w:val="005A6EF5"/>
    <w:rsid w:val="005B13B2"/>
    <w:rsid w:val="005F7B08"/>
    <w:rsid w:val="00605F70"/>
    <w:rsid w:val="006123BD"/>
    <w:rsid w:val="00647AAD"/>
    <w:rsid w:val="00666AC0"/>
    <w:rsid w:val="00695C8A"/>
    <w:rsid w:val="006A4054"/>
    <w:rsid w:val="006A5904"/>
    <w:rsid w:val="006D28E6"/>
    <w:rsid w:val="006E4EB5"/>
    <w:rsid w:val="006E7F2E"/>
    <w:rsid w:val="00713B38"/>
    <w:rsid w:val="00716D2A"/>
    <w:rsid w:val="00720891"/>
    <w:rsid w:val="00753EC9"/>
    <w:rsid w:val="00763765"/>
    <w:rsid w:val="00791143"/>
    <w:rsid w:val="007A6EC1"/>
    <w:rsid w:val="007C78B9"/>
    <w:rsid w:val="007D7840"/>
    <w:rsid w:val="007F7367"/>
    <w:rsid w:val="00844A75"/>
    <w:rsid w:val="00852083"/>
    <w:rsid w:val="00872310"/>
    <w:rsid w:val="008A1E38"/>
    <w:rsid w:val="008D1A07"/>
    <w:rsid w:val="008E73B2"/>
    <w:rsid w:val="00903D18"/>
    <w:rsid w:val="009078BB"/>
    <w:rsid w:val="0092426D"/>
    <w:rsid w:val="0092709E"/>
    <w:rsid w:val="00951C47"/>
    <w:rsid w:val="009618BF"/>
    <w:rsid w:val="0096218D"/>
    <w:rsid w:val="00964B16"/>
    <w:rsid w:val="009936AB"/>
    <w:rsid w:val="009A2906"/>
    <w:rsid w:val="009A514C"/>
    <w:rsid w:val="009B4725"/>
    <w:rsid w:val="009C08DA"/>
    <w:rsid w:val="009C333D"/>
    <w:rsid w:val="009D2E05"/>
    <w:rsid w:val="009F19C0"/>
    <w:rsid w:val="00A14861"/>
    <w:rsid w:val="00A22E73"/>
    <w:rsid w:val="00A329F7"/>
    <w:rsid w:val="00A369F1"/>
    <w:rsid w:val="00A56255"/>
    <w:rsid w:val="00A7221A"/>
    <w:rsid w:val="00A72D65"/>
    <w:rsid w:val="00A76DB0"/>
    <w:rsid w:val="00A8721A"/>
    <w:rsid w:val="00AE5E92"/>
    <w:rsid w:val="00B0520A"/>
    <w:rsid w:val="00B154D0"/>
    <w:rsid w:val="00B33BF1"/>
    <w:rsid w:val="00B33E19"/>
    <w:rsid w:val="00B3497B"/>
    <w:rsid w:val="00B45AE7"/>
    <w:rsid w:val="00B5017B"/>
    <w:rsid w:val="00C01246"/>
    <w:rsid w:val="00C149D5"/>
    <w:rsid w:val="00C223EE"/>
    <w:rsid w:val="00C50B12"/>
    <w:rsid w:val="00C50F3C"/>
    <w:rsid w:val="00C731C6"/>
    <w:rsid w:val="00C870A4"/>
    <w:rsid w:val="00C923B3"/>
    <w:rsid w:val="00CA213A"/>
    <w:rsid w:val="00CD3464"/>
    <w:rsid w:val="00CE51C9"/>
    <w:rsid w:val="00D20D5B"/>
    <w:rsid w:val="00D27D69"/>
    <w:rsid w:val="00D418D7"/>
    <w:rsid w:val="00D42091"/>
    <w:rsid w:val="00D42375"/>
    <w:rsid w:val="00D8210E"/>
    <w:rsid w:val="00D92B72"/>
    <w:rsid w:val="00D92D8A"/>
    <w:rsid w:val="00D9431E"/>
    <w:rsid w:val="00DA1793"/>
    <w:rsid w:val="00DB3344"/>
    <w:rsid w:val="00DC0655"/>
    <w:rsid w:val="00DD1545"/>
    <w:rsid w:val="00DF5A59"/>
    <w:rsid w:val="00E045F4"/>
    <w:rsid w:val="00E20101"/>
    <w:rsid w:val="00E21072"/>
    <w:rsid w:val="00E223F5"/>
    <w:rsid w:val="00E42EA4"/>
    <w:rsid w:val="00E476F5"/>
    <w:rsid w:val="00E66352"/>
    <w:rsid w:val="00E86919"/>
    <w:rsid w:val="00E95A59"/>
    <w:rsid w:val="00EA0E6F"/>
    <w:rsid w:val="00EA45A0"/>
    <w:rsid w:val="00EB7D2E"/>
    <w:rsid w:val="00ED4542"/>
    <w:rsid w:val="00ED6663"/>
    <w:rsid w:val="00EE0D56"/>
    <w:rsid w:val="00EE2BFC"/>
    <w:rsid w:val="00EF578C"/>
    <w:rsid w:val="00F06039"/>
    <w:rsid w:val="00F10349"/>
    <w:rsid w:val="00F23359"/>
    <w:rsid w:val="00F379DE"/>
    <w:rsid w:val="00F4411B"/>
    <w:rsid w:val="00F52EE6"/>
    <w:rsid w:val="00F60ACD"/>
    <w:rsid w:val="00F707BF"/>
    <w:rsid w:val="00F770A2"/>
    <w:rsid w:val="00F91175"/>
    <w:rsid w:val="00F92653"/>
    <w:rsid w:val="00FB455B"/>
    <w:rsid w:val="00FF13AC"/>
    <w:rsid w:val="062D0592"/>
    <w:rsid w:val="06907B34"/>
    <w:rsid w:val="0C6B2020"/>
    <w:rsid w:val="0CEF76F2"/>
    <w:rsid w:val="0F5F252B"/>
    <w:rsid w:val="18370BC0"/>
    <w:rsid w:val="1E8D27EC"/>
    <w:rsid w:val="22942FA3"/>
    <w:rsid w:val="23BE4D1F"/>
    <w:rsid w:val="24AC5E86"/>
    <w:rsid w:val="25215D4A"/>
    <w:rsid w:val="2DD66AA1"/>
    <w:rsid w:val="3D9910E3"/>
    <w:rsid w:val="48580610"/>
    <w:rsid w:val="488A4EC3"/>
    <w:rsid w:val="4C5F21E2"/>
    <w:rsid w:val="505731CA"/>
    <w:rsid w:val="536C2A87"/>
    <w:rsid w:val="556E3DBC"/>
    <w:rsid w:val="5B401FAF"/>
    <w:rsid w:val="70D20029"/>
    <w:rsid w:val="748108E0"/>
    <w:rsid w:val="791974F6"/>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3">
    <w:name w:val="header"/>
    <w:basedOn w:val="1"/>
    <w:link w:val="13"/>
    <w:qFormat/>
    <w:uiPriority w:val="0"/>
    <w:pPr>
      <w:framePr w:wrap="around"/>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framePr w:wrap="around"/>
    </w:pPr>
    <w:rPr>
      <w:sz w:val="24"/>
    </w:rPr>
  </w:style>
  <w:style w:type="character" w:styleId="7">
    <w:name w:val="Hyperlink"/>
    <w:qFormat/>
    <w:uiPriority w:val="0"/>
    <w:rPr>
      <w:u w:val="single"/>
    </w:rPr>
  </w:style>
  <w:style w:type="paragraph" w:customStyle="1" w:styleId="8">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2">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页眉 字符"/>
    <w:basedOn w:val="6"/>
    <w:link w:val="3"/>
    <w:qFormat/>
    <w:uiPriority w:val="0"/>
    <w:rPr>
      <w:rFonts w:ascii="Arial Unicode MS" w:hAnsi="Arial Unicode MS" w:eastAsia="Times New Roman" w:cs="Arial Unicode MS"/>
      <w:color w:val="000000"/>
      <w:kern w:val="2"/>
      <w:sz w:val="18"/>
      <w:szCs w:val="18"/>
      <w:u w:color="000000"/>
    </w:rPr>
  </w:style>
  <w:style w:type="paragraph" w:customStyle="1" w:styleId="14">
    <w:name w:val="列表段落1"/>
    <w:basedOn w:val="1"/>
    <w:qFormat/>
    <w:uiPriority w:val="99"/>
    <w:pPr>
      <w:framePr w:wrap="around"/>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2511</Words>
  <Characters>2584</Characters>
  <Lines>18</Lines>
  <Paragraphs>5</Paragraphs>
  <TotalTime>32</TotalTime>
  <ScaleCrop>false</ScaleCrop>
  <LinksUpToDate>false</LinksUpToDate>
  <CharactersWithSpaces>2610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2019-03-19T02:01:00Z</dcterms:created>
  <dc:creator>HP</dc:creator>
  <cp:lastModifiedBy>紫嫣</cp:lastModifiedBy>
  <cp:lastPrinted>2019-06-17T03:57:00Z</cp:lastPrinted>
  <dcterms:modified xsi:type="dcterms:W3CDTF">2025-08-22T08:14:58Z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28EDEEBC10544FF894418A0114BBC64D_13</vt:lpwstr>
  </property>
  <property fmtid="{D5CDD505-2E9C-101B-9397-08002B2CF9AE}" pid="4" name="KSOTemplateDocerSaveRecord">
    <vt:lpwstr>eyJoZGlkIjoiOTJlMDBlOWJiMzljNTUxODg0YTk2M2RjZjdjOTZjNzciLCJ1c2VySWQiOiIzNDU3NTYyMTIifQ==</vt:lpwstr>
  </property>
</Properties>
</file>