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bookmarkStart w:id="0" w:name="TMark1"/>
      <w:r>
        <w:rPr>
          <w:rFonts w:hint="eastAsia" w:ascii="黑体" w:hAnsi="Times New Roman" w:eastAsia="黑体" w:cs="Times New Roman"/>
          <w:sz w:val="48"/>
          <w:lang w:val="en-US" w:eastAsia="zh-CN"/>
        </w:rPr>
        <w:fldChar w:fldCharType="begin">
          <w:ffData>
            <w:name w:val="TMark1"/>
            <w:enabled/>
            <w:calcOnExit w:val="0"/>
            <w:textInput>
              <w:default w:val="吉安市绿色农产品促进会"/>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吉安市绿色农产品促进会</w:t>
      </w:r>
      <w:r>
        <w:rPr>
          <w:rFonts w:hint="eastAsia" w:ascii="黑体" w:hAnsi="Times New Roman" w:eastAsia="黑体" w:cs="Times New Roman"/>
          <w:sz w:val="48"/>
          <w:lang w:val="en-US" w:eastAsia="zh-CN"/>
        </w:rPr>
        <w:fldChar w:fldCharType="end"/>
      </w:r>
      <w:bookmarkEnd w:id="0"/>
      <w:r>
        <w:rPr>
          <w:rFonts w:hint="eastAsia"/>
          <w:lang w:val="en-US" w:eastAsia="zh-CN"/>
        </w:rPr>
        <w:t>团体标准</w:t>
      </w:r>
    </w:p>
    <w:p>
      <w:pPr>
        <w:pStyle w:val="40"/>
        <w:bidi w:val="0"/>
        <w:rPr>
          <w:rFonts w:hint="eastAsia"/>
          <w:lang w:val="en-US" w:eastAsia="zh-CN"/>
        </w:rPr>
      </w:pPr>
      <w:bookmarkStart w:id="1" w:name="StandNo"/>
      <w:r>
        <w:rPr>
          <w:rFonts w:hint="eastAsia" w:ascii="黑体" w:hAnsi="Times New Roman" w:eastAsia="黑体" w:cs="Times New Roman"/>
          <w:sz w:val="28"/>
          <w:lang w:val="en-US" w:eastAsia="zh-CN"/>
        </w:rPr>
        <w:fldChar w:fldCharType="begin">
          <w:ffData>
            <w:name w:val="StandNo"/>
            <w:enabled/>
            <w:calcOnExit w:val="0"/>
            <w:textInput>
              <w:default w:val="T/JALNCP X-2025"/>
            </w:textInput>
          </w:ffData>
        </w:fldChar>
      </w:r>
      <w:r>
        <w:rPr>
          <w:rFonts w:hint="eastAsia" w:ascii="黑体" w:hAnsi="Times New Roman" w:eastAsia="黑体" w:cs="Times New Roman"/>
          <w:sz w:val="28"/>
          <w:lang w:val="en-US" w:eastAsia="zh-CN"/>
        </w:rPr>
        <w:instrText xml:space="preserve">FORMTEXT</w:instrText>
      </w:r>
      <w:r>
        <w:rPr>
          <w:rFonts w:hint="eastAsia" w:ascii="黑体" w:hAnsi="Times New Roman" w:eastAsia="黑体" w:cs="Times New Roman"/>
          <w:sz w:val="28"/>
          <w:lang w:val="en-US" w:eastAsia="zh-CN"/>
        </w:rPr>
        <w:fldChar w:fldCharType="separate"/>
      </w:r>
      <w:r>
        <w:rPr>
          <w:rFonts w:hint="eastAsia" w:ascii="黑体" w:hAnsi="Times New Roman" w:eastAsia="黑体" w:cs="Times New Roman"/>
          <w:sz w:val="28"/>
          <w:lang w:val="en-US" w:eastAsia="zh-CN"/>
        </w:rPr>
        <w:t>T/JALNCP X-2025</w:t>
      </w:r>
      <w:r>
        <w:rPr>
          <w:rFonts w:hint="eastAsia" w:ascii="黑体" w:hAnsi="Times New Roman" w:eastAsia="黑体" w:cs="Times New Roman"/>
          <w:sz w:val="28"/>
          <w:lang w:val="en-US" w:eastAsia="zh-CN"/>
        </w:rPr>
        <w:fldChar w:fldCharType="end"/>
      </w:r>
      <w:bookmarkEnd w:id="1"/>
    </w:p>
    <w:p>
      <w:pPr>
        <w:pStyle w:val="39"/>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41" w:type="dxa"/>
            <w:tcBorders>
              <w:top w:val="single" w:color="auto" w:sz="8" w:space="0"/>
            </w:tcBorders>
          </w:tcPr>
          <w:p>
            <w:pPr>
              <w:pStyle w:val="34"/>
              <w:widowControl w:val="0"/>
              <w:bidi w:val="0"/>
              <w:jc w:val="both"/>
              <w:rPr>
                <w:rFonts w:hint="eastAsia"/>
                <w:sz w:val="10"/>
                <w:vertAlign w:val="baseline"/>
                <w:lang w:val="en-US" w:eastAsia="zh-CN"/>
              </w:rPr>
            </w:pPr>
          </w:p>
        </w:tc>
      </w:tr>
    </w:tbl>
    <w:p>
      <w:pPr>
        <w:pStyle w:val="41"/>
        <w:bidi w:val="0"/>
        <w:rPr>
          <w:rFonts w:hint="eastAsia"/>
          <w:lang w:val="en-US" w:eastAsia="zh-CN"/>
        </w:rPr>
      </w:pPr>
      <w:bookmarkStart w:id="3" w:name="StdName"/>
      <w:r>
        <w:rPr>
          <w:rFonts w:hint="eastAsia" w:ascii="黑体" w:hAnsi="Times New Roman" w:eastAsia="黑体" w:cs="Times New Roman"/>
          <w:sz w:val="52"/>
          <w:lang w:val="en-US" w:eastAsia="zh-CN"/>
        </w:rPr>
        <w:fldChar w:fldCharType="begin">
          <w:ffData>
            <w:name w:val="StdName"/>
            <w:enabled/>
            <w:calcOnExit w:val="0"/>
            <w:textInput>
              <w:default w:val="井冈山绿茶加工技术规程"/>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ascii="黑体" w:hAnsi="Times New Roman" w:eastAsia="黑体" w:cs="Times New Roman"/>
          <w:sz w:val="52"/>
          <w:lang w:val="en-US" w:eastAsia="zh-CN"/>
        </w:rPr>
        <w:t>井冈山</w:t>
      </w:r>
      <w:r>
        <w:rPr>
          <w:rFonts w:hint="eastAsia" w:cs="Times New Roman"/>
          <w:sz w:val="52"/>
          <w:lang w:val="en-US" w:eastAsia="zh-CN"/>
        </w:rPr>
        <w:t>冬笋</w:t>
      </w:r>
      <w:r>
        <w:rPr>
          <w:rFonts w:hint="eastAsia" w:ascii="黑体" w:hAnsi="Times New Roman" w:eastAsia="黑体" w:cs="Times New Roman"/>
          <w:sz w:val="52"/>
          <w:lang w:val="en-US" w:eastAsia="zh-CN"/>
        </w:rPr>
        <w:fldChar w:fldCharType="end"/>
      </w:r>
      <w:bookmarkEnd w:id="3"/>
    </w:p>
    <w:p>
      <w:pPr>
        <w:pStyle w:val="42"/>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Technical Regulations for Processing Jinggangshan Green Tea"/>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 xml:space="preserve"> Jinggangshan w</w:t>
      </w:r>
      <w:r>
        <w:rPr>
          <w:rFonts w:hint="eastAsia" w:cs="Times New Roman"/>
          <w:sz w:val="28"/>
          <w:lang w:val="en-US" w:eastAsia="zh-CN"/>
        </w:rPr>
        <w:t>inter shoot</w:t>
      </w:r>
      <w:r>
        <w:rPr>
          <w:rFonts w:hint="eastAsia" w:ascii="Times New Roman" w:hAnsi="Times New Roman" w:eastAsia="黑体" w:cs="Times New Roman"/>
          <w:sz w:val="28"/>
          <w:lang w:val="en-US" w:eastAsia="zh-CN"/>
        </w:rPr>
        <w:fldChar w:fldCharType="end"/>
      </w:r>
      <w:bookmarkEnd w:id="4"/>
    </w:p>
    <w:p>
      <w:pPr>
        <w:pStyle w:val="43"/>
        <w:bidi w:val="0"/>
        <w:rPr>
          <w:rFonts w:hint="eastAsia"/>
          <w:lang w:val="en-US" w:eastAsia="zh-CN"/>
        </w:rPr>
      </w:pPr>
      <w:r>
        <w:rPr>
          <w:rFonts w:hint="eastAsia" w:cs="Times New Roman"/>
          <w:sz w:val="28"/>
          <w:lang w:val="en-US" w:eastAsia="zh-CN"/>
        </w:rPr>
        <w:t xml:space="preserve"> </w:t>
      </w:r>
    </w:p>
    <w:p>
      <w:pPr>
        <w:pStyle w:val="44"/>
        <w:bidi w:val="0"/>
        <w:spacing w:after="0"/>
        <w:rPr>
          <w:rFonts w:hint="eastAsia"/>
          <w:lang w:val="en-US" w:eastAsia="zh-CN"/>
        </w:rPr>
      </w:pPr>
      <w:bookmarkStart w:id="5" w:name="LB"/>
      <w:r>
        <w:rPr>
          <w:rFonts w:hint="eastAsia" w:ascii="黑体" w:hAnsi="黑体" w:eastAsia="黑体" w:cs="黑体"/>
          <w:sz w:val="24"/>
          <w:lang w:val="en-US" w:eastAsia="zh-CN"/>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5"/>
    </w:p>
    <w:p>
      <w:pPr>
        <w:pStyle w:val="45"/>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pPr>
        <w:pStyle w:val="46"/>
        <w:bidi w:val="0"/>
        <w:spacing w:before="687" w:beforeLines="220"/>
        <w:rPr>
          <w:rFonts w:hint="eastAsia"/>
          <w:lang w:val="en-US" w:eastAsia="zh-CN"/>
        </w:rPr>
      </w:pPr>
      <w:bookmarkStart w:id="7" w:name="FileSelect"/>
      <w:r>
        <w:rPr>
          <w:rFonts w:hint="eastAsia" w:ascii="Times New Roman" w:hAnsi="Times New Roman" w:eastAsia="黑体" w:cs="Times New Roman"/>
          <w:b/>
          <w:sz w:val="21"/>
          <w:lang w:val="en-US" w:eastAsia="zh-CN"/>
        </w:rPr>
        <w:fldChar w:fldCharType="begin">
          <w:ffData>
            <w:name w:val="FileSelect"/>
            <w:enabled/>
            <w:calcOnExit w:val="0"/>
            <w:ddList>
              <w:listEntry w:val="     "/>
              <w:listEntry w:val="在提交反馈意见时，请将您知道的相关专利连同支持性文件一并附上。"/>
            </w:ddList>
          </w:ffData>
        </w:fldChar>
      </w:r>
      <w:r>
        <w:rPr>
          <w:rFonts w:hint="eastAsia" w:ascii="Times New Roman" w:hAnsi="Times New Roman" w:eastAsia="黑体" w:cs="Times New Roman"/>
          <w:b/>
          <w:sz w:val="21"/>
          <w:lang w:val="en-US" w:eastAsia="zh-CN"/>
        </w:rPr>
        <w:instrText xml:space="preserve">FORMDROPDOWN</w:instrText>
      </w:r>
      <w:r>
        <w:rPr>
          <w:rFonts w:hint="eastAsia" w:ascii="Times New Roman" w:hAnsi="Times New Roman" w:eastAsia="黑体" w:cs="Times New Roman"/>
          <w:b/>
          <w:sz w:val="21"/>
          <w:lang w:val="en-US" w:eastAsia="zh-CN"/>
        </w:rPr>
        <w:fldChar w:fldCharType="separate"/>
      </w:r>
      <w:r>
        <w:rPr>
          <w:rFonts w:hint="eastAsia" w:ascii="Times New Roman" w:hAnsi="Times New Roman" w:eastAsia="黑体" w:cs="Times New Roman"/>
          <w:b/>
          <w:sz w:val="21"/>
          <w:lang w:val="en-US" w:eastAsia="zh-CN"/>
        </w:rPr>
        <w:fldChar w:fldCharType="end"/>
      </w:r>
      <w:bookmarkEnd w:id="7"/>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870" w:type="dxa"/>
            <w:tcBorders>
              <w:bottom w:val="single" w:color="auto" w:sz="8" w:space="0"/>
            </w:tcBorders>
            <w:tcMar>
              <w:left w:w="57" w:type="dxa"/>
              <w:bottom w:w="28" w:type="dxa"/>
            </w:tcMar>
          </w:tcPr>
          <w:p>
            <w:pPr>
              <w:pStyle w:val="38"/>
              <w:widowControl w:val="0"/>
              <w:bidi w:val="0"/>
              <w:jc w:val="both"/>
              <w:rPr>
                <w:rFonts w:hint="eastAsia"/>
                <w:vertAlign w:val="baseline"/>
                <w:lang w:val="en-US" w:eastAsia="zh-CN"/>
              </w:rPr>
            </w:pPr>
            <w:bookmarkStart w:id="8" w:name="FY"/>
            <w:r>
              <w:rPr>
                <w:rFonts w:hint="eastAsia" w:ascii="黑体" w:hAnsi="Times New Roman" w:eastAsia="黑体" w:cs="Times New Roman"/>
                <w:sz w:val="28"/>
                <w:vertAlign w:val="baseline"/>
                <w:lang w:val="en-US" w:eastAsia="zh-CN"/>
              </w:rPr>
              <w:fldChar w:fldCharType="begin">
                <w:ffData>
                  <w:name w:val="FY"/>
                  <w:enabled/>
                  <w:calcOnExit w:val="0"/>
                  <w:textInput>
                    <w:default w:val="2025"/>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2025</w:t>
            </w:r>
            <w:r>
              <w:rPr>
                <w:rFonts w:hint="eastAsia" w:ascii="黑体" w:hAnsi="Times New Roman" w:eastAsia="黑体" w:cs="Times New Roman"/>
                <w:sz w:val="28"/>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871" w:type="dxa"/>
            <w:tcBorders>
              <w:bottom w:val="single" w:color="auto" w:sz="8" w:space="0"/>
            </w:tcBorders>
            <w:tcMar>
              <w:right w:w="57" w:type="dxa"/>
            </w:tcMar>
          </w:tcPr>
          <w:p>
            <w:pPr>
              <w:pStyle w:val="38"/>
              <w:widowControl w:val="0"/>
              <w:bidi w:val="0"/>
              <w:jc w:val="right"/>
              <w:rPr>
                <w:rFonts w:hint="eastAsia"/>
                <w:vertAlign w:val="baseline"/>
                <w:lang w:val="en-US" w:eastAsia="zh-CN"/>
              </w:rPr>
            </w:pPr>
            <w:bookmarkStart w:id="11" w:name="SY"/>
            <w:r>
              <w:rPr>
                <w:rFonts w:hint="eastAsia" w:ascii="黑体" w:hAnsi="Times New Roman" w:eastAsia="黑体" w:cs="Times New Roman"/>
                <w:sz w:val="28"/>
                <w:vertAlign w:val="baseline"/>
                <w:lang w:val="en-US" w:eastAsia="zh-CN"/>
              </w:rPr>
              <w:fldChar w:fldCharType="begin">
                <w:ffData>
                  <w:name w:val="SY"/>
                  <w:enabled/>
                  <w:calcOnExit w:val="0"/>
                  <w:textInput>
                    <w:default w:val="2025"/>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2025</w:t>
            </w:r>
            <w:r>
              <w:rPr>
                <w:rFonts w:hint="eastAsia" w:ascii="黑体" w:hAnsi="Times New Roman" w:eastAsia="黑体" w:cs="Times New Roman"/>
                <w:sz w:val="28"/>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pPr>
        <w:pStyle w:val="48"/>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吉安市绿色农产品促进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吉安市绿色农产品促进会</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2"/>
              <w:framePr w:w="9639"/>
              <w:bidi w:val="0"/>
              <w:jc w:val="both"/>
              <w:rPr>
                <w:rFonts w:hint="eastAsia"/>
                <w:vertAlign w:val="baseline"/>
                <w:lang w:val="en-US" w:eastAsia="zh-CN"/>
              </w:rPr>
            </w:pPr>
            <w:r>
              <w:rPr>
                <w:rFonts w:hint="eastAsia"/>
                <w:vertAlign w:val="baseline"/>
                <w:lang w:val="en-US" w:eastAsia="zh-CN"/>
              </w:rPr>
              <w:t>ICS</w:t>
            </w:r>
          </w:p>
        </w:tc>
        <w:tc>
          <w:tcPr>
            <w:tcW w:w="9107" w:type="dxa"/>
          </w:tcPr>
          <w:p>
            <w:pPr>
              <w:pStyle w:val="52"/>
              <w:framePr w:w="9639"/>
              <w:bidi w:val="0"/>
              <w:jc w:val="both"/>
              <w:rPr>
                <w:rFonts w:hint="eastAsia"/>
                <w:vertAlign w:val="baseline"/>
                <w:lang w:val="en-US" w:eastAsia="zh-CN"/>
              </w:rPr>
            </w:pPr>
            <w:bookmarkStart w:id="15"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67.080.1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67.080.10</w:t>
            </w:r>
            <w:r>
              <w:rPr>
                <w:rFonts w:hint="eastAsia" w:ascii="黑体" w:hAnsi="Times New Roman" w:eastAsia="黑体" w:cs="Times New Roman"/>
                <w:kern w:val="21"/>
                <w:sz w:val="21"/>
                <w:vertAlign w:val="baseline"/>
                <w:lang w:val="en-US" w:eastAsia="zh-CN"/>
              </w:rPr>
              <w:fldChar w:fldCharType="end"/>
            </w:r>
            <w:bookmarkEnd w:id="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2"/>
              <w:framePr w:w="9639"/>
              <w:bidi w:val="0"/>
              <w:jc w:val="both"/>
              <w:rPr>
                <w:rFonts w:hint="eastAsia"/>
                <w:vertAlign w:val="baseline"/>
                <w:lang w:val="en-US" w:eastAsia="zh-CN"/>
              </w:rPr>
            </w:pPr>
            <w:r>
              <w:rPr>
                <w:rFonts w:hint="eastAsia"/>
                <w:vertAlign w:val="baseline"/>
                <w:lang w:val="en-US" w:eastAsia="zh-CN"/>
              </w:rPr>
              <w:t>CCS</w:t>
            </w:r>
          </w:p>
        </w:tc>
        <w:tc>
          <w:tcPr>
            <w:tcW w:w="9107" w:type="dxa"/>
          </w:tcPr>
          <w:p>
            <w:pPr>
              <w:pStyle w:val="52"/>
              <w:framePr w:w="9639"/>
              <w:bidi w:val="0"/>
              <w:jc w:val="both"/>
              <w:rPr>
                <w:rFonts w:hint="eastAsia"/>
                <w:vertAlign w:val="baseline"/>
                <w:lang w:val="en-US" w:eastAsia="zh-CN"/>
              </w:rPr>
            </w:pPr>
            <w:bookmarkStart w:id="16" w:name="CCS"/>
            <w:r>
              <w:rPr>
                <w:rFonts w:hint="eastAsia" w:ascii="黑体" w:hAnsi="Times New Roman" w:eastAsia="黑体" w:cs="Times New Roman"/>
                <w:kern w:val="21"/>
                <w:sz w:val="21"/>
                <w:vertAlign w:val="baseline"/>
                <w:lang w:val="en-US" w:eastAsia="zh-CN"/>
              </w:rPr>
              <w:fldChar w:fldCharType="begin">
                <w:ffData>
                  <w:name w:val="CCS"/>
                  <w:enabled/>
                  <w:calcOnExit w:val="0"/>
                  <w:textInput>
                    <w:default w:val="B 31"/>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B 31</w:t>
            </w:r>
            <w:r>
              <w:rPr>
                <w:rFonts w:hint="eastAsia" w:ascii="黑体" w:hAnsi="Times New Roman" w:eastAsia="黑体" w:cs="Times New Roman"/>
                <w:kern w:val="21"/>
                <w:sz w:val="21"/>
                <w:vertAlign w:val="baseline"/>
                <w:lang w:val="en-US" w:eastAsia="zh-CN"/>
              </w:rPr>
              <w:fldChar w:fldCharType="end"/>
            </w:r>
            <w:bookmarkEnd w:id="16"/>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6662" w:type="dxa"/>
                  <w:vAlign w:val="center"/>
                </w:tcPr>
                <w:p>
                  <w:pPr>
                    <w:pStyle w:val="52"/>
                    <w:framePr w:w="9639"/>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17" w:name="TMark"/>
                  <w:r>
                    <w:rPr>
                      <w:rFonts w:hint="eastAsia" w:ascii="Times New Roman" w:eastAsia="宋体" w:cs="Times New Roman"/>
                      <w:b/>
                      <w:w w:val="130"/>
                      <w:kern w:val="0"/>
                      <w:sz w:val="96"/>
                      <w:vertAlign w:val="baseline"/>
                      <w:lang w:val="en-US" w:eastAsia="zh-CN"/>
                    </w:rPr>
                    <w:instrText xml:space="preserve">FORMTEXT</w:instrText>
                  </w:r>
                  <w:r>
                    <w:rPr>
                      <w:rFonts w:hint="eastAsia" w:ascii="Times New Roman" w:eastAsia="宋体" w:cs="Times New Roman"/>
                      <w:b/>
                      <w:w w:val="130"/>
                      <w:kern w:val="0"/>
                      <w:sz w:val="96"/>
                      <w:vertAlign w:val="baseline"/>
                      <w:lang w:val="en-US" w:eastAsia="zh-CN"/>
                    </w:rPr>
                    <w:fldChar w:fldCharType="separate"/>
                  </w:r>
                  <w:r>
                    <w:rPr>
                      <w:rFonts w:hint="eastAsia" w:ascii="Times New Roman" w:eastAsia="宋体" w:cs="Times New Roman"/>
                      <w:b/>
                      <w:w w:val="130"/>
                      <w:kern w:val="0"/>
                      <w:sz w:val="96"/>
                      <w:vertAlign w:val="baseline"/>
                      <w:lang w:val="en-US" w:eastAsia="zh-CN"/>
                    </w:rPr>
                    <w:t>JALNCP</w:t>
                  </w:r>
                  <w:r>
                    <w:rPr>
                      <w:rFonts w:hint="eastAsia" w:ascii="Times New Roman" w:eastAsia="宋体" w:cs="Times New Roman"/>
                      <w:b/>
                      <w:w w:val="130"/>
                      <w:kern w:val="0"/>
                      <w:sz w:val="96"/>
                      <w:vertAlign w:val="baseline"/>
                      <w:lang w:val="en-US" w:eastAsia="zh-CN"/>
                    </w:rPr>
                    <w:fldChar w:fldCharType="end"/>
                  </w:r>
                  <w:bookmarkEnd w:id="17"/>
                </w:p>
              </w:tc>
            </w:tr>
          </w:tbl>
          <w:p>
            <w:pPr>
              <w:pStyle w:val="52"/>
              <w:framePr w:w="9639"/>
              <w:bidi w:val="0"/>
              <w:jc w:val="both"/>
              <w:rPr>
                <w:rFonts w:hint="eastAsia"/>
                <w:vertAlign w:val="baseline"/>
                <w:lang w:val="en-US" w:eastAsia="zh-CN"/>
              </w:rPr>
            </w:pPr>
          </w:p>
        </w:tc>
      </w:tr>
    </w:tbl>
    <w:p>
      <w:pPr>
        <w:pStyle w:val="52"/>
        <w:framePr w:w="9639"/>
        <w:bidi w:val="0"/>
        <w:rPr>
          <w:rFonts w:hint="eastAsia"/>
          <w:lang w:val="en-US" w:eastAsia="zh-CN"/>
        </w:rPr>
        <w:sectPr>
          <w:headerReference r:id="rId3" w:type="even"/>
          <w:pgSz w:w="11906" w:h="16838"/>
          <w:pgMar w:top="-340" w:right="1134" w:bottom="1021" w:left="1134" w:header="0" w:footer="0" w:gutter="284"/>
          <w:lnNumType w:countBy="0" w:restart="continuous"/>
          <w:pgNumType w:fmt="decimal" w:start="1"/>
          <w:cols w:space="425" w:num="1"/>
          <w:titlePg/>
          <w:docGrid w:type="lines" w:linePitch="312" w:charSpace="0"/>
        </w:sectPr>
      </w:pPr>
    </w:p>
    <w:p>
      <w:pPr>
        <w:pStyle w:val="53"/>
        <w:bidi w:val="0"/>
        <w:rPr>
          <w:rFonts w:hint="eastAsia"/>
          <w:lang w:val="en-US" w:eastAsia="zh-CN"/>
        </w:rPr>
      </w:pPr>
      <w:r>
        <w:rPr>
          <w:rFonts w:hint="eastAsia"/>
          <w:spacing w:val="317"/>
          <w:lang w:val="en-US" w:eastAsia="zh-CN"/>
        </w:rPr>
        <w:t>目</w:t>
      </w:r>
      <w:bookmarkStart w:id="18" w:name="BKML"/>
      <w:r>
        <w:rPr>
          <w:rFonts w:hint="eastAsia"/>
          <w:lang w:val="en-US" w:eastAsia="zh-CN"/>
        </w:rPr>
        <w:t>次</w:t>
      </w:r>
      <w:bookmarkEnd w:id="18"/>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_Toc6346 </w:instrText>
      </w:r>
      <w:r>
        <w:rPr>
          <w:rFonts w:hint="eastAsia" w:ascii="宋体" w:hAnsi="宋体" w:eastAsia="宋体" w:cs="宋体"/>
          <w:spacing w:val="0"/>
          <w:lang w:val="en-US" w:eastAsia="zh-CN"/>
        </w:rPr>
        <w:fldChar w:fldCharType="separate"/>
      </w:r>
      <w:r>
        <w:rPr>
          <w:rFonts w:hint="eastAsia"/>
          <w:spacing w:val="317"/>
          <w:lang w:val="en-US" w:eastAsia="zh-CN"/>
        </w:rPr>
        <w:t>前</w:t>
      </w:r>
      <w:r>
        <w:rPr>
          <w:rFonts w:hint="eastAsia"/>
          <w:lang w:val="en-US" w:eastAsia="zh-CN"/>
        </w:rPr>
        <w:t>言</w:t>
      </w:r>
      <w:r>
        <w:tab/>
      </w:r>
      <w:r>
        <w:fldChar w:fldCharType="begin"/>
      </w:r>
      <w:r>
        <w:instrText xml:space="preserve"> PAGEREF _Toc6346 \h </w:instrText>
      </w:r>
      <w:r>
        <w:fldChar w:fldCharType="separate"/>
      </w:r>
      <w:r>
        <w:t>II</w:t>
      </w:r>
      <w:r>
        <w:fldChar w:fldCharType="end"/>
      </w:r>
      <w:r>
        <w:rPr>
          <w:rFonts w:hint="eastAsia" w:ascii="宋体" w:hAnsi="宋体" w:eastAsia="宋体" w:cs="宋体"/>
          <w:spacing w:val="0"/>
          <w:lang w:val="en-US" w:eastAsia="zh-CN"/>
        </w:rPr>
        <w:fldChar w:fldCharType="end"/>
      </w:r>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_Toc8541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1 </w:t>
      </w:r>
      <w:r>
        <w:rPr>
          <w:rFonts w:hint="eastAsia"/>
          <w:lang w:val="en-US" w:eastAsia="zh-CN"/>
        </w:rPr>
        <w:t>范围</w:t>
      </w:r>
      <w:r>
        <w:tab/>
      </w:r>
      <w:r>
        <w:fldChar w:fldCharType="begin"/>
      </w:r>
      <w:r>
        <w:instrText xml:space="preserve"> PAGEREF _Toc8541 \h </w:instrText>
      </w:r>
      <w:r>
        <w:fldChar w:fldCharType="separate"/>
      </w:r>
      <w:r>
        <w:t>1</w:t>
      </w:r>
      <w:r>
        <w:fldChar w:fldCharType="end"/>
      </w:r>
      <w:r>
        <w:rPr>
          <w:rFonts w:hint="eastAsia" w:ascii="宋体" w:hAnsi="宋体" w:eastAsia="宋体" w:cs="宋体"/>
          <w:spacing w:val="0"/>
          <w:lang w:val="en-US" w:eastAsia="zh-CN"/>
        </w:rPr>
        <w:fldChar w:fldCharType="end"/>
      </w:r>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_Toc30434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2 </w:t>
      </w:r>
      <w:r>
        <w:rPr>
          <w:rFonts w:hint="eastAsia"/>
          <w:lang w:val="en-US" w:eastAsia="zh-CN"/>
        </w:rPr>
        <w:t>规范性引用文件</w:t>
      </w:r>
      <w:r>
        <w:tab/>
      </w:r>
      <w:r>
        <w:fldChar w:fldCharType="begin"/>
      </w:r>
      <w:r>
        <w:instrText xml:space="preserve"> PAGEREF _Toc30434 \h </w:instrText>
      </w:r>
      <w:r>
        <w:fldChar w:fldCharType="separate"/>
      </w:r>
      <w:r>
        <w:t>1</w:t>
      </w:r>
      <w:r>
        <w:fldChar w:fldCharType="end"/>
      </w:r>
      <w:r>
        <w:rPr>
          <w:rFonts w:hint="eastAsia" w:ascii="宋体" w:hAnsi="宋体" w:eastAsia="宋体" w:cs="宋体"/>
          <w:spacing w:val="0"/>
          <w:lang w:val="en-US" w:eastAsia="zh-CN"/>
        </w:rPr>
        <w:fldChar w:fldCharType="end"/>
      </w:r>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_Toc5700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3 </w:t>
      </w:r>
      <w:r>
        <w:rPr>
          <w:rFonts w:hint="eastAsia"/>
          <w:lang w:val="en-US" w:eastAsia="zh-CN"/>
        </w:rPr>
        <w:t>术语和定义</w:t>
      </w:r>
      <w:r>
        <w:tab/>
      </w:r>
      <w:r>
        <w:fldChar w:fldCharType="begin"/>
      </w:r>
      <w:r>
        <w:instrText xml:space="preserve"> PAGEREF _Toc5700 \h </w:instrText>
      </w:r>
      <w:r>
        <w:fldChar w:fldCharType="separate"/>
      </w:r>
      <w:r>
        <w:t>1</w:t>
      </w:r>
      <w:r>
        <w:fldChar w:fldCharType="end"/>
      </w:r>
      <w:r>
        <w:rPr>
          <w:rFonts w:hint="eastAsia" w:ascii="宋体" w:hAnsi="宋体" w:eastAsia="宋体" w:cs="宋体"/>
          <w:spacing w:val="0"/>
          <w:lang w:val="en-US" w:eastAsia="zh-CN"/>
        </w:rPr>
        <w:fldChar w:fldCharType="end"/>
      </w:r>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_Toc20283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4 </w:t>
      </w:r>
      <w:r>
        <w:rPr>
          <w:rFonts w:hint="default"/>
        </w:rPr>
        <w:t>要求</w:t>
      </w:r>
      <w:r>
        <w:tab/>
      </w:r>
      <w:r>
        <w:fldChar w:fldCharType="begin"/>
      </w:r>
      <w:r>
        <w:instrText xml:space="preserve"> PAGEREF _Toc20283 \h </w:instrText>
      </w:r>
      <w:r>
        <w:fldChar w:fldCharType="separate"/>
      </w:r>
      <w:r>
        <w:t>1</w:t>
      </w:r>
      <w:r>
        <w:fldChar w:fldCharType="end"/>
      </w:r>
      <w:r>
        <w:rPr>
          <w:rFonts w:hint="eastAsia" w:ascii="宋体" w:hAnsi="宋体" w:eastAsia="宋体" w:cs="宋体"/>
          <w:spacing w:val="0"/>
          <w:lang w:val="en-US" w:eastAsia="zh-CN"/>
        </w:rPr>
        <w:fldChar w:fldCharType="end"/>
      </w:r>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_Toc14896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5 </w:t>
      </w:r>
      <w:r>
        <w:rPr>
          <w:rFonts w:hint="eastAsia" w:ascii="宋体" w:hAnsi="宋体" w:eastAsia="宋体" w:cs="宋体"/>
          <w:lang w:val="en-US" w:eastAsia="zh-CN"/>
        </w:rPr>
        <w:t>检验方法</w:t>
      </w:r>
      <w:r>
        <w:tab/>
      </w:r>
      <w:r>
        <w:fldChar w:fldCharType="begin"/>
      </w:r>
      <w:r>
        <w:instrText xml:space="preserve"> PAGEREF _Toc14896 \h </w:instrText>
      </w:r>
      <w:r>
        <w:fldChar w:fldCharType="separate"/>
      </w:r>
      <w:r>
        <w:t>2</w:t>
      </w:r>
      <w:r>
        <w:fldChar w:fldCharType="end"/>
      </w:r>
      <w:r>
        <w:rPr>
          <w:rFonts w:hint="eastAsia" w:ascii="宋体" w:hAnsi="宋体" w:eastAsia="宋体" w:cs="宋体"/>
          <w:spacing w:val="0"/>
          <w:lang w:val="en-US" w:eastAsia="zh-CN"/>
        </w:rPr>
        <w:fldChar w:fldCharType="end"/>
      </w:r>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_Toc26166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6 </w:t>
      </w:r>
      <w:r>
        <w:rPr>
          <w:rFonts w:hint="eastAsia"/>
          <w:lang w:val="en-US" w:eastAsia="zh-CN"/>
        </w:rPr>
        <w:t>检验规则</w:t>
      </w:r>
      <w:r>
        <w:tab/>
      </w:r>
      <w:r>
        <w:fldChar w:fldCharType="begin"/>
      </w:r>
      <w:r>
        <w:instrText xml:space="preserve"> PAGEREF _Toc26166 \h </w:instrText>
      </w:r>
      <w:r>
        <w:fldChar w:fldCharType="separate"/>
      </w:r>
      <w:r>
        <w:t>2</w:t>
      </w:r>
      <w:r>
        <w:fldChar w:fldCharType="end"/>
      </w:r>
      <w:r>
        <w:rPr>
          <w:rFonts w:hint="eastAsia" w:ascii="宋体" w:hAnsi="宋体" w:eastAsia="宋体" w:cs="宋体"/>
          <w:spacing w:val="0"/>
          <w:lang w:val="en-US" w:eastAsia="zh-CN"/>
        </w:rPr>
        <w:fldChar w:fldCharType="end"/>
      </w:r>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_Toc20517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7 </w:t>
      </w:r>
      <w:r>
        <w:rPr>
          <w:rFonts w:hint="default"/>
        </w:rPr>
        <w:t>包装、运输和贮存</w:t>
      </w:r>
      <w:r>
        <w:tab/>
      </w:r>
      <w:r>
        <w:fldChar w:fldCharType="begin"/>
      </w:r>
      <w:r>
        <w:instrText xml:space="preserve"> PAGEREF _Toc20517 \h </w:instrText>
      </w:r>
      <w:r>
        <w:fldChar w:fldCharType="separate"/>
      </w:r>
      <w:r>
        <w:t>3</w:t>
      </w:r>
      <w:r>
        <w:fldChar w:fldCharType="end"/>
      </w:r>
      <w:r>
        <w:rPr>
          <w:rFonts w:hint="eastAsia" w:ascii="宋体" w:hAnsi="宋体" w:eastAsia="宋体" w:cs="宋体"/>
          <w:spacing w:val="0"/>
          <w:lang w:val="en-US" w:eastAsia="zh-CN"/>
        </w:rPr>
        <w:fldChar w:fldCharType="end"/>
      </w:r>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_Toc28217 </w:instrText>
      </w:r>
      <w:r>
        <w:rPr>
          <w:rFonts w:hint="eastAsia" w:ascii="宋体" w:hAnsi="宋体" w:eastAsia="宋体" w:cs="宋体"/>
          <w:spacing w:val="0"/>
          <w:lang w:val="en-US" w:eastAsia="zh-CN"/>
        </w:rPr>
        <w:fldChar w:fldCharType="separate"/>
      </w:r>
      <w:r>
        <w:rPr>
          <w:rFonts w:hint="default"/>
          <w:spacing w:val="102"/>
          <w:lang w:val="en-US" w:eastAsia="zh-CN"/>
        </w:rPr>
        <w:t xml:space="preserve">附录A </w:t>
      </w:r>
      <w:r>
        <w:rPr>
          <w:rFonts w:hint="eastAsia"/>
          <w:lang w:val="en-US" w:eastAsia="zh-CN"/>
        </w:rPr>
        <w:t xml:space="preserve"> （规范性） 井冈山冬笋生产区域范围图</w:t>
      </w:r>
      <w:r>
        <w:tab/>
      </w:r>
      <w:r>
        <w:rPr>
          <w:rFonts w:hint="eastAsia"/>
          <w:lang w:val="en-US" w:eastAsia="zh-CN"/>
        </w:rPr>
        <w:t>4</w:t>
      </w:r>
      <w:r>
        <w:rPr>
          <w:rFonts w:hint="eastAsia" w:ascii="宋体" w:hAnsi="宋体" w:eastAsia="宋体" w:cs="宋体"/>
          <w:spacing w:val="0"/>
          <w:lang w:val="en-US" w:eastAsia="zh-CN"/>
        </w:rPr>
        <w:fldChar w:fldCharType="end"/>
      </w:r>
    </w:p>
    <w:p>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pPr>
        <w:pStyle w:val="53"/>
        <w:bidi w:val="0"/>
        <w:rPr>
          <w:rFonts w:hint="eastAsia"/>
          <w:lang w:val="en-US" w:eastAsia="zh-CN"/>
        </w:rPr>
      </w:pPr>
      <w:r>
        <w:rPr>
          <w:rFonts w:hint="eastAsia"/>
          <w:lang w:val="en-US" w:eastAsia="zh-CN"/>
        </w:rPr>
        <w:br w:type="page"/>
      </w:r>
    </w:p>
    <w:p>
      <w:pPr>
        <w:pStyle w:val="54"/>
        <w:bidi w:val="0"/>
        <w:rPr>
          <w:rFonts w:hint="eastAsia"/>
          <w:lang w:val="en-US" w:eastAsia="zh-CN"/>
        </w:rPr>
      </w:pPr>
      <w:bookmarkStart w:id="19" w:name="_Toc6346"/>
      <w:r>
        <w:rPr>
          <w:rFonts w:hint="eastAsia"/>
          <w:spacing w:val="317"/>
          <w:lang w:val="en-US" w:eastAsia="zh-CN"/>
        </w:rPr>
        <w:t>前</w:t>
      </w:r>
      <w:bookmarkStart w:id="20" w:name="BKQY"/>
      <w:r>
        <w:rPr>
          <w:rFonts w:hint="eastAsia"/>
          <w:lang w:val="en-US" w:eastAsia="zh-CN"/>
        </w:rPr>
        <w:t>言</w:t>
      </w:r>
      <w:bookmarkEnd w:id="19"/>
    </w:p>
    <w:p>
      <w:pPr>
        <w:pStyle w:val="24"/>
        <w:bidi w:val="0"/>
        <w:rPr>
          <w:rFonts w:hint="eastAsia"/>
          <w:lang w:val="en-US" w:eastAsia="zh-CN"/>
        </w:rPr>
      </w:pPr>
      <w:r>
        <w:rPr>
          <w:rFonts w:hint="eastAsia"/>
          <w:lang w:val="en-US" w:eastAsia="zh-CN"/>
        </w:rPr>
        <w:t>本文件按照GB/T 1.1—2020《标准化工作导则  第1部分：标准化文件的结构和起草规则》的规定起草。</w:t>
      </w:r>
    </w:p>
    <w:p>
      <w:pPr>
        <w:pStyle w:val="24"/>
        <w:bidi w:val="0"/>
        <w:rPr>
          <w:rFonts w:hint="eastAsia"/>
          <w:lang w:val="en-US" w:eastAsia="zh-CN"/>
        </w:rPr>
      </w:pPr>
      <w:r>
        <w:rPr>
          <w:rFonts w:hint="eastAsia"/>
          <w:lang w:val="en-US" w:eastAsia="zh-CN"/>
        </w:rPr>
        <w:t>请注意本文件的某些内容可能涉及专利。本文件的发布机构不承担识别专利的责任。</w:t>
      </w:r>
    </w:p>
    <w:p>
      <w:pPr>
        <w:pStyle w:val="24"/>
        <w:bidi w:val="0"/>
        <w:rPr>
          <w:rFonts w:hint="eastAsia"/>
          <w:lang w:val="en-US" w:eastAsia="zh-CN"/>
        </w:rPr>
      </w:pPr>
      <w:r>
        <w:rPr>
          <w:rFonts w:hint="eastAsia"/>
          <w:lang w:val="en-US" w:eastAsia="zh-CN"/>
        </w:rPr>
        <w:t>本文件由</w:t>
      </w:r>
      <w:r>
        <w:rPr>
          <w:rFonts w:hint="eastAsia"/>
        </w:rPr>
        <w:t>吉安市绿色农产品促进会</w:t>
      </w:r>
      <w:r>
        <w:rPr>
          <w:rFonts w:hint="eastAsia"/>
          <w:lang w:val="en-US" w:eastAsia="zh-CN"/>
        </w:rPr>
        <w:t>提出并归口。</w:t>
      </w:r>
    </w:p>
    <w:p>
      <w:pPr>
        <w:pStyle w:val="24"/>
        <w:bidi w:val="0"/>
        <w:rPr>
          <w:rFonts w:hint="eastAsia" w:eastAsia="宋体"/>
          <w:lang w:val="en-US" w:eastAsia="zh-CN"/>
        </w:rPr>
      </w:pPr>
      <w:r>
        <w:rPr>
          <w:rFonts w:hint="eastAsia"/>
          <w:lang w:val="en-US" w:eastAsia="zh-CN"/>
        </w:rPr>
        <w:t>本文件起草单位：</w:t>
      </w:r>
    </w:p>
    <w:p>
      <w:pPr>
        <w:pStyle w:val="24"/>
        <w:bidi w:val="0"/>
        <w:rPr>
          <w:rFonts w:hint="eastAsia"/>
          <w:lang w:val="en-US" w:eastAsia="zh-CN"/>
        </w:rPr>
      </w:pPr>
      <w:r>
        <w:rPr>
          <w:rFonts w:hint="eastAsia"/>
          <w:lang w:val="en-US" w:eastAsia="zh-CN"/>
        </w:rPr>
        <w:t>本文件主要起草人：</w:t>
      </w:r>
    </w:p>
    <w:p>
      <w:pPr>
        <w:pStyle w:val="24"/>
        <w:bidi w:val="0"/>
        <w:rPr>
          <w:rFonts w:hint="eastAsia"/>
          <w:lang w:val="en-US" w:eastAsia="zh-CN"/>
        </w:rPr>
      </w:pPr>
    </w:p>
    <w:bookmarkEnd w:id="20"/>
    <w:p>
      <w:pPr>
        <w:rPr>
          <w:rFonts w:hint="eastAsia"/>
          <w:lang w:val="en-US" w:eastAsia="zh-CN"/>
        </w:rPr>
      </w:pPr>
    </w:p>
    <w:p>
      <w:pPr>
        <w:rPr>
          <w:rFonts w:hint="eastAsia"/>
          <w:lang w:val="en-US" w:eastAsia="zh-CN"/>
        </w:rPr>
      </w:pPr>
    </w:p>
    <w:p>
      <w:pPr>
        <w:rPr>
          <w:rFonts w:hint="eastAsia"/>
          <w:lang w:val="en-US" w:eastAsia="zh-CN"/>
        </w:rPr>
        <w:sectPr>
          <w:headerReference r:id="rId4" w:type="default"/>
          <w:footerReference r:id="rId5" w:type="default"/>
          <w:footerReference r:id="rId6" w:type="even"/>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9"/>
          <w:rFonts w:hint="eastAsia"/>
          <w:lang w:val="en-US" w:eastAsia="zh-CN"/>
        </w:rPr>
        <w:tag w:val="StandardName"/>
        <w:id w:val="147457484"/>
        <w:lock w:val="sdtLocked"/>
        <w:placeholder>
          <w:docPart w:val="{dc198fea-d184-4aa6-8509-aaf3d889285d}"/>
        </w:placeholder>
      </w:sdtPr>
      <w:sdtEndPr>
        <w:rPr>
          <w:rStyle w:val="119"/>
          <w:rFonts w:hint="eastAsia"/>
          <w:lang w:val="en-US" w:eastAsia="zh-CN"/>
        </w:rPr>
      </w:sdtEndPr>
      <w:sdtContent>
        <w:p>
          <w:pPr>
            <w:pStyle w:val="55"/>
            <w:bidi w:val="0"/>
            <w:rPr>
              <w:rStyle w:val="119"/>
              <w:rFonts w:hint="eastAsia"/>
              <w:lang w:val="en-US" w:eastAsia="zh-CN"/>
            </w:rPr>
          </w:pPr>
          <w:bookmarkStart w:id="21" w:name="StandardName"/>
          <w:r>
            <w:rPr>
              <w:rStyle w:val="119"/>
              <w:rFonts w:hint="eastAsia"/>
              <w:lang w:val="en-US" w:eastAsia="zh-CN"/>
            </w:rPr>
            <w:t>井冈山</w:t>
          </w:r>
          <w:bookmarkEnd w:id="21"/>
          <w:r>
            <w:rPr>
              <w:rStyle w:val="119"/>
              <w:rFonts w:hint="eastAsia"/>
              <w:lang w:val="en-US" w:eastAsia="zh-CN"/>
            </w:rPr>
            <w:t>冬笋</w:t>
          </w:r>
        </w:p>
      </w:sdtContent>
    </w:sdt>
    <w:p>
      <w:pPr>
        <w:pStyle w:val="71"/>
        <w:bidi w:val="0"/>
        <w:rPr>
          <w:rStyle w:val="119"/>
          <w:rFonts w:hint="eastAsia"/>
          <w:lang w:val="en-US" w:eastAsia="zh-CN"/>
        </w:rPr>
      </w:pPr>
      <w:bookmarkStart w:id="22" w:name="_Toc8541"/>
      <w:r>
        <w:rPr>
          <w:rFonts w:hint="eastAsia"/>
          <w:lang w:val="en-US" w:eastAsia="zh-CN"/>
        </w:rPr>
        <w:t>范围</w:t>
      </w:r>
      <w:bookmarkEnd w:id="22"/>
    </w:p>
    <w:p>
      <w:pPr>
        <w:pStyle w:val="24"/>
        <w:rPr>
          <w:rFonts w:hint="eastAsia"/>
          <w:lang w:val="en-US" w:eastAsia="zh-CN"/>
        </w:rPr>
      </w:pPr>
      <w:r>
        <w:rPr>
          <w:rFonts w:hint="eastAsia"/>
          <w:lang w:val="en-US" w:eastAsia="zh-CN"/>
        </w:rPr>
        <w:t>本文件规定了井冈山冬笋加工的术语和定义、要求、检验方法、检验规则、标志、包装、运输和贮存。</w:t>
      </w:r>
    </w:p>
    <w:p>
      <w:pPr>
        <w:pStyle w:val="24"/>
        <w:rPr>
          <w:rFonts w:hint="eastAsia"/>
          <w:lang w:val="en-US" w:eastAsia="zh-CN"/>
        </w:rPr>
      </w:pPr>
      <w:r>
        <w:rPr>
          <w:rFonts w:hint="eastAsia"/>
          <w:lang w:val="en-US" w:eastAsia="zh-CN"/>
        </w:rPr>
        <w:t>本文件适用于吉安市行政区域范围内种植加工的新鲜冬笋。</w:t>
      </w:r>
    </w:p>
    <w:p>
      <w:pPr>
        <w:pStyle w:val="71"/>
        <w:bidi w:val="0"/>
        <w:rPr>
          <w:rFonts w:hint="eastAsia"/>
          <w:lang w:val="en-US" w:eastAsia="zh-CN"/>
        </w:rPr>
      </w:pPr>
      <w:bookmarkStart w:id="23" w:name="_Toc30434"/>
      <w:r>
        <w:rPr>
          <w:rFonts w:hint="eastAsia"/>
          <w:lang w:val="en-US" w:eastAsia="zh-CN"/>
        </w:rPr>
        <w:t>规范性引用文件</w:t>
      </w:r>
      <w:bookmarkEnd w:id="23"/>
    </w:p>
    <w:sdt>
      <w:sdtPr>
        <w:rPr>
          <w:rFonts w:hint="eastAsia" w:ascii="宋体" w:hAnsi="Times New Roman" w:eastAsia="宋体" w:cs="宋体"/>
          <w:sz w:val="21"/>
          <w:lang w:val="en-US" w:eastAsia="zh-CN"/>
        </w:rPr>
        <w:tag w:val="StandNameFile"/>
        <w:id w:val="147458581"/>
        <w:placeholder>
          <w:docPart w:val="{e43a72de-6420-4734-a0dc-b6c3f8f378bc}"/>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4"/>
        <w:bidi w:val="0"/>
        <w:rPr>
          <w:rFonts w:hint="eastAsia" w:ascii="宋体" w:hAnsi="Times New Roman" w:eastAsia="宋体" w:cs="宋体"/>
          <w:sz w:val="21"/>
          <w:highlight w:val="none"/>
          <w:lang w:val="en-US" w:eastAsia="zh-CN"/>
        </w:rPr>
      </w:pPr>
      <w:bookmarkStart w:id="24" w:name="_Toc5700"/>
      <w:r>
        <w:rPr>
          <w:rFonts w:hint="eastAsia" w:ascii="宋体" w:hAnsi="Times New Roman" w:eastAsia="宋体" w:cs="宋体"/>
          <w:sz w:val="21"/>
          <w:highlight w:val="none"/>
          <w:lang w:val="en-US" w:eastAsia="zh-CN"/>
        </w:rPr>
        <w:t>GB/T</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191 包装储运图示标志</w:t>
      </w:r>
    </w:p>
    <w:p>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 xml:space="preserve">GB 2762 </w:t>
      </w:r>
      <w:r>
        <w:rPr>
          <w:rFonts w:hint="eastAsia" w:ascii="宋体" w:hAnsi="Times New Roman" w:eastAsia="宋体" w:cs="宋体"/>
          <w:sz w:val="21"/>
          <w:highlight w:val="none"/>
          <w:lang w:val="en-US" w:eastAsia="zh-CN"/>
        </w:rPr>
        <w:t>食品安全国家标准  食品中污染物限量</w:t>
      </w:r>
    </w:p>
    <w:p>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2763 食品安全国家标准 食品中农药最大残留限量</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 xml:space="preserve">GB 4806.1 </w:t>
      </w:r>
      <w:r>
        <w:rPr>
          <w:rFonts w:hint="eastAsia" w:ascii="宋体" w:hAnsi="Times New Roman" w:eastAsia="宋体" w:cs="宋体"/>
          <w:sz w:val="21"/>
          <w:highlight w:val="none"/>
          <w:lang w:val="en-US" w:eastAsia="zh-CN"/>
        </w:rPr>
        <w:t>食品安全国家标准  食品接触材料及制品通用安全要求</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 xml:space="preserve">GB 4806.7 </w:t>
      </w:r>
      <w:r>
        <w:rPr>
          <w:rFonts w:hint="eastAsia" w:ascii="宋体" w:hAnsi="Times New Roman" w:eastAsia="宋体" w:cs="宋体"/>
          <w:sz w:val="21"/>
          <w:highlight w:val="none"/>
          <w:lang w:val="en-US" w:eastAsia="zh-CN"/>
        </w:rPr>
        <w:t>食品安全国家标准  食品接触用塑料材料及制品</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5009.9 食品安全国家标准 食品中淀粉的测定</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 xml:space="preserve">GB/T 5737 </w:t>
      </w:r>
      <w:r>
        <w:rPr>
          <w:rFonts w:hint="eastAsia" w:ascii="宋体" w:hAnsi="Times New Roman" w:eastAsia="宋体" w:cs="宋体"/>
          <w:sz w:val="21"/>
          <w:highlight w:val="none"/>
          <w:lang w:val="en-US" w:eastAsia="zh-CN"/>
        </w:rPr>
        <w:t>食品塑料周转箱</w:t>
      </w:r>
    </w:p>
    <w:p>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GB/T 19630 有机产品 生产、加工、标识与管理体系要求</w:t>
      </w:r>
    </w:p>
    <w:p>
      <w:pPr>
        <w:pStyle w:val="24"/>
        <w:bidi w:val="0"/>
        <w:rPr>
          <w:rFonts w:hint="default" w:ascii="宋体" w:hAnsi="Times New Roman" w:eastAsia="宋体" w:cs="宋体"/>
          <w:sz w:val="21"/>
          <w:highlight w:val="none"/>
          <w:lang w:val="en-US" w:eastAsia="zh-CN"/>
        </w:rPr>
      </w:pPr>
      <w:bookmarkStart w:id="25" w:name="OLE_LINK4"/>
      <w:r>
        <w:rPr>
          <w:rFonts w:hint="default" w:ascii="宋体" w:hAnsi="Times New Roman" w:eastAsia="宋体" w:cs="宋体"/>
          <w:sz w:val="21"/>
          <w:highlight w:val="none"/>
          <w:lang w:val="en-US" w:eastAsia="zh-CN"/>
        </w:rPr>
        <w:t>GB</w:t>
      </w:r>
      <w:r>
        <w:rPr>
          <w:rFonts w:hint="eastAsia" w:ascii="宋体" w:hAnsi="Times New Roman" w:eastAsia="宋体" w:cs="宋体"/>
          <w:sz w:val="21"/>
          <w:highlight w:val="none"/>
          <w:lang w:val="en-US" w:eastAsia="zh-CN"/>
        </w:rPr>
        <w:t>/</w:t>
      </w:r>
      <w:r>
        <w:rPr>
          <w:rFonts w:hint="default" w:ascii="宋体" w:hAnsi="Times New Roman" w:eastAsia="宋体" w:cs="宋体"/>
          <w:sz w:val="21"/>
          <w:highlight w:val="none"/>
          <w:lang w:val="en-US" w:eastAsia="zh-CN"/>
        </w:rPr>
        <w:t>T</w:t>
      </w:r>
      <w:r>
        <w:rPr>
          <w:rFonts w:hint="eastAsia" w:ascii="宋体" w:hAnsi="Times New Roman" w:eastAsia="宋体" w:cs="宋体"/>
          <w:sz w:val="21"/>
          <w:highlight w:val="none"/>
          <w:lang w:val="en-US" w:eastAsia="zh-CN"/>
        </w:rPr>
        <w:t xml:space="preserve"> </w:t>
      </w:r>
      <w:r>
        <w:rPr>
          <w:rFonts w:hint="default" w:ascii="宋体" w:hAnsi="Times New Roman" w:eastAsia="宋体" w:cs="宋体"/>
          <w:sz w:val="21"/>
          <w:highlight w:val="none"/>
          <w:lang w:val="en-US" w:eastAsia="zh-CN"/>
        </w:rPr>
        <w:t>20977</w:t>
      </w:r>
      <w:r>
        <w:rPr>
          <w:rFonts w:hint="eastAsia" w:ascii="宋体" w:hAnsi="Times New Roman" w:eastAsia="宋体" w:cs="宋体"/>
          <w:sz w:val="21"/>
          <w:highlight w:val="none"/>
          <w:lang w:val="en-US" w:eastAsia="zh-CN"/>
        </w:rPr>
        <w:t xml:space="preserve"> 糕点通则（含第1号修改单）</w:t>
      </w:r>
    </w:p>
    <w:bookmarkEnd w:id="25"/>
    <w:p>
      <w:pPr>
        <w:pStyle w:val="24"/>
        <w:bidi w:val="0"/>
        <w:rPr>
          <w:rFonts w:hint="eastAsia" w:ascii="宋体" w:hAnsi="Times New Roman" w:eastAsia="宋体" w:cs="宋体"/>
          <w:sz w:val="21"/>
          <w:highlight w:val="none"/>
          <w:lang w:val="en-US" w:eastAsia="zh-CN"/>
        </w:rPr>
      </w:pPr>
      <w:bookmarkStart w:id="26" w:name="OLE_LINK5"/>
      <w:r>
        <w:rPr>
          <w:rFonts w:hint="eastAsia" w:ascii="宋体" w:hAnsi="Times New Roman" w:eastAsia="宋体" w:cs="宋体"/>
          <w:sz w:val="21"/>
          <w:highlight w:val="none"/>
          <w:lang w:val="en-US" w:eastAsia="zh-CN"/>
        </w:rPr>
        <w:t>GB 31621 食品安全国家标准 食品经营过程卫生规范</w:t>
      </w:r>
    </w:p>
    <w:bookmarkEnd w:id="26"/>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GB/T 32950 鲜活农产品标签标识</w:t>
      </w:r>
    </w:p>
    <w:p>
      <w:pPr>
        <w:pStyle w:val="24"/>
        <w:bidi w:val="0"/>
        <w:rPr>
          <w:rFonts w:hint="default" w:ascii="宋体" w:hAnsi="Times New Roman" w:eastAsia="宋体" w:cs="宋体"/>
          <w:sz w:val="21"/>
          <w:highlight w:val="none"/>
          <w:lang w:val="en-US" w:eastAsia="zh-CN"/>
        </w:rPr>
      </w:pPr>
      <w:bookmarkStart w:id="27" w:name="OLE_LINK6"/>
      <w:r>
        <w:rPr>
          <w:rFonts w:hint="eastAsia" w:ascii="宋体" w:hAnsi="Times New Roman" w:eastAsia="宋体" w:cs="宋体"/>
          <w:sz w:val="21"/>
          <w:highlight w:val="none"/>
          <w:lang w:val="en-US" w:eastAsia="zh-CN"/>
        </w:rPr>
        <w:t>NY/T 391</w:t>
      </w:r>
      <w:bookmarkEnd w:id="27"/>
      <w:r>
        <w:rPr>
          <w:rFonts w:hint="eastAsia" w:ascii="宋体" w:hAnsi="Times New Roman" w:eastAsia="宋体" w:cs="宋体"/>
          <w:sz w:val="21"/>
          <w:highlight w:val="none"/>
          <w:lang w:val="en-US" w:eastAsia="zh-CN"/>
        </w:rPr>
        <w:t xml:space="preserve"> 绿色食品 产地环境质量</w:t>
      </w:r>
    </w:p>
    <w:p>
      <w:pPr>
        <w:pStyle w:val="24"/>
        <w:bidi w:val="0"/>
        <w:rPr>
          <w:rFonts w:hint="default" w:ascii="宋体" w:hAnsi="Times New Roman" w:eastAsia="宋体" w:cs="宋体"/>
          <w:sz w:val="21"/>
          <w:highlight w:val="none"/>
          <w:lang w:val="en-US" w:eastAsia="zh-CN"/>
        </w:rPr>
      </w:pPr>
      <w:bookmarkStart w:id="28" w:name="OLE_LINK7"/>
      <w:r>
        <w:rPr>
          <w:rFonts w:hint="eastAsia" w:ascii="宋体" w:hAnsi="Times New Roman" w:eastAsia="宋体" w:cs="宋体"/>
          <w:sz w:val="21"/>
          <w:highlight w:val="none"/>
          <w:lang w:val="en-US" w:eastAsia="zh-CN"/>
        </w:rPr>
        <w:t>NY/T 393 绿色食品农药使用准则</w:t>
      </w:r>
    </w:p>
    <w:bookmarkEnd w:id="28"/>
    <w:p>
      <w:pPr>
        <w:pStyle w:val="24"/>
        <w:bidi w:val="0"/>
        <w:rPr>
          <w:rFonts w:hint="default" w:ascii="宋体" w:hAnsi="Times New Roman" w:eastAsia="宋体" w:cs="宋体"/>
          <w:sz w:val="21"/>
          <w:highlight w:val="none"/>
          <w:lang w:val="en-US" w:eastAsia="zh-CN"/>
        </w:rPr>
      </w:pPr>
      <w:bookmarkStart w:id="29" w:name="OLE_LINK8"/>
      <w:r>
        <w:rPr>
          <w:rFonts w:hint="eastAsia" w:ascii="宋体" w:hAnsi="Times New Roman" w:eastAsia="宋体" w:cs="宋体"/>
          <w:sz w:val="21"/>
          <w:highlight w:val="none"/>
          <w:lang w:val="en-US" w:eastAsia="zh-CN"/>
        </w:rPr>
        <w:t>NY/T 394 绿色食品 肥料使用准则</w:t>
      </w:r>
    </w:p>
    <w:bookmarkEnd w:id="29"/>
    <w:p>
      <w:pPr>
        <w:pStyle w:val="24"/>
        <w:bidi w:val="0"/>
        <w:rPr>
          <w:rFonts w:hint="default" w:ascii="宋体" w:hAnsi="Times New Roman" w:eastAsia="宋体" w:cs="宋体"/>
          <w:sz w:val="21"/>
          <w:highlight w:val="none"/>
          <w:lang w:val="en-US" w:eastAsia="zh-CN"/>
        </w:rPr>
      </w:pPr>
      <w:bookmarkStart w:id="30" w:name="OLE_LINK9"/>
      <w:r>
        <w:rPr>
          <w:rFonts w:hint="eastAsia" w:ascii="宋体" w:hAnsi="Times New Roman" w:eastAsia="宋体" w:cs="宋体"/>
          <w:sz w:val="21"/>
          <w:highlight w:val="none"/>
          <w:lang w:val="en-US" w:eastAsia="zh-CN"/>
        </w:rPr>
        <w:t>NY/T 658 绿色食品 包装通用准则</w:t>
      </w:r>
    </w:p>
    <w:bookmarkEnd w:id="30"/>
    <w:p>
      <w:pPr>
        <w:pStyle w:val="24"/>
        <w:bidi w:val="0"/>
        <w:rPr>
          <w:rFonts w:hint="eastAsia" w:ascii="宋体" w:hAnsi="Times New Roman" w:eastAsia="宋体" w:cs="宋体"/>
          <w:sz w:val="21"/>
          <w:highlight w:val="none"/>
          <w:lang w:val="en-US" w:eastAsia="zh-CN"/>
        </w:rPr>
      </w:pPr>
      <w:bookmarkStart w:id="31" w:name="OLE_LINK10"/>
      <w:r>
        <w:rPr>
          <w:rFonts w:hint="eastAsia" w:ascii="宋体" w:hAnsi="Times New Roman" w:eastAsia="宋体" w:cs="宋体"/>
          <w:sz w:val="21"/>
          <w:highlight w:val="none"/>
          <w:lang w:val="en-US" w:eastAsia="zh-CN"/>
        </w:rPr>
        <w:t>NY/T 1056 绿色食品 贮藏运输准则</w:t>
      </w:r>
      <w:bookmarkStart w:id="95" w:name="_GoBack"/>
      <w:bookmarkEnd w:id="95"/>
    </w:p>
    <w:bookmarkEnd w:id="31"/>
    <w:p>
      <w:pPr>
        <w:pStyle w:val="24"/>
        <w:bidi w:val="0"/>
        <w:rPr>
          <w:rFonts w:hint="default" w:ascii="宋体" w:hAnsi="Times New Roman" w:eastAsia="宋体" w:cs="宋体"/>
          <w:sz w:val="21"/>
          <w:highlight w:val="none"/>
          <w:lang w:val="en-US" w:eastAsia="zh-CN"/>
        </w:rPr>
      </w:pPr>
      <w:bookmarkStart w:id="32" w:name="OLE_LINK11"/>
      <w:r>
        <w:rPr>
          <w:rFonts w:hint="eastAsia" w:ascii="宋体" w:hAnsi="Times New Roman" w:eastAsia="宋体" w:cs="宋体"/>
          <w:sz w:val="21"/>
          <w:highlight w:val="none"/>
          <w:lang w:val="en-US" w:eastAsia="zh-CN"/>
        </w:rPr>
        <w:t>NY/T 1326</w:t>
      </w:r>
      <w:bookmarkEnd w:id="32"/>
      <w:r>
        <w:rPr>
          <w:rFonts w:hint="eastAsia" w:ascii="宋体" w:hAnsi="Times New Roman" w:eastAsia="宋体" w:cs="宋体"/>
          <w:sz w:val="21"/>
          <w:highlight w:val="none"/>
          <w:lang w:val="en-US" w:eastAsia="zh-CN"/>
        </w:rPr>
        <w:t xml:space="preserve"> 绿色食品 多年生蔬菜</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JJF 1070  定量包装商品净含量计量检验规则</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国家市场监督管理总局令2023年第70号  定量包装商品计量监督管理办法</w:t>
      </w:r>
    </w:p>
    <w:p>
      <w:pPr>
        <w:pStyle w:val="24"/>
        <w:bidi w:val="0"/>
        <w:rPr>
          <w:rFonts w:hint="default" w:ascii="宋体" w:hAnsi="Times New Roman" w:eastAsia="宋体" w:cs="宋体"/>
          <w:sz w:val="21"/>
          <w:highlight w:val="none"/>
          <w:lang w:val="en-US" w:eastAsia="zh-CN"/>
        </w:rPr>
      </w:pPr>
    </w:p>
    <w:p>
      <w:pPr>
        <w:pStyle w:val="71"/>
        <w:bidi w:val="0"/>
        <w:rPr>
          <w:rFonts w:hint="eastAsia" w:ascii="宋体" w:hAnsi="Times New Roman" w:eastAsia="宋体" w:cs="宋体"/>
          <w:lang w:val="en-US" w:eastAsia="zh-CN"/>
        </w:rPr>
      </w:pPr>
      <w:r>
        <w:rPr>
          <w:rFonts w:hint="eastAsia"/>
          <w:lang w:val="en-US" w:eastAsia="zh-CN"/>
        </w:rPr>
        <w:t>术语和定义</w:t>
      </w:r>
      <w:bookmarkEnd w:id="24"/>
    </w:p>
    <w:sdt>
      <w:sdtPr>
        <w:rPr>
          <w:rFonts w:hint="eastAsia" w:ascii="宋体" w:hAnsi="Times New Roman" w:eastAsia="宋体" w:cs="宋体"/>
          <w:sz w:val="21"/>
          <w:lang w:val="en-US" w:eastAsia="zh-CN"/>
        </w:rPr>
        <w:tag w:val="TermContent"/>
        <w:id w:val="147453675"/>
        <w:placeholder>
          <w:docPart w:val="{a2b934e1-4e69-4b3d-b344-351c81d94b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pPr>
            <w:pStyle w:val="24"/>
            <w:rPr>
              <w:rFonts w:hint="eastAsia"/>
              <w:lang w:val="en-US" w:eastAsia="zh-CN"/>
            </w:rPr>
          </w:pPr>
          <w:r>
            <w:rPr>
              <w:rFonts w:hint="eastAsia" w:ascii="宋体" w:hAnsi="Times New Roman" w:eastAsia="宋体" w:cs="宋体"/>
              <w:sz w:val="21"/>
              <w:lang w:val="en-US" w:eastAsia="zh-CN"/>
            </w:rPr>
            <w:t>下列术语和定义适用于本文件。</w:t>
          </w:r>
        </w:p>
      </w:sdtContent>
    </w:sdt>
    <w:p>
      <w:pPr>
        <w:pStyle w:val="24"/>
        <w:rPr>
          <w:rFonts w:hint="eastAsia"/>
          <w:lang w:val="en-US" w:eastAsia="zh-CN"/>
        </w:rPr>
      </w:pPr>
    </w:p>
    <w:p>
      <w:pPr>
        <w:pStyle w:val="82"/>
        <w:bidi w:val="0"/>
        <w:spacing w:after="0" w:afterLines="0"/>
        <w:ind w:left="420" w:hanging="420" w:hangingChars="200"/>
        <w:rPr>
          <w:rFonts w:hint="eastAsia" w:ascii="黑体" w:hAnsi="黑体" w:eastAsia="黑体" w:cs="黑体"/>
          <w:lang w:val="en-US" w:eastAsia="zh-CN"/>
        </w:rPr>
      </w:pPr>
    </w:p>
    <w:p>
      <w:pPr>
        <w:pStyle w:val="82"/>
        <w:numPr>
          <w:ilvl w:val="1"/>
          <w:numId w:val="0"/>
        </w:numPr>
        <w:bidi w:val="0"/>
        <w:spacing w:after="0" w:afterLines="0"/>
        <w:ind w:leftChars="-200" w:firstLine="840" w:firstLineChars="400"/>
        <w:rPr>
          <w:rFonts w:hint="default" w:ascii="黑体" w:hAnsi="黑体" w:eastAsia="黑体" w:cs="黑体"/>
          <w:lang w:val="en-US" w:eastAsia="zh-CN"/>
        </w:rPr>
      </w:pPr>
      <w:r>
        <w:rPr>
          <w:rFonts w:hint="eastAsia" w:cs="黑体"/>
          <w:lang w:val="en-US" w:eastAsia="zh-CN"/>
        </w:rPr>
        <w:t>冬笋 Winter shoot</w:t>
      </w:r>
    </w:p>
    <w:p>
      <w:pPr>
        <w:pStyle w:val="24"/>
        <w:bidi w:val="0"/>
        <w:rPr>
          <w:rFonts w:hint="default" w:ascii="宋体" w:hAnsi="Times New Roman" w:eastAsia="宋体" w:cs="宋体"/>
          <w:sz w:val="21"/>
          <w:lang w:val="en-US" w:eastAsia="zh-CN"/>
        </w:rPr>
      </w:pPr>
      <w:r>
        <w:rPr>
          <w:rFonts w:hint="eastAsia" w:cs="宋体"/>
          <w:sz w:val="21"/>
          <w:lang w:val="en-US" w:eastAsia="zh-CN"/>
        </w:rPr>
        <w:t>冬季生产的竹笋。</w:t>
      </w:r>
    </w:p>
    <w:p>
      <w:pPr>
        <w:pStyle w:val="82"/>
        <w:bidi w:val="0"/>
        <w:spacing w:after="0" w:afterLines="0"/>
        <w:ind w:left="420" w:hanging="420" w:hangingChars="200"/>
        <w:rPr>
          <w:rFonts w:hint="eastAsia" w:ascii="黑体" w:hAnsi="黑体" w:eastAsia="黑体" w:cs="黑体"/>
          <w:lang w:val="en-US" w:eastAsia="zh-CN"/>
        </w:rPr>
      </w:pPr>
    </w:p>
    <w:p>
      <w:pPr>
        <w:pStyle w:val="82"/>
        <w:numPr>
          <w:ilvl w:val="1"/>
          <w:numId w:val="0"/>
        </w:numPr>
        <w:bidi w:val="0"/>
        <w:spacing w:after="0" w:afterLines="0"/>
        <w:ind w:leftChars="-200" w:firstLine="840" w:firstLineChars="400"/>
        <w:rPr>
          <w:rFonts w:hint="default" w:ascii="黑体" w:hAnsi="黑体" w:eastAsia="黑体" w:cs="黑体"/>
          <w:lang w:val="en-US" w:eastAsia="zh-CN"/>
        </w:rPr>
      </w:pPr>
      <w:r>
        <w:rPr>
          <w:rFonts w:hint="eastAsia" w:cs="黑体"/>
          <w:lang w:val="en-US" w:eastAsia="zh-CN"/>
        </w:rPr>
        <w:t>井冈山冬笋 Jinggangshan winter shoot</w:t>
      </w:r>
    </w:p>
    <w:p>
      <w:pPr>
        <w:pStyle w:val="24"/>
        <w:bidi w:val="0"/>
        <w:rPr>
          <w:rFonts w:hint="eastAsia" w:cs="宋体"/>
          <w:sz w:val="21"/>
          <w:lang w:val="en-US" w:eastAsia="zh-CN"/>
        </w:rPr>
      </w:pPr>
      <w:r>
        <w:rPr>
          <w:rFonts w:hint="eastAsia" w:cs="宋体"/>
          <w:sz w:val="21"/>
          <w:lang w:val="en-US" w:eastAsia="zh-CN"/>
        </w:rPr>
        <w:t>吉安市行政区域范围内生产的，符合本文件要求，并经“井冈山®”商标持有人授权的冬笋。</w:t>
      </w:r>
    </w:p>
    <w:p>
      <w:pPr>
        <w:pStyle w:val="24"/>
        <w:bidi w:val="0"/>
        <w:rPr>
          <w:rFonts w:hint="eastAsia" w:ascii="宋体" w:hAnsi="Times New Roman" w:eastAsia="宋体" w:cs="宋体"/>
          <w:sz w:val="21"/>
          <w:lang w:val="en-US" w:eastAsia="zh-CN"/>
        </w:rPr>
      </w:pPr>
      <w:r>
        <w:rPr>
          <w:rFonts w:hint="eastAsia" w:cs="宋体"/>
          <w:sz w:val="21"/>
          <w:lang w:val="en-US" w:eastAsia="zh-CN"/>
        </w:rPr>
        <w:t>注：</w:t>
      </w:r>
      <w:r>
        <w:rPr>
          <w:rFonts w:hint="eastAsia" w:ascii="宋体" w:hAnsi="Times New Roman" w:eastAsia="宋体" w:cs="宋体"/>
          <w:sz w:val="21"/>
          <w:lang w:val="en-US" w:eastAsia="zh-CN"/>
        </w:rPr>
        <w:t>井冈山</w:t>
      </w:r>
      <w:r>
        <w:rPr>
          <w:rFonts w:hint="eastAsia" w:cs="宋体"/>
          <w:sz w:val="21"/>
          <w:lang w:val="en-US" w:eastAsia="zh-CN"/>
        </w:rPr>
        <w:t>冬笋</w:t>
      </w:r>
      <w:r>
        <w:rPr>
          <w:rFonts w:hint="eastAsia" w:ascii="宋体" w:hAnsi="Times New Roman" w:eastAsia="宋体" w:cs="宋体"/>
          <w:sz w:val="21"/>
          <w:lang w:val="en-US" w:eastAsia="zh-CN"/>
        </w:rPr>
        <w:t>生产区域范围见附录A。</w:t>
      </w:r>
    </w:p>
    <w:p>
      <w:pPr>
        <w:pStyle w:val="24"/>
        <w:bidi w:val="0"/>
        <w:ind w:left="0" w:leftChars="0" w:firstLine="0" w:firstLineChars="0"/>
        <w:rPr>
          <w:rFonts w:hint="eastAsia" w:ascii="宋体" w:hAnsi="Times New Roman" w:eastAsia="宋体" w:cs="宋体"/>
          <w:sz w:val="21"/>
          <w:lang w:val="en-US" w:eastAsia="zh-CN"/>
        </w:rPr>
      </w:pPr>
    </w:p>
    <w:p>
      <w:pPr>
        <w:pStyle w:val="71"/>
      </w:pPr>
      <w:bookmarkStart w:id="33" w:name="_Toc20283"/>
      <w:r>
        <w:rPr>
          <w:rFonts w:hint="default"/>
        </w:rPr>
        <w:t>要求</w:t>
      </w:r>
      <w:bookmarkEnd w:id="33"/>
    </w:p>
    <w:p>
      <w:pPr>
        <w:pStyle w:val="72"/>
        <w:bidi w:val="0"/>
        <w:rPr>
          <w:rFonts w:hint="default"/>
        </w:rPr>
      </w:pPr>
      <w:r>
        <w:rPr>
          <w:rFonts w:hint="eastAsia"/>
          <w:lang w:val="en-US" w:eastAsia="zh-CN"/>
        </w:rPr>
        <w:t>品种</w:t>
      </w:r>
    </w:p>
    <w:p>
      <w:pPr>
        <w:pStyle w:val="24"/>
        <w:ind w:firstLine="420" w:firstLineChars="200"/>
        <w:rPr>
          <w:rFonts w:hint="default" w:ascii="Times New Roman"/>
          <w:lang w:val="en-US" w:eastAsia="zh-CN"/>
        </w:rPr>
      </w:pPr>
      <w:r>
        <w:rPr>
          <w:rFonts w:hint="eastAsia" w:ascii="Times New Roman"/>
          <w:lang w:val="en-US" w:eastAsia="zh-CN"/>
        </w:rPr>
        <w:t>选用当地适宜栽培品种。</w:t>
      </w:r>
    </w:p>
    <w:p>
      <w:pPr>
        <w:pStyle w:val="72"/>
        <w:bidi w:val="0"/>
        <w:rPr>
          <w:rFonts w:hint="default"/>
          <w:lang w:val="en-US" w:eastAsia="zh-CN"/>
        </w:rPr>
      </w:pPr>
      <w:r>
        <w:rPr>
          <w:rFonts w:hint="eastAsia"/>
          <w:lang w:val="en-US" w:eastAsia="zh-CN"/>
        </w:rPr>
        <w:t>产地环境</w:t>
      </w:r>
    </w:p>
    <w:p>
      <w:pPr>
        <w:pStyle w:val="24"/>
        <w:ind w:firstLine="420" w:firstLineChars="200"/>
        <w:rPr>
          <w:rFonts w:hint="default" w:ascii="Times New Roman"/>
          <w:lang w:val="en-US" w:eastAsia="zh-CN"/>
        </w:rPr>
      </w:pPr>
      <w:r>
        <w:rPr>
          <w:rFonts w:hint="eastAsia" w:ascii="Times New Roman"/>
          <w:lang w:val="en-US" w:eastAsia="zh-CN"/>
        </w:rPr>
        <w:t>应符合NY/T 391的规定；有机产品应符合GB/T 19630的规定。</w:t>
      </w:r>
    </w:p>
    <w:p>
      <w:pPr>
        <w:pStyle w:val="72"/>
        <w:bidi w:val="0"/>
        <w:rPr>
          <w:rFonts w:hint="default"/>
          <w:lang w:val="en-US" w:eastAsia="zh-CN"/>
        </w:rPr>
      </w:pPr>
      <w:bookmarkStart w:id="34" w:name="OLE_LINK2"/>
      <w:r>
        <w:rPr>
          <w:rFonts w:hint="eastAsia"/>
          <w:lang w:val="en-US" w:eastAsia="zh-CN"/>
        </w:rPr>
        <w:t>投入品</w:t>
      </w:r>
    </w:p>
    <w:bookmarkEnd w:id="34"/>
    <w:p>
      <w:pPr>
        <w:pStyle w:val="24"/>
        <w:ind w:firstLine="420" w:firstLineChars="200"/>
        <w:rPr>
          <w:rFonts w:hint="default" w:ascii="Times New Roman"/>
          <w:lang w:val="en-US" w:eastAsia="zh-CN"/>
        </w:rPr>
      </w:pPr>
      <w:r>
        <w:rPr>
          <w:rFonts w:hint="eastAsia" w:ascii="Times New Roman"/>
          <w:lang w:val="en-US" w:eastAsia="zh-CN"/>
        </w:rPr>
        <w:t>投入品应符合NY/T 393、NY/T 394的要求，有机产品投入品应符合GB/T 19630的规定。</w:t>
      </w:r>
    </w:p>
    <w:p>
      <w:pPr>
        <w:pStyle w:val="72"/>
        <w:bidi w:val="0"/>
        <w:rPr>
          <w:rFonts w:hint="default"/>
          <w:lang w:val="en-US" w:eastAsia="zh-CN"/>
        </w:rPr>
      </w:pPr>
      <w:r>
        <w:rPr>
          <w:rFonts w:hint="eastAsia"/>
          <w:lang w:val="en-US" w:eastAsia="zh-CN"/>
        </w:rPr>
        <w:t>采收</w:t>
      </w:r>
    </w:p>
    <w:p>
      <w:pPr>
        <w:pStyle w:val="24"/>
        <w:rPr>
          <w:rFonts w:hint="eastAsia"/>
          <w:lang w:val="en-US" w:eastAsia="zh-CN"/>
        </w:rPr>
      </w:pPr>
      <w:r>
        <w:rPr>
          <w:rFonts w:hint="eastAsia"/>
          <w:lang w:val="en-US" w:eastAsia="zh-CN"/>
        </w:rPr>
        <w:t>采收时间为11月下旬至第二年的2月底为宜，笋尖刚露出土面1cm到2cm时采收为宜。</w:t>
      </w:r>
    </w:p>
    <w:p>
      <w:pPr>
        <w:pStyle w:val="72"/>
        <w:bidi w:val="0"/>
        <w:rPr>
          <w:rFonts w:hint="default"/>
          <w:lang w:val="en-US" w:eastAsia="zh-CN"/>
        </w:rPr>
      </w:pPr>
      <w:r>
        <w:rPr>
          <w:rFonts w:hint="eastAsia"/>
          <w:lang w:val="en-US" w:eastAsia="zh-CN"/>
        </w:rPr>
        <w:t>分级</w:t>
      </w:r>
    </w:p>
    <w:p>
      <w:pPr>
        <w:pStyle w:val="24"/>
        <w:rPr>
          <w:rFonts w:hint="eastAsia"/>
          <w:lang w:val="en-US" w:eastAsia="zh-CN"/>
        </w:rPr>
      </w:pPr>
      <w:r>
        <w:rPr>
          <w:rFonts w:hint="eastAsia"/>
          <w:lang w:val="en-US" w:eastAsia="zh-CN"/>
        </w:rPr>
        <w:t>依据产品的感官要求不同，冬笋按照感官指标分为一级和二级。</w:t>
      </w:r>
    </w:p>
    <w:p>
      <w:pPr>
        <w:pStyle w:val="72"/>
        <w:bidi w:val="0"/>
        <w:rPr>
          <w:rFonts w:hint="default"/>
          <w:lang w:val="en-US" w:eastAsia="zh-CN"/>
        </w:rPr>
      </w:pPr>
      <w:r>
        <w:rPr>
          <w:rFonts w:hint="eastAsia"/>
          <w:lang w:val="en-US" w:eastAsia="zh-CN"/>
        </w:rPr>
        <w:t>感官要求</w:t>
      </w:r>
    </w:p>
    <w:p>
      <w:pPr>
        <w:pStyle w:val="24"/>
        <w:ind w:firstLine="420"/>
        <w:rPr>
          <w:rFonts w:hint="default"/>
          <w:lang w:val="en-US" w:eastAsia="zh-CN"/>
        </w:rPr>
      </w:pPr>
      <w:r>
        <w:rPr>
          <w:rFonts w:hint="eastAsia"/>
          <w:lang w:val="en-US" w:eastAsia="zh-CN"/>
        </w:rPr>
        <w:t>应符合表1的规定。绿色食品还应符合NY/T 1326的要求，有机产品还应符合GB/T 19630的要求。</w:t>
      </w:r>
    </w:p>
    <w:p>
      <w:pPr>
        <w:pStyle w:val="112"/>
        <w:bidi w:val="0"/>
        <w:rPr>
          <w:rFonts w:hint="eastAsia"/>
          <w:lang w:val="en-US" w:eastAsia="zh-CN"/>
        </w:rPr>
      </w:pPr>
      <w:r>
        <w:rPr>
          <w:rFonts w:hint="eastAsia"/>
          <w:lang w:val="en-US" w:eastAsia="zh-CN"/>
        </w:rPr>
        <w:t>感官要求</w:t>
      </w:r>
    </w:p>
    <w:tbl>
      <w:tblPr>
        <w:tblStyle w:val="20"/>
        <w:tblW w:w="489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2601"/>
        <w:gridCol w:w="2732"/>
        <w:gridCol w:w="2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77" w:type="pct"/>
            <w:vAlign w:val="center"/>
          </w:tcPr>
          <w:p>
            <w:pPr>
              <w:pStyle w:val="110"/>
              <w:widowControl w:val="0"/>
              <w:bidi w:val="0"/>
              <w:ind w:left="0" w:leftChars="0" w:firstLine="0" w:firstLineChars="0"/>
              <w:jc w:val="right"/>
              <w:rPr>
                <w:rFonts w:hint="default"/>
                <w:sz w:val="21"/>
                <w:szCs w:val="21"/>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3810</wp:posOffset>
                      </wp:positionV>
                      <wp:extent cx="788035" cy="447675"/>
                      <wp:effectExtent l="2540" t="4445" r="9525" b="5080"/>
                      <wp:wrapNone/>
                      <wp:docPr id="7" name="直接连接符 7"/>
                      <wp:cNvGraphicFramePr/>
                      <a:graphic xmlns:a="http://schemas.openxmlformats.org/drawingml/2006/main">
                        <a:graphicData uri="http://schemas.microsoft.com/office/word/2010/wordprocessingShape">
                          <wps:wsp>
                            <wps:cNvCnPr/>
                            <wps:spPr>
                              <a:xfrm>
                                <a:off x="839470" y="1537970"/>
                                <a:ext cx="788035" cy="447675"/>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4pt;margin-top:0.3pt;height:35.25pt;width:62.05pt;z-index:251659264;mso-width-relative:page;mso-height-relative:page;" filled="f" stroked="t" coordsize="21600,21600" o:gfxdata="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ei00dYAAAAGAQAADwAAAAAAAAABACAAAAAiAAAAZHJzL2Rvd25yZXYueG1sUEsBAhQAFAAA&#10;AAgAh07iQG4fKZDxAQAAwAMAAA4AAAAAAAAAAQAgAAAAJQEAAGRycy9lMm9Eb2MueG1sUEsFBgAA&#10;AAAGAAYAWQEAAIgFAAAAAA==&#10;">
                      <v:fill on="f" focussize="0,0"/>
                      <v:stroke color="#000000 [3213]" miterlimit="8" joinstyle="miter"/>
                      <v:imagedata o:title=""/>
                      <o:lock v:ext="edit" aspectratio="f"/>
                    </v:line>
                  </w:pict>
                </mc:Fallback>
              </mc:AlternateContent>
            </w:r>
            <w:r>
              <w:rPr>
                <w:rFonts w:hint="eastAsia" w:ascii="Times New Roman"/>
                <w:sz w:val="21"/>
                <w:szCs w:val="21"/>
                <w:lang w:val="en-US" w:eastAsia="zh-CN"/>
              </w:rPr>
              <w:t>等级</w:t>
            </w:r>
          </w:p>
          <w:p>
            <w:pPr>
              <w:pStyle w:val="110"/>
              <w:widowControl w:val="0"/>
              <w:bidi w:val="0"/>
              <w:ind w:left="0" w:leftChars="0" w:firstLine="0" w:firstLineChars="0"/>
              <w:jc w:val="left"/>
              <w:rPr>
                <w:rFonts w:hint="default"/>
                <w:sz w:val="21"/>
                <w:szCs w:val="21"/>
                <w:lang w:val="en-US" w:eastAsia="zh-CN"/>
              </w:rPr>
            </w:pPr>
            <w:r>
              <w:rPr>
                <w:rFonts w:hint="eastAsia"/>
                <w:sz w:val="21"/>
                <w:szCs w:val="21"/>
                <w:lang w:val="en-US" w:eastAsia="zh-CN"/>
              </w:rPr>
              <w:t>项目</w:t>
            </w:r>
          </w:p>
        </w:tc>
        <w:tc>
          <w:tcPr>
            <w:tcW w:w="1389" w:type="pct"/>
            <w:tcBorders>
              <w:bottom w:val="single" w:color="auto" w:sz="8" w:space="0"/>
            </w:tcBorders>
            <w:vAlign w:val="center"/>
          </w:tcPr>
          <w:p>
            <w:pPr>
              <w:pStyle w:val="110"/>
              <w:widowControl w:val="0"/>
              <w:bidi w:val="0"/>
              <w:ind w:left="0" w:leftChars="0" w:firstLine="0" w:firstLineChars="0"/>
              <w:jc w:val="center"/>
              <w:rPr>
                <w:rFonts w:hint="default" w:ascii="宋体" w:hAnsi="Times New Roman" w:eastAsia="宋体" w:cs="宋体"/>
                <w:sz w:val="21"/>
                <w:szCs w:val="21"/>
                <w:lang w:val="en-US" w:eastAsia="zh-CN"/>
              </w:rPr>
            </w:pPr>
            <w:r>
              <w:rPr>
                <w:rFonts w:hint="eastAsia"/>
                <w:sz w:val="21"/>
                <w:szCs w:val="21"/>
                <w:lang w:val="en-US" w:eastAsia="zh-CN"/>
              </w:rPr>
              <w:t>一级</w:t>
            </w:r>
          </w:p>
        </w:tc>
        <w:tc>
          <w:tcPr>
            <w:tcW w:w="1459" w:type="pct"/>
            <w:tcBorders>
              <w:bottom w:val="single" w:color="auto" w:sz="8" w:space="0"/>
            </w:tcBorders>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二级</w:t>
            </w:r>
          </w:p>
        </w:tc>
        <w:tc>
          <w:tcPr>
            <w:tcW w:w="1473" w:type="pct"/>
            <w:tcBorders>
              <w:bottom w:val="single" w:color="auto" w:sz="8" w:space="0"/>
            </w:tcBorders>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tcBorders>
              <w:top w:val="single" w:color="auto" w:sz="8" w:space="0"/>
              <w:bottom w:val="single" w:color="auto" w:sz="8" w:space="0"/>
            </w:tcBorders>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单笋重量/g</w:t>
            </w:r>
          </w:p>
        </w:tc>
        <w:tc>
          <w:tcPr>
            <w:tcW w:w="1389" w:type="pct"/>
            <w:tcBorders>
              <w:top w:val="single" w:color="auto" w:sz="8" w:space="0"/>
              <w:bottom w:val="single" w:color="auto" w:sz="8" w:space="0"/>
            </w:tcBorders>
            <w:vAlign w:val="center"/>
          </w:tcPr>
          <w:p>
            <w:pPr>
              <w:pStyle w:val="110"/>
              <w:widowControl w:val="0"/>
              <w:bidi w:val="0"/>
              <w:ind w:left="0" w:leftChars="0" w:firstLine="0" w:firstLineChars="0"/>
              <w:jc w:val="center"/>
              <w:rPr>
                <w:rFonts w:hint="default"/>
                <w:sz w:val="21"/>
                <w:szCs w:val="21"/>
                <w:lang w:val="en-US" w:eastAsia="zh-CN"/>
              </w:rPr>
            </w:pPr>
            <w:bookmarkStart w:id="35" w:name="OLE_LINK3"/>
            <w:r>
              <w:rPr>
                <w:rFonts w:hint="eastAsia"/>
                <w:sz w:val="21"/>
                <w:szCs w:val="21"/>
                <w:lang w:val="en-US" w:eastAsia="zh-CN"/>
              </w:rPr>
              <w:t>250～750</w:t>
            </w:r>
            <w:bookmarkEnd w:id="35"/>
          </w:p>
        </w:tc>
        <w:tc>
          <w:tcPr>
            <w:tcW w:w="1459" w:type="pct"/>
            <w:tcBorders>
              <w:top w:val="single" w:color="auto" w:sz="8" w:space="0"/>
              <w:bottom w:val="single" w:color="auto" w:sz="8" w:space="0"/>
            </w:tcBorders>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100～750</w:t>
            </w:r>
          </w:p>
        </w:tc>
        <w:tc>
          <w:tcPr>
            <w:tcW w:w="1473" w:type="pct"/>
            <w:tcBorders>
              <w:top w:val="single" w:color="auto" w:sz="8" w:space="0"/>
              <w:bottom w:val="single" w:color="auto" w:sz="8" w:space="0"/>
            </w:tcBorders>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将单个笋放在精度1g的电子秤上测定质量，精确到1g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7" w:type="pct"/>
            <w:tcBorders>
              <w:top w:val="single" w:color="auto" w:sz="8" w:space="0"/>
              <w:bottom w:val="single" w:color="auto" w:sz="8" w:space="0"/>
            </w:tcBorders>
            <w:shd w:val="clear" w:color="auto" w:fill="auto"/>
            <w:vAlign w:val="center"/>
          </w:tcPr>
          <w:p>
            <w:pPr>
              <w:pStyle w:val="110"/>
              <w:widowControl w:val="0"/>
              <w:bidi w:val="0"/>
              <w:ind w:left="0" w:leftChars="0" w:firstLine="0" w:firstLineChars="0"/>
              <w:jc w:val="center"/>
              <w:rPr>
                <w:rFonts w:hint="eastAsia"/>
                <w:sz w:val="21"/>
                <w:szCs w:val="21"/>
                <w:lang w:val="en-US" w:eastAsia="zh-CN"/>
              </w:rPr>
            </w:pPr>
            <w:r>
              <w:rPr>
                <w:rFonts w:hint="eastAsia"/>
                <w:sz w:val="21"/>
                <w:szCs w:val="21"/>
                <w:lang w:val="en-US" w:eastAsia="zh-CN"/>
              </w:rPr>
              <w:t>形状</w:t>
            </w:r>
          </w:p>
        </w:tc>
        <w:tc>
          <w:tcPr>
            <w:tcW w:w="1389" w:type="pct"/>
            <w:tcBorders>
              <w:top w:val="single" w:color="auto" w:sz="8" w:space="0"/>
              <w:bottom w:val="single" w:color="auto" w:sz="8" w:space="0"/>
            </w:tcBorders>
            <w:shd w:val="clear" w:color="auto" w:fill="auto"/>
            <w:vAlign w:val="center"/>
          </w:tcPr>
          <w:p>
            <w:pPr>
              <w:pStyle w:val="110"/>
              <w:widowControl w:val="0"/>
              <w:bidi w:val="0"/>
              <w:ind w:left="0" w:leftChars="0" w:firstLine="0" w:firstLineChars="0"/>
              <w:jc w:val="center"/>
              <w:rPr>
                <w:rFonts w:hint="eastAsia"/>
                <w:sz w:val="21"/>
                <w:szCs w:val="21"/>
                <w:lang w:val="en-US" w:eastAsia="zh-CN"/>
              </w:rPr>
            </w:pPr>
            <w:r>
              <w:rPr>
                <w:rFonts w:hint="eastAsia"/>
                <w:sz w:val="21"/>
                <w:szCs w:val="21"/>
                <w:lang w:val="en-US" w:eastAsia="zh-CN"/>
              </w:rPr>
              <w:t>两头小，呈梭形</w:t>
            </w:r>
          </w:p>
        </w:tc>
        <w:tc>
          <w:tcPr>
            <w:tcW w:w="1459" w:type="pct"/>
            <w:tcBorders>
              <w:top w:val="single" w:color="auto" w:sz="8" w:space="0"/>
              <w:bottom w:val="single" w:color="auto" w:sz="8" w:space="0"/>
            </w:tcBorders>
            <w:shd w:val="clear" w:color="auto" w:fill="auto"/>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基部膨大，呈塔形</w:t>
            </w:r>
          </w:p>
        </w:tc>
        <w:tc>
          <w:tcPr>
            <w:tcW w:w="1473" w:type="pct"/>
            <w:vMerge w:val="restart"/>
            <w:tcBorders>
              <w:top w:val="single" w:color="auto" w:sz="8" w:space="0"/>
            </w:tcBorders>
            <w:shd w:val="clear" w:color="auto" w:fill="auto"/>
            <w:vAlign w:val="center"/>
          </w:tcPr>
          <w:p>
            <w:pPr>
              <w:pStyle w:val="110"/>
              <w:widowControl w:val="0"/>
              <w:bidi w:val="0"/>
              <w:ind w:left="0" w:leftChars="0" w:firstLine="0" w:firstLineChars="0"/>
              <w:jc w:val="center"/>
              <w:rPr>
                <w:rFonts w:hint="default"/>
                <w:sz w:val="21"/>
                <w:szCs w:val="21"/>
                <w:lang w:val="en-US" w:eastAsia="zh-CN"/>
              </w:rPr>
            </w:pPr>
            <w:r>
              <w:rPr>
                <w:rFonts w:hint="eastAsia" w:cs="宋体"/>
                <w:sz w:val="21"/>
                <w:szCs w:val="21"/>
                <w:lang w:val="en-US" w:eastAsia="zh-CN"/>
              </w:rPr>
              <w:t>目测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7" w:type="pct"/>
            <w:tcBorders>
              <w:top w:val="single" w:color="auto" w:sz="8" w:space="0"/>
              <w:bottom w:val="single" w:color="auto" w:sz="8" w:space="0"/>
            </w:tcBorders>
            <w:shd w:val="clear" w:color="auto" w:fill="auto"/>
            <w:vAlign w:val="center"/>
          </w:tcPr>
          <w:p>
            <w:pPr>
              <w:pStyle w:val="110"/>
              <w:widowControl w:val="0"/>
              <w:bidi w:val="0"/>
              <w:ind w:left="0" w:leftChars="0" w:firstLine="0" w:firstLineChars="0"/>
              <w:jc w:val="center"/>
              <w:rPr>
                <w:rFonts w:hint="eastAsia"/>
                <w:sz w:val="21"/>
                <w:szCs w:val="21"/>
                <w:lang w:val="en-US" w:eastAsia="zh-CN"/>
              </w:rPr>
            </w:pPr>
            <w:r>
              <w:rPr>
                <w:rFonts w:hint="eastAsia"/>
                <w:sz w:val="21"/>
                <w:szCs w:val="21"/>
                <w:lang w:val="en-US" w:eastAsia="zh-CN"/>
              </w:rPr>
              <w:t>外观</w:t>
            </w:r>
          </w:p>
        </w:tc>
        <w:tc>
          <w:tcPr>
            <w:tcW w:w="1389" w:type="pct"/>
            <w:tcBorders>
              <w:top w:val="single" w:color="auto" w:sz="8" w:space="0"/>
              <w:bottom w:val="single" w:color="auto" w:sz="8" w:space="0"/>
            </w:tcBorders>
            <w:shd w:val="clear" w:color="auto" w:fill="auto"/>
            <w:vAlign w:val="center"/>
          </w:tcPr>
          <w:p>
            <w:pPr>
              <w:pStyle w:val="110"/>
              <w:widowControl w:val="0"/>
              <w:bidi w:val="0"/>
              <w:ind w:left="0" w:leftChars="0" w:firstLine="0" w:firstLineChars="0"/>
              <w:jc w:val="center"/>
              <w:rPr>
                <w:rFonts w:hint="eastAsia"/>
                <w:sz w:val="21"/>
                <w:szCs w:val="21"/>
                <w:lang w:val="en-US" w:eastAsia="zh-CN"/>
              </w:rPr>
            </w:pPr>
            <w:r>
              <w:rPr>
                <w:rFonts w:hint="eastAsia"/>
                <w:sz w:val="21"/>
                <w:szCs w:val="21"/>
                <w:lang w:val="en-US" w:eastAsia="zh-CN"/>
              </w:rPr>
              <w:t>新鲜、饱满、无腐烂、无霉变和无病虫害斑点，切口平整。笋壳紧包，黄色、无褐斑，无损伤、无裂口</w:t>
            </w:r>
          </w:p>
        </w:tc>
        <w:tc>
          <w:tcPr>
            <w:tcW w:w="1459" w:type="pct"/>
            <w:tcBorders>
              <w:top w:val="single" w:color="auto" w:sz="8" w:space="0"/>
              <w:bottom w:val="single" w:color="auto" w:sz="8" w:space="0"/>
            </w:tcBorders>
            <w:shd w:val="clear" w:color="auto" w:fill="auto"/>
            <w:vAlign w:val="center"/>
          </w:tcPr>
          <w:p>
            <w:pPr>
              <w:pStyle w:val="110"/>
              <w:widowControl w:val="0"/>
              <w:bidi w:val="0"/>
              <w:ind w:left="0" w:leftChars="0" w:firstLine="0" w:firstLineChars="0"/>
              <w:jc w:val="center"/>
              <w:rPr>
                <w:rFonts w:hint="eastAsia"/>
                <w:sz w:val="21"/>
                <w:szCs w:val="21"/>
                <w:lang w:val="en-US" w:eastAsia="zh-CN"/>
              </w:rPr>
            </w:pPr>
            <w:r>
              <w:rPr>
                <w:rFonts w:hint="eastAsia"/>
                <w:sz w:val="21"/>
                <w:szCs w:val="21"/>
                <w:lang w:val="en-US" w:eastAsia="zh-CN"/>
              </w:rPr>
              <w:t>新鲜、饱满、无腐烂、无霉变和无病虫害斑点，切口平整。笋壳稍松、黄色或略带褐色、稍有斑，可稍有损伤</w:t>
            </w:r>
          </w:p>
        </w:tc>
        <w:tc>
          <w:tcPr>
            <w:tcW w:w="1473" w:type="pct"/>
            <w:vMerge w:val="continue"/>
            <w:shd w:val="clear" w:color="auto" w:fill="auto"/>
            <w:vAlign w:val="center"/>
          </w:tcPr>
          <w:p>
            <w:pPr>
              <w:pStyle w:val="110"/>
              <w:widowControl w:val="0"/>
              <w:bidi w:val="0"/>
              <w:ind w:left="0" w:leftChars="0" w:firstLine="0" w:firstLineChars="0"/>
              <w:jc w:val="center"/>
              <w:rPr>
                <w:rFonts w:hint="default"/>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7" w:type="pct"/>
            <w:tcBorders>
              <w:top w:val="single" w:color="auto" w:sz="8" w:space="0"/>
              <w:bottom w:val="single" w:color="auto" w:sz="8" w:space="0"/>
            </w:tcBorders>
            <w:shd w:val="clear" w:color="auto" w:fill="auto"/>
            <w:vAlign w:val="center"/>
          </w:tcPr>
          <w:p>
            <w:pPr>
              <w:pStyle w:val="110"/>
              <w:widowControl w:val="0"/>
              <w:bidi w:val="0"/>
              <w:ind w:left="0" w:leftChars="0" w:firstLine="0" w:firstLineChars="0"/>
              <w:jc w:val="center"/>
              <w:rPr>
                <w:rFonts w:hint="eastAsia"/>
                <w:sz w:val="21"/>
                <w:szCs w:val="21"/>
                <w:lang w:val="en-US" w:eastAsia="zh-CN"/>
              </w:rPr>
            </w:pPr>
            <w:r>
              <w:rPr>
                <w:rFonts w:hint="eastAsia"/>
                <w:sz w:val="21"/>
                <w:szCs w:val="21"/>
                <w:lang w:val="en-US" w:eastAsia="zh-CN"/>
              </w:rPr>
              <w:t>基部</w:t>
            </w:r>
          </w:p>
        </w:tc>
        <w:tc>
          <w:tcPr>
            <w:tcW w:w="1389" w:type="pct"/>
            <w:tcBorders>
              <w:top w:val="single" w:color="auto" w:sz="8" w:space="0"/>
              <w:bottom w:val="single" w:color="auto" w:sz="8" w:space="0"/>
            </w:tcBorders>
            <w:shd w:val="clear" w:color="auto" w:fill="auto"/>
            <w:vAlign w:val="center"/>
          </w:tcPr>
          <w:p>
            <w:pPr>
              <w:pStyle w:val="110"/>
              <w:widowControl w:val="0"/>
              <w:bidi w:val="0"/>
              <w:ind w:left="0" w:leftChars="0" w:firstLine="0" w:firstLineChars="0"/>
              <w:jc w:val="center"/>
              <w:rPr>
                <w:rFonts w:hint="eastAsia"/>
                <w:sz w:val="21"/>
                <w:szCs w:val="21"/>
                <w:lang w:val="en-US" w:eastAsia="zh-CN"/>
              </w:rPr>
            </w:pPr>
            <w:r>
              <w:rPr>
                <w:rFonts w:hint="eastAsia"/>
                <w:sz w:val="21"/>
                <w:szCs w:val="21"/>
                <w:lang w:val="en-US" w:eastAsia="zh-CN"/>
              </w:rPr>
              <w:t>基部未长根</w:t>
            </w:r>
          </w:p>
        </w:tc>
        <w:tc>
          <w:tcPr>
            <w:tcW w:w="1459" w:type="pct"/>
            <w:tcBorders>
              <w:top w:val="single" w:color="auto" w:sz="8" w:space="0"/>
              <w:bottom w:val="single" w:color="auto" w:sz="8" w:space="0"/>
            </w:tcBorders>
            <w:shd w:val="clear" w:color="auto" w:fill="auto"/>
            <w:vAlign w:val="center"/>
          </w:tcPr>
          <w:p>
            <w:pPr>
              <w:pStyle w:val="110"/>
              <w:widowControl w:val="0"/>
              <w:bidi w:val="0"/>
              <w:ind w:left="0" w:leftChars="0" w:firstLine="0" w:firstLineChars="0"/>
              <w:jc w:val="center"/>
              <w:rPr>
                <w:rFonts w:hint="eastAsia"/>
                <w:sz w:val="21"/>
                <w:szCs w:val="21"/>
                <w:lang w:val="en-US" w:eastAsia="zh-CN"/>
              </w:rPr>
            </w:pPr>
            <w:r>
              <w:rPr>
                <w:rFonts w:hint="eastAsia"/>
                <w:sz w:val="21"/>
                <w:szCs w:val="21"/>
                <w:lang w:val="en-US" w:eastAsia="zh-CN"/>
              </w:rPr>
              <w:t>基部可有少量根</w:t>
            </w:r>
          </w:p>
        </w:tc>
        <w:tc>
          <w:tcPr>
            <w:tcW w:w="1473" w:type="pct"/>
            <w:vMerge w:val="continue"/>
            <w:tcBorders>
              <w:bottom w:val="single" w:color="auto" w:sz="8" w:space="0"/>
            </w:tcBorders>
            <w:shd w:val="clear" w:color="auto" w:fill="auto"/>
            <w:vAlign w:val="center"/>
          </w:tcPr>
          <w:p>
            <w:pPr>
              <w:pStyle w:val="110"/>
              <w:widowControl w:val="0"/>
              <w:bidi w:val="0"/>
              <w:ind w:left="0" w:leftChars="0" w:firstLine="0" w:firstLineChars="0"/>
              <w:jc w:val="center"/>
              <w:rPr>
                <w:rFonts w:hint="default"/>
                <w:sz w:val="21"/>
                <w:szCs w:val="21"/>
                <w:lang w:val="en-US" w:eastAsia="zh-CN"/>
              </w:rPr>
            </w:pPr>
          </w:p>
        </w:tc>
      </w:tr>
    </w:tbl>
    <w:p>
      <w:pPr>
        <w:pStyle w:val="72"/>
        <w:bidi w:val="0"/>
        <w:rPr>
          <w:rFonts w:hint="default"/>
          <w:lang w:val="en-US" w:eastAsia="zh-CN"/>
        </w:rPr>
      </w:pPr>
      <w:r>
        <w:rPr>
          <w:rFonts w:hint="eastAsia"/>
          <w:lang w:val="en-US" w:eastAsia="zh-CN"/>
        </w:rPr>
        <w:t>理化指标</w:t>
      </w:r>
    </w:p>
    <w:p>
      <w:pPr>
        <w:pStyle w:val="24"/>
        <w:ind w:firstLine="420"/>
        <w:rPr>
          <w:rFonts w:hint="eastAsia"/>
        </w:rPr>
      </w:pPr>
      <w:r>
        <w:rPr>
          <w:rFonts w:hint="eastAsia"/>
        </w:rPr>
        <w:t>应符合表</w:t>
      </w:r>
      <w:r>
        <w:rPr>
          <w:rFonts w:hint="eastAsia"/>
          <w:lang w:val="en-US" w:eastAsia="zh-CN"/>
        </w:rPr>
        <w:t>2</w:t>
      </w:r>
      <w:r>
        <w:rPr>
          <w:rFonts w:hint="eastAsia"/>
        </w:rPr>
        <w:t>的</w:t>
      </w:r>
      <w:r>
        <w:rPr>
          <w:rFonts w:hint="eastAsia"/>
          <w:lang w:val="en-US" w:eastAsia="zh-CN"/>
        </w:rPr>
        <w:t>规定</w:t>
      </w:r>
      <w:r>
        <w:rPr>
          <w:rFonts w:hint="eastAsia"/>
        </w:rPr>
        <w:t>。</w:t>
      </w:r>
    </w:p>
    <w:p>
      <w:pPr>
        <w:pStyle w:val="112"/>
        <w:bidi w:val="0"/>
        <w:rPr>
          <w:rFonts w:hint="eastAsia"/>
          <w:lang w:val="en-US" w:eastAsia="zh-CN"/>
        </w:rPr>
      </w:pPr>
      <w:r>
        <w:rPr>
          <w:rFonts w:hint="eastAsia"/>
          <w:lang w:val="en-US" w:eastAsia="zh-CN"/>
        </w:rPr>
        <w:t>理化指标</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529"/>
        <w:gridCol w:w="3631"/>
        <w:gridCol w:w="23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846" w:type="pct"/>
            <w:vAlign w:val="center"/>
          </w:tcPr>
          <w:p>
            <w:pPr>
              <w:pStyle w:val="110"/>
              <w:widowControl w:val="0"/>
              <w:bidi w:val="0"/>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w:t>
            </w:r>
          </w:p>
        </w:tc>
        <w:tc>
          <w:tcPr>
            <w:tcW w:w="1899" w:type="pct"/>
            <w:tcBorders>
              <w:bottom w:val="single" w:color="auto" w:sz="8" w:space="0"/>
            </w:tcBorders>
            <w:vAlign w:val="center"/>
          </w:tcPr>
          <w:p>
            <w:pPr>
              <w:pStyle w:val="110"/>
              <w:widowControl w:val="0"/>
              <w:bidi w:val="0"/>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要求</w:t>
            </w:r>
          </w:p>
        </w:tc>
        <w:tc>
          <w:tcPr>
            <w:tcW w:w="1253" w:type="pct"/>
            <w:vAlign w:val="center"/>
          </w:tcPr>
          <w:p>
            <w:pPr>
              <w:pStyle w:val="110"/>
              <w:widowControl w:val="0"/>
              <w:bidi w:val="0"/>
              <w:ind w:left="0" w:leftChars="0"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46" w:type="pct"/>
            <w:vAlign w:val="center"/>
          </w:tcPr>
          <w:p>
            <w:pPr>
              <w:pStyle w:val="110"/>
              <w:widowControl w:val="0"/>
              <w:bidi w:val="0"/>
              <w:ind w:left="0" w:leftChars="0"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总糖（以葡萄糖计）</w:t>
            </w:r>
            <w:r>
              <w:rPr>
                <w:rFonts w:hint="eastAsia" w:ascii="Times New Roman"/>
                <w:color w:val="000000" w:themeColor="text1"/>
                <w:sz w:val="21"/>
                <w:szCs w:val="21"/>
                <w:vertAlign w:val="superscript"/>
                <w:lang w:val="en-US" w:eastAsia="zh-CN"/>
                <w14:textFill>
                  <w14:solidFill>
                    <w14:schemeClr w14:val="tx1"/>
                  </w14:solidFill>
                </w14:textFill>
              </w:rPr>
              <w:t>a</w:t>
            </w:r>
            <w:r>
              <w:rPr>
                <w:rFonts w:hint="eastAsia" w:ascii="Times New Roman"/>
                <w:color w:val="000000" w:themeColor="text1"/>
                <w:sz w:val="21"/>
                <w:szCs w:val="21"/>
                <w:lang w:val="en-US" w:eastAsia="zh-CN"/>
                <w14:textFill>
                  <w14:solidFill>
                    <w14:schemeClr w14:val="tx1"/>
                  </w14:solidFill>
                </w14:textFill>
              </w:rPr>
              <w:t>/（%)</w:t>
            </w:r>
          </w:p>
        </w:tc>
        <w:tc>
          <w:tcPr>
            <w:tcW w:w="1899" w:type="pct"/>
            <w:vAlign w:val="center"/>
          </w:tcPr>
          <w:p>
            <w:pPr>
              <w:pStyle w:val="110"/>
              <w:widowControl w:val="0"/>
              <w:bidi w:val="0"/>
              <w:ind w:left="0" w:leftChars="0"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≥1.6</w:t>
            </w:r>
          </w:p>
        </w:tc>
        <w:tc>
          <w:tcPr>
            <w:tcW w:w="1253" w:type="pct"/>
            <w:vAlign w:val="center"/>
          </w:tcPr>
          <w:p>
            <w:pPr>
              <w:pStyle w:val="110"/>
              <w:widowControl w:val="0"/>
              <w:bidi w:val="0"/>
              <w:ind w:left="0" w:leftChars="0" w:firstLine="0" w:firstLineChars="0"/>
              <w:jc w:val="center"/>
              <w:rPr>
                <w:rFonts w:hint="eastAsia" w:ascii="Times New Roman"/>
                <w:color w:val="000000" w:themeColor="text1"/>
                <w:sz w:val="21"/>
                <w:szCs w:val="21"/>
                <w:lang w:val="en-US" w:eastAsia="zh-CN"/>
                <w14:textFill>
                  <w14:solidFill>
                    <w14:schemeClr w14:val="tx1"/>
                  </w14:solidFill>
                </w14:textFill>
              </w:rPr>
            </w:pPr>
            <w:r>
              <w:rPr>
                <w:rFonts w:hint="default" w:ascii="Times New Roman"/>
                <w:color w:val="000000" w:themeColor="text1"/>
                <w:sz w:val="21"/>
                <w:szCs w:val="21"/>
                <w:lang w:val="en-US" w:eastAsia="zh-CN"/>
                <w14:textFill>
                  <w14:solidFill>
                    <w14:schemeClr w14:val="tx1"/>
                  </w14:solidFill>
                </w14:textFill>
              </w:rPr>
              <w:t>GB</w:t>
            </w:r>
            <w:r>
              <w:rPr>
                <w:rFonts w:hint="eastAsia" w:ascii="Times New Roman"/>
                <w:color w:val="000000" w:themeColor="text1"/>
                <w:sz w:val="21"/>
                <w:szCs w:val="21"/>
                <w:lang w:val="en-US" w:eastAsia="zh-CN"/>
                <w14:textFill>
                  <w14:solidFill>
                    <w14:schemeClr w14:val="tx1"/>
                  </w14:solidFill>
                </w14:textFill>
              </w:rPr>
              <w:t>/</w:t>
            </w:r>
            <w:r>
              <w:rPr>
                <w:rFonts w:hint="default" w:ascii="Times New Roman"/>
                <w:color w:val="000000" w:themeColor="text1"/>
                <w:sz w:val="21"/>
                <w:szCs w:val="21"/>
                <w:lang w:val="en-US" w:eastAsia="zh-CN"/>
                <w14:textFill>
                  <w14:solidFill>
                    <w14:schemeClr w14:val="tx1"/>
                  </w14:solidFill>
                </w14:textFill>
              </w:rPr>
              <w:t>T</w:t>
            </w:r>
            <w:r>
              <w:rPr>
                <w:rFonts w:hint="eastAsia" w:ascii="Times New Roman"/>
                <w:color w:val="000000" w:themeColor="text1"/>
                <w:sz w:val="21"/>
                <w:szCs w:val="21"/>
                <w:lang w:val="en-US" w:eastAsia="zh-CN"/>
                <w14:textFill>
                  <w14:solidFill>
                    <w14:schemeClr w14:val="tx1"/>
                  </w14:solidFill>
                </w14:textFill>
              </w:rPr>
              <w:t xml:space="preserve"> </w:t>
            </w:r>
            <w:r>
              <w:rPr>
                <w:rFonts w:hint="default" w:ascii="Times New Roman"/>
                <w:color w:val="000000" w:themeColor="text1"/>
                <w:sz w:val="21"/>
                <w:szCs w:val="21"/>
                <w:lang w:val="en-US" w:eastAsia="zh-CN"/>
                <w14:textFill>
                  <w14:solidFill>
                    <w14:schemeClr w14:val="tx1"/>
                  </w14:solidFill>
                </w14:textFill>
              </w:rPr>
              <w:t>20977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46" w:type="pct"/>
            <w:vAlign w:val="center"/>
          </w:tcPr>
          <w:p>
            <w:pPr>
              <w:pStyle w:val="110"/>
              <w:widowControl w:val="0"/>
              <w:bidi w:val="0"/>
              <w:ind w:left="0" w:leftChars="0"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淀粉</w:t>
            </w:r>
            <w:r>
              <w:rPr>
                <w:rFonts w:hint="eastAsia" w:ascii="Times New Roman"/>
                <w:color w:val="000000" w:themeColor="text1"/>
                <w:sz w:val="21"/>
                <w:szCs w:val="21"/>
                <w:vertAlign w:val="superscript"/>
                <w:lang w:val="en-US" w:eastAsia="zh-CN"/>
                <w14:textFill>
                  <w14:solidFill>
                    <w14:schemeClr w14:val="tx1"/>
                  </w14:solidFill>
                </w14:textFill>
              </w:rPr>
              <w:t>a</w:t>
            </w:r>
          </w:p>
        </w:tc>
        <w:tc>
          <w:tcPr>
            <w:tcW w:w="1899" w:type="pct"/>
            <w:vAlign w:val="center"/>
          </w:tcPr>
          <w:p>
            <w:pPr>
              <w:pStyle w:val="110"/>
              <w:widowControl w:val="0"/>
              <w:bidi w:val="0"/>
              <w:ind w:left="0" w:leftChars="0" w:firstLine="0" w:firstLineChars="0"/>
              <w:jc w:val="center"/>
              <w:rPr>
                <w:rFonts w:hint="eastAsia"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≤0.</w:t>
            </w:r>
          </w:p>
        </w:tc>
        <w:tc>
          <w:tcPr>
            <w:tcW w:w="1253" w:type="pct"/>
            <w:vAlign w:val="center"/>
          </w:tcPr>
          <w:p>
            <w:pPr>
              <w:pStyle w:val="110"/>
              <w:widowControl w:val="0"/>
              <w:bidi w:val="0"/>
              <w:ind w:left="0" w:leftChars="0"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ascii="Verdana" w:hAnsi="Verdana" w:eastAsia="宋体" w:cs="Verdana"/>
                <w:i w:val="0"/>
                <w:iCs w:val="0"/>
                <w:caps w:val="0"/>
                <w:color w:val="000000" w:themeColor="text1"/>
                <w:spacing w:val="0"/>
                <w:sz w:val="20"/>
                <w:szCs w:val="20"/>
                <w:shd w:val="clear" w:fill="FFFFFF"/>
                <w14:textFill>
                  <w14:solidFill>
                    <w14:schemeClr w14:val="tx1"/>
                  </w14:solidFill>
                </w14:textFill>
              </w:rPr>
              <w:t>GB 5009.9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pStyle w:val="110"/>
              <w:widowControl w:val="0"/>
              <w:tabs>
                <w:tab w:val="left" w:pos="2427"/>
              </w:tabs>
              <w:bidi w:val="0"/>
              <w:ind w:left="0" w:leftChars="0" w:firstLine="0" w:firstLineChars="0"/>
              <w:jc w:val="left"/>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vertAlign w:val="superscript"/>
                <w:lang w:val="en-US" w:eastAsia="zh-CN"/>
                <w14:textFill>
                  <w14:solidFill>
                    <w14:schemeClr w14:val="tx1"/>
                  </w14:solidFill>
                </w14:textFill>
              </w:rPr>
              <w:t>a</w:t>
            </w:r>
            <w:r>
              <w:rPr>
                <w:rFonts w:hint="eastAsia" w:ascii="Times New Roman"/>
                <w:color w:val="000000" w:themeColor="text1"/>
                <w:sz w:val="21"/>
                <w:szCs w:val="21"/>
                <w:lang w:val="en-US" w:eastAsia="zh-CN"/>
                <w14:textFill>
                  <w14:solidFill>
                    <w14:schemeClr w14:val="tx1"/>
                  </w14:solidFill>
                </w14:textFill>
              </w:rPr>
              <w:t>可食笋体营养含量。</w:t>
            </w:r>
          </w:p>
        </w:tc>
      </w:tr>
    </w:tbl>
    <w:p>
      <w:pPr>
        <w:pStyle w:val="72"/>
        <w:bidi w:val="0"/>
        <w:rPr>
          <w:rFonts w:hint="eastAsia"/>
          <w:lang w:val="en-US" w:eastAsia="zh-CN"/>
        </w:rPr>
      </w:pPr>
      <w:r>
        <w:rPr>
          <w:rFonts w:hint="eastAsia"/>
          <w:lang w:val="en-US" w:eastAsia="zh-CN"/>
        </w:rPr>
        <w:t>安全指标</w:t>
      </w:r>
    </w:p>
    <w:p>
      <w:pPr>
        <w:pStyle w:val="24"/>
        <w:ind w:firstLine="0" w:firstLineChars="0"/>
        <w:rPr>
          <w:rFonts w:hint="eastAsia"/>
          <w:lang w:val="en-US" w:eastAsia="zh-CN"/>
        </w:rPr>
      </w:pPr>
      <w:r>
        <w:rPr>
          <w:rFonts w:hint="eastAsia"/>
          <w:lang w:val="en-US" w:eastAsia="zh-CN"/>
        </w:rPr>
        <w:t>4.8.1 污染物限量应符合GB 2762的规定。</w:t>
      </w:r>
    </w:p>
    <w:p>
      <w:pPr>
        <w:pStyle w:val="24"/>
        <w:ind w:firstLine="0" w:firstLineChars="0"/>
        <w:rPr>
          <w:rFonts w:hint="default"/>
          <w:lang w:val="en-US"/>
        </w:rPr>
      </w:pPr>
      <w:r>
        <w:rPr>
          <w:rFonts w:hint="eastAsia"/>
          <w:lang w:val="en-US" w:eastAsia="zh-CN"/>
        </w:rPr>
        <w:t>4.8.2 农药最大残留限量应符合GB 2763的规定。</w:t>
      </w:r>
    </w:p>
    <w:p>
      <w:pPr>
        <w:pStyle w:val="24"/>
        <w:ind w:firstLine="0" w:firstLineChars="0"/>
        <w:rPr>
          <w:rFonts w:hint="eastAsia"/>
          <w:lang w:val="en-US" w:eastAsia="zh-CN"/>
        </w:rPr>
      </w:pPr>
    </w:p>
    <w:p>
      <w:pPr>
        <w:pStyle w:val="72"/>
        <w:bidi w:val="0"/>
        <w:rPr>
          <w:rFonts w:hint="eastAsia"/>
          <w:lang w:val="en-US" w:eastAsia="zh-CN"/>
        </w:rPr>
      </w:pPr>
      <w:r>
        <w:rPr>
          <w:rFonts w:hint="eastAsia"/>
          <w:lang w:val="en-US" w:eastAsia="zh-CN"/>
        </w:rPr>
        <w:t>净含量</w:t>
      </w:r>
    </w:p>
    <w:p>
      <w:pPr>
        <w:pStyle w:val="24"/>
        <w:ind w:firstLine="420"/>
        <w:rPr>
          <w:rFonts w:hint="default"/>
        </w:rPr>
      </w:pPr>
      <w:r>
        <w:rPr>
          <w:rFonts w:hint="eastAsia"/>
        </w:rPr>
        <w:t>应符合《定量包装商品计量监督管理办法》的要求，检验方法按照J</w:t>
      </w:r>
      <w:r>
        <w:t>JF 1070</w:t>
      </w:r>
      <w:r>
        <w:rPr>
          <w:rFonts w:hint="eastAsia"/>
        </w:rPr>
        <w:t>规定执行。</w:t>
      </w:r>
    </w:p>
    <w:p>
      <w:pPr>
        <w:pStyle w:val="71"/>
        <w:rPr>
          <w:rFonts w:hint="default"/>
        </w:rPr>
      </w:pPr>
      <w:bookmarkStart w:id="36" w:name="_Toc141026233"/>
      <w:bookmarkStart w:id="37" w:name="_Toc144479682"/>
      <w:bookmarkStart w:id="38" w:name="_Toc103848005"/>
      <w:bookmarkStart w:id="39" w:name="_Toc111488254"/>
      <w:bookmarkStart w:id="40" w:name="_Toc104058753"/>
      <w:bookmarkStart w:id="41" w:name="_Toc141040835"/>
      <w:bookmarkStart w:id="42" w:name="_Toc149643651"/>
      <w:bookmarkStart w:id="43" w:name="_Toc144670743"/>
      <w:bookmarkStart w:id="44" w:name="_Toc147843901"/>
      <w:bookmarkStart w:id="45" w:name="_Toc143955922"/>
      <w:bookmarkStart w:id="46" w:name="_Toc103848253"/>
      <w:bookmarkStart w:id="47" w:name="_Toc150196311"/>
      <w:bookmarkStart w:id="48" w:name="_Toc15014"/>
      <w:bookmarkStart w:id="49" w:name="_Toc147777293"/>
      <w:bookmarkStart w:id="50" w:name="_Toc143288146"/>
      <w:bookmarkStart w:id="51" w:name="_Toc141189597"/>
      <w:bookmarkStart w:id="52" w:name="_Toc147761913"/>
      <w:bookmarkStart w:id="53" w:name="_Toc141363102"/>
      <w:r>
        <w:rPr>
          <w:rFonts w:hint="eastAsia"/>
        </w:rPr>
        <w:t>检验规则</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72"/>
        <w:bidi w:val="0"/>
        <w:rPr>
          <w:rFonts w:hint="eastAsia"/>
          <w:lang w:val="en-US" w:eastAsia="zh-CN"/>
        </w:rPr>
      </w:pPr>
      <w:r>
        <w:rPr>
          <w:rFonts w:hint="eastAsia"/>
          <w:lang w:val="en-US" w:eastAsia="zh-CN"/>
        </w:rPr>
        <w:t>组批</w:t>
      </w:r>
    </w:p>
    <w:p>
      <w:pPr>
        <w:pStyle w:val="24"/>
        <w:ind w:firstLine="420"/>
        <w:rPr>
          <w:rFonts w:hint="eastAsia" w:eastAsia="宋体"/>
          <w:lang w:eastAsia="zh-CN"/>
        </w:rPr>
      </w:pPr>
      <w:r>
        <w:rPr>
          <w:rFonts w:hint="eastAsia"/>
        </w:rPr>
        <w:t>同</w:t>
      </w:r>
      <w:r>
        <w:rPr>
          <w:rFonts w:hint="eastAsia"/>
          <w:lang w:val="en-US" w:eastAsia="zh-CN"/>
        </w:rPr>
        <w:t>产地、同时间采收的同等级产品</w:t>
      </w:r>
      <w:r>
        <w:rPr>
          <w:rFonts w:hint="eastAsia"/>
        </w:rPr>
        <w:t>为一批</w:t>
      </w:r>
      <w:r>
        <w:rPr>
          <w:rFonts w:hint="eastAsia"/>
          <w:lang w:eastAsia="zh-CN"/>
        </w:rPr>
        <w:t>。</w:t>
      </w:r>
    </w:p>
    <w:p>
      <w:pPr>
        <w:pStyle w:val="72"/>
        <w:bidi w:val="0"/>
        <w:rPr>
          <w:rFonts w:hint="eastAsia"/>
          <w:lang w:val="en-US" w:eastAsia="zh-CN"/>
        </w:rPr>
      </w:pPr>
      <w:r>
        <w:rPr>
          <w:rFonts w:hint="eastAsia"/>
          <w:lang w:val="en-US" w:eastAsia="zh-CN"/>
        </w:rPr>
        <w:t>抽样方法</w:t>
      </w:r>
    </w:p>
    <w:p>
      <w:pPr>
        <w:pStyle w:val="24"/>
        <w:ind w:firstLine="420"/>
        <w:rPr>
          <w:rFonts w:hint="eastAsia"/>
        </w:rPr>
      </w:pPr>
      <w:r>
        <w:rPr>
          <w:rFonts w:hint="eastAsia"/>
          <w:lang w:val="en-US" w:eastAsia="zh-CN"/>
        </w:rPr>
        <w:t>从同批次产品中随机抽取3kg产品，数量不少于6个，样品分两份，一份做感官和理化检验，一份留样备查。</w:t>
      </w:r>
    </w:p>
    <w:p>
      <w:pPr>
        <w:pStyle w:val="72"/>
        <w:bidi w:val="0"/>
        <w:rPr>
          <w:rFonts w:hint="eastAsia"/>
          <w:lang w:val="en-US" w:eastAsia="zh-CN"/>
        </w:rPr>
      </w:pPr>
      <w:r>
        <w:rPr>
          <w:rFonts w:hint="eastAsia"/>
          <w:lang w:val="en-US" w:eastAsia="zh-CN"/>
        </w:rPr>
        <w:t>检验分类</w:t>
      </w:r>
    </w:p>
    <w:p>
      <w:pPr>
        <w:pStyle w:val="73"/>
        <w:numPr>
          <w:ilvl w:val="2"/>
          <w:numId w:val="7"/>
        </w:numPr>
        <w:spacing w:before="120" w:after="120"/>
      </w:pPr>
      <w:r>
        <w:rPr>
          <w:rFonts w:hint="eastAsia"/>
          <w:lang w:val="en-US" w:eastAsia="zh-CN"/>
        </w:rPr>
        <w:t>交付</w:t>
      </w:r>
      <w:r>
        <w:rPr>
          <w:rFonts w:hint="eastAsia"/>
        </w:rPr>
        <w:t>检验</w:t>
      </w:r>
    </w:p>
    <w:p>
      <w:pPr>
        <w:pStyle w:val="24"/>
        <w:ind w:firstLine="420"/>
      </w:pPr>
      <w:r>
        <w:rPr>
          <w:rFonts w:hint="eastAsia"/>
        </w:rPr>
        <w:t>每批次产品应进行</w:t>
      </w:r>
      <w:r>
        <w:rPr>
          <w:rFonts w:hint="eastAsia"/>
          <w:lang w:val="en-US" w:eastAsia="zh-CN"/>
        </w:rPr>
        <w:t>交付</w:t>
      </w:r>
      <w:r>
        <w:rPr>
          <w:rFonts w:hint="eastAsia"/>
        </w:rPr>
        <w:t>检验</w:t>
      </w:r>
      <w:r>
        <w:rPr>
          <w:rFonts w:hint="eastAsia"/>
          <w:lang w:eastAsia="zh-CN"/>
        </w:rPr>
        <w:t>，</w:t>
      </w:r>
      <w:r>
        <w:rPr>
          <w:rFonts w:hint="eastAsia"/>
          <w:lang w:val="en-US" w:eastAsia="zh-CN"/>
        </w:rPr>
        <w:t>交付</w:t>
      </w:r>
      <w:r>
        <w:rPr>
          <w:rFonts w:hint="eastAsia"/>
        </w:rPr>
        <w:t>检验项目为感官指标</w:t>
      </w:r>
      <w:r>
        <w:rPr>
          <w:rFonts w:hint="eastAsia"/>
          <w:lang w:eastAsia="zh-CN"/>
        </w:rPr>
        <w:t>、</w:t>
      </w:r>
      <w:r>
        <w:rPr>
          <w:rFonts w:hint="eastAsia"/>
          <w:lang w:val="en-US" w:eastAsia="zh-CN"/>
        </w:rPr>
        <w:t>净含量</w:t>
      </w:r>
      <w:r>
        <w:rPr>
          <w:rFonts w:hint="eastAsia"/>
        </w:rPr>
        <w:t>。</w:t>
      </w:r>
    </w:p>
    <w:p>
      <w:pPr>
        <w:pStyle w:val="73"/>
        <w:numPr>
          <w:ilvl w:val="2"/>
          <w:numId w:val="7"/>
        </w:numPr>
        <w:spacing w:before="120" w:after="120"/>
      </w:pPr>
      <w:r>
        <w:rPr>
          <w:rFonts w:hint="eastAsia"/>
        </w:rPr>
        <w:t>型式检验</w:t>
      </w:r>
    </w:p>
    <w:p>
      <w:pPr>
        <w:pStyle w:val="79"/>
        <w:numPr>
          <w:ilvl w:val="3"/>
          <w:numId w:val="7"/>
        </w:numPr>
        <w:spacing w:before="0" w:beforeLines="0" w:after="0" w:afterLines="0"/>
      </w:pPr>
      <w:r>
        <w:rPr>
          <w:rFonts w:hint="eastAsia"/>
          <w:lang w:val="en-US" w:eastAsia="zh-CN"/>
        </w:rPr>
        <w:t>型式</w:t>
      </w:r>
      <w:r>
        <w:rPr>
          <w:rFonts w:hint="eastAsia"/>
        </w:rPr>
        <w:t>检验</w:t>
      </w:r>
      <w:r>
        <w:rPr>
          <w:rFonts w:hint="eastAsia"/>
          <w:lang w:val="en-US" w:eastAsia="zh-CN"/>
        </w:rPr>
        <w:t>每年至少一次</w:t>
      </w:r>
      <w:r>
        <w:rPr>
          <w:rFonts w:hint="eastAsia"/>
        </w:rPr>
        <w:t>，</w:t>
      </w:r>
      <w:r>
        <w:rPr>
          <w:rFonts w:hint="eastAsia"/>
          <w:lang w:val="en-US" w:eastAsia="zh-CN"/>
        </w:rPr>
        <w:t>但有下列</w:t>
      </w:r>
      <w:r>
        <w:rPr>
          <w:rFonts w:hint="eastAsia"/>
        </w:rPr>
        <w:t>情况之一</w:t>
      </w:r>
      <w:r>
        <w:rPr>
          <w:rFonts w:hint="eastAsia"/>
          <w:lang w:val="en-US" w:eastAsia="zh-CN"/>
        </w:rPr>
        <w:t>时亦</w:t>
      </w:r>
      <w:r>
        <w:rPr>
          <w:rFonts w:hint="eastAsia"/>
        </w:rPr>
        <w:t>应进行型式检验：</w:t>
      </w:r>
    </w:p>
    <w:p>
      <w:pPr>
        <w:pStyle w:val="56"/>
      </w:pPr>
      <w:r>
        <w:rPr>
          <w:rFonts w:hint="eastAsia"/>
          <w:lang w:val="en-US" w:eastAsia="zh-CN"/>
        </w:rPr>
        <w:t>产地环境发生重大变化时</w:t>
      </w:r>
      <w:r>
        <w:rPr>
          <w:rFonts w:hint="eastAsia"/>
        </w:rPr>
        <w:t>；</w:t>
      </w:r>
    </w:p>
    <w:p>
      <w:pPr>
        <w:pStyle w:val="56"/>
        <w:ind w:left="851" w:hanging="426"/>
      </w:pPr>
      <w:r>
        <w:rPr>
          <w:rFonts w:hint="eastAsia"/>
          <w:lang w:val="en-US" w:eastAsia="zh-CN"/>
        </w:rPr>
        <w:t>出厂检验结果与上一次型式检验结果有较大差异时</w:t>
      </w:r>
      <w:r>
        <w:rPr>
          <w:rFonts w:hint="eastAsia"/>
        </w:rPr>
        <w:t>；</w:t>
      </w:r>
    </w:p>
    <w:p>
      <w:pPr>
        <w:pStyle w:val="56"/>
      </w:pPr>
      <w:r>
        <w:rPr>
          <w:rFonts w:hint="eastAsia"/>
          <w:lang w:val="en-US" w:eastAsia="zh-CN"/>
        </w:rPr>
        <w:t>国家有关监督管理机构、行业协会提出进行型式检验的要求时</w:t>
      </w:r>
      <w:r>
        <w:rPr>
          <w:rFonts w:hint="eastAsia"/>
        </w:rPr>
        <w:t>。</w:t>
      </w:r>
    </w:p>
    <w:p>
      <w:pPr>
        <w:pStyle w:val="79"/>
        <w:numPr>
          <w:ilvl w:val="3"/>
          <w:numId w:val="7"/>
        </w:numPr>
        <w:spacing w:before="0" w:beforeLines="0" w:after="0" w:afterLines="0"/>
      </w:pPr>
      <w:r>
        <w:rPr>
          <w:rFonts w:hint="eastAsia"/>
        </w:rPr>
        <w:t>型式检验项目包括本文</w:t>
      </w:r>
      <w:r>
        <w:rPr>
          <w:rFonts w:hint="eastAsia"/>
          <w:highlight w:val="none"/>
        </w:rPr>
        <w:t>件</w:t>
      </w:r>
      <w:r>
        <w:rPr>
          <w:rFonts w:hint="eastAsia"/>
          <w:highlight w:val="none"/>
          <w:lang w:val="en-US" w:eastAsia="zh-CN"/>
        </w:rPr>
        <w:t>4.6</w:t>
      </w:r>
      <w:r>
        <w:rPr>
          <w:rFonts w:hint="eastAsia"/>
          <w:highlight w:val="none"/>
        </w:rPr>
        <w:t>～</w:t>
      </w:r>
      <w:r>
        <w:rPr>
          <w:rFonts w:hint="eastAsia"/>
          <w:highlight w:val="none"/>
          <w:lang w:val="en-US" w:eastAsia="zh-CN"/>
        </w:rPr>
        <w:t>4.9</w:t>
      </w:r>
      <w:r>
        <w:rPr>
          <w:rFonts w:hint="eastAsia"/>
          <w:highlight w:val="none"/>
        </w:rPr>
        <w:t>规</w:t>
      </w:r>
      <w:r>
        <w:rPr>
          <w:rFonts w:hint="eastAsia"/>
        </w:rPr>
        <w:t>定的所有项目。</w:t>
      </w:r>
    </w:p>
    <w:p>
      <w:pPr>
        <w:pStyle w:val="72"/>
        <w:numPr>
          <w:ilvl w:val="1"/>
          <w:numId w:val="7"/>
        </w:numPr>
        <w:spacing w:before="120" w:after="120"/>
      </w:pPr>
      <w:r>
        <w:rPr>
          <w:rFonts w:hint="eastAsia"/>
        </w:rPr>
        <w:t>判定规则</w:t>
      </w:r>
    </w:p>
    <w:p>
      <w:pPr>
        <w:pStyle w:val="78"/>
        <w:numPr>
          <w:ilvl w:val="2"/>
          <w:numId w:val="7"/>
        </w:numPr>
        <w:spacing w:before="0" w:beforeLines="0" w:after="0" w:afterLines="0"/>
      </w:pPr>
      <w:r>
        <w:rPr>
          <w:rFonts w:hint="eastAsia"/>
        </w:rPr>
        <w:t>所有指标全部符合本文件要求时判该批产品合格。</w:t>
      </w:r>
    </w:p>
    <w:p>
      <w:pPr>
        <w:pStyle w:val="78"/>
        <w:numPr>
          <w:ilvl w:val="2"/>
          <w:numId w:val="7"/>
        </w:numPr>
        <w:spacing w:before="0" w:beforeLines="0" w:after="0" w:afterLines="0"/>
      </w:pPr>
      <w:r>
        <w:rPr>
          <w:rFonts w:hint="eastAsia"/>
        </w:rPr>
        <w:t>有一项不合格时，可在同批产品中抽取两倍量样品进行复验，以复验结果为准。</w:t>
      </w:r>
    </w:p>
    <w:p>
      <w:pPr>
        <w:pStyle w:val="78"/>
        <w:numPr>
          <w:ilvl w:val="2"/>
          <w:numId w:val="7"/>
        </w:numPr>
        <w:spacing w:before="0" w:beforeLines="0" w:after="0" w:afterLines="0"/>
      </w:pPr>
      <w:r>
        <w:rPr>
          <w:rFonts w:hint="default"/>
          <w:sz w:val="21"/>
          <w:szCs w:val="20"/>
          <w:lang w:val="en-US" w:eastAsia="zh-CN"/>
        </w:rPr>
        <w:t>如有一项安全指标检验不合格时，直接判定为不合格</w:t>
      </w:r>
      <w:r>
        <w:rPr>
          <w:rFonts w:hint="eastAsia"/>
          <w:sz w:val="21"/>
          <w:szCs w:val="20"/>
          <w:lang w:val="en-US" w:eastAsia="zh-CN"/>
        </w:rPr>
        <w:t>。</w:t>
      </w:r>
    </w:p>
    <w:p>
      <w:pPr>
        <w:pStyle w:val="71"/>
        <w:numPr>
          <w:ilvl w:val="0"/>
          <w:numId w:val="7"/>
        </w:numPr>
        <w:bidi w:val="0"/>
      </w:pPr>
      <w:bookmarkStart w:id="54" w:name="_Toc103848006"/>
      <w:bookmarkStart w:id="55" w:name="_Toc104058754"/>
      <w:bookmarkStart w:id="56" w:name="_Toc111488255"/>
      <w:bookmarkStart w:id="57" w:name="_Toc141189598"/>
      <w:bookmarkStart w:id="58" w:name="_Toc144670744"/>
      <w:bookmarkStart w:id="59" w:name="_Toc149643652"/>
      <w:bookmarkStart w:id="60" w:name="_Toc147843902"/>
      <w:bookmarkStart w:id="61" w:name="_Toc144479683"/>
      <w:bookmarkStart w:id="62" w:name="_Toc150196312"/>
      <w:bookmarkStart w:id="63" w:name="_Toc141026234"/>
      <w:bookmarkStart w:id="64" w:name="_Toc147777294"/>
      <w:bookmarkStart w:id="65" w:name="_Toc143288147"/>
      <w:bookmarkStart w:id="66" w:name="_Toc141363103"/>
      <w:bookmarkStart w:id="67" w:name="_Toc103848254"/>
      <w:bookmarkStart w:id="68" w:name="_Toc141040836"/>
      <w:bookmarkStart w:id="69" w:name="_Toc143955923"/>
      <w:bookmarkStart w:id="70" w:name="_Toc30562"/>
      <w:bookmarkStart w:id="71" w:name="_Toc147761914"/>
      <w:r>
        <w:rPr>
          <w:rFonts w:hint="eastAsia"/>
        </w:rPr>
        <w:t>包装、标签</w:t>
      </w:r>
      <w:bookmarkEnd w:id="54"/>
      <w:r>
        <w:rPr>
          <w:rFonts w:hint="eastAsia"/>
        </w:rPr>
        <w:t>与标志</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pStyle w:val="72"/>
        <w:numPr>
          <w:ilvl w:val="1"/>
          <w:numId w:val="7"/>
        </w:numPr>
        <w:spacing w:before="120" w:after="120"/>
      </w:pPr>
      <w:r>
        <w:rPr>
          <w:rFonts w:hint="eastAsia"/>
        </w:rPr>
        <w:t>包装</w:t>
      </w:r>
    </w:p>
    <w:p>
      <w:pPr>
        <w:pStyle w:val="78"/>
        <w:numPr>
          <w:ilvl w:val="2"/>
          <w:numId w:val="7"/>
        </w:numPr>
        <w:bidi w:val="0"/>
        <w:spacing w:before="0" w:beforeLines="0" w:after="0" w:afterLines="0"/>
        <w:rPr>
          <w:rFonts w:hint="eastAsia"/>
        </w:rPr>
      </w:pPr>
      <w:bookmarkStart w:id="72" w:name="_Hlk111489077"/>
      <w:r>
        <w:rPr>
          <w:rFonts w:hint="eastAsia"/>
        </w:rPr>
        <w:t>包装</w:t>
      </w:r>
      <w:r>
        <w:rPr>
          <w:rFonts w:hint="eastAsia"/>
          <w:lang w:val="en-US" w:eastAsia="zh-CN"/>
        </w:rPr>
        <w:t>应整洁、干燥、牢固、透气、无污染、无异味、无霉变、无毒。塑料包装</w:t>
      </w:r>
      <w:r>
        <w:rPr>
          <w:rFonts w:hint="eastAsia"/>
        </w:rPr>
        <w:t>材料应符合GB 4806.1</w:t>
      </w:r>
      <w:r>
        <w:rPr>
          <w:rFonts w:hint="eastAsia"/>
          <w:lang w:val="en-US" w:eastAsia="zh-CN"/>
        </w:rPr>
        <w:t>、</w:t>
      </w:r>
      <w:r>
        <w:rPr>
          <w:rFonts w:hint="eastAsia"/>
        </w:rPr>
        <w:t>GB 4806.7的规定。</w:t>
      </w:r>
      <w:r>
        <w:rPr>
          <w:rFonts w:hint="eastAsia"/>
          <w:lang w:val="en-US" w:eastAsia="zh-CN"/>
        </w:rPr>
        <w:t>塑</w:t>
      </w:r>
      <w:r>
        <w:rPr>
          <w:rFonts w:hint="eastAsia"/>
        </w:rPr>
        <w:t>料包装容器应符合GB/T 5737的要求。</w:t>
      </w:r>
      <w:bookmarkEnd w:id="72"/>
    </w:p>
    <w:p>
      <w:pPr>
        <w:pStyle w:val="78"/>
        <w:numPr>
          <w:ilvl w:val="2"/>
          <w:numId w:val="7"/>
        </w:numPr>
        <w:bidi w:val="0"/>
        <w:spacing w:before="0" w:beforeLines="0" w:after="0" w:afterLines="0"/>
        <w:rPr>
          <w:rFonts w:hint="eastAsia"/>
        </w:rPr>
      </w:pPr>
      <w:r>
        <w:rPr>
          <w:rFonts w:hint="eastAsia"/>
          <w:lang w:val="en-US" w:eastAsia="zh-CN"/>
        </w:rPr>
        <w:t>绿色食品应符合NY/T 658的要求，有机产品应符合GB/T 19630的要求。</w:t>
      </w:r>
    </w:p>
    <w:p>
      <w:pPr>
        <w:pStyle w:val="72"/>
        <w:numPr>
          <w:ilvl w:val="1"/>
          <w:numId w:val="7"/>
        </w:numPr>
        <w:spacing w:before="120" w:after="120"/>
      </w:pPr>
      <w:r>
        <w:rPr>
          <w:rFonts w:hint="eastAsia"/>
        </w:rPr>
        <w:t>标签与标志</w:t>
      </w:r>
    </w:p>
    <w:p>
      <w:pPr>
        <w:pStyle w:val="78"/>
        <w:numPr>
          <w:ilvl w:val="2"/>
          <w:numId w:val="0"/>
        </w:numPr>
        <w:bidi w:val="0"/>
        <w:spacing w:before="0" w:beforeLines="0" w:after="0" w:afterLines="0"/>
        <w:ind w:leftChars="0" w:firstLine="420" w:firstLineChars="200"/>
        <w:rPr>
          <w:rFonts w:hint="eastAsia"/>
        </w:rPr>
      </w:pPr>
      <w:bookmarkStart w:id="73" w:name="_Hlk103955000"/>
      <w:r>
        <w:rPr>
          <w:rFonts w:hint="eastAsia"/>
        </w:rPr>
        <w:t>产品标签应符合GB/T 32950的要求</w:t>
      </w:r>
      <w:r>
        <w:rPr>
          <w:rFonts w:hint="eastAsia"/>
          <w:lang w:eastAsia="zh-CN"/>
        </w:rPr>
        <w:t>。</w:t>
      </w:r>
    </w:p>
    <w:bookmarkEnd w:id="73"/>
    <w:p>
      <w:pPr>
        <w:pStyle w:val="71"/>
        <w:numPr>
          <w:ilvl w:val="0"/>
          <w:numId w:val="7"/>
        </w:numPr>
        <w:spacing w:before="240" w:after="240"/>
      </w:pPr>
      <w:bookmarkStart w:id="74" w:name="_Toc150196313"/>
      <w:bookmarkStart w:id="75" w:name="_Toc26806"/>
      <w:bookmarkStart w:id="76" w:name="_Toc103848007"/>
      <w:bookmarkStart w:id="77" w:name="_Toc147843903"/>
      <w:bookmarkStart w:id="78" w:name="_Toc141026235"/>
      <w:bookmarkStart w:id="79" w:name="_Toc141363104"/>
      <w:bookmarkStart w:id="80" w:name="_Toc149643653"/>
      <w:bookmarkStart w:id="81" w:name="_Toc141040837"/>
      <w:bookmarkStart w:id="82" w:name="_Toc144479684"/>
      <w:bookmarkStart w:id="83" w:name="_Toc103848255"/>
      <w:bookmarkStart w:id="84" w:name="_Toc147761915"/>
      <w:bookmarkStart w:id="85" w:name="_Toc111488256"/>
      <w:bookmarkStart w:id="86" w:name="_Toc143955924"/>
      <w:bookmarkStart w:id="87" w:name="_Toc104058755"/>
      <w:bookmarkStart w:id="88" w:name="_Toc147777295"/>
      <w:bookmarkStart w:id="89" w:name="_Toc143288148"/>
      <w:bookmarkStart w:id="90" w:name="_Toc144670745"/>
      <w:bookmarkStart w:id="91" w:name="_Toc141189599"/>
      <w:r>
        <w:rPr>
          <w:rFonts w:hint="eastAsia"/>
        </w:rPr>
        <w:t>运输与贮存</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pStyle w:val="72"/>
        <w:numPr>
          <w:ilvl w:val="1"/>
          <w:numId w:val="7"/>
        </w:numPr>
        <w:spacing w:before="120" w:after="120"/>
        <w:rPr>
          <w:rFonts w:hint="eastAsia"/>
          <w:lang w:val="en-US" w:eastAsia="zh-CN"/>
        </w:rPr>
      </w:pPr>
      <w:r>
        <w:rPr>
          <w:rFonts w:hint="eastAsia"/>
          <w:lang w:val="en-US" w:eastAsia="zh-CN"/>
        </w:rPr>
        <w:t>运输</w:t>
      </w:r>
    </w:p>
    <w:p>
      <w:pPr>
        <w:pStyle w:val="78"/>
        <w:numPr>
          <w:ilvl w:val="2"/>
          <w:numId w:val="0"/>
        </w:numPr>
        <w:bidi w:val="0"/>
        <w:spacing w:before="0" w:beforeLines="0" w:after="0" w:afterLines="0"/>
        <w:ind w:leftChars="0" w:firstLine="400" w:firstLineChars="200"/>
        <w:rPr>
          <w:rFonts w:hint="eastAsia"/>
          <w:lang w:val="en-US" w:eastAsia="zh-CN"/>
        </w:rPr>
      </w:pPr>
      <w:r>
        <w:rPr>
          <w:rFonts w:hint="eastAsia" w:cs="宋体"/>
          <w:b w:val="0"/>
          <w:bCs w:val="0"/>
          <w:color w:val="000000"/>
          <w:sz w:val="20"/>
          <w:szCs w:val="20"/>
          <w:lang w:val="en-US" w:eastAsia="zh-CN"/>
        </w:rPr>
        <w:t>当天采收当天运输。</w:t>
      </w:r>
      <w:r>
        <w:rPr>
          <w:rFonts w:ascii="宋体" w:hAnsi="宋体" w:eastAsia="宋体" w:cs="宋体"/>
          <w:b w:val="0"/>
          <w:bCs w:val="0"/>
          <w:color w:val="000000"/>
          <w:sz w:val="20"/>
          <w:szCs w:val="20"/>
        </w:rPr>
        <w:t>运输工具应清洁、卫生、干燥、无异味，不得与有毒有害物品混运。运输途中应防雨、防潮、防暴晒、防污染。产品运输图示标志应符合GB/T 191的要求；绿色食品应符合NY/T 1056的规定；有机产品应符合 GB/T 19630 的规定。</w:t>
      </w:r>
    </w:p>
    <w:p>
      <w:pPr>
        <w:pStyle w:val="72"/>
        <w:numPr>
          <w:ilvl w:val="1"/>
          <w:numId w:val="7"/>
        </w:numPr>
        <w:spacing w:before="120" w:after="120"/>
        <w:rPr>
          <w:rFonts w:hint="eastAsia"/>
          <w:lang w:val="en-US" w:eastAsia="zh-CN"/>
        </w:rPr>
      </w:pPr>
      <w:r>
        <w:rPr>
          <w:rFonts w:hint="eastAsia"/>
          <w:lang w:val="en-US" w:eastAsia="zh-CN"/>
        </w:rPr>
        <w:t>贮存</w:t>
      </w:r>
    </w:p>
    <w:p>
      <w:pPr>
        <w:pStyle w:val="78"/>
        <w:numPr>
          <w:ilvl w:val="2"/>
          <w:numId w:val="0"/>
        </w:numPr>
        <w:bidi w:val="0"/>
        <w:spacing w:before="0" w:beforeLines="0" w:after="0" w:afterLines="0"/>
        <w:ind w:leftChars="0" w:firstLine="420" w:firstLineChars="200"/>
        <w:rPr>
          <w:rFonts w:hint="default"/>
          <w:lang w:val="en-US" w:eastAsia="zh-CN"/>
        </w:rPr>
      </w:pPr>
      <w:r>
        <w:rPr>
          <w:rFonts w:hint="eastAsia"/>
          <w:lang w:val="en-US" w:eastAsia="zh-CN"/>
        </w:rPr>
        <w:t>贮</w:t>
      </w:r>
      <w:r>
        <w:rPr>
          <w:rFonts w:ascii="宋体" w:hAnsi="宋体" w:eastAsia="宋体" w:cs="宋体"/>
          <w:b w:val="0"/>
          <w:bCs w:val="0"/>
          <w:color w:val="000000"/>
          <w:sz w:val="20"/>
          <w:szCs w:val="20"/>
        </w:rPr>
        <w:t>存应符合GB 31621 的规定</w:t>
      </w:r>
      <w:r>
        <w:rPr>
          <w:rFonts w:hint="eastAsia" w:cs="宋体"/>
          <w:b w:val="0"/>
          <w:bCs w:val="0"/>
          <w:color w:val="000000"/>
          <w:sz w:val="20"/>
          <w:szCs w:val="20"/>
          <w:lang w:eastAsia="zh-CN"/>
        </w:rPr>
        <w:t>，</w:t>
      </w:r>
      <w:r>
        <w:rPr>
          <w:rFonts w:ascii="宋体" w:hAnsi="宋体" w:eastAsia="宋体" w:cs="宋体"/>
          <w:b w:val="0"/>
          <w:bCs w:val="0"/>
          <w:color w:val="000000"/>
          <w:sz w:val="20"/>
          <w:szCs w:val="20"/>
        </w:rPr>
        <w:t>应在0℃～5℃贮存。绿色食品应符合NY/T 1056 的规定；有机产品应符合 GB/T 19630 的规定。</w:t>
      </w:r>
    </w:p>
    <w:p>
      <w:pPr>
        <w:rPr>
          <w:rFonts w:hint="eastAsia"/>
          <w:lang w:val="en-US" w:eastAsia="zh-CN"/>
        </w:rPr>
      </w:pPr>
      <w:r>
        <w:rPr>
          <w:rFonts w:hint="eastAsia"/>
          <w:lang w:val="en-US" w:eastAsia="zh-CN"/>
        </w:rPr>
        <w:br w:type="page"/>
      </w:r>
      <w:bookmarkStart w:id="92" w:name="BKFL"/>
    </w:p>
    <w:p>
      <w:pPr>
        <w:pStyle w:val="98"/>
        <w:bidi w:val="0"/>
        <w:rPr>
          <w:rFonts w:hint="eastAsia"/>
          <w:lang w:val="en-US" w:eastAsia="zh-CN"/>
        </w:rPr>
      </w:pPr>
    </w:p>
    <w:p>
      <w:pPr>
        <w:pStyle w:val="100"/>
        <w:bidi w:val="0"/>
        <w:rPr>
          <w:rFonts w:hint="eastAsia"/>
          <w:lang w:val="en-US" w:eastAsia="zh-CN"/>
        </w:rPr>
      </w:pPr>
    </w:p>
    <w:p>
      <w:pPr>
        <w:pStyle w:val="87"/>
        <w:bidi w:val="0"/>
        <w:rPr>
          <w:rFonts w:hint="eastAsia"/>
          <w:lang w:val="en-US" w:eastAsia="zh-CN"/>
        </w:rPr>
      </w:pPr>
      <w:bookmarkStart w:id="93" w:name="_Toc28217"/>
    </w:p>
    <w:p>
      <w:pPr>
        <w:pStyle w:val="87"/>
        <w:numPr>
          <w:ilvl w:val="0"/>
          <w:numId w:val="0"/>
        </w:numPr>
        <w:bidi w:val="0"/>
        <w:ind w:leftChars="0"/>
        <w:jc w:val="center"/>
        <w:rPr>
          <w:rFonts w:hint="eastAsia"/>
          <w:lang w:val="en-US" w:eastAsia="zh-CN"/>
        </w:rPr>
      </w:pPr>
      <w:r>
        <w:rPr>
          <w:rFonts w:hint="eastAsia"/>
          <w:lang w:val="en-US" w:eastAsia="zh-CN"/>
        </w:rPr>
        <w:t>（规范性）</w:t>
      </w:r>
    </w:p>
    <w:p>
      <w:pPr>
        <w:pStyle w:val="87"/>
        <w:numPr>
          <w:ilvl w:val="0"/>
          <w:numId w:val="0"/>
        </w:numPr>
        <w:bidi w:val="0"/>
        <w:ind w:leftChars="0"/>
        <w:jc w:val="center"/>
        <w:rPr>
          <w:rFonts w:hint="eastAsia"/>
          <w:lang w:val="en-US" w:eastAsia="zh-CN"/>
        </w:rPr>
      </w:pPr>
      <w:r>
        <w:rPr>
          <w:rFonts w:hint="eastAsia"/>
          <w:lang w:val="en-US" w:eastAsia="zh-CN"/>
        </w:rPr>
        <w:t>井冈山冬笋生产区域范围图</w:t>
      </w:r>
      <w:bookmarkEnd w:id="93"/>
    </w:p>
    <w:p>
      <w:pPr>
        <w:pStyle w:val="24"/>
        <w:rPr>
          <w:rFonts w:hint="eastAsia"/>
          <w:lang w:val="en-US" w:eastAsia="zh-CN"/>
        </w:rPr>
      </w:pPr>
    </w:p>
    <w:p>
      <w:pPr>
        <w:pStyle w:val="24"/>
        <w:rPr>
          <w:rFonts w:hint="default"/>
          <w:lang w:val="en-US" w:eastAsia="zh-CN"/>
        </w:rPr>
      </w:pPr>
      <w:r>
        <w:rPr>
          <w:rFonts w:hint="eastAsia"/>
          <w:lang w:val="en-US" w:eastAsia="zh-CN"/>
        </w:rPr>
        <w:t>井冈山冬笋生产区域范围见图A.1。</w:t>
      </w:r>
    </w:p>
    <w:bookmarkEnd w:id="92"/>
    <w:p>
      <w:pPr>
        <w:pStyle w:val="24"/>
        <w:ind w:firstLine="0" w:firstLineChars="0"/>
        <w:jc w:val="center"/>
      </w:pPr>
      <w:r>
        <w:drawing>
          <wp:inline distT="0" distB="0" distL="114300" distR="114300">
            <wp:extent cx="3604260" cy="5093335"/>
            <wp:effectExtent l="0" t="0" r="15240" b="12065"/>
            <wp:docPr id="1" name="图片 1" descr="0678208d9958eceed3b97fe5adbc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78208d9958eceed3b97fe5adbcc18"/>
                    <pic:cNvPicPr>
                      <a:picLocks noChangeAspect="1"/>
                    </pic:cNvPicPr>
                  </pic:nvPicPr>
                  <pic:blipFill>
                    <a:blip r:embed="rId10"/>
                    <a:stretch>
                      <a:fillRect/>
                    </a:stretch>
                  </pic:blipFill>
                  <pic:spPr>
                    <a:xfrm>
                      <a:off x="0" y="0"/>
                      <a:ext cx="3604260" cy="5093335"/>
                    </a:xfrm>
                    <a:prstGeom prst="rect">
                      <a:avLst/>
                    </a:prstGeom>
                  </pic:spPr>
                </pic:pic>
              </a:graphicData>
            </a:graphic>
          </wp:inline>
        </w:drawing>
      </w:r>
    </w:p>
    <w:p>
      <w:pPr>
        <w:pStyle w:val="113"/>
        <w:numPr>
          <w:ilvl w:val="0"/>
          <w:numId w:val="0"/>
        </w:numPr>
        <w:bidi w:val="0"/>
        <w:ind w:leftChars="0"/>
        <w:jc w:val="center"/>
        <w:rPr>
          <w:rFonts w:hint="eastAsia"/>
          <w:lang w:val="en-US" w:eastAsia="zh-CN"/>
        </w:rPr>
      </w:pPr>
      <w:r>
        <w:rPr>
          <w:rFonts w:hint="eastAsia"/>
          <w:lang w:val="en-US" w:eastAsia="zh-CN"/>
        </w:rPr>
        <w:t>图A.1 井冈山冬笋生产区域范围图</w:t>
      </w:r>
    </w:p>
    <w:p>
      <w:pPr>
        <w:pStyle w:val="24"/>
        <w:jc w:val="center"/>
      </w:pPr>
    </w:p>
    <w:p>
      <w:pPr>
        <w:pStyle w:val="24"/>
        <w:jc w:val="center"/>
      </w:pPr>
    </w:p>
    <w:p>
      <w:pPr>
        <w:pStyle w:val="24"/>
        <w:jc w:val="center"/>
      </w:pPr>
    </w:p>
    <w:p>
      <w:pPr>
        <w:pStyle w:val="111"/>
        <w:bidi w:val="0"/>
        <w:rPr>
          <w:rFonts w:hint="default"/>
          <w:lang w:val="en-US" w:eastAsia="zh-CN"/>
        </w:rPr>
      </w:pPr>
      <w:bookmarkStart w:id="94" w:name="EndLine"/>
      <w:r>
        <w:rPr>
          <w:rFonts w:hint="default"/>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11"/>
                    <a:stretch>
                      <a:fillRect/>
                    </a:stretch>
                  </pic:blipFill>
                  <pic:spPr>
                    <a:xfrm>
                      <a:off x="0" y="0"/>
                      <a:ext cx="1485900" cy="317500"/>
                    </a:xfrm>
                    <a:prstGeom prst="rect">
                      <a:avLst/>
                    </a:prstGeom>
                  </pic:spPr>
                </pic:pic>
              </a:graphicData>
            </a:graphic>
          </wp:inline>
        </w:drawing>
      </w:r>
      <w:bookmarkEnd w:id="94"/>
    </w:p>
    <w:sectPr>
      <w:footerReference r:id="rId7" w:type="default"/>
      <w:footerReference r:id="rId8" w:type="even"/>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bidi w:val="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bidi w:val="0"/>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bidi w:val="0"/>
      <w:jc w:val="left"/>
      <w:rPr>
        <w:rFonts w:hint="default" w:eastAsia="黑体"/>
        <w:lang w:val="en-US" w:eastAsia="zh-CN"/>
      </w:rPr>
    </w:pPr>
    <w:r>
      <w:rPr>
        <w:rFonts w:hint="eastAsia"/>
        <w:lang w:eastAsia="zh-CN"/>
      </w:rPr>
      <w:t xml:space="preserve">T/JALNCP </w:t>
    </w:r>
    <w:r>
      <w:rPr>
        <w:rFonts w:hint="eastAsia"/>
        <w:lang w:val="en-US" w:eastAsia="zh-CN"/>
      </w:rPr>
      <w:t>XXX</w:t>
    </w:r>
    <w:r>
      <w:rPr>
        <w:rFonts w:hint="eastAsia"/>
        <w:lang w:eastAsia="zh-CN"/>
      </w:rPr>
      <w:t>-202</w:t>
    </w:r>
    <w:r>
      <w:rPr>
        <w:rFonts w:hint="eastAsia"/>
        <w:lang w:val="en-US" w:eastAsia="zh-CN"/>
      </w:rPr>
      <w:t>5</w:t>
    </w:r>
  </w:p>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bidi w:val="0"/>
      <w:rPr>
        <w:rFonts w:hint="eastAsia" w:eastAsia="黑体"/>
        <w:lang w:eastAsia="zh-CN"/>
      </w:rPr>
    </w:pPr>
    <w:r>
      <w:rPr>
        <w:rFonts w:hint="eastAsia"/>
        <w:lang w:eastAsia="zh-CN"/>
      </w:rPr>
      <w:t xml:space="preserve">T/JALNCP </w:t>
    </w:r>
    <w:r>
      <w:rPr>
        <w:rFonts w:hint="eastAsia"/>
        <w:lang w:val="en-US" w:eastAsia="zh-CN"/>
      </w:rPr>
      <w:t>X</w:t>
    </w:r>
    <w:r>
      <w:rPr>
        <w:rFonts w:hint="eastAsia"/>
        <w:lang w:eastAsia="zh-CN"/>
      </w:rPr>
      <w:t>-202</w:t>
    </w:r>
    <w:r>
      <w:rPr>
        <w:rFonts w:hint="eastAsia"/>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06DB5"/>
    <w:multiLevelType w:val="multilevel"/>
    <w:tmpl w:val="83506DB5"/>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173C618"/>
    <w:multiLevelType w:val="multilevel"/>
    <w:tmpl w:val="A173C618"/>
    <w:lvl w:ilvl="0" w:tentative="0">
      <w:start w:val="1"/>
      <w:numFmt w:val="none"/>
      <w:pStyle w:val="56"/>
      <w:lvlText w:val="%1——"/>
      <w:lvlJc w:val="left"/>
      <w:pPr>
        <w:tabs>
          <w:tab w:val="left" w:pos="851"/>
        </w:tabs>
        <w:ind w:left="851" w:leftChars="0" w:hanging="426" w:firstLineChars="0"/>
      </w:pPr>
      <w:rPr>
        <w:rFonts w:hint="default" w:ascii="Times New Roman" w:hAnsi="Times New Roman" w:cs="Times New Roman"/>
        <w:sz w:val="20"/>
      </w:rPr>
    </w:lvl>
    <w:lvl w:ilvl="1" w:tentative="0">
      <w:start w:val="1"/>
      <w:numFmt w:val="bullet"/>
      <w:pStyle w:val="57"/>
      <w:lvlText w:val=""/>
      <w:lvlJc w:val="left"/>
      <w:pPr>
        <w:tabs>
          <w:tab w:val="left" w:pos="851"/>
        </w:tabs>
        <w:ind w:left="1270" w:leftChars="0" w:hanging="419" w:firstLineChars="0"/>
      </w:pPr>
      <w:rPr>
        <w:rFonts w:hint="default" w:ascii="Symbol" w:hAnsi="Symbol" w:cs="Symbol"/>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A2E19707"/>
    <w:multiLevelType w:val="multilevel"/>
    <w:tmpl w:val="A2E19707"/>
    <w:lvl w:ilvl="0" w:tentative="0">
      <w:start w:val="1"/>
      <w:numFmt w:val="none"/>
      <w:pStyle w:val="103"/>
      <w:suff w:val="nothing"/>
      <w:lvlText w:val="示例："/>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A52F0134"/>
    <w:multiLevelType w:val="multilevel"/>
    <w:tmpl w:val="A52F0134"/>
    <w:lvl w:ilvl="0" w:tentative="0">
      <w:start w:val="1"/>
      <w:numFmt w:val="upperLetter"/>
      <w:pStyle w:val="87"/>
      <w:suff w:val="nothing"/>
      <w:lvlText w:val="附录%1"/>
      <w:lvlJc w:val="left"/>
      <w:pPr>
        <w:ind w:left="0" w:leftChars="0" w:firstLine="0" w:firstLineChars="0"/>
      </w:pPr>
      <w:rPr>
        <w:rFonts w:hint="default"/>
        <w:spacing w:val="102"/>
      </w:rPr>
    </w:lvl>
    <w:lvl w:ilvl="1" w:tentative="0">
      <w:start w:val="1"/>
      <w:numFmt w:val="decimal"/>
      <w:pStyle w:val="88"/>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9"/>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0"/>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1"/>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2"/>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B90C819A"/>
    <w:multiLevelType w:val="multilevel"/>
    <w:tmpl w:val="B90C819A"/>
    <w:lvl w:ilvl="0" w:tentative="0">
      <w:start w:val="1"/>
      <w:numFmt w:val="decimal"/>
      <w:pStyle w:val="71"/>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2"/>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4"/>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5"/>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6"/>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C0777F62"/>
    <w:multiLevelType w:val="multilevel"/>
    <w:tmpl w:val="C0777F62"/>
    <w:lvl w:ilvl="0" w:tentative="0">
      <w:start w:val="1"/>
      <w:numFmt w:val="decimal"/>
      <w:pStyle w:val="11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E065AB2D"/>
    <w:multiLevelType w:val="multilevel"/>
    <w:tmpl w:val="E065AB2D"/>
    <w:lvl w:ilvl="0" w:tentative="0">
      <w:start w:val="1"/>
      <w:numFmt w:val="decimal"/>
      <w:pStyle w:val="106"/>
      <w:suff w:val="nothing"/>
      <w:lvlText w:val="注%1："/>
      <w:lvlJc w:val="left"/>
      <w:pPr>
        <w:ind w:left="811" w:leftChars="0" w:hanging="448"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E31B39B2"/>
    <w:multiLevelType w:val="multilevel"/>
    <w:tmpl w:val="E31B39B2"/>
    <w:lvl w:ilvl="0" w:tentative="0">
      <w:start w:val="1"/>
      <w:numFmt w:val="lowerLetter"/>
      <w:pStyle w:val="59"/>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0"/>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8"/>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E4A9941D"/>
    <w:multiLevelType w:val="multilevel"/>
    <w:tmpl w:val="E4A9941D"/>
    <w:lvl w:ilvl="0" w:tentative="0">
      <w:start w:val="1"/>
      <w:numFmt w:val="decimal"/>
      <w:pStyle w:val="118"/>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9">
    <w:nsid w:val="FAF8B29E"/>
    <w:multiLevelType w:val="multilevel"/>
    <w:tmpl w:val="FAF8B29E"/>
    <w:lvl w:ilvl="0" w:tentative="0">
      <w:start w:val="1"/>
      <w:numFmt w:val="decimal"/>
      <w:pStyle w:val="113"/>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0196A672"/>
    <w:multiLevelType w:val="multilevel"/>
    <w:tmpl w:val="0196A672"/>
    <w:lvl w:ilvl="0" w:tentative="0">
      <w:start w:val="1"/>
      <w:numFmt w:val="decimal"/>
      <w:pStyle w:val="104"/>
      <w:suff w:val="nothing"/>
      <w:lvlText w:val="示例%1："/>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02E29276"/>
    <w:multiLevelType w:val="multilevel"/>
    <w:tmpl w:val="02E29276"/>
    <w:lvl w:ilvl="0" w:tentative="0">
      <w:start w:val="1"/>
      <w:numFmt w:val="lowerLetter"/>
      <w:pStyle w:val="107"/>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087F8283"/>
    <w:multiLevelType w:val="multilevel"/>
    <w:tmpl w:val="087F8283"/>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17AECDBE"/>
    <w:multiLevelType w:val="multilevel"/>
    <w:tmpl w:val="17AECDBE"/>
    <w:lvl w:ilvl="0" w:tentative="0">
      <w:start w:val="1"/>
      <w:numFmt w:val="none"/>
      <w:pStyle w:val="105"/>
      <w:suff w:val="nothing"/>
      <w:lvlText w:val="注："/>
      <w:lvlJc w:val="left"/>
      <w:pPr>
        <w:ind w:left="737" w:leftChars="0" w:hanging="374"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1D60AA4C"/>
    <w:multiLevelType w:val="multilevel"/>
    <w:tmpl w:val="1D60AA4C"/>
    <w:lvl w:ilvl="0" w:tentative="0">
      <w:start w:val="1"/>
      <w:numFmt w:val="upperLetter"/>
      <w:pStyle w:val="98"/>
      <w:lvlText w:val="%1"/>
      <w:lvlJc w:val="left"/>
      <w:pPr>
        <w:tabs>
          <w:tab w:val="left" w:pos="0"/>
        </w:tabs>
        <w:ind w:left="0" w:leftChars="0" w:firstLine="0" w:firstLineChars="0"/>
      </w:pPr>
      <w:rPr>
        <w:rFonts w:hint="default"/>
      </w:rPr>
    </w:lvl>
    <w:lvl w:ilvl="1" w:tentative="0">
      <w:start w:val="1"/>
      <w:numFmt w:val="decimal"/>
      <w:pStyle w:val="99"/>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5">
    <w:nsid w:val="22827D5B"/>
    <w:multiLevelType w:val="multilevel"/>
    <w:tmpl w:val="22827D5B"/>
    <w:lvl w:ilvl="0" w:tentative="0">
      <w:start w:val="1"/>
      <w:numFmt w:val="none"/>
      <w:pStyle w:val="1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6">
    <w:nsid w:val="471C86C0"/>
    <w:multiLevelType w:val="multilevel"/>
    <w:tmpl w:val="471C86C0"/>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7">
    <w:nsid w:val="672E8268"/>
    <w:multiLevelType w:val="multilevel"/>
    <w:tmpl w:val="672E8268"/>
    <w:lvl w:ilvl="0" w:tentative="0">
      <w:start w:val="1"/>
      <w:numFmt w:val="none"/>
      <w:pStyle w:val="54"/>
      <w:suff w:val="nothing"/>
      <w:lvlText w:val="%1"/>
      <w:lvlJc w:val="left"/>
      <w:pPr>
        <w:ind w:left="425" w:leftChars="0" w:hanging="425" w:firstLineChars="0"/>
      </w:pPr>
      <w:rPr>
        <w:rFonts w:hint="default"/>
      </w:rPr>
    </w:lvl>
    <w:lvl w:ilvl="1" w:tentative="0">
      <w:start w:val="1"/>
      <w:numFmt w:val="decimal"/>
      <w:pStyle w:val="61"/>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2"/>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3"/>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4"/>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5"/>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6DBF04F4"/>
    <w:multiLevelType w:val="multilevel"/>
    <w:tmpl w:val="6DBF04F4"/>
    <w:lvl w:ilvl="0" w:tentative="0">
      <w:start w:val="1"/>
      <w:numFmt w:val="none"/>
      <w:pStyle w:val="12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4"/>
  </w:num>
  <w:num w:numId="3">
    <w:abstractNumId w:val="12"/>
  </w:num>
  <w:num w:numId="4">
    <w:abstractNumId w:val="17"/>
  </w:num>
  <w:num w:numId="5">
    <w:abstractNumId w:val="1"/>
  </w:num>
  <w:num w:numId="6">
    <w:abstractNumId w:val="7"/>
  </w:num>
  <w:num w:numId="7">
    <w:abstractNumId w:val="4"/>
  </w:num>
  <w:num w:numId="8">
    <w:abstractNumId w:val="3"/>
  </w:num>
  <w:num w:numId="9">
    <w:abstractNumId w:val="16"/>
  </w:num>
  <w:num w:numId="10">
    <w:abstractNumId w:val="2"/>
  </w:num>
  <w:num w:numId="11">
    <w:abstractNumId w:val="10"/>
  </w:num>
  <w:num w:numId="12">
    <w:abstractNumId w:val="13"/>
  </w:num>
  <w:num w:numId="13">
    <w:abstractNumId w:val="6"/>
  </w:num>
  <w:num w:numId="14">
    <w:abstractNumId w:val="11"/>
  </w:num>
  <w:num w:numId="15">
    <w:abstractNumId w:val="5"/>
  </w:num>
  <w:num w:numId="16">
    <w:abstractNumId w:val="9"/>
  </w:num>
  <w:num w:numId="17">
    <w:abstractNumId w:val="8"/>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ZmQ0OGMzMGJkMWJiYjdhNWZiZDYzMmM4NmQxNjAifQ=="/>
  </w:docVars>
  <w:rsids>
    <w:rsidRoot w:val="22A65372"/>
    <w:rsid w:val="00814795"/>
    <w:rsid w:val="00D56753"/>
    <w:rsid w:val="00EB7E60"/>
    <w:rsid w:val="01715A71"/>
    <w:rsid w:val="01F66F31"/>
    <w:rsid w:val="024E54D5"/>
    <w:rsid w:val="02A36C44"/>
    <w:rsid w:val="02C81BA2"/>
    <w:rsid w:val="02CE17E8"/>
    <w:rsid w:val="02EA1F21"/>
    <w:rsid w:val="03305FFE"/>
    <w:rsid w:val="036969E0"/>
    <w:rsid w:val="03AA5DB1"/>
    <w:rsid w:val="03D270B5"/>
    <w:rsid w:val="03E762C0"/>
    <w:rsid w:val="03E868D9"/>
    <w:rsid w:val="048E4B7A"/>
    <w:rsid w:val="04FD3B5A"/>
    <w:rsid w:val="05E133B8"/>
    <w:rsid w:val="07231362"/>
    <w:rsid w:val="072964BD"/>
    <w:rsid w:val="07391925"/>
    <w:rsid w:val="07585B24"/>
    <w:rsid w:val="09A908B8"/>
    <w:rsid w:val="09C676BC"/>
    <w:rsid w:val="0A884A60"/>
    <w:rsid w:val="0B2D0A3B"/>
    <w:rsid w:val="0B732F2C"/>
    <w:rsid w:val="0B8B6BB0"/>
    <w:rsid w:val="0BD1074A"/>
    <w:rsid w:val="0C0B585A"/>
    <w:rsid w:val="0D5300B7"/>
    <w:rsid w:val="0DCE6B40"/>
    <w:rsid w:val="0EFD148A"/>
    <w:rsid w:val="0F317386"/>
    <w:rsid w:val="0FD03043"/>
    <w:rsid w:val="0FE32D76"/>
    <w:rsid w:val="104906FF"/>
    <w:rsid w:val="104E6C88"/>
    <w:rsid w:val="10F62635"/>
    <w:rsid w:val="111E2793"/>
    <w:rsid w:val="116457F1"/>
    <w:rsid w:val="118A0FD0"/>
    <w:rsid w:val="11C73E5C"/>
    <w:rsid w:val="11EC57E6"/>
    <w:rsid w:val="12395B1B"/>
    <w:rsid w:val="126F2404"/>
    <w:rsid w:val="13456138"/>
    <w:rsid w:val="135E24F9"/>
    <w:rsid w:val="136B3A23"/>
    <w:rsid w:val="13B54A2A"/>
    <w:rsid w:val="13E04EA0"/>
    <w:rsid w:val="14107EB2"/>
    <w:rsid w:val="14C05AAC"/>
    <w:rsid w:val="15B825AF"/>
    <w:rsid w:val="15BD5E17"/>
    <w:rsid w:val="15EC72D4"/>
    <w:rsid w:val="16B512D7"/>
    <w:rsid w:val="172D0D7B"/>
    <w:rsid w:val="1735378C"/>
    <w:rsid w:val="17516817"/>
    <w:rsid w:val="17712A16"/>
    <w:rsid w:val="178A6520"/>
    <w:rsid w:val="19570989"/>
    <w:rsid w:val="1991739F"/>
    <w:rsid w:val="19AF7825"/>
    <w:rsid w:val="1A1C6A66"/>
    <w:rsid w:val="1A74451A"/>
    <w:rsid w:val="1A91517D"/>
    <w:rsid w:val="1AAC1FB7"/>
    <w:rsid w:val="1B4950A4"/>
    <w:rsid w:val="1B4B7903"/>
    <w:rsid w:val="1B5C3160"/>
    <w:rsid w:val="1BD45C69"/>
    <w:rsid w:val="1D57438E"/>
    <w:rsid w:val="1D76540F"/>
    <w:rsid w:val="1F8F3F65"/>
    <w:rsid w:val="1FB45B95"/>
    <w:rsid w:val="1FDE5942"/>
    <w:rsid w:val="20282729"/>
    <w:rsid w:val="2032134B"/>
    <w:rsid w:val="204A3878"/>
    <w:rsid w:val="20605D1D"/>
    <w:rsid w:val="20AB2536"/>
    <w:rsid w:val="20EC0F07"/>
    <w:rsid w:val="216D51E3"/>
    <w:rsid w:val="21AF402D"/>
    <w:rsid w:val="21EE5673"/>
    <w:rsid w:val="22A65372"/>
    <w:rsid w:val="22F90AC9"/>
    <w:rsid w:val="23027962"/>
    <w:rsid w:val="233C27A0"/>
    <w:rsid w:val="23C94DA5"/>
    <w:rsid w:val="2432254F"/>
    <w:rsid w:val="24D665AE"/>
    <w:rsid w:val="25A03D3B"/>
    <w:rsid w:val="25BC57A4"/>
    <w:rsid w:val="264906B3"/>
    <w:rsid w:val="26FB2952"/>
    <w:rsid w:val="27635A18"/>
    <w:rsid w:val="28366B6B"/>
    <w:rsid w:val="283D3F3C"/>
    <w:rsid w:val="28A644E9"/>
    <w:rsid w:val="293B2954"/>
    <w:rsid w:val="293F1394"/>
    <w:rsid w:val="29464A42"/>
    <w:rsid w:val="2AD74E2E"/>
    <w:rsid w:val="2DBB27E5"/>
    <w:rsid w:val="2DE57862"/>
    <w:rsid w:val="2E4E24E9"/>
    <w:rsid w:val="2E5261A0"/>
    <w:rsid w:val="2F174FB1"/>
    <w:rsid w:val="30202DD3"/>
    <w:rsid w:val="31210BB1"/>
    <w:rsid w:val="31FF501A"/>
    <w:rsid w:val="320631E0"/>
    <w:rsid w:val="32C65EB4"/>
    <w:rsid w:val="33212825"/>
    <w:rsid w:val="334E5558"/>
    <w:rsid w:val="33955886"/>
    <w:rsid w:val="33A616D5"/>
    <w:rsid w:val="33C8725F"/>
    <w:rsid w:val="343C3F54"/>
    <w:rsid w:val="34637DC3"/>
    <w:rsid w:val="3510196C"/>
    <w:rsid w:val="353E23A2"/>
    <w:rsid w:val="357E174A"/>
    <w:rsid w:val="35904557"/>
    <w:rsid w:val="3681294D"/>
    <w:rsid w:val="36923812"/>
    <w:rsid w:val="36A81089"/>
    <w:rsid w:val="36DA7652"/>
    <w:rsid w:val="38096F9A"/>
    <w:rsid w:val="38A5438E"/>
    <w:rsid w:val="38DB11B5"/>
    <w:rsid w:val="38F0287E"/>
    <w:rsid w:val="391B5FAD"/>
    <w:rsid w:val="39C63EA4"/>
    <w:rsid w:val="39D709A6"/>
    <w:rsid w:val="3AD1189A"/>
    <w:rsid w:val="3B3D0D0E"/>
    <w:rsid w:val="3B64270E"/>
    <w:rsid w:val="3C2105FF"/>
    <w:rsid w:val="3C925059"/>
    <w:rsid w:val="3CBE5970"/>
    <w:rsid w:val="3D580050"/>
    <w:rsid w:val="3D932E36"/>
    <w:rsid w:val="3E301586"/>
    <w:rsid w:val="3F6B4657"/>
    <w:rsid w:val="3FF57DD8"/>
    <w:rsid w:val="40267F92"/>
    <w:rsid w:val="4067683A"/>
    <w:rsid w:val="409B6018"/>
    <w:rsid w:val="40DE6ABE"/>
    <w:rsid w:val="40FA4F7A"/>
    <w:rsid w:val="41367B0D"/>
    <w:rsid w:val="415F3F89"/>
    <w:rsid w:val="419158DF"/>
    <w:rsid w:val="422406F0"/>
    <w:rsid w:val="42F16CF9"/>
    <w:rsid w:val="430324AD"/>
    <w:rsid w:val="433B01F8"/>
    <w:rsid w:val="433C7ACC"/>
    <w:rsid w:val="44476729"/>
    <w:rsid w:val="44E85E5F"/>
    <w:rsid w:val="45D30C43"/>
    <w:rsid w:val="45E83F3B"/>
    <w:rsid w:val="45EA7CB3"/>
    <w:rsid w:val="46691B5E"/>
    <w:rsid w:val="46D80988"/>
    <w:rsid w:val="46FA335C"/>
    <w:rsid w:val="47242D51"/>
    <w:rsid w:val="47B440D5"/>
    <w:rsid w:val="480C4D01"/>
    <w:rsid w:val="48454B9C"/>
    <w:rsid w:val="488A3088"/>
    <w:rsid w:val="48E07873"/>
    <w:rsid w:val="48EF52AC"/>
    <w:rsid w:val="4904108C"/>
    <w:rsid w:val="497004D0"/>
    <w:rsid w:val="49D00F6E"/>
    <w:rsid w:val="4AA53F92"/>
    <w:rsid w:val="4BD90727"/>
    <w:rsid w:val="4C445F49"/>
    <w:rsid w:val="4CAE1A3B"/>
    <w:rsid w:val="4D035804"/>
    <w:rsid w:val="4D1879C1"/>
    <w:rsid w:val="4D1F0612"/>
    <w:rsid w:val="4D9D2C0C"/>
    <w:rsid w:val="4E5F59D1"/>
    <w:rsid w:val="4EBE7F2F"/>
    <w:rsid w:val="4F0E056F"/>
    <w:rsid w:val="5019366F"/>
    <w:rsid w:val="5024608B"/>
    <w:rsid w:val="50B145A5"/>
    <w:rsid w:val="50C80BF1"/>
    <w:rsid w:val="51811129"/>
    <w:rsid w:val="518B234A"/>
    <w:rsid w:val="52FD1026"/>
    <w:rsid w:val="53424C8B"/>
    <w:rsid w:val="53542C10"/>
    <w:rsid w:val="53AA4837"/>
    <w:rsid w:val="53D936D9"/>
    <w:rsid w:val="545C7B61"/>
    <w:rsid w:val="54B41BB8"/>
    <w:rsid w:val="56150435"/>
    <w:rsid w:val="569254F2"/>
    <w:rsid w:val="56C500AD"/>
    <w:rsid w:val="56E9366F"/>
    <w:rsid w:val="57603931"/>
    <w:rsid w:val="587A6C75"/>
    <w:rsid w:val="5A0A04CC"/>
    <w:rsid w:val="5A2D7CD1"/>
    <w:rsid w:val="5AA75D1B"/>
    <w:rsid w:val="5BE41C93"/>
    <w:rsid w:val="5D050F60"/>
    <w:rsid w:val="5D50269A"/>
    <w:rsid w:val="5DD13F74"/>
    <w:rsid w:val="5E167662"/>
    <w:rsid w:val="5E2C229D"/>
    <w:rsid w:val="5E677C9B"/>
    <w:rsid w:val="5E7813D8"/>
    <w:rsid w:val="5EC91604"/>
    <w:rsid w:val="5FA153D1"/>
    <w:rsid w:val="60535440"/>
    <w:rsid w:val="605D3104"/>
    <w:rsid w:val="6098585B"/>
    <w:rsid w:val="60C62FD2"/>
    <w:rsid w:val="61151C31"/>
    <w:rsid w:val="61E327ED"/>
    <w:rsid w:val="62035F2D"/>
    <w:rsid w:val="632E2B36"/>
    <w:rsid w:val="632E6FDA"/>
    <w:rsid w:val="651440C4"/>
    <w:rsid w:val="657E056F"/>
    <w:rsid w:val="65C6799D"/>
    <w:rsid w:val="65EE4DDE"/>
    <w:rsid w:val="665E1984"/>
    <w:rsid w:val="66B50AEA"/>
    <w:rsid w:val="66ED765A"/>
    <w:rsid w:val="66F372F7"/>
    <w:rsid w:val="67BD092C"/>
    <w:rsid w:val="68000819"/>
    <w:rsid w:val="681C38A5"/>
    <w:rsid w:val="68926770"/>
    <w:rsid w:val="68A51F9D"/>
    <w:rsid w:val="68D522AE"/>
    <w:rsid w:val="69C05D8A"/>
    <w:rsid w:val="69C35478"/>
    <w:rsid w:val="69CF5F4F"/>
    <w:rsid w:val="69FA0B7F"/>
    <w:rsid w:val="6ACF42CB"/>
    <w:rsid w:val="6B40524A"/>
    <w:rsid w:val="6C78431D"/>
    <w:rsid w:val="6C9C6D62"/>
    <w:rsid w:val="6D327D8A"/>
    <w:rsid w:val="6DCD0D4F"/>
    <w:rsid w:val="6DFB3F5C"/>
    <w:rsid w:val="6E8E3022"/>
    <w:rsid w:val="6F826B57"/>
    <w:rsid w:val="7001769E"/>
    <w:rsid w:val="703674CE"/>
    <w:rsid w:val="705067E1"/>
    <w:rsid w:val="721A1187"/>
    <w:rsid w:val="72B602C2"/>
    <w:rsid w:val="73041B05"/>
    <w:rsid w:val="733B7DCD"/>
    <w:rsid w:val="735F6D3B"/>
    <w:rsid w:val="74546F93"/>
    <w:rsid w:val="74CA6436"/>
    <w:rsid w:val="75461F61"/>
    <w:rsid w:val="75C335B1"/>
    <w:rsid w:val="76654669"/>
    <w:rsid w:val="769978E8"/>
    <w:rsid w:val="778020AA"/>
    <w:rsid w:val="7833512C"/>
    <w:rsid w:val="785E1CB7"/>
    <w:rsid w:val="7879264D"/>
    <w:rsid w:val="7A444F15"/>
    <w:rsid w:val="7A715CD2"/>
    <w:rsid w:val="7AC1097F"/>
    <w:rsid w:val="7AC51B7A"/>
    <w:rsid w:val="7AE2097E"/>
    <w:rsid w:val="7AF60CEA"/>
    <w:rsid w:val="7B0F7299"/>
    <w:rsid w:val="7BD36518"/>
    <w:rsid w:val="7C941017"/>
    <w:rsid w:val="7CAD6117"/>
    <w:rsid w:val="7D6514FE"/>
    <w:rsid w:val="7E284A85"/>
    <w:rsid w:val="7E461224"/>
    <w:rsid w:val="7E9E666D"/>
    <w:rsid w:val="7EF96296"/>
    <w:rsid w:val="7F182BC0"/>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otnote reference"/>
    <w:basedOn w:val="21"/>
    <w:qFormat/>
    <w:uiPriority w:val="0"/>
    <w:rPr>
      <w:rFonts w:hAnsi="宋体" w:cs="宋体"/>
      <w:sz w:val="18"/>
      <w:vertAlign w:val="superscript"/>
    </w:rPr>
  </w:style>
  <w:style w:type="paragraph" w:customStyle="1" w:styleId="24">
    <w:name w:val="标准文件_段"/>
    <w:qFormat/>
    <w:uiPriority w:val="0"/>
    <w:pPr>
      <w:ind w:firstLine="960" w:firstLineChars="200"/>
      <w:jc w:val="both"/>
    </w:pPr>
    <w:rPr>
      <w:rFonts w:hint="eastAsia" w:ascii="宋体" w:hAnsi="Times New Roman" w:eastAsia="宋体" w:cs="宋体"/>
      <w:sz w:val="21"/>
    </w:rPr>
  </w:style>
  <w:style w:type="paragraph" w:customStyle="1" w:styleId="25">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6">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7">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8">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9">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0">
    <w:name w:val="标准书脚_奇数页"/>
    <w:qFormat/>
    <w:uiPriority w:val="0"/>
    <w:pPr>
      <w:ind w:right="227"/>
      <w:jc w:val="right"/>
    </w:pPr>
    <w:rPr>
      <w:rFonts w:hint="eastAsia" w:ascii="宋体" w:hAnsi="Times New Roman" w:eastAsia="宋体" w:cs="宋体"/>
      <w:sz w:val="18"/>
    </w:rPr>
  </w:style>
  <w:style w:type="paragraph" w:customStyle="1" w:styleId="31">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2">
    <w:name w:val="标准书眉_偶数页"/>
    <w:next w:val="1"/>
    <w:qFormat/>
    <w:uiPriority w:val="0"/>
    <w:pPr>
      <w:spacing w:after="120"/>
    </w:pPr>
    <w:rPr>
      <w:rFonts w:hint="eastAsia" w:ascii="黑体" w:hAnsi="Times New Roman" w:eastAsia="黑体" w:cs="黑体"/>
      <w:sz w:val="21"/>
    </w:rPr>
  </w:style>
  <w:style w:type="paragraph" w:customStyle="1" w:styleId="33">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4">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5">
    <w:name w:val="发布部门"/>
    <w:next w:val="24"/>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6">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7">
    <w:name w:val="实施日期"/>
    <w:basedOn w:val="36"/>
    <w:qFormat/>
    <w:uiPriority w:val="0"/>
    <w:pPr>
      <w:framePr w:hSpace="0" w:wrap="around" w:vAnchor="page" w:hAnchor="page" w:x="7089" w:y="14176"/>
      <w:jc w:val="right"/>
    </w:pPr>
  </w:style>
  <w:style w:type="paragraph" w:customStyle="1" w:styleId="38">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9">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0">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1">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2">
    <w:name w:val="封面标准英文名称"/>
    <w:basedOn w:val="41"/>
    <w:qFormat/>
    <w:uiPriority w:val="0"/>
    <w:pPr>
      <w:widowControl w:val="0"/>
      <w:spacing w:before="410" w:line="360" w:lineRule="exact"/>
      <w:textAlignment w:val="bottom"/>
    </w:pPr>
    <w:rPr>
      <w:rFonts w:ascii="Times New Roman" w:hAnsi="Times New Roman" w:cs="Times New Roman"/>
      <w:sz w:val="28"/>
    </w:rPr>
  </w:style>
  <w:style w:type="paragraph" w:customStyle="1" w:styleId="43">
    <w:name w:val="封面一致性程度标识"/>
    <w:basedOn w:val="42"/>
    <w:qFormat/>
    <w:uiPriority w:val="0"/>
    <w:pPr>
      <w:spacing w:before="760"/>
    </w:pPr>
  </w:style>
  <w:style w:type="paragraph" w:customStyle="1" w:styleId="44">
    <w:name w:val="封面标准文稿类别"/>
    <w:basedOn w:val="43"/>
    <w:qFormat/>
    <w:uiPriority w:val="0"/>
    <w:pPr>
      <w:spacing w:before="440" w:after="160"/>
    </w:pPr>
    <w:rPr>
      <w:rFonts w:ascii="黑体" w:hAnsi="黑体" w:cs="黑体"/>
      <w:sz w:val="24"/>
    </w:rPr>
  </w:style>
  <w:style w:type="paragraph" w:customStyle="1" w:styleId="45">
    <w:name w:val="封面标准文稿编辑信息"/>
    <w:basedOn w:val="44"/>
    <w:qFormat/>
    <w:uiPriority w:val="0"/>
    <w:pPr>
      <w:spacing w:before="180" w:line="240" w:lineRule="atLeast"/>
    </w:pPr>
    <w:rPr>
      <w:sz w:val="21"/>
    </w:rPr>
  </w:style>
  <w:style w:type="paragraph" w:customStyle="1" w:styleId="46">
    <w:name w:val="封面标准文稿附件"/>
    <w:basedOn w:val="44"/>
    <w:qFormat/>
    <w:uiPriority w:val="0"/>
    <w:pPr>
      <w:spacing w:before="937" w:beforeLines="300" w:afterLines="30" w:line="240" w:lineRule="auto"/>
    </w:pPr>
    <w:rPr>
      <w:rFonts w:ascii="Times New Roman" w:hAnsi="Times New Roman" w:cs="Times New Roman"/>
      <w:b/>
      <w:sz w:val="21"/>
    </w:rPr>
  </w:style>
  <w:style w:type="paragraph" w:customStyle="1" w:styleId="47">
    <w:name w:val="其他发布部门"/>
    <w:basedOn w:val="35"/>
    <w:qFormat/>
    <w:uiPriority w:val="0"/>
    <w:pPr>
      <w:framePr w:wrap="around" w:y="15310"/>
      <w:spacing w:line="0" w:lineRule="atLeast"/>
    </w:pPr>
    <w:rPr>
      <w:rFonts w:ascii="黑体" w:hAnsi="黑体" w:eastAsia="黑体" w:cs="黑体"/>
    </w:rPr>
  </w:style>
  <w:style w:type="paragraph" w:customStyle="1" w:styleId="48">
    <w:name w:val="其他发布部门2"/>
    <w:basedOn w:val="35"/>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9">
    <w:name w:val="其他发布部门3"/>
    <w:qFormat/>
    <w:uiPriority w:val="0"/>
    <w:pPr>
      <w:framePr w:w="9248" w:h="1259" w:hRule="exact" w:hSpace="181" w:vSpace="181" w:wrap="around" w:vAnchor="margin" w:hAnchor="margin" w:xAlign="center" w:y="14545"/>
      <w:spacing w:line="0" w:lineRule="atLeast"/>
      <w:jc w:val="center"/>
    </w:pPr>
    <w:rPr>
      <w:rFonts w:hint="eastAsia" w:ascii="黑体" w:hAnsi="Times New Roman" w:eastAsia="黑体" w:cs="Times New Roman"/>
      <w:sz w:val="28"/>
    </w:rPr>
  </w:style>
  <w:style w:type="paragraph" w:customStyle="1" w:styleId="50">
    <w:name w:val="其他发布日期"/>
    <w:basedOn w:val="36"/>
    <w:qFormat/>
    <w:uiPriority w:val="0"/>
    <w:pPr>
      <w:framePr w:hSpace="0" w:wrap="around" w:vAnchor="page" w:hAnchor="page" w:x="1419" w:y="14176"/>
    </w:pPr>
  </w:style>
  <w:style w:type="paragraph" w:customStyle="1" w:styleId="51">
    <w:name w:val="其他实施日期"/>
    <w:basedOn w:val="37"/>
    <w:qFormat/>
    <w:uiPriority w:val="0"/>
  </w:style>
  <w:style w:type="paragraph" w:customStyle="1" w:styleId="52">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3">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4">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5">
    <w:name w:val="标准文件_正文标准名称"/>
    <w:basedOn w:val="1"/>
    <w:link w:val="119"/>
    <w:qFormat/>
    <w:uiPriority w:val="0"/>
    <w:pPr>
      <w:widowControl/>
      <w:suppressAutoHyphens w:val="0"/>
      <w:spacing w:after="640" w:line="400" w:lineRule="exact"/>
      <w:jc w:val="center"/>
    </w:pPr>
    <w:rPr>
      <w:rFonts w:ascii="黑体" w:hAnsi="黑体" w:eastAsia="黑体" w:cs="黑体"/>
      <w:sz w:val="32"/>
    </w:rPr>
  </w:style>
  <w:style w:type="paragraph" w:customStyle="1" w:styleId="56">
    <w:name w:val="标准文件_一级项"/>
    <w:next w:val="24"/>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7">
    <w:name w:val="标准文件_二级项2"/>
    <w:basedOn w:val="24"/>
    <w:next w:val="24"/>
    <w:qFormat/>
    <w:uiPriority w:val="0"/>
    <w:pPr>
      <w:numPr>
        <w:ilvl w:val="1"/>
        <w:numId w:val="5"/>
      </w:numPr>
      <w:suppressAutoHyphens w:val="0"/>
      <w:ind w:left="1270" w:hanging="419"/>
    </w:pPr>
    <w:rPr>
      <w:rFonts w:hAnsi="Times New Roman"/>
    </w:rPr>
  </w:style>
  <w:style w:type="paragraph" w:customStyle="1" w:styleId="58">
    <w:name w:val="标准文件_三级项"/>
    <w:basedOn w:val="1"/>
    <w:next w:val="24"/>
    <w:qFormat/>
    <w:uiPriority w:val="0"/>
    <w:pPr>
      <w:numPr>
        <w:ilvl w:val="2"/>
        <w:numId w:val="6"/>
      </w:numPr>
      <w:suppressAutoHyphens w:val="0"/>
      <w:spacing w:line="300" w:lineRule="exact"/>
      <w:ind w:left="1678" w:hanging="414"/>
    </w:pPr>
    <w:rPr>
      <w:rFonts w:hAnsi="+西文正文"/>
    </w:rPr>
  </w:style>
  <w:style w:type="paragraph" w:customStyle="1" w:styleId="59">
    <w:name w:val="标准文件_字母编号列项（一级）"/>
    <w:next w:val="24"/>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0">
    <w:name w:val="标准文件_数字编号列项（二级）"/>
    <w:next w:val="24"/>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1">
    <w:name w:val="标准文件_引言一级条标题"/>
    <w:basedOn w:val="24"/>
    <w:next w:val="24"/>
    <w:qFormat/>
    <w:uiPriority w:val="0"/>
    <w:pPr>
      <w:numPr>
        <w:ilvl w:val="1"/>
        <w:numId w:val="4"/>
      </w:numPr>
      <w:spacing w:before="157" w:beforeLines="50" w:after="157" w:afterLines="50"/>
    </w:pPr>
    <w:rPr>
      <w:rFonts w:ascii="黑体" w:hAnsi="黑体" w:eastAsia="黑体" w:cs="黑体"/>
    </w:rPr>
  </w:style>
  <w:style w:type="paragraph" w:customStyle="1" w:styleId="62">
    <w:name w:val="标准文件_引言二级条标题"/>
    <w:basedOn w:val="24"/>
    <w:next w:val="24"/>
    <w:qFormat/>
    <w:uiPriority w:val="0"/>
    <w:pPr>
      <w:numPr>
        <w:ilvl w:val="2"/>
        <w:numId w:val="4"/>
      </w:numPr>
      <w:spacing w:before="157" w:beforeLines="50" w:after="157" w:afterLines="50"/>
    </w:pPr>
    <w:rPr>
      <w:rFonts w:ascii="黑体" w:hAnsi="黑体" w:eastAsia="黑体" w:cs="黑体"/>
    </w:rPr>
  </w:style>
  <w:style w:type="paragraph" w:customStyle="1" w:styleId="63">
    <w:name w:val="标准文件_引言三级条标题"/>
    <w:basedOn w:val="24"/>
    <w:next w:val="24"/>
    <w:qFormat/>
    <w:uiPriority w:val="0"/>
    <w:pPr>
      <w:numPr>
        <w:ilvl w:val="3"/>
        <w:numId w:val="4"/>
      </w:numPr>
      <w:spacing w:before="157" w:beforeLines="50" w:after="157" w:afterLines="50"/>
    </w:pPr>
    <w:rPr>
      <w:rFonts w:ascii="黑体" w:hAnsi="黑体" w:eastAsia="黑体" w:cs="黑体"/>
    </w:rPr>
  </w:style>
  <w:style w:type="paragraph" w:customStyle="1" w:styleId="64">
    <w:name w:val="标准文件_引言四级条标题"/>
    <w:basedOn w:val="24"/>
    <w:next w:val="24"/>
    <w:qFormat/>
    <w:uiPriority w:val="0"/>
    <w:pPr>
      <w:numPr>
        <w:ilvl w:val="4"/>
        <w:numId w:val="4"/>
      </w:numPr>
      <w:spacing w:before="157" w:beforeLines="50" w:after="157" w:afterLines="50"/>
    </w:pPr>
    <w:rPr>
      <w:rFonts w:ascii="黑体" w:hAnsi="黑体" w:eastAsia="黑体" w:cs="黑体"/>
    </w:rPr>
  </w:style>
  <w:style w:type="paragraph" w:customStyle="1" w:styleId="65">
    <w:name w:val="标准文件_引言五级条标题"/>
    <w:basedOn w:val="24"/>
    <w:next w:val="24"/>
    <w:qFormat/>
    <w:uiPriority w:val="0"/>
    <w:pPr>
      <w:numPr>
        <w:ilvl w:val="5"/>
        <w:numId w:val="4"/>
      </w:numPr>
      <w:spacing w:before="157" w:beforeLines="50" w:after="157" w:afterLines="50"/>
    </w:pPr>
    <w:rPr>
      <w:rFonts w:ascii="黑体" w:hAnsi="黑体" w:eastAsia="黑体" w:cs="黑体"/>
    </w:rPr>
  </w:style>
  <w:style w:type="paragraph" w:customStyle="1" w:styleId="66">
    <w:name w:val="标准文件_引言一级无标题"/>
    <w:basedOn w:val="61"/>
    <w:next w:val="24"/>
    <w:qFormat/>
    <w:uiPriority w:val="0"/>
    <w:pPr>
      <w:spacing w:before="4" w:beforeLines="1" w:after="4" w:afterLines="1" w:line="276" w:lineRule="auto"/>
    </w:pPr>
    <w:rPr>
      <w:rFonts w:ascii="宋体" w:hAnsi="宋体" w:eastAsia="宋体" w:cs="宋体"/>
    </w:rPr>
  </w:style>
  <w:style w:type="paragraph" w:customStyle="1" w:styleId="67">
    <w:name w:val="标准文件_引言二级无标题"/>
    <w:basedOn w:val="62"/>
    <w:next w:val="24"/>
    <w:qFormat/>
    <w:uiPriority w:val="0"/>
    <w:pPr>
      <w:spacing w:before="4" w:beforeLines="1" w:after="4" w:afterLines="1" w:line="276" w:lineRule="auto"/>
    </w:pPr>
    <w:rPr>
      <w:rFonts w:ascii="宋体" w:hAnsi="宋体" w:eastAsia="宋体" w:cs="宋体"/>
    </w:rPr>
  </w:style>
  <w:style w:type="paragraph" w:customStyle="1" w:styleId="68">
    <w:name w:val="标准文件_引言三级无标题"/>
    <w:basedOn w:val="63"/>
    <w:next w:val="24"/>
    <w:qFormat/>
    <w:uiPriority w:val="0"/>
    <w:pPr>
      <w:spacing w:before="4" w:beforeLines="1" w:after="4" w:afterLines="1" w:line="276" w:lineRule="auto"/>
    </w:pPr>
    <w:rPr>
      <w:rFonts w:ascii="宋体" w:hAnsi="宋体" w:eastAsia="宋体" w:cs="宋体"/>
    </w:rPr>
  </w:style>
  <w:style w:type="paragraph" w:customStyle="1" w:styleId="69">
    <w:name w:val="标准文件_引言四级无标题"/>
    <w:basedOn w:val="64"/>
    <w:next w:val="24"/>
    <w:qFormat/>
    <w:uiPriority w:val="0"/>
    <w:pPr>
      <w:spacing w:before="4" w:beforeLines="1" w:after="4" w:afterLines="1" w:line="276" w:lineRule="auto"/>
    </w:pPr>
    <w:rPr>
      <w:rFonts w:ascii="宋体" w:hAnsi="宋体" w:eastAsia="宋体" w:cs="宋体"/>
    </w:rPr>
  </w:style>
  <w:style w:type="paragraph" w:customStyle="1" w:styleId="70">
    <w:name w:val="标准文件_引言五级无标题"/>
    <w:basedOn w:val="65"/>
    <w:next w:val="24"/>
    <w:qFormat/>
    <w:uiPriority w:val="0"/>
    <w:pPr>
      <w:spacing w:before="4" w:beforeLines="1" w:after="4" w:afterLines="1" w:line="276" w:lineRule="auto"/>
    </w:pPr>
    <w:rPr>
      <w:rFonts w:ascii="宋体" w:hAnsi="宋体" w:eastAsia="宋体" w:cs="宋体"/>
    </w:rPr>
  </w:style>
  <w:style w:type="paragraph" w:customStyle="1" w:styleId="71">
    <w:name w:val="标准文件_章标题"/>
    <w:next w:val="24"/>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2">
    <w:name w:val="标准文件_一级条标题"/>
    <w:basedOn w:val="71"/>
    <w:next w:val="24"/>
    <w:qFormat/>
    <w:uiPriority w:val="0"/>
    <w:pPr>
      <w:numPr>
        <w:ilvl w:val="1"/>
      </w:numPr>
      <w:spacing w:before="157" w:beforeLines="50" w:after="157" w:afterLines="50"/>
      <w:ind w:firstLine="0"/>
      <w:outlineLvl w:val="1"/>
    </w:pPr>
    <w:rPr>
      <w:rFonts w:hAnsi="Times New Roman"/>
    </w:rPr>
  </w:style>
  <w:style w:type="paragraph" w:customStyle="1" w:styleId="73">
    <w:name w:val="标准文件_二级条标题"/>
    <w:next w:val="24"/>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4">
    <w:name w:val="标准文件_三级条标题"/>
    <w:basedOn w:val="73"/>
    <w:next w:val="24"/>
    <w:qFormat/>
    <w:uiPriority w:val="0"/>
    <w:pPr>
      <w:numPr>
        <w:ilvl w:val="3"/>
      </w:numPr>
      <w:spacing w:before="157" w:after="157"/>
      <w:ind w:firstLine="0"/>
      <w:outlineLvl w:val="3"/>
    </w:pPr>
  </w:style>
  <w:style w:type="paragraph" w:customStyle="1" w:styleId="75">
    <w:name w:val="标准文件_四级条标题"/>
    <w:next w:val="24"/>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五级条标题"/>
    <w:next w:val="24"/>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7">
    <w:name w:val="标准文件_一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二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三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四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五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术语条一"/>
    <w:basedOn w:val="77"/>
    <w:next w:val="24"/>
    <w:qFormat/>
    <w:uiPriority w:val="0"/>
    <w:pPr>
      <w:ind w:left="960" w:hanging="960" w:hangingChars="200"/>
    </w:pPr>
    <w:rPr>
      <w:rFonts w:ascii="黑体" w:hAnsi="黑体" w:eastAsia="黑体" w:cs="黑体"/>
    </w:rPr>
  </w:style>
  <w:style w:type="paragraph" w:customStyle="1" w:styleId="83">
    <w:name w:val="标准文件_术语条二"/>
    <w:basedOn w:val="78"/>
    <w:next w:val="24"/>
    <w:qFormat/>
    <w:uiPriority w:val="0"/>
    <w:pPr>
      <w:ind w:left="960" w:hanging="960" w:hangingChars="200"/>
    </w:pPr>
    <w:rPr>
      <w:rFonts w:ascii="黑体" w:hAnsi="黑体" w:eastAsia="黑体" w:cs="黑体"/>
    </w:rPr>
  </w:style>
  <w:style w:type="paragraph" w:customStyle="1" w:styleId="84">
    <w:name w:val="标准文件_术语条三"/>
    <w:basedOn w:val="79"/>
    <w:next w:val="24"/>
    <w:qFormat/>
    <w:uiPriority w:val="0"/>
    <w:pPr>
      <w:ind w:left="960" w:hanging="960" w:hangingChars="200"/>
    </w:pPr>
    <w:rPr>
      <w:rFonts w:ascii="黑体" w:hAnsi="黑体" w:eastAsia="黑体" w:cs="黑体"/>
    </w:rPr>
  </w:style>
  <w:style w:type="paragraph" w:customStyle="1" w:styleId="85">
    <w:name w:val="标准文件_术语条四"/>
    <w:basedOn w:val="80"/>
    <w:next w:val="24"/>
    <w:qFormat/>
    <w:uiPriority w:val="0"/>
    <w:pPr>
      <w:ind w:left="960" w:hanging="960" w:hangingChars="200"/>
    </w:pPr>
    <w:rPr>
      <w:rFonts w:ascii="黑体" w:hAnsi="黑体" w:eastAsia="黑体" w:cs="黑体"/>
    </w:rPr>
  </w:style>
  <w:style w:type="paragraph" w:customStyle="1" w:styleId="86">
    <w:name w:val="标准文件_术语条五"/>
    <w:basedOn w:val="81"/>
    <w:next w:val="24"/>
    <w:qFormat/>
    <w:uiPriority w:val="0"/>
    <w:pPr>
      <w:ind w:left="960" w:hanging="960" w:hangingChars="200"/>
    </w:pPr>
    <w:rPr>
      <w:rFonts w:ascii="黑体" w:hAnsi="黑体" w:eastAsia="黑体" w:cs="黑体"/>
    </w:rPr>
  </w:style>
  <w:style w:type="paragraph" w:customStyle="1" w:styleId="87">
    <w:name w:val="标准文件_附录标识"/>
    <w:basedOn w:val="1"/>
    <w:next w:val="24"/>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8">
    <w:name w:val="标准文件_附录一级条标题"/>
    <w:next w:val="24"/>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二级条标题"/>
    <w:next w:val="24"/>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三级条标题"/>
    <w:next w:val="24"/>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四级条标题"/>
    <w:next w:val="24"/>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五级条标题"/>
    <w:next w:val="24"/>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一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二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三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四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五级无标题"/>
    <w:basedOn w:val="92"/>
    <w:qFormat/>
    <w:uiPriority w:val="0"/>
    <w:pPr>
      <w:spacing w:before="4" w:beforeLines="1" w:after="4" w:afterLines="1" w:line="276" w:lineRule="auto"/>
    </w:pPr>
    <w:rPr>
      <w:rFonts w:ascii="宋体" w:hAnsi="宋体" w:eastAsia="宋体" w:cs="宋体"/>
    </w:rPr>
  </w:style>
  <w:style w:type="paragraph" w:customStyle="1" w:styleId="98">
    <w:name w:val="附录图标号"/>
    <w:basedOn w:val="24"/>
    <w:next w:val="24"/>
    <w:qFormat/>
    <w:uiPriority w:val="0"/>
    <w:pPr>
      <w:numPr>
        <w:ilvl w:val="0"/>
        <w:numId w:val="2"/>
      </w:numPr>
      <w:spacing w:line="14" w:lineRule="exact"/>
      <w:ind w:left="0"/>
      <w:jc w:val="center"/>
    </w:pPr>
    <w:rPr>
      <w:sz w:val="2"/>
    </w:rPr>
  </w:style>
  <w:style w:type="paragraph" w:customStyle="1" w:styleId="99">
    <w:name w:val="附录图标题"/>
    <w:next w:val="24"/>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0">
    <w:name w:val="附录表标号"/>
    <w:basedOn w:val="24"/>
    <w:next w:val="24"/>
    <w:qFormat/>
    <w:uiPriority w:val="0"/>
    <w:pPr>
      <w:numPr>
        <w:ilvl w:val="0"/>
        <w:numId w:val="9"/>
      </w:numPr>
      <w:spacing w:line="14" w:lineRule="exact"/>
      <w:ind w:left="0"/>
      <w:jc w:val="center"/>
    </w:pPr>
    <w:rPr>
      <w:sz w:val="2"/>
    </w:rPr>
  </w:style>
  <w:style w:type="paragraph" w:customStyle="1" w:styleId="101">
    <w:name w:val="附录表标题"/>
    <w:next w:val="24"/>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2">
    <w:name w:val="标准文件_示例内容"/>
    <w:basedOn w:val="24"/>
    <w:qFormat/>
    <w:uiPriority w:val="0"/>
    <w:pPr>
      <w:suppressAutoHyphens w:val="0"/>
    </w:pPr>
    <w:rPr>
      <w:rFonts w:hAnsi="宋体"/>
      <w:sz w:val="18"/>
    </w:rPr>
  </w:style>
  <w:style w:type="paragraph" w:customStyle="1" w:styleId="103">
    <w:name w:val="标准文件_示例"/>
    <w:next w:val="102"/>
    <w:qFormat/>
    <w:uiPriority w:val="0"/>
    <w:pPr>
      <w:numPr>
        <w:ilvl w:val="0"/>
        <w:numId w:val="10"/>
      </w:numPr>
      <w:tabs>
        <w:tab w:val="left" w:pos="539"/>
      </w:tabs>
      <w:suppressAutoHyphens w:val="0"/>
      <w:jc w:val="both"/>
    </w:pPr>
    <w:rPr>
      <w:rFonts w:hint="eastAsia" w:ascii="宋体" w:hAnsi="宋体" w:eastAsia="宋体" w:cs="宋体"/>
      <w:sz w:val="18"/>
    </w:rPr>
  </w:style>
  <w:style w:type="paragraph" w:customStyle="1" w:styleId="104">
    <w:name w:val="标准文件_示例×"/>
    <w:basedOn w:val="1"/>
    <w:next w:val="102"/>
    <w:qFormat/>
    <w:uiPriority w:val="0"/>
    <w:pPr>
      <w:widowControl/>
      <w:numPr>
        <w:ilvl w:val="0"/>
        <w:numId w:val="11"/>
      </w:numPr>
      <w:tabs>
        <w:tab w:val="left" w:pos="539"/>
      </w:tabs>
      <w:suppressAutoHyphens w:val="0"/>
      <w:ind w:firstLine="363"/>
    </w:pPr>
    <w:rPr>
      <w:rFonts w:hAnsi="Times New Roman"/>
      <w:sz w:val="18"/>
    </w:rPr>
  </w:style>
  <w:style w:type="paragraph" w:customStyle="1" w:styleId="105">
    <w:name w:val="标准文件_注"/>
    <w:next w:val="24"/>
    <w:qFormat/>
    <w:uiPriority w:val="0"/>
    <w:pPr>
      <w:numPr>
        <w:ilvl w:val="0"/>
        <w:numId w:val="12"/>
      </w:numPr>
      <w:tabs>
        <w:tab w:val="left" w:pos="539"/>
      </w:tabs>
      <w:autoSpaceDE w:val="0"/>
      <w:autoSpaceDN w:val="0"/>
      <w:jc w:val="both"/>
    </w:pPr>
    <w:rPr>
      <w:rFonts w:hint="eastAsia" w:ascii="宋体" w:hAnsi="宋体" w:eastAsia="宋体" w:cs="宋体"/>
      <w:sz w:val="18"/>
    </w:rPr>
  </w:style>
  <w:style w:type="paragraph" w:customStyle="1" w:styleId="106">
    <w:name w:val="标准文件_注×"/>
    <w:next w:val="24"/>
    <w:qFormat/>
    <w:uiPriority w:val="0"/>
    <w:pPr>
      <w:numPr>
        <w:ilvl w:val="0"/>
        <w:numId w:val="13"/>
      </w:numPr>
      <w:tabs>
        <w:tab w:val="left" w:pos="539"/>
      </w:tabs>
      <w:jc w:val="both"/>
    </w:pPr>
    <w:rPr>
      <w:rFonts w:hint="eastAsia" w:ascii="宋体" w:hAnsi="宋体" w:eastAsia="宋体" w:cs="宋体"/>
      <w:sz w:val="18"/>
    </w:rPr>
  </w:style>
  <w:style w:type="paragraph" w:customStyle="1" w:styleId="107">
    <w:name w:val="标准文件_图表脚注"/>
    <w:basedOn w:val="1"/>
    <w:next w:val="24"/>
    <w:qFormat/>
    <w:uiPriority w:val="0"/>
    <w:pPr>
      <w:numPr>
        <w:ilvl w:val="0"/>
        <w:numId w:val="14"/>
      </w:numPr>
      <w:suppressAutoHyphens w:val="0"/>
      <w:adjustRightInd w:val="0"/>
      <w:jc w:val="left"/>
    </w:pPr>
    <w:rPr>
      <w:rFonts w:hAnsi="宋体"/>
      <w:sz w:val="18"/>
    </w:rPr>
  </w:style>
  <w:style w:type="paragraph" w:customStyle="1" w:styleId="108">
    <w:name w:val="标准文件_标准正文"/>
    <w:basedOn w:val="1"/>
    <w:next w:val="24"/>
    <w:qFormat/>
    <w:uiPriority w:val="0"/>
    <w:pPr>
      <w:ind w:firstLine="960" w:firstLineChars="200"/>
    </w:pPr>
  </w:style>
  <w:style w:type="paragraph" w:customStyle="1" w:styleId="109">
    <w:name w:val="标准文件_正文公式"/>
    <w:basedOn w:val="1"/>
    <w:next w:val="108"/>
    <w:qFormat/>
    <w:uiPriority w:val="0"/>
    <w:pPr>
      <w:tabs>
        <w:tab w:val="center" w:pos="4678"/>
        <w:tab w:val="right" w:leader="middleDot" w:pos="9355"/>
      </w:tabs>
    </w:pPr>
  </w:style>
  <w:style w:type="paragraph" w:customStyle="1" w:styleId="110">
    <w:name w:val="标准文件_表格"/>
    <w:basedOn w:val="24"/>
    <w:qFormat/>
    <w:uiPriority w:val="0"/>
    <w:pPr>
      <w:jc w:val="center"/>
    </w:pPr>
    <w:rPr>
      <w:sz w:val="18"/>
    </w:rPr>
  </w:style>
  <w:style w:type="paragraph" w:customStyle="1" w:styleId="111">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2">
    <w:name w:val="标准文件_正文表标题"/>
    <w:next w:val="24"/>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3">
    <w:name w:val="标准文件_正文图标题"/>
    <w:next w:val="24"/>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4">
    <w:name w:val="标准文件_索引标题"/>
    <w:basedOn w:val="33"/>
    <w:next w:val="24"/>
    <w:qFormat/>
    <w:uiPriority w:val="0"/>
    <w:rPr>
      <w:rFonts w:hAnsi="黑体"/>
    </w:rPr>
  </w:style>
  <w:style w:type="paragraph" w:customStyle="1" w:styleId="115">
    <w:name w:val="标准文件_索引项"/>
    <w:basedOn w:val="24"/>
    <w:next w:val="24"/>
    <w:qFormat/>
    <w:uiPriority w:val="0"/>
    <w:pPr>
      <w:tabs>
        <w:tab w:val="right" w:leader="dot" w:pos="9355"/>
      </w:tabs>
      <w:autoSpaceDE w:val="0"/>
      <w:autoSpaceDN w:val="0"/>
      <w:ind w:left="177" w:hanging="177" w:hangingChars="37"/>
      <w:jc w:val="left"/>
    </w:pPr>
  </w:style>
  <w:style w:type="paragraph" w:customStyle="1" w:styleId="116">
    <w:name w:val="标准文件_索引字母"/>
    <w:next w:val="24"/>
    <w:qFormat/>
    <w:uiPriority w:val="0"/>
    <w:pPr>
      <w:jc w:val="center"/>
    </w:pPr>
    <w:rPr>
      <w:rFonts w:hint="eastAsia" w:ascii="宋体" w:hAnsi="宋体" w:eastAsia="宋体" w:cs="宋体"/>
      <w:b/>
      <w:kern w:val="2"/>
      <w:sz w:val="21"/>
    </w:rPr>
  </w:style>
  <w:style w:type="paragraph" w:customStyle="1" w:styleId="117">
    <w:name w:val="标准文件_提示"/>
    <w:basedOn w:val="1"/>
    <w:qFormat/>
    <w:uiPriority w:val="0"/>
    <w:pPr>
      <w:ind w:firstLine="960" w:firstLineChars="200"/>
    </w:pPr>
    <w:rPr>
      <w:rFonts w:ascii="黑体" w:hAnsi="黑体" w:eastAsia="黑体" w:cs="黑体"/>
    </w:rPr>
  </w:style>
  <w:style w:type="paragraph" w:customStyle="1" w:styleId="118">
    <w:name w:val="标准文件_参考文献编号"/>
    <w:basedOn w:val="24"/>
    <w:qFormat/>
    <w:uiPriority w:val="0"/>
    <w:pPr>
      <w:numPr>
        <w:ilvl w:val="0"/>
        <w:numId w:val="17"/>
      </w:numPr>
    </w:pPr>
  </w:style>
  <w:style w:type="character" w:customStyle="1" w:styleId="119">
    <w:name w:val="标准文件_正文标准名称 Char"/>
    <w:link w:val="55"/>
    <w:qFormat/>
    <w:uiPriority w:val="0"/>
    <w:rPr>
      <w:rFonts w:ascii="黑体" w:hAnsi="黑体" w:eastAsia="黑体" w:cs="黑体"/>
      <w:sz w:val="32"/>
    </w:rPr>
  </w:style>
  <w:style w:type="paragraph" w:customStyle="1" w:styleId="1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1">
    <w:name w:val="注：（正文）"/>
    <w:basedOn w:val="122"/>
    <w:next w:val="120"/>
    <w:qFormat/>
    <w:uiPriority w:val="0"/>
    <w:pPr>
      <w:numPr>
        <w:ilvl w:val="0"/>
        <w:numId w:val="18"/>
      </w:numPr>
    </w:pPr>
  </w:style>
  <w:style w:type="paragraph" w:customStyle="1" w:styleId="122">
    <w:name w:val="注："/>
    <w:next w:val="120"/>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 w:type="paragraph" w:customStyle="1" w:styleId="123">
    <w:name w:val="标准文件_注："/>
    <w:next w:val="24"/>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3a72de-6420-4734-a0dc-b6c3f8f378bc}"/>
        <w:style w:val=""/>
        <w:category>
          <w:name w:val="常规"/>
          <w:gallery w:val="placeholder"/>
        </w:category>
        <w:types>
          <w:type w:val="bbPlcHdr"/>
        </w:types>
        <w:behaviors>
          <w:behavior w:val="content"/>
        </w:behaviors>
        <w:description w:val=""/>
        <w:guid w:val="{e43a72de-6420-4734-a0dc-b6c3f8f378bc}"/>
      </w:docPartPr>
      <w:docPartBody>
        <w:p>
          <w:r>
            <w:rPr>
              <w:color w:val="808080"/>
            </w:rPr>
            <w:t>选择一项。</w:t>
          </w:r>
        </w:p>
      </w:docPartBody>
    </w:docPart>
    <w:docPart>
      <w:docPartPr>
        <w:name w:val="{a2b934e1-4e69-4b3d-b344-351c81d94b35}"/>
        <w:style w:val=""/>
        <w:category>
          <w:name w:val="常规"/>
          <w:gallery w:val="placeholder"/>
        </w:category>
        <w:types>
          <w:type w:val="bbPlcHdr"/>
        </w:types>
        <w:behaviors>
          <w:behavior w:val="content"/>
        </w:behaviors>
        <w:description w:val=""/>
        <w:guid w:val="{a2b934e1-4e69-4b3d-b344-351c81d94b35}"/>
      </w:docPartPr>
      <w:docPartBody>
        <w:p>
          <w:r>
            <w:rPr>
              <w:color w:val="808080"/>
            </w:rPr>
            <w:t>选择一项。</w:t>
          </w:r>
        </w:p>
      </w:docPartBody>
    </w:docPart>
    <w:docPart>
      <w:docPartPr>
        <w:name w:val="{dc198fea-d184-4aa6-8509-aaf3d889285d}"/>
        <w:style w:val=""/>
        <w:category>
          <w:name w:val="常规"/>
          <w:gallery w:val="placeholder"/>
        </w:category>
        <w:types>
          <w:type w:val="bbPlcHdr"/>
        </w:types>
        <w:behaviors>
          <w:behavior w:val="content"/>
        </w:behaviors>
        <w:description w:val=""/>
        <w:guid w:val="{dc198fea-d184-4aa6-8509-aaf3d889285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2222</Words>
  <Characters>2680</Characters>
  <Lines>0</Lines>
  <Paragraphs>0</Paragraphs>
  <TotalTime>0</TotalTime>
  <ScaleCrop>false</ScaleCrop>
  <LinksUpToDate>false</LinksUpToDate>
  <CharactersWithSpaces>2884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2024-05-07T02:54:00Z</dcterms:created>
  <dc:creator>栗子</dc:creator>
  <cp:lastModifiedBy>王珊</cp:lastModifiedBy>
  <dcterms:modified xsi:type="dcterms:W3CDTF">2025-08-19T07:53:09Z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6F9C1558C851400CA6D8C4871979E171_13</vt:lpwstr>
  </property>
  <property fmtid="{D5CDD505-2E9C-101B-9397-08002B2CF9AE}" pid="4" name="KSOTemplateDocerSaveRecord">
    <vt:lpwstr>eyJoZGlkIjoiYWFiNzc1ODM3NjgwMmJjZWUyODliY2JhNTEzMjgzYmQiLCJ1c2VySWQiOiIxMDMzMTY5MTcyIn0=</vt:lpwstr>
  </property>
</Properties>
</file>