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073B1">
      <w:pPr>
        <w:pStyle w:val="37"/>
        <w:framePr w:wrap="around" w:vAnchor="page" w:hAnchor="page" w:x="1892" w:y="743"/>
        <w:rPr>
          <w:b/>
          <w:bCs/>
        </w:rPr>
      </w:pPr>
      <w:r>
        <w:rPr>
          <w:rFonts w:ascii="Times New Roman"/>
          <w:b/>
          <w:bCs/>
        </w:rPr>
        <w:t>ICS 11.020</w:t>
      </w:r>
    </w:p>
    <w:p w14:paraId="3C5348EF">
      <w:pPr>
        <w:pStyle w:val="37"/>
        <w:framePr w:wrap="around" w:vAnchor="page" w:hAnchor="page" w:x="1892" w:y="743"/>
        <w:rPr>
          <w:rFonts w:ascii="Times New Roman"/>
          <w:b/>
          <w:bCs/>
        </w:rPr>
      </w:pPr>
      <w:r>
        <w:rPr>
          <w:rFonts w:ascii="Times New Roman"/>
          <w:b/>
          <w:bCs/>
        </w:rPr>
        <w:t>CCS C 05</w:t>
      </w:r>
    </w:p>
    <w:p w14:paraId="6221C792">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90B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4F22892">
            <w:pPr>
              <w:pStyle w:val="39"/>
              <w:framePr w:wrap="around" w:x="1382" w:y="3031"/>
              <w:rPr>
                <w:lang w:val="fr-FR"/>
              </w:rPr>
            </w:pPr>
            <w:r>
              <w:rPr>
                <w:rFonts w:ascii="Times New Roman"/>
                <w:b/>
                <w:bCs/>
                <w:lang w:val="fr-FR"/>
              </w:rPr>
              <w:t>T/C</w:t>
            </w:r>
            <w:bookmarkStart w:id="0" w:name="StdNo1"/>
            <w:r>
              <w:rPr>
                <w:rFonts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5F6ACAE9">
      <w:pPr>
        <w:pStyle w:val="39"/>
        <w:framePr w:wrap="around" w:x="1382" w:y="3031"/>
        <w:jc w:val="center"/>
        <w:rPr>
          <w:lang w:val="en-US"/>
        </w:rPr>
      </w:pPr>
      <w:r>
        <w:rPr>
          <w:rFonts w:hint="eastAsia"/>
          <w:lang w:val="en-US"/>
        </w:rPr>
        <w:t>————————————————————————————————————————</w:t>
      </w:r>
    </w:p>
    <w:p w14:paraId="1EF72EE1">
      <w:pPr>
        <w:pStyle w:val="39"/>
        <w:framePr w:wrap="around" w:x="1382" w:y="3031"/>
        <w:rPr>
          <w:lang w:val="en-US"/>
        </w:rPr>
      </w:pPr>
    </w:p>
    <w:p w14:paraId="7E9DA3FC">
      <w:pPr>
        <w:pStyle w:val="38"/>
        <w:keepNext/>
        <w:keepLines/>
        <w:framePr w:w="9116" w:h="3989"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中医师治未病家庭签约服务规范</w:t>
      </w:r>
    </w:p>
    <w:p w14:paraId="00A8F2BC">
      <w:pPr>
        <w:pStyle w:val="38"/>
        <w:keepNext/>
        <w:keepLines/>
        <w:framePr w:w="9116" w:h="3989" w:hRule="exact" w:wrap="around" w:vAnchor="page" w:hAnchor="page" w:x="1327" w:y="6897" w:anchorLock="1"/>
        <w:ind w:firstLine="0"/>
        <w:jc w:val="center"/>
        <w:outlineLvl w:val="9"/>
        <w:rPr>
          <w:rFonts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Standard for family contract services for traditional Chinese physician in preventive treatment of disease</w:t>
      </w:r>
    </w:p>
    <w:p w14:paraId="1D617F1F">
      <w:pPr>
        <w:pStyle w:val="38"/>
        <w:keepNext/>
        <w:keepLines/>
        <w:framePr w:w="9116" w:h="3989"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6C74D742">
      <w:pPr>
        <w:pStyle w:val="45"/>
        <w:framePr w:w="9331" w:wrap="around" w:hAnchor="page" w:x="1397" w:y="1478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972EB53">
      <w:pPr>
        <w:pStyle w:val="43"/>
        <w:framePr w:w="9416" w:wrap="around" w:x="1404" w:y="15287"/>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28BAA732">
      <w:pPr>
        <w:rPr>
          <w:rFonts w:hint="eastAsia" w:eastAsia="宋体"/>
        </w:rPr>
      </w:pPr>
      <w:r>
        <w:rPr>
          <w:rFonts w:ascii="Times New Roman" w:hAnsi="Times New Roman" w:eastAsia="宋体" w:cs="Times New Roman"/>
        </w:rPr>
        <w:drawing>
          <wp:anchor distT="0" distB="0" distL="114300" distR="114300" simplePos="0" relativeHeight="251664384" behindDoc="0" locked="0" layoutInCell="1" allowOverlap="1">
            <wp:simplePos x="0" y="0"/>
            <wp:positionH relativeFrom="column">
              <wp:posOffset>4511040</wp:posOffset>
            </wp:positionH>
            <wp:positionV relativeFrom="page">
              <wp:posOffset>198755</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1BACED0D">
      <w:pPr>
        <w:spacing w:line="360" w:lineRule="auto"/>
        <w:jc w:val="center"/>
        <w:rPr>
          <w:rFonts w:hint="eastAsia" w:ascii="宋体" w:hAnsi="宋体" w:eastAsia="宋体" w:cs="Times New Roman"/>
          <w:bCs/>
          <w:sz w:val="24"/>
          <w:szCs w:val="24"/>
        </w:rPr>
      </w:pPr>
    </w:p>
    <w:p w14:paraId="540ED4ED">
      <w:pPr>
        <w:widowControl/>
        <w:spacing w:line="360" w:lineRule="auto"/>
        <w:rPr>
          <w:rFonts w:hint="eastAsia" w:ascii="黑体" w:hAnsi="黑体" w:eastAsia="黑体" w:cs="黑体"/>
          <w:sz w:val="32"/>
          <w:szCs w:val="32"/>
        </w:rPr>
        <w:sectPr>
          <w:headerReference r:id="rId3" w:type="default"/>
          <w:footerReference r:id="rId5" w:type="default"/>
          <w:headerReference r:id="rId4" w:type="even"/>
          <w:footerReference r:id="rId6" w:type="even"/>
          <w:pgSz w:w="11906" w:h="16838"/>
          <w:pgMar w:top="1417" w:right="1134" w:bottom="1134" w:left="1417" w:header="851" w:footer="992" w:gutter="0"/>
          <w:pgNumType w:start="0"/>
          <w:cols w:space="0" w:num="1"/>
          <w:titlePg/>
          <w:rtlGutter w:val="0"/>
          <w:docGrid w:type="lines" w:linePitch="312" w:charSpace="0"/>
        </w:sectPr>
      </w:pPr>
    </w:p>
    <w:sdt>
      <w:sdtPr>
        <w:rPr>
          <w:rFonts w:hint="eastAsia" w:ascii="宋体" w:hAnsi="宋体" w:eastAsia="宋体" w:cs="Times New Roman"/>
          <w:kern w:val="0"/>
          <w:sz w:val="20"/>
          <w:szCs w:val="20"/>
        </w:rPr>
        <w:id w:val="147464832"/>
        <w15:color w:val="DBDBDB"/>
        <w:docPartObj>
          <w:docPartGallery w:val="Table of Contents"/>
          <w:docPartUnique/>
        </w:docPartObj>
      </w:sdtPr>
      <w:sdtEndPr>
        <w:rPr>
          <w:rFonts w:hint="eastAsia" w:ascii="Times New Roman" w:hAnsi="Times New Roman" w:eastAsia="宋体" w:cs="Times New Roman"/>
          <w:kern w:val="0"/>
          <w:sz w:val="20"/>
          <w:szCs w:val="32"/>
        </w:rPr>
      </w:sdtEndPr>
      <w:sdtContent>
        <w:p w14:paraId="580B73B2">
          <w:pPr>
            <w:jc w:val="center"/>
            <w:rPr>
              <w:rFonts w:hint="eastAsia" w:eastAsia="宋体"/>
            </w:rPr>
          </w:pPr>
          <w:r>
            <w:rPr>
              <w:rFonts w:ascii="宋体" w:hAnsi="宋体" w:eastAsia="黑体"/>
              <w:sz w:val="32"/>
            </w:rPr>
            <w:t>目</w:t>
          </w:r>
          <w:r>
            <w:rPr>
              <w:rFonts w:hint="eastAsia" w:ascii="宋体" w:hAnsi="宋体" w:eastAsia="黑体"/>
              <w:sz w:val="32"/>
            </w:rPr>
            <w:t xml:space="preserve">  次</w:t>
          </w:r>
        </w:p>
        <w:p w14:paraId="24A230FE">
          <w:pPr>
            <w:pStyle w:val="8"/>
            <w:tabs>
              <w:tab w:val="right" w:leader="dot" w:pos="8296"/>
            </w:tabs>
            <w:rPr>
              <w:rFonts w:hint="eastAsia" w:ascii="Times New Roman" w:hAnsi="Times New Roman" w:eastAsia="宋体" w:cs="Times New Roman"/>
              <w:sz w:val="22"/>
              <w:szCs w:val="24"/>
              <w14:ligatures w14:val="standardContextual"/>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TOC \o "1-3" \h \u </w:instrText>
          </w:r>
          <w:r>
            <w:rPr>
              <w:rFonts w:hint="eastAsia" w:ascii="Times New Roman" w:hAnsi="Times New Roman" w:eastAsia="宋体" w:cs="Times New Roman"/>
              <w:kern w:val="2"/>
              <w:sz w:val="21"/>
              <w:szCs w:val="21"/>
            </w:rP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"_Toc206490749"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_Toc206490749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D3E4248">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881C555">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57C2D6B">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2</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7E705B1">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3</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4D20408">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4</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签约服务对象</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7F1919B">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5</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签约服务原则</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96BB3F7">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6</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签约服务目标</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3E3B73D">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7</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1F974F4">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"_Toc206490758"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8</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签约服务流程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_Toc206490758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A088DA8">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"_Toc206490760"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9</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主要内容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_Toc206490760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52F37C6">
          <w:pPr>
            <w:pStyle w:val="8"/>
            <w:tabs>
              <w:tab w:val="left" w:pos="42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"_Toc206490761"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10</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rPr>
            <w:t>签约服务质量控制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_Toc206490761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F7BADA7">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"_Toc206490762"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A</w:t>
          </w:r>
          <w:r>
            <w:rPr>
              <w:rStyle w:val="17"/>
              <w:rFonts w:hint="eastAsia" w:ascii="Times New Roman" w:hAnsi="Times New Roman" w:eastAsia="宋体" w:cs="Times New Roman"/>
            </w:rPr>
            <w:t>（规范性）南阳市万名中医师家庭签约服务绩效评价评分表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_Toc206490762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2AC24B0">
          <w:pPr>
            <w:pStyle w:val="8"/>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"_Toc206490765"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_Toc206490765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F2D0731">
          <w:pPr>
            <w:pStyle w:val="49"/>
            <w:tabs>
              <w:tab w:val="right" w:leader="dot" w:pos="8306"/>
            </w:tabs>
            <w:rPr>
              <w:rFonts w:ascii="方正小标宋简体" w:hAnsi="方正小标宋简体" w:eastAsia="方正小标宋简体" w:cs="方正小标宋简体"/>
            </w:rPr>
            <w:sectPr>
              <w:headerReference r:id="rId7" w:type="first"/>
              <w:footerReference r:id="rId9" w:type="first"/>
              <w:footerReference r:id="rId8" w:type="default"/>
              <w:pgSz w:w="11906" w:h="16838"/>
              <w:pgMar w:top="1417" w:right="1134" w:bottom="1134" w:left="1417" w:header="851" w:footer="992" w:gutter="0"/>
              <w:pgNumType w:start="0"/>
              <w:cols w:space="0" w:num="1"/>
              <w:titlePg/>
              <w:rtlGutter w:val="0"/>
              <w:docGrid w:type="lines" w:linePitch="312" w:charSpace="0"/>
            </w:sectPr>
          </w:pPr>
          <w:r>
            <w:rPr>
              <w:rFonts w:ascii="Times New Roman" w:hAnsi="Times New Roman" w:cs="Times New Roman"/>
              <w:szCs w:val="21"/>
            </w:rPr>
            <w:fldChar w:fldCharType="end"/>
          </w:r>
        </w:p>
      </w:sdtContent>
    </w:sdt>
    <w:p w14:paraId="7D79DF54">
      <w:pPr>
        <w:pStyle w:val="8"/>
        <w:jc w:val="center"/>
        <w:outlineLvl w:val="0"/>
        <w:rPr>
          <w:rFonts w:hint="eastAsia" w:ascii="黑体" w:hAnsi="黑体" w:eastAsia="黑体" w:cs="黑体"/>
          <w:sz w:val="32"/>
          <w:szCs w:val="32"/>
        </w:rPr>
      </w:pPr>
      <w:bookmarkStart w:id="2" w:name="_Toc206490749"/>
      <w:r>
        <w:rPr>
          <w:rFonts w:hint="eastAsia" w:ascii="黑体" w:hAnsi="黑体" w:eastAsia="黑体" w:cs="黑体"/>
          <w:sz w:val="32"/>
          <w:szCs w:val="32"/>
        </w:rPr>
        <w:t>前  言</w:t>
      </w:r>
      <w:bookmarkEnd w:id="2"/>
    </w:p>
    <w:p w14:paraId="4779958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第1部分：标准化文件的结构和起草规则》的规定起草。</w:t>
      </w:r>
    </w:p>
    <w:p w14:paraId="1A3B6DC2">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zCs w:val="21"/>
        </w:rPr>
        <w:t>请注意本文件的某些内容可能涉及专利。本文件的发布机构不承担识别专利的责任。</w:t>
      </w:r>
    </w:p>
    <w:p w14:paraId="1E6A00D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本文件由中国研究型医院学会移动医疗专业委员会提出。</w:t>
      </w:r>
    </w:p>
    <w:p w14:paraId="63AECC5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43E1DABB">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本文件主要起草单位：。</w:t>
      </w:r>
    </w:p>
    <w:p w14:paraId="142E8422">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4A910975">
      <w:pPr>
        <w:ind w:firstLine="420" w:firstLineChars="200"/>
        <w:rPr>
          <w:rFonts w:hint="eastAsia" w:ascii="宋体" w:hAnsi="宋体" w:eastAsia="宋体"/>
          <w:szCs w:val="21"/>
        </w:rPr>
      </w:pPr>
      <w:r>
        <w:rPr>
          <w:rFonts w:ascii="宋体" w:hAnsi="宋体" w:eastAsia="宋体"/>
          <w:szCs w:val="21"/>
        </w:rPr>
        <w:br w:type="page"/>
      </w:r>
    </w:p>
    <w:p w14:paraId="392498F5">
      <w:pPr>
        <w:pStyle w:val="8"/>
        <w:jc w:val="center"/>
        <w:outlineLvl w:val="0"/>
        <w:rPr>
          <w:rFonts w:hint="eastAsia" w:ascii="黑体" w:hAnsi="黑体" w:eastAsia="黑体" w:cs="黑体"/>
          <w:sz w:val="32"/>
          <w:szCs w:val="32"/>
        </w:rPr>
      </w:pPr>
      <w:bookmarkStart w:id="3" w:name="_Toc206490750"/>
      <w:r>
        <w:rPr>
          <w:rFonts w:hint="eastAsia" w:ascii="黑体" w:hAnsi="黑体" w:eastAsia="黑体" w:cs="黑体"/>
          <w:sz w:val="32"/>
          <w:szCs w:val="32"/>
        </w:rPr>
        <w:t>引  言</w:t>
      </w:r>
      <w:bookmarkEnd w:id="3"/>
    </w:p>
    <w:p w14:paraId="4C0CC579">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当今国际医疗模式趋势以疾病诊治转向以预防和健康管理为主。世界卫生组织认为，所有就诊病人中，有80%至90%以上人群的基本健康问题，可以通过以家庭医师为主体的社区卫生服务团队来解决。实施家庭医师制度可以有效控制国家医疗财政支出、提高健康水平、方便居民就医、缓解居民“看病难、看病贵”的问题。</w:t>
      </w:r>
    </w:p>
    <w:p w14:paraId="21007DF6">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家庭医生签约服务是我国深化医药卫生改革的重要任务，现有的国家政策为实行家庭医生签约服务提供良好的政策依据。2022年党的二十大报告中再次提出要深化医药卫生体制改革，促进医保、医疗、医药协同发展和治理；促进优质医疗资源扩容和区域均衡布局，坚持预防为主，加强重大慢性病健康管理，提高基层防病治病和健康管理能力；促进中医药传承创新发展。</w:t>
      </w:r>
    </w:p>
    <w:p w14:paraId="2AED1964">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我国，从2011年全国推行家庭医生签约服务以来，全国各地陆续开展了家庭医生签约服务，北京、上海、安徽等地也开展了有关的研究，经过近年来的实践与发展，在改善居民的生活条件、维护城市的经济发展和社会稳定、保障居民的身心健康和生命安全等方面发挥了重要作用，受到广大群众的欢迎和赞誉。目前农村地区由于人口规模大、慢性病患病率高，仍不同程度存在“看病难、看病贵和病越看越多”的问题，中医药在缓解基层看病难、看病贵问题上，尚未充分发挥出其优势作用。</w:t>
      </w:r>
    </w:p>
    <w:p w14:paraId="64F3CEB1">
      <w:pPr>
        <w:ind w:firstLine="420" w:firstLineChars="200"/>
        <w:rPr>
          <w:rFonts w:hint="eastAsia" w:ascii="宋体" w:hAnsi="宋体" w:eastAsia="宋体"/>
          <w:szCs w:val="21"/>
        </w:rPr>
        <w:sectPr>
          <w:footerReference r:id="rId12" w:type="first"/>
          <w:footerReference r:id="rId10" w:type="default"/>
          <w:footerReference r:id="rId11" w:type="even"/>
          <w:pgSz w:w="11906" w:h="16838"/>
          <w:pgMar w:top="1417" w:right="1134" w:bottom="1134" w:left="1417" w:header="851" w:footer="992" w:gutter="0"/>
          <w:pgNumType w:fmt="upperRoman" w:start="1"/>
          <w:cols w:space="0" w:num="1"/>
          <w:titlePg/>
          <w:rtlGutter w:val="0"/>
          <w:docGrid w:type="lines" w:linePitch="312" w:charSpace="0"/>
        </w:sectPr>
      </w:pPr>
      <w:r>
        <w:rPr>
          <w:rFonts w:hint="eastAsia" w:ascii="Times New Roman" w:hAnsi="Times New Roman" w:eastAsia="宋体" w:cs="Times New Roman"/>
          <w:color w:val="000000" w:themeColor="text1"/>
          <w:szCs w:val="21"/>
          <w14:textFill>
            <w14:solidFill>
              <w14:schemeClr w14:val="tx1"/>
            </w14:solidFill>
          </w14:textFill>
        </w:rPr>
        <w:t>本文件旨在推动中医师家庭签约服务的开展，指导和规范中医师治未病家庭签约的流程、内容和方法，使签约团队、人员更好地为广大民众的健康服务。</w:t>
      </w:r>
      <w:r>
        <w:rPr>
          <w:rFonts w:ascii="宋体" w:hAnsi="宋体" w:eastAsia="宋体"/>
          <w:szCs w:val="21"/>
        </w:rPr>
        <w:br w:type="page"/>
      </w:r>
    </w:p>
    <w:p w14:paraId="784D536F">
      <w:pPr>
        <w:spacing w:line="240" w:lineRule="auto"/>
        <w:jc w:val="center"/>
        <w:rPr>
          <w:rFonts w:hint="eastAsia" w:ascii="黑体" w:hAnsi="黑体" w:eastAsia="黑体" w:cs="黑体"/>
          <w:sz w:val="32"/>
          <w:szCs w:val="32"/>
        </w:rPr>
      </w:pPr>
      <w:r>
        <w:rPr>
          <w:rFonts w:hint="eastAsia" w:ascii="黑体" w:hAnsi="黑体" w:eastAsia="黑体" w:cs="黑体"/>
          <w:sz w:val="32"/>
          <w:szCs w:val="32"/>
        </w:rPr>
        <w:t>中医师治未病家庭签约服务规范</w:t>
      </w:r>
    </w:p>
    <w:p w14:paraId="4986C22F">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4" w:name="_Toc206490751"/>
      <w:r>
        <w:rPr>
          <w:rFonts w:hint="eastAsia" w:ascii="黑体" w:hAnsi="黑体" w:eastAsia="黑体" w:cs="黑体"/>
          <w:color w:val="000000" w:themeColor="text1"/>
          <w:szCs w:val="21"/>
          <w14:textFill>
            <w14:solidFill>
              <w14:schemeClr w14:val="tx1"/>
            </w14:solidFill>
          </w14:textFill>
        </w:rPr>
        <w:t>范围</w:t>
      </w:r>
      <w:bookmarkEnd w:id="4"/>
    </w:p>
    <w:p w14:paraId="51D45E77">
      <w:pPr>
        <w:pStyle w:val="19"/>
        <w:spacing w:before="0" w:beforeLines="-2147483648" w:after="0" w:afterLines="-2147483648"/>
        <w:rPr>
          <w:rFonts w:hint="eastAsia" w:ascii="宋体" w:hAnsi="宋体" w:eastAsia="宋体" w:cs="Times New Roman"/>
          <w:szCs w:val="21"/>
        </w:rPr>
      </w:pPr>
      <w:r>
        <w:rPr>
          <w:rFonts w:hint="eastAsia" w:ascii="宋体" w:hAnsi="宋体" w:eastAsia="宋体" w:cs="Times New Roman"/>
          <w:szCs w:val="21"/>
        </w:rPr>
        <w:t>本文件规定了中医治未病家庭签约服务的术语和定义、签约服务对象、签约服务原则、签约服务目标、中医治未病签约服务团队要求、签约服务流程、主要内容、签约服务评价与改进。</w:t>
      </w:r>
    </w:p>
    <w:p w14:paraId="5B38C974">
      <w:pPr>
        <w:pStyle w:val="19"/>
        <w:spacing w:before="0" w:beforeLines="-2147483648" w:after="0" w:afterLines="-2147483648"/>
        <w:rPr>
          <w:rFonts w:hint="eastAsia" w:ascii="宋体" w:hAnsi="宋体" w:eastAsia="宋体"/>
          <w:szCs w:val="21"/>
        </w:rPr>
      </w:pPr>
      <w:r>
        <w:rPr>
          <w:rFonts w:hint="eastAsia" w:ascii="宋体" w:hAnsi="宋体" w:eastAsia="宋体"/>
          <w:szCs w:val="21"/>
        </w:rPr>
        <w:t>本文件适用于中医师进行治未病家庭签约。</w:t>
      </w:r>
    </w:p>
    <w:p w14:paraId="2C955942">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5" w:name="_Toc206490752"/>
      <w:r>
        <w:rPr>
          <w:rFonts w:hint="eastAsia" w:ascii="黑体" w:hAnsi="黑体" w:eastAsia="黑体" w:cs="黑体"/>
          <w:color w:val="000000" w:themeColor="text1"/>
          <w:szCs w:val="21"/>
          <w14:textFill>
            <w14:solidFill>
              <w14:schemeClr w14:val="tx1"/>
            </w14:solidFill>
          </w14:textFill>
        </w:rPr>
        <w:t>规范性引用文件</w:t>
      </w:r>
      <w:bookmarkEnd w:id="5"/>
    </w:p>
    <w:p w14:paraId="788E04F3">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7B60E585">
      <w:pPr>
        <w:pStyle w:val="19"/>
        <w:spacing w:before="0" w:beforeLines="-2147483648" w:after="0" w:afterLines="-2147483648"/>
        <w:rPr>
          <w:rFonts w:hint="eastAsia" w:ascii="Times New Roman" w:hAnsi="Times New Roman" w:eastAsia="宋体" w:cs="Times New Roman"/>
          <w:szCs w:val="21"/>
        </w:rPr>
      </w:pPr>
      <w:r>
        <w:rPr>
          <w:rFonts w:ascii="Times New Roman" w:hAnsi="Times New Roman" w:eastAsia="宋体" w:cs="Times New Roman"/>
          <w:szCs w:val="21"/>
        </w:rPr>
        <w:t>T/CACM 006/1-2016</w:t>
      </w:r>
      <w:r>
        <w:rPr>
          <w:rFonts w:hint="eastAsia" w:ascii="Times New Roman" w:hAnsi="Times New Roman" w:eastAsia="宋体" w:cs="Times New Roman"/>
          <w:szCs w:val="21"/>
        </w:rPr>
        <w:t xml:space="preserve"> 中医健康管理服务规范</w:t>
      </w:r>
    </w:p>
    <w:p w14:paraId="4F521A46">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6" w:name="_Toc206490753"/>
      <w:r>
        <w:rPr>
          <w:rFonts w:hint="eastAsia" w:ascii="黑体" w:hAnsi="黑体" w:eastAsia="黑体" w:cs="黑体"/>
          <w:color w:val="000000" w:themeColor="text1"/>
          <w:szCs w:val="21"/>
          <w14:textFill>
            <w14:solidFill>
              <w14:schemeClr w14:val="tx1"/>
            </w14:solidFill>
          </w14:textFill>
        </w:rPr>
        <w:t>术语和定义</w:t>
      </w:r>
      <w:bookmarkEnd w:id="6"/>
    </w:p>
    <w:p w14:paraId="1BC6CC1E">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下列术语和定义适用于本文件。</w:t>
      </w:r>
    </w:p>
    <w:p w14:paraId="47D88299">
      <w:pPr>
        <w:pStyle w:val="19"/>
        <w:numPr>
          <w:ilvl w:val="1"/>
          <w:numId w:val="1"/>
        </w:numPr>
        <w:spacing w:before="156" w:beforeLines="50" w:after="156" w:afterLines="50"/>
        <w:ind w:firstLineChars="0"/>
        <w:rPr>
          <w:rFonts w:hint="eastAsia" w:ascii="黑体" w:hAnsi="黑体" w:eastAsia="黑体" w:cs="黑体"/>
          <w:szCs w:val="21"/>
        </w:rPr>
      </w:pPr>
    </w:p>
    <w:p w14:paraId="349168D3">
      <w:pPr>
        <w:pStyle w:val="19"/>
        <w:numPr>
          <w:ilvl w:val="0"/>
          <w:numId w:val="0"/>
        </w:numPr>
        <w:spacing w:before="0" w:beforeLines="-2147483648" w:after="0" w:afterLines="-2147483648"/>
        <w:ind w:firstLine="420" w:firstLineChars="200"/>
        <w:rPr>
          <w:rFonts w:hint="eastAsia" w:ascii="Times New Roman" w:hAnsi="Times New Roman" w:eastAsia="黑体" w:cs="Times New Roman"/>
          <w:szCs w:val="21"/>
        </w:rPr>
      </w:pPr>
      <w:r>
        <w:rPr>
          <w:rFonts w:hint="eastAsia" w:ascii="Times New Roman" w:hAnsi="Times New Roman" w:eastAsia="黑体" w:cs="Times New Roman"/>
          <w:szCs w:val="21"/>
        </w:rPr>
        <w:t>中医治未病家庭签约服务</w:t>
      </w:r>
      <w:r>
        <w:rPr>
          <w:rFonts w:hint="eastAsia" w:ascii="Times New Roman" w:hAnsi="Times New Roman" w:cs="Times New Roman"/>
          <w:szCs w:val="21"/>
        </w:rPr>
        <w:t xml:space="preserve"> family contract services for traditional Chinese medicine treatment before illness</w:t>
      </w:r>
    </w:p>
    <w:p w14:paraId="496F3CE5">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中医师团队与居民进行签约，以治未病理念为核心，针对不同的服务人群，采用中医治未病服务方法和手段进行健康管理和服务，发挥中医药在预防、保健、康复、养生等领域的优势和作用，达到预防疾病、增进健康的目的。</w:t>
      </w:r>
    </w:p>
    <w:p w14:paraId="1CA69327">
      <w:pPr>
        <w:pStyle w:val="19"/>
        <w:numPr>
          <w:ilvl w:val="1"/>
          <w:numId w:val="1"/>
        </w:numPr>
        <w:spacing w:before="156" w:beforeLines="50" w:after="156" w:afterLines="50"/>
        <w:ind w:firstLineChars="0"/>
        <w:rPr>
          <w:rFonts w:hint="eastAsia" w:ascii="黑体" w:hAnsi="黑体" w:eastAsia="黑体" w:cs="黑体"/>
          <w:szCs w:val="21"/>
        </w:rPr>
      </w:pPr>
    </w:p>
    <w:p w14:paraId="4B7FF9A7">
      <w:pPr>
        <w:pStyle w:val="19"/>
        <w:numPr>
          <w:ilvl w:val="0"/>
          <w:numId w:val="0"/>
        </w:numPr>
        <w:spacing w:before="0" w:beforeLines="-2147483648" w:after="0" w:afterLines="-2147483648"/>
        <w:ind w:firstLine="420" w:firstLineChars="200"/>
        <w:rPr>
          <w:rFonts w:hint="eastAsia" w:ascii="Times New Roman" w:hAnsi="Times New Roman" w:eastAsia="黑体" w:cs="Times New Roman"/>
          <w:szCs w:val="21"/>
        </w:rPr>
      </w:pPr>
      <w:r>
        <w:rPr>
          <w:rFonts w:hint="eastAsia" w:ascii="黑体" w:hAnsi="黑体" w:eastAsia="黑体" w:cs="黑体"/>
          <w:szCs w:val="21"/>
        </w:rPr>
        <w:t>健康管理</w:t>
      </w:r>
      <w:r>
        <w:rPr>
          <w:rFonts w:hint="eastAsia"/>
          <w:szCs w:val="21"/>
        </w:rPr>
        <w:t xml:space="preserve"> </w:t>
      </w:r>
      <w:r>
        <w:rPr>
          <w:rFonts w:hint="eastAsia" w:ascii="Times New Roman" w:hAnsi="Times New Roman" w:cs="Times New Roman"/>
          <w:szCs w:val="21"/>
        </w:rPr>
        <w:t>health management</w:t>
      </w:r>
    </w:p>
    <w:p w14:paraId="07995B0E">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针对健康需求，利用健康资源对个体或群体健康及其风险进行全面管理的过程，包括健康检测、分析评估、提供咨询指导、制订健康干预方案并付诸实施、评价管理效果等。</w:t>
      </w:r>
    </w:p>
    <w:p w14:paraId="56C19BF3">
      <w:pPr>
        <w:pStyle w:val="19"/>
        <w:numPr>
          <w:ilvl w:val="1"/>
          <w:numId w:val="1"/>
        </w:numPr>
        <w:spacing w:before="156" w:beforeLines="50" w:after="156" w:afterLines="50"/>
        <w:ind w:firstLineChars="0"/>
        <w:rPr>
          <w:rFonts w:hint="eastAsia" w:ascii="黑体" w:hAnsi="黑体" w:eastAsia="黑体" w:cs="黑体"/>
          <w:szCs w:val="21"/>
        </w:rPr>
      </w:pPr>
    </w:p>
    <w:p w14:paraId="2146E455">
      <w:pPr>
        <w:pStyle w:val="19"/>
        <w:numPr>
          <w:ilvl w:val="0"/>
          <w:numId w:val="0"/>
        </w:numPr>
        <w:spacing w:before="0" w:beforeLines="-2147483648" w:after="0" w:afterLines="-2147483648"/>
        <w:ind w:firstLine="420" w:firstLineChars="200"/>
        <w:rPr>
          <w:rFonts w:hint="eastAsia" w:ascii="Times New Roman" w:hAnsi="Times New Roman" w:eastAsia="黑体" w:cs="Times New Roman"/>
          <w:szCs w:val="21"/>
        </w:rPr>
      </w:pPr>
      <w:r>
        <w:rPr>
          <w:rFonts w:hint="eastAsia" w:ascii="Times New Roman" w:hAnsi="Times New Roman" w:eastAsia="黑体" w:cs="Times New Roman"/>
          <w:szCs w:val="21"/>
        </w:rPr>
        <w:t>重点人群管理</w:t>
      </w:r>
      <w:r>
        <w:rPr>
          <w:rFonts w:hint="eastAsia" w:ascii="Times New Roman" w:hAnsi="Times New Roman" w:cs="Times New Roman"/>
          <w:szCs w:val="21"/>
        </w:rPr>
        <w:t xml:space="preserve"> key population management</w:t>
      </w:r>
    </w:p>
    <w:p w14:paraId="37B245DB">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划定老年人、0-18岁未成年人、残疾人、优抚对象、低保人群为重点人群。</w:t>
      </w:r>
    </w:p>
    <w:p w14:paraId="439F0BFA">
      <w:pPr>
        <w:pStyle w:val="19"/>
        <w:numPr>
          <w:ilvl w:val="1"/>
          <w:numId w:val="1"/>
        </w:numPr>
        <w:spacing w:before="156" w:beforeLines="50" w:after="156" w:afterLines="50"/>
        <w:ind w:firstLineChars="0"/>
        <w:rPr>
          <w:rFonts w:hint="eastAsia" w:ascii="黑体" w:hAnsi="黑体" w:eastAsia="黑体" w:cs="黑体"/>
          <w:szCs w:val="21"/>
        </w:rPr>
      </w:pPr>
    </w:p>
    <w:p w14:paraId="4D2EA625">
      <w:pPr>
        <w:pStyle w:val="19"/>
        <w:numPr>
          <w:ilvl w:val="0"/>
          <w:numId w:val="0"/>
        </w:numPr>
        <w:spacing w:before="0" w:beforeLines="-2147483648" w:after="0" w:afterLines="-2147483648"/>
        <w:ind w:firstLine="420" w:firstLineChars="200"/>
        <w:rPr>
          <w:rFonts w:hint="eastAsia" w:ascii="Times New Roman" w:hAnsi="Times New Roman" w:eastAsia="宋体" w:cs="Times New Roman"/>
          <w:szCs w:val="21"/>
        </w:rPr>
      </w:pPr>
      <w:r>
        <w:rPr>
          <w:rFonts w:hint="eastAsia" w:ascii="黑体" w:hAnsi="黑体" w:eastAsia="黑体" w:cs="Times New Roman"/>
          <w:szCs w:val="21"/>
        </w:rPr>
        <w:t>防治康养</w:t>
      </w:r>
      <w:r>
        <w:rPr>
          <w:rFonts w:hint="eastAsia" w:ascii="Times New Roman" w:hAnsi="Times New Roman" w:eastAsia="宋体" w:cs="Times New Roman"/>
          <w:szCs w:val="21"/>
        </w:rPr>
        <w:t xml:space="preserve"> prevention, treatment, rehabilitation, and elderly care</w:t>
      </w:r>
    </w:p>
    <w:p w14:paraId="11A8AD24">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预防，治疗，康复，养老和健康管理。</w:t>
      </w:r>
    </w:p>
    <w:p w14:paraId="0F06ED70">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7" w:name="_Toc206490754"/>
      <w:r>
        <w:rPr>
          <w:rFonts w:hint="eastAsia" w:ascii="黑体" w:hAnsi="黑体" w:eastAsia="黑体" w:cs="黑体"/>
          <w:color w:val="000000" w:themeColor="text1"/>
          <w:szCs w:val="21"/>
          <w14:textFill>
            <w14:solidFill>
              <w14:schemeClr w14:val="tx1"/>
            </w14:solidFill>
          </w14:textFill>
        </w:rPr>
        <w:t>签约服务对象</w:t>
      </w:r>
      <w:bookmarkEnd w:id="7"/>
    </w:p>
    <w:p w14:paraId="17CF8D60">
      <w:pPr>
        <w:spacing w:before="156" w:beforeLines="50" w:after="156" w:afterLines="50"/>
        <w:ind w:firstLine="420" w:firstLineChars="200"/>
        <w:rPr>
          <w:rFonts w:hint="eastAsia" w:ascii="宋体" w:hAnsi="宋体" w:eastAsia="宋体"/>
          <w:szCs w:val="21"/>
        </w:rPr>
      </w:pPr>
      <w:r>
        <w:rPr>
          <w:rFonts w:hint="eastAsia" w:ascii="宋体" w:hAnsi="宋体" w:eastAsia="宋体"/>
          <w:szCs w:val="21"/>
        </w:rPr>
        <w:t>辖区常住居民。划定老年人、儿童、残疾人、优抚对象、低保对象五类人群为重点人群。</w:t>
      </w:r>
    </w:p>
    <w:p w14:paraId="106F4B62">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8" w:name="_Toc206490755"/>
      <w:r>
        <w:rPr>
          <w:rFonts w:hint="eastAsia" w:ascii="黑体" w:hAnsi="黑体" w:eastAsia="黑体" w:cs="黑体"/>
          <w:color w:val="000000" w:themeColor="text1"/>
          <w:szCs w:val="21"/>
          <w14:textFill>
            <w14:solidFill>
              <w14:schemeClr w14:val="tx1"/>
            </w14:solidFill>
          </w14:textFill>
        </w:rPr>
        <w:t>签约服务原则</w:t>
      </w:r>
      <w:bookmarkEnd w:id="8"/>
    </w:p>
    <w:p w14:paraId="18ABA839">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预防为主，防治结合；全面覆盖，精准服务。</w:t>
      </w:r>
    </w:p>
    <w:p w14:paraId="0C616056">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9" w:name="_Toc206490756"/>
      <w:r>
        <w:rPr>
          <w:rFonts w:hint="eastAsia" w:ascii="黑体" w:hAnsi="黑体" w:eastAsia="黑体" w:cs="黑体"/>
          <w:color w:val="000000" w:themeColor="text1"/>
          <w:szCs w:val="21"/>
          <w14:textFill>
            <w14:solidFill>
              <w14:schemeClr w14:val="tx1"/>
            </w14:solidFill>
          </w14:textFill>
        </w:rPr>
        <w:t>签约服务目标</w:t>
      </w:r>
      <w:bookmarkEnd w:id="9"/>
    </w:p>
    <w:p w14:paraId="0EB97D9D">
      <w:pPr>
        <w:pStyle w:val="19"/>
        <w:spacing w:before="156" w:beforeLines="50" w:after="156" w:afterLines="50"/>
        <w:ind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扩大签约覆盖面，常住人口签约率达到90%以上，重点人群签约达到95%以上。</w:t>
      </w:r>
    </w:p>
    <w:p w14:paraId="7D14B69D">
      <w:pPr>
        <w:pStyle w:val="19"/>
        <w:spacing w:before="156" w:beforeLines="50" w:after="156" w:afterLines="50"/>
        <w:ind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坚持预防为主、防治结合的工作原则，全面普及和传播中医药健康管理知识，加强人文关怀和生命教育，实现有效的健康管理，为居民提供中医药基本医疗、治未病、疾病康复、慢病管理等服务，提高群众对中医药服务的知晓率和满意度。</w:t>
      </w:r>
    </w:p>
    <w:p w14:paraId="1EAEA949">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10" w:name="_Toc206490757"/>
      <w:r>
        <w:rPr>
          <w:rFonts w:hint="eastAsia" w:ascii="黑体" w:hAnsi="黑体" w:eastAsia="黑体" w:cs="黑体"/>
          <w:color w:val="000000" w:themeColor="text1"/>
          <w:szCs w:val="21"/>
          <w14:textFill>
            <w14:solidFill>
              <w14:schemeClr w14:val="tx1"/>
            </w14:solidFill>
          </w14:textFill>
        </w:rPr>
        <w:t>基本要求</w:t>
      </w:r>
      <w:bookmarkEnd w:id="10"/>
    </w:p>
    <w:p w14:paraId="2DA11FED">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人员要求</w:t>
      </w:r>
    </w:p>
    <w:p w14:paraId="195288BD">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签约医生是家庭签约服务第一责任人，由已取得中医类别执业（助理）医师资格并注册的中医执业（助理）医师或基层全科医师担任；参与居家养老服务的护工人员需取得中医药类知识/技术培训结业证书。鼓励有条件的地区吸收中药师、健康管理师、心理咨询师等加入团队，团队人员需具备相关资质证书，由中医师负责团队成员的任务分配和管理。</w:t>
      </w:r>
    </w:p>
    <w:p w14:paraId="0E5472A3">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设备要求</w:t>
      </w:r>
    </w:p>
    <w:p w14:paraId="58BE7EA0">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具备基础的中西医诊疗设备；具备针灸、拔罐等多项中医药技术操作场地及设施。</w:t>
      </w:r>
    </w:p>
    <w:p w14:paraId="1F0CAECC">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信息平台要求</w:t>
      </w:r>
    </w:p>
    <w:p w14:paraId="449A8673">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搭建信息平台</w:t>
      </w:r>
    </w:p>
    <w:p w14:paraId="7724C869">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搭建中医师家庭签约服务平台的技术基础，能够实现全域居民签约、履约服务记录、体质辩识、中医治未病、智能辅助诊断、处方推荐、中药饮片供应中心（共享药房）、远程会诊、中医大数据分析服务等功能。</w:t>
      </w:r>
    </w:p>
    <w:p w14:paraId="59294DCB">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推进共享药房</w:t>
      </w:r>
    </w:p>
    <w:p w14:paraId="209A4315">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具有推广“共享药房”，实施免煎配送的能力。市县级中医院设立智慧药房，与乡村级医疗机构共享，进行中药处方调剂、点评、中药代煎、配送等中医药服务举措，将高品质中药药事服务送入基层百姓家。</w:t>
      </w:r>
    </w:p>
    <w:p w14:paraId="590C4A67">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将传统的“望、闻、问、切”等中医诊疗手段与现代信息技术和大数据运用深度融合，辨证施治更加科学有效，通过家庭签约服务平台，乡、村一级医师可在平台录入患者四诊信息，根据平台推荐处方进行加减后，由县级中医师通过平台审核，或通过远程会诊，由市县级中医师开具处方，通过展中药处方调剂、点评、中药代煎、配送等中医药服务举措，让群众方便看中医、放心用中药、暖心享服务，打通中医药服务“最后一公里”，将高品质中药药事服务送入基层百姓家。</w:t>
      </w:r>
    </w:p>
    <w:p w14:paraId="478F4016">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与物流公司合作，患者看病付费后即可离开医院，中药煎煮后配送上门，让群众方便就医，放心用药。</w:t>
      </w:r>
    </w:p>
    <w:p w14:paraId="5D9A70B2">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服务技术</w:t>
      </w:r>
    </w:p>
    <w:p w14:paraId="08E23B4D">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医师及团队能够为居民提供中医药基本医疗、治未病、疾病康复、慢病管理、重点人群管理、危急重症救治等服务。</w:t>
      </w:r>
    </w:p>
    <w:p w14:paraId="6A09BC42">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中医药基本医疗服务包括常见病和多发病的中西医诊疗、合理用药、就医路径指导和转诊预约等。治未病服务主要针对居民健康状况和需求，提供健康状态辨识及风险评估，制定健康干预方案，为居民量身打造个性化调养方案。疾病康复服务为居民提供疾病康复期的用药指导、居家康复治疗、康复训练和指导。慢病管理包括对各种慢病进行治疗干预、开具健康处方、跟踪随访等。重点人群管理包括对重点人群进行健康指导、疾病诊疗、心理咨询等。危急重症救治指对心梗、脑血管疾病等危急重症第一时间提供救治和帮助。</w:t>
      </w:r>
    </w:p>
    <w:p w14:paraId="12880E2A">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11" w:name="_Toc206490758"/>
      <w:r>
        <w:rPr>
          <w:rFonts w:eastAsia="宋体"/>
        </w:rPr>
        <w:drawing>
          <wp:anchor distT="0" distB="0" distL="114300" distR="114300" simplePos="0" relativeHeight="251665408" behindDoc="0" locked="0" layoutInCell="1" allowOverlap="1">
            <wp:simplePos x="0" y="0"/>
            <wp:positionH relativeFrom="column">
              <wp:posOffset>-76200</wp:posOffset>
            </wp:positionH>
            <wp:positionV relativeFrom="paragraph">
              <wp:posOffset>631825</wp:posOffset>
            </wp:positionV>
            <wp:extent cx="5233035" cy="2036445"/>
            <wp:effectExtent l="0" t="0" r="5715" b="1905"/>
            <wp:wrapSquare wrapText="bothSides"/>
            <wp:docPr id="3" name="图片 3" descr="流程图（横向）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横向）_01(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33035" cy="2036445"/>
                    </a:xfrm>
                    <a:prstGeom prst="rect">
                      <a:avLst/>
                    </a:prstGeom>
                    <a:noFill/>
                    <a:ln>
                      <a:noFill/>
                    </a:ln>
                  </pic:spPr>
                </pic:pic>
              </a:graphicData>
            </a:graphic>
          </wp:anchor>
        </w:drawing>
      </w:r>
      <w:r>
        <w:rPr>
          <w:rFonts w:hint="eastAsia" w:ascii="黑体" w:hAnsi="黑体" w:eastAsia="黑体" w:cs="黑体"/>
          <w:color w:val="000000" w:themeColor="text1"/>
          <w:szCs w:val="21"/>
          <w14:textFill>
            <w14:solidFill>
              <w14:schemeClr w14:val="tx1"/>
            </w14:solidFill>
          </w14:textFill>
        </w:rPr>
        <w:t>签约服务流程</w:t>
      </w:r>
      <w:bookmarkEnd w:id="11"/>
    </w:p>
    <w:p w14:paraId="35C68CA2">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12" w:name="_Toc206490759"/>
      <w:bookmarkEnd w:id="12"/>
      <w:bookmarkStart w:id="13" w:name="_Toc206490454"/>
      <w:bookmarkEnd w:id="13"/>
      <w:bookmarkStart w:id="14" w:name="_Toc206490760"/>
      <w:r>
        <w:rPr>
          <w:rFonts w:hint="eastAsia" w:ascii="黑体" w:hAnsi="黑体" w:eastAsia="黑体" w:cs="黑体"/>
          <w:color w:val="000000" w:themeColor="text1"/>
          <w:szCs w:val="21"/>
          <w14:textFill>
            <w14:solidFill>
              <w14:schemeClr w14:val="tx1"/>
            </w14:solidFill>
          </w14:textFill>
        </w:rPr>
        <w:t>主要内容</w:t>
      </w:r>
      <w:bookmarkEnd w:id="14"/>
    </w:p>
    <w:p w14:paraId="1D0DE072">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签约方式</w:t>
      </w:r>
    </w:p>
    <w:p w14:paraId="386834BB">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中医师可以个人为签约主体，提供家庭签约服务。可以通过组建签约服务团队提供家庭签约服务。鼓励有条件的地区吸收中药师、健康管理师、心理咨询师、护工等加入团队，中医师负责团队成员的任务分配和管理。二级以上中医医院对辖区家庭签约中医师提供技术支持和业务指导。</w:t>
      </w:r>
    </w:p>
    <w:p w14:paraId="10BBB012">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以县区为单位整体推进，市/县+乡+村三级中医师和基层全科医师组建签约团队，与辖区居民签订服务协议。</w:t>
      </w:r>
    </w:p>
    <w:p w14:paraId="481B1C61">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上门签约</w:t>
      </w:r>
    </w:p>
    <w:p w14:paraId="0B5E569E">
      <w:pPr>
        <w:pStyle w:val="19"/>
        <w:numPr>
          <w:ilvl w:val="0"/>
          <w:numId w:val="0"/>
        </w:numPr>
        <w:spacing w:before="0" w:beforeLines="-2147483648"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签约中医师或团队进村入户与居民签约。</w:t>
      </w:r>
    </w:p>
    <w:p w14:paraId="45E9846B">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集中签约</w:t>
      </w:r>
    </w:p>
    <w:p w14:paraId="3D2DA817">
      <w:pPr>
        <w:pStyle w:val="19"/>
        <w:numPr>
          <w:ilvl w:val="0"/>
          <w:numId w:val="0"/>
        </w:numPr>
        <w:spacing w:before="0" w:beforeLines="-2147483648"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通过组织健康宣教、义诊等方式，集中与辖区居民签约。</w:t>
      </w:r>
    </w:p>
    <w:p w14:paraId="16F63FE6">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诊间签约</w:t>
      </w:r>
    </w:p>
    <w:p w14:paraId="1B965924">
      <w:pPr>
        <w:pStyle w:val="19"/>
        <w:numPr>
          <w:ilvl w:val="0"/>
          <w:numId w:val="0"/>
        </w:numPr>
        <w:spacing w:before="0" w:beforeLines="-2147483648"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签约中医师或团队在日常医疗服务工作中与居民签约。</w:t>
      </w:r>
    </w:p>
    <w:p w14:paraId="1082F909">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平台签约</w:t>
      </w:r>
    </w:p>
    <w:p w14:paraId="71E68B4C">
      <w:pPr>
        <w:pStyle w:val="19"/>
        <w:numPr>
          <w:ilvl w:val="0"/>
          <w:numId w:val="0"/>
        </w:numPr>
        <w:spacing w:before="0" w:beforeLines="-2147483648"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通过万名中医师家庭签约服务平台与居民签约。</w:t>
      </w:r>
    </w:p>
    <w:p w14:paraId="347ADEEB">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签约内容</w:t>
      </w:r>
    </w:p>
    <w:p w14:paraId="68C69E08">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建立签约机制</w:t>
      </w:r>
    </w:p>
    <w:p w14:paraId="26A98FBF">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签约医师与签约居民建立“双向沟通、即时联系、预约诊疗、定期回访、常态巡诊”等签约机制。签约医师可根据服务居民需求和工作实际，对服务关系稳定的家庭签约中医师和居民签订长期服务协议。</w:t>
      </w:r>
    </w:p>
    <w:p w14:paraId="51FC4902">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签订服务内容</w:t>
      </w:r>
    </w:p>
    <w:p w14:paraId="5689BB86">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签约医生为居民提供中医药基本医疗、治未病、疾病康复、慢病管理、重点人群管理、危急重症救治等服务。</w:t>
      </w:r>
    </w:p>
    <w:p w14:paraId="7CEBEFCC">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提供履约服务</w:t>
      </w:r>
    </w:p>
    <w:p w14:paraId="025B6970">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签约医师及团队为健康人群每年至少一次、重点人群每月一次履约服务。</w:t>
      </w:r>
    </w:p>
    <w:p w14:paraId="07E898C6">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签订服务协议</w:t>
      </w:r>
    </w:p>
    <w:p w14:paraId="0139A86C">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居民或家庭自愿选择1名中医师或1个团队签订服务协议，明确签约服务内容、方式、期限和双方的责任、权利、义务及其他有关事项。签约周期原则上为1年，期满后居民可续约或选择其他中医师或团队签约。</w:t>
      </w:r>
    </w:p>
    <w:p w14:paraId="1BFEDC18">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鼓励和引导居民就近、长周期签约，以享受更便捷、稳定、有效的健康管理服务。各地区根据服务半径和服务人数，合理划分签约服务责任区域。</w:t>
      </w:r>
    </w:p>
    <w:p w14:paraId="1B4E3707">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服务方式</w:t>
      </w:r>
    </w:p>
    <w:p w14:paraId="22A1C95F">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签约居民提供全程服务、上门服务、错时服务、预约服务等多种形式的服务。</w:t>
      </w:r>
    </w:p>
    <w:p w14:paraId="33B6F7B9">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服务内容</w:t>
      </w:r>
    </w:p>
    <w:p w14:paraId="0D4A4ADD">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基本服务</w:t>
      </w:r>
    </w:p>
    <w:p w14:paraId="7626C986">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家庭签约中医师或团队为居民提供中医药基本医疗、治未病、疾病康复、慢病管理、重点人群管理、危急重症救治等服务。</w:t>
      </w:r>
    </w:p>
    <w:p w14:paraId="490E1BF1">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——中医药基本医疗服务包括常见病和多发病的中西医诊疗、合理用药、就医路径指导和转诊预约等。</w:t>
      </w:r>
    </w:p>
    <w:p w14:paraId="3D52D154">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——治未病服务主要针对居民健康状况和需求，提供健康状态辨识及风险评估，制定健康干预方案，为居民量身打造个性化调养方案。</w:t>
      </w:r>
    </w:p>
    <w:p w14:paraId="2D35691F">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——疾病康复服务为居民提供疾病康复期的用药指导、居家康复治疗、康复训练和指导。</w:t>
      </w:r>
    </w:p>
    <w:p w14:paraId="750E896C">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慢病管理包括对各种慢病进行治疗干预、开具健康处方、跟踪随访等。在签约服务时将心脑血管、糖尿病、高血压、颈肩腰腿痛等慢病患者作为重点人群管理，对慢病患者进行辨证施调、辨证施护，为其开展个性化健康干预，开具健康处方，通过疾病的早期防治以减轻病情的发展，降低慢性病患者发病概率，提高生活质量。加强对慢病患者的中医药健康知识科普和健康生活方式、行为模式宣教，加强慢病患者对自我健康状况的监测和管理。</w:t>
      </w:r>
    </w:p>
    <w:p w14:paraId="49BAF928">
      <w:pPr>
        <w:pStyle w:val="19"/>
        <w:spacing w:before="0" w:beforeLines="-2147483648" w:after="0" w:afterLines="-2147483648"/>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——重点人群管理包括对重点人群进行健康指导、疾病诊疗、心理咨询等。</w:t>
      </w:r>
    </w:p>
    <w:p w14:paraId="24F5565D">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bCs w:val="0"/>
          <w:szCs w:val="21"/>
        </w:rPr>
        <w:t>——危急重症救治指对心梗、脑血管疾病等危急重症第一时间提供救治和帮助。</w:t>
      </w:r>
    </w:p>
    <w:p w14:paraId="72FEF7A9">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居家养老服务</w:t>
      </w:r>
    </w:p>
    <w:p w14:paraId="3A701258">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对老年居民开展护工居家养老服务，包括疾病护理、预防调护、保健功法锻炼、中医药特色技术操作等。</w:t>
      </w:r>
    </w:p>
    <w:p w14:paraId="787C8EDC">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加强对康养照护从业人员（简称“护工”）进行中医药知识技能培训，提升中医药服务能力。对护工进行老年人中医护理知识培训，结合老年人的特点和护理需求，进一步加强对老年人常见病、多发病的护理知识、中医药特色护理方法、预防调护方法、生活起居注意事项、心理疏导技巧等方面的培训，同时加强培训必要的急救技能。对护工进行中医药适宜技术培训，进一步加强艾灸、推拿、刮痧、拔罐等疗效佳、操作简单的非侵入性中医药适宜技术的培训，以理论学习与实训相结合的方式，提高康养照护技能人才的中医特色技术水平。</w:t>
      </w:r>
    </w:p>
    <w:p w14:paraId="5D818668">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食疗药膳服务</w:t>
      </w:r>
    </w:p>
    <w:p w14:paraId="4D0E209E">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各级中医医院发挥中医药特色优势，将中医药传统文化融合食疗药膳，结合医院营养餐厅现状，因地制宜，设置独立食疗药膳窗口，公示相关功效和价格。对患者进行体质辨识，给予膳食营养指导，根据患者体质、健康状况、所患疾病等因证、因人，开展合理食疗药膳服务，为不同人群提供营养药膳及配餐膳食，制定相应制度、规范，保障食品安全，确保为患者提供个性化、安全化、科学化、优质化的食疗药膳服务。</w:t>
      </w:r>
    </w:p>
    <w:p w14:paraId="32062943">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在签约服务中，中医师将食疗药膳服务纳入居民健康管理中，根据居民情况因人制宜，制定健康科普、食疗药膳指导方案，促进居民健康生活方式、行为习惯养成。市、县级中医院要发挥带动作用，做好对辖区签约中医师食疗药膳相关知识培训，指导做好推广服务工作。</w:t>
      </w:r>
    </w:p>
    <w:p w14:paraId="3169BD57">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基本公共卫生服务</w:t>
      </w:r>
    </w:p>
    <w:p w14:paraId="40918FD1">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将基本公共卫生服务和中医师家庭签约服务相结合。</w:t>
      </w:r>
    </w:p>
    <w:p w14:paraId="2B471D45">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在基本公共卫生服务中增加中医药服务内容及经费，充分发挥中医药在疾病预防、养生保健、情志调摄、慢性病管理、改善症状、提高生活质量、防治并发症等方面的优势。</w:t>
      </w:r>
    </w:p>
    <w:p w14:paraId="623A9976">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在原基本公共卫生服务项目健康档案、健康教育、0-6岁儿童健康管理、孕产妇健康管理、老年人健康管理、高血压患者健康管理、糖尿病患者健康管理、传染病和突发公共卫生事件处理8个项目中明确中医药服务内容和占比。</w:t>
      </w:r>
    </w:p>
    <w:p w14:paraId="7D1E22F3">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支持签约服务类别中增加中医师家庭签约服务。力争“一老一少一残疾一优抚一低保”等重点人群全覆盖。</w:t>
      </w:r>
    </w:p>
    <w:p w14:paraId="082FB160">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科普宣传</w:t>
      </w:r>
    </w:p>
    <w:p w14:paraId="28B47556">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加强科普宣传、健康行为模式宣教。</w:t>
      </w:r>
    </w:p>
    <w:p w14:paraId="2E062655">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通过签约中医师加强对签约居民的日常中医药文化科普宣传，普及中医药防病治病常识，包括膳食调理、起居调养、养生功法等；</w:t>
      </w:r>
    </w:p>
    <w:p w14:paraId="3CF9464C">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举办“中医大讲堂”、“中医药文化夜市”，面对面进行健康教育宣讲；</w:t>
      </w:r>
    </w:p>
    <w:p w14:paraId="420AAD06">
      <w:pPr>
        <w:pStyle w:val="19"/>
        <w:spacing w:before="0" w:beforeLines="-2147483648" w:after="0" w:afterLines="-2147483648"/>
        <w:rPr>
          <w:rFonts w:hint="eastAsia" w:ascii="Times New Roman" w:hAnsi="Times New Roman" w:eastAsia="宋体" w:cs="Times New Roman"/>
          <w:szCs w:val="21"/>
        </w:rPr>
      </w:pPr>
      <w:r>
        <w:rPr>
          <w:rFonts w:hint="eastAsia" w:ascii="Times New Roman" w:hAnsi="Times New Roman" w:eastAsia="宋体" w:cs="Times New Roman"/>
          <w:szCs w:val="21"/>
        </w:rPr>
        <w:t>在社区、乡村建设中医药知识角，通过科普宣传，使群众掌握正确的养生保健理念和方法，养成积极健康的生活方式，提升中医药健康素养和身心健康水平。</w:t>
      </w:r>
    </w:p>
    <w:p w14:paraId="2E9C89BC">
      <w:pPr>
        <w:pStyle w:val="19"/>
        <w:numPr>
          <w:ilvl w:val="0"/>
          <w:numId w:val="1"/>
        </w:numPr>
        <w:spacing w:before="312" w:beforeLines="100" w:after="312" w:afterLines="100" w:line="240" w:lineRule="auto"/>
        <w:ind w:firstLine="0" w:firstLineChars="0"/>
        <w:outlineLvl w:val="0"/>
        <w:rPr>
          <w:rFonts w:hint="eastAsia" w:ascii="黑体" w:hAnsi="黑体" w:eastAsia="黑体" w:cs="黑体"/>
          <w:color w:val="000000" w:themeColor="text1"/>
          <w:szCs w:val="21"/>
          <w14:textFill>
            <w14:solidFill>
              <w14:schemeClr w14:val="tx1"/>
            </w14:solidFill>
          </w14:textFill>
        </w:rPr>
      </w:pPr>
      <w:bookmarkStart w:id="15" w:name="_Toc206490761"/>
      <w:r>
        <w:rPr>
          <w:rFonts w:hint="eastAsia" w:ascii="黑体" w:hAnsi="黑体" w:eastAsia="黑体" w:cs="黑体"/>
          <w:color w:val="000000" w:themeColor="text1"/>
          <w:szCs w:val="21"/>
          <w14:textFill>
            <w14:solidFill>
              <w14:schemeClr w14:val="tx1"/>
            </w14:solidFill>
          </w14:textFill>
        </w:rPr>
        <w:t>签约服务质量控制</w:t>
      </w:r>
      <w:bookmarkEnd w:id="15"/>
    </w:p>
    <w:p w14:paraId="465CC0DF">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服务管理</w:t>
      </w:r>
    </w:p>
    <w:p w14:paraId="6F60011A">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制定绩效评价方案，每年市级考核一次，县（市、区）组织考核每年两次（半年和年终），签约中医师所在医疗机构考核每季度组织一次。组织管理、签约管理、履约管理、签约效果、创新发展等进行评价。</w:t>
      </w:r>
    </w:p>
    <w:p w14:paraId="51173755">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服务质量提升</w:t>
      </w:r>
    </w:p>
    <w:p w14:paraId="02B29F82">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加强对签约医师和签约流程的管理，定期对人员进行考核，对签约团队进行签约服务和业务能力等相关培训，提高服务管理水平和签约业务水平。</w:t>
      </w:r>
    </w:p>
    <w:p w14:paraId="199DF9B9">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开展中医药适宜技术遴选推广。每年选出多项针对某一种疾病或证的适宜技术，分批对中医师、西学中人员、基层全科医师、乡村医生等进行轮训。</w:t>
      </w:r>
    </w:p>
    <w:p w14:paraId="5C81EA3A">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服务反馈</w:t>
      </w:r>
    </w:p>
    <w:p w14:paraId="7F039081">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居民满意度调查</w:t>
      </w:r>
    </w:p>
    <w:p w14:paraId="46CB921C">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定期通过电话回访、问卷填写、上门访谈等形式，对签约对象开展满意度调查。</w:t>
      </w:r>
    </w:p>
    <w:p w14:paraId="0AB10FB8">
      <w:pPr>
        <w:pStyle w:val="19"/>
        <w:numPr>
          <w:ilvl w:val="2"/>
          <w:numId w:val="1"/>
        </w:numPr>
        <w:spacing w:before="0" w:beforeLines="-2147483648" w:after="0" w:afterLines="-2147483648"/>
        <w:ind w:firstLine="0" w:firstLineChars="0"/>
        <w:rPr>
          <w:rFonts w:hint="eastAsia" w:ascii="黑体" w:hAnsi="黑体" w:eastAsia="黑体"/>
          <w:szCs w:val="21"/>
        </w:rPr>
      </w:pPr>
      <w:r>
        <w:rPr>
          <w:rFonts w:hint="eastAsia" w:ascii="黑体" w:hAnsi="黑体" w:eastAsia="黑体"/>
          <w:szCs w:val="21"/>
        </w:rPr>
        <w:t>投诉</w:t>
      </w:r>
    </w:p>
    <w:p w14:paraId="45B4CDA0">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设置电话、邮箱、平台等投诉途径，畅通签约对象的反馈渠道，及时接收问题反馈，接受投诉及建议。</w:t>
      </w:r>
    </w:p>
    <w:p w14:paraId="44414D6A">
      <w:pPr>
        <w:pStyle w:val="19"/>
        <w:numPr>
          <w:ilvl w:val="1"/>
          <w:numId w:val="1"/>
        </w:numPr>
        <w:spacing w:before="156" w:beforeLines="50" w:after="156" w:afterLines="50"/>
        <w:ind w:firstLine="0" w:firstLineChars="0"/>
        <w:outlineLvl w:val="9"/>
        <w:rPr>
          <w:rFonts w:hint="eastAsia" w:ascii="黑体" w:hAnsi="黑体" w:eastAsia="黑体" w:cs="黑体"/>
          <w:szCs w:val="21"/>
        </w:rPr>
      </w:pPr>
      <w:r>
        <w:rPr>
          <w:rFonts w:hint="eastAsia" w:ascii="黑体" w:hAnsi="黑体" w:eastAsia="黑体" w:cs="黑体"/>
          <w:szCs w:val="21"/>
        </w:rPr>
        <w:t>监督与改进</w:t>
      </w:r>
    </w:p>
    <w:p w14:paraId="1843B0A1">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对中医师家庭签约服务质量进行监督，监督形式包括定期开展评价、满意度调查、电话回访、社会监督等。</w:t>
      </w:r>
    </w:p>
    <w:p w14:paraId="77DBD126">
      <w:pPr>
        <w:pStyle w:val="19"/>
        <w:spacing w:before="156" w:beforeLines="50" w:after="156" w:afterLines="50"/>
        <w:ind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建立中医师家庭签约服务改进工作机制，根据服务评价结果、绩效评价结果、满意度调查、回访意见反馈等制定改进措施，提高服务质量和服务效果。</w:t>
      </w:r>
    </w:p>
    <w:p w14:paraId="46F395A4">
      <w:pPr>
        <w:pStyle w:val="19"/>
        <w:numPr>
          <w:ilvl w:val="1"/>
          <w:numId w:val="1"/>
        </w:numPr>
        <w:spacing w:before="156" w:beforeLines="50" w:after="156" w:afterLines="50"/>
        <w:ind w:firstLineChars="0"/>
        <w:rPr>
          <w:rFonts w:hint="eastAsia" w:ascii="宋体" w:hAnsi="宋体" w:eastAsia="宋体"/>
          <w:szCs w:val="21"/>
        </w:rPr>
        <w:sectPr>
          <w:footerReference r:id="rId14" w:type="default"/>
          <w:headerReference r:id="rId13" w:type="even"/>
          <w:footerReference r:id="rId15" w:type="even"/>
          <w:pgSz w:w="11906" w:h="16838"/>
          <w:pgMar w:top="1417" w:right="1134" w:bottom="1134" w:left="1417" w:header="851" w:footer="992" w:gutter="0"/>
          <w:pgNumType w:start="1"/>
          <w:cols w:space="0" w:num="1"/>
          <w:titlePg/>
          <w:rtlGutter w:val="0"/>
          <w:docGrid w:type="lines" w:linePitch="312" w:charSpace="0"/>
        </w:sectPr>
      </w:pPr>
    </w:p>
    <w:p w14:paraId="09C091B8">
      <w:pPr>
        <w:pStyle w:val="48"/>
        <w:ind w:firstLine="420"/>
        <w:jc w:val="center"/>
        <w:outlineLvl w:val="0"/>
        <w:rPr>
          <w:rFonts w:ascii="Times New Roman" w:hAnsi="Times New Roman" w:eastAsia="黑体" w:cs="Times New Roman"/>
          <w:szCs w:val="21"/>
        </w:rPr>
      </w:pPr>
      <w:bookmarkStart w:id="16" w:name="_Toc206490762"/>
      <w:r>
        <w:rPr>
          <w:rFonts w:ascii="Times New Roman" w:hAnsi="Times New Roman" w:eastAsia="黑体" w:cs="Times New Roman"/>
          <w:szCs w:val="21"/>
        </w:rPr>
        <w:t>附 录 A</w:t>
      </w:r>
      <w:bookmarkEnd w:id="16"/>
    </w:p>
    <w:p w14:paraId="46435C7A">
      <w:pPr>
        <w:pStyle w:val="48"/>
        <w:ind w:firstLine="420"/>
        <w:jc w:val="center"/>
        <w:outlineLvl w:val="0"/>
        <w:rPr>
          <w:rFonts w:ascii="Times New Roman" w:hAnsi="Times New Roman" w:eastAsia="黑体" w:cs="Times New Roman"/>
          <w:szCs w:val="21"/>
        </w:rPr>
      </w:pPr>
      <w:bookmarkStart w:id="17" w:name="_Toc206490763"/>
      <w:r>
        <w:rPr>
          <w:rFonts w:ascii="Times New Roman" w:hAnsi="Times New Roman" w:eastAsia="黑体" w:cs="Times New Roman"/>
          <w:szCs w:val="21"/>
        </w:rPr>
        <w:t>（规范性）</w:t>
      </w:r>
      <w:bookmarkEnd w:id="17"/>
    </w:p>
    <w:p w14:paraId="3BA2EADA">
      <w:pPr>
        <w:pStyle w:val="48"/>
        <w:ind w:firstLine="420"/>
        <w:jc w:val="center"/>
        <w:outlineLvl w:val="0"/>
        <w:rPr>
          <w:rFonts w:ascii="Times New Roman" w:hAnsi="Times New Roman" w:eastAsia="黑体" w:cs="Times New Roman"/>
          <w:sz w:val="21"/>
          <w:szCs w:val="21"/>
        </w:rPr>
      </w:pPr>
      <w:bookmarkStart w:id="18" w:name="_Toc206490764"/>
      <w:r>
        <w:rPr>
          <w:rFonts w:ascii="Times New Roman" w:hAnsi="Times New Roman" w:eastAsia="黑体" w:cs="Times New Roman"/>
          <w:color w:val="000000"/>
          <w:sz w:val="21"/>
          <w:szCs w:val="21"/>
        </w:rPr>
        <w:t>南阳市万名中医师家庭签约服务绩效评价评分表</w:t>
      </w:r>
      <w:bookmarkEnd w:id="18"/>
    </w:p>
    <w:tbl>
      <w:tblPr>
        <w:tblStyle w:val="13"/>
        <w:tblpPr w:leftFromText="180" w:rightFromText="180" w:vertAnchor="text" w:horzAnchor="page" w:tblpX="607" w:tblpY="1215"/>
        <w:tblOverlap w:val="never"/>
        <w:tblW w:w="1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76"/>
        <w:gridCol w:w="709"/>
        <w:gridCol w:w="2342"/>
        <w:gridCol w:w="5409"/>
        <w:gridCol w:w="728"/>
        <w:gridCol w:w="1604"/>
        <w:gridCol w:w="850"/>
        <w:gridCol w:w="850"/>
        <w:gridCol w:w="772"/>
      </w:tblGrid>
      <w:tr w14:paraId="35C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775" w:type="dxa"/>
            <w:tcBorders>
              <w:top w:val="single" w:color="auto" w:sz="4" w:space="0"/>
              <w:left w:val="single" w:color="auto" w:sz="4" w:space="0"/>
              <w:bottom w:val="single" w:color="auto" w:sz="4" w:space="0"/>
              <w:right w:val="single" w:color="auto" w:sz="4" w:space="0"/>
              <w:tl2br w:val="nil"/>
              <w:tr2bl w:val="nil"/>
            </w:tcBorders>
            <w:vAlign w:val="center"/>
          </w:tcPr>
          <w:p w14:paraId="74189112">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一级指标</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6D82649C">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二级指标</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E5AA54A">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分值</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3683E206">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评价内容</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C82C75C">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评分标准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402703B1">
            <w:pPr>
              <w:widowControl/>
              <w:jc w:val="center"/>
              <w:textAlignment w:val="center"/>
              <w:rPr>
                <w:rFonts w:hint="eastAsia" w:ascii="Times New Roman" w:hAnsi="Times New Roman" w:eastAsia="黑体" w:cs="Times New Roman"/>
                <w:color w:val="000000"/>
                <w:kern w:val="0"/>
                <w:szCs w:val="21"/>
                <w:lang w:bidi="ar"/>
              </w:rPr>
            </w:pPr>
            <w:r>
              <w:rPr>
                <w:rFonts w:hint="eastAsia" w:ascii="Times New Roman" w:hAnsi="Times New Roman" w:eastAsia="黑体" w:cs="Times New Roman"/>
                <w:color w:val="000000"/>
                <w:kern w:val="0"/>
                <w:szCs w:val="21"/>
                <w:lang w:bidi="ar"/>
              </w:rPr>
              <w:t>评价对象</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3C56D1A">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评价方法</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7F74315">
            <w:pPr>
              <w:widowControl/>
              <w:jc w:val="center"/>
              <w:textAlignment w:val="center"/>
              <w:rPr>
                <w:rFonts w:hint="eastAsia" w:ascii="Times New Roman" w:hAnsi="Times New Roman" w:eastAsia="黑体" w:cs="Times New Roman"/>
                <w:color w:val="000000"/>
                <w:kern w:val="0"/>
                <w:szCs w:val="21"/>
                <w:lang w:bidi="ar"/>
              </w:rPr>
            </w:pPr>
            <w:r>
              <w:rPr>
                <w:rFonts w:hint="eastAsia" w:ascii="Times New Roman" w:hAnsi="Times New Roman" w:eastAsia="黑体" w:cs="Times New Roman"/>
                <w:color w:val="000000"/>
                <w:kern w:val="0"/>
                <w:szCs w:val="21"/>
                <w:lang w:bidi="ar"/>
              </w:rPr>
              <w:t>现场评价记录</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3D53ECB">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得分</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6D6B422">
            <w:pPr>
              <w:widowControl/>
              <w:jc w:val="center"/>
              <w:textAlignment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kern w:val="0"/>
                <w:szCs w:val="21"/>
                <w:lang w:bidi="ar"/>
              </w:rPr>
              <w:t>扣分原因</w:t>
            </w:r>
          </w:p>
        </w:tc>
      </w:tr>
      <w:tr w14:paraId="3886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9AABE0">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组织管理</w:t>
            </w:r>
          </w:p>
          <w:p w14:paraId="53C05610">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（20）</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14B28BAB">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制度建设</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0A4C928">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6CC5D98C">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中医师家庭签约服务领导组织构架、工作计划及工作推进情况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D37BDC7">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1.查看是否成立中医师家庭签约服务组织领导小组；</w:t>
            </w:r>
          </w:p>
          <w:p w14:paraId="5E78671D">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2.查看是否制定实施方案；</w:t>
            </w:r>
          </w:p>
          <w:p w14:paraId="4C18AC0F">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3.查看是否有年度工作计划和总结；</w:t>
            </w:r>
          </w:p>
          <w:p w14:paraId="698DA432">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4.查看是否有研究工作的会议记录及具体推进措施等。以上4项每缺少一项扣0.5分。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9E10FD1">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4A28B638">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6E34E66">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943608B">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8DB84E6">
            <w:pPr>
              <w:rPr>
                <w:rFonts w:hint="eastAsia" w:ascii="Times New Roman" w:hAnsi="Times New Roman" w:eastAsia="宋体" w:cs="Times New Roman"/>
                <w:color w:val="000000"/>
                <w:szCs w:val="21"/>
              </w:rPr>
            </w:pPr>
          </w:p>
        </w:tc>
      </w:tr>
      <w:tr w14:paraId="0CC9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CEAE2D">
            <w:pPr>
              <w:jc w:val="center"/>
              <w:rPr>
                <w:rFonts w:hint="eastAsia" w:ascii="Times New Roman" w:hAnsi="Times New Roman" w:eastAsia="宋体" w:cs="Times New Roman"/>
                <w:color w:val="000000"/>
                <w:szCs w:val="21"/>
              </w:rPr>
            </w:pP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2FCB9BC">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签约团队管理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46E1C6B">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F44F46A">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签约团队组织管理及职责分工</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63613B2E">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1.查看各级签约机构是否有明确的中医师团队长名单，职责明确；</w:t>
            </w:r>
          </w:p>
          <w:p w14:paraId="24284827">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2.各级签约机构是否制定中医师团队管理制度、年度工作目标、服务流程和操作规范等内容。每少一项扣0.5分。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3864BDFC">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0BD940C5">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8967F56">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09FE1CE">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0A67455">
            <w:pPr>
              <w:rPr>
                <w:rFonts w:hint="eastAsia" w:ascii="Times New Roman" w:hAnsi="Times New Roman" w:eastAsia="宋体" w:cs="Times New Roman"/>
                <w:color w:val="000000"/>
                <w:szCs w:val="21"/>
              </w:rPr>
            </w:pPr>
          </w:p>
        </w:tc>
      </w:tr>
      <w:tr w14:paraId="0A61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8738AD">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39617D5">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01D1371">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9</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267FBC1B">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县级中医院、乡镇卫生院分别组织对中医师开展慢病管理、急危重症救治、治未病及疾病康复、中医药适宜技术等操作规范和技能培训情况，签约中医师所掌握服务技能情况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0D601A93">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1.查看县级中医院对乡镇卫生院（社区服务中心）进行中医药服务能力的指导，每年围绕慢性病管理、急危重症救治、治未病及疾病康复、中医药适宜技术等培训不少于4次，每少一次扣1分，共4分；</w:t>
            </w:r>
          </w:p>
          <w:p w14:paraId="3AE826CF">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2.乡镇卫生院每年对村卫生所进行至少4次医药服务能力培训，每少一次扣0.5分，共2分；</w:t>
            </w:r>
          </w:p>
          <w:p w14:paraId="7725AFE2">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3.现场评价签约中医师均掌握6类10项以上或30种以上治疗疾病的中医药适宜技术方法。少于30种扣1分，少于20种扣2分，少于10种不得分，共3分。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BD96563">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5E138392">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w:t>
            </w:r>
          </w:p>
          <w:p w14:paraId="2DAB5494">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每机构现场抽查2名中医师评价</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0D871C2">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A90D799">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1ABE44C">
            <w:pPr>
              <w:rPr>
                <w:rFonts w:hint="eastAsia" w:ascii="Times New Roman" w:hAnsi="Times New Roman" w:eastAsia="宋体" w:cs="Times New Roman"/>
                <w:color w:val="000000"/>
                <w:szCs w:val="21"/>
              </w:rPr>
            </w:pPr>
          </w:p>
        </w:tc>
      </w:tr>
      <w:tr w14:paraId="2E9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B6766EF">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E4DCC7">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EF6A52A">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72B4B98">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宣传万名中医师家庭签约服务情况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32FFF27E">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查看文件、资料和活动记录等，采用传单、条幅、讲座、电子屏、小视频、电视、广播等多种形式宣传中医师家庭签约服务，至少采用4种方法开展宣传活动，每少一种扣0.5分，共2分。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2006914F">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7014CC1">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7EA65C6">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64F38B8">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83FB1E1">
            <w:pPr>
              <w:rPr>
                <w:rFonts w:hint="eastAsia" w:ascii="Times New Roman" w:hAnsi="Times New Roman" w:eastAsia="宋体" w:cs="Times New Roman"/>
                <w:color w:val="000000"/>
                <w:szCs w:val="21"/>
              </w:rPr>
            </w:pPr>
          </w:p>
        </w:tc>
      </w:tr>
      <w:tr w14:paraId="289B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775" w:type="dxa"/>
            <w:tcBorders>
              <w:top w:val="single" w:color="auto" w:sz="4" w:space="0"/>
              <w:left w:val="single" w:color="auto" w:sz="4" w:space="0"/>
              <w:bottom w:val="single" w:color="auto" w:sz="4" w:space="0"/>
              <w:right w:val="single" w:color="auto" w:sz="4" w:space="0"/>
              <w:tl2br w:val="nil"/>
              <w:tr2bl w:val="nil"/>
            </w:tcBorders>
            <w:vAlign w:val="center"/>
          </w:tcPr>
          <w:p w14:paraId="0EA25AB9">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组织管理</w:t>
            </w:r>
          </w:p>
          <w:p w14:paraId="057F2821">
            <w:pPr>
              <w:jc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（20）</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7A3320F3">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绩效管理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1683F581">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5</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F6E06A4">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中医师家庭签约服务评价体系建设</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1B01A4F0">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1.查看资料，是否制定本地中医师家庭签约服务绩效评价方案，并按照方案每年开展两次评价。无资料扣1分，每年两次评价，每少开展一次扣1分，共3分。</w:t>
            </w:r>
          </w:p>
          <w:p w14:paraId="2921391F">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2.组织开展绩效评价工作获得绩效评价相关数据结果并及时通报、上报市中医药发展局，将评价结果与各类发放资金挂钩。未开展绩效评价和不能按时上报结果的各扣1分，共2分。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A991AFF">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5EADA671">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6D715FE">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4737C0D">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D6AE334">
            <w:pPr>
              <w:rPr>
                <w:rFonts w:hint="eastAsia" w:ascii="Times New Roman" w:hAnsi="Times New Roman" w:eastAsia="宋体" w:cs="Times New Roman"/>
                <w:color w:val="000000"/>
                <w:szCs w:val="21"/>
              </w:rPr>
            </w:pPr>
          </w:p>
        </w:tc>
      </w:tr>
      <w:tr w14:paraId="2CF2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F19A269">
            <w:pPr>
              <w:widowControl/>
              <w:spacing w:line="280" w:lineRule="exact"/>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签约管理</w:t>
            </w:r>
          </w:p>
          <w:p w14:paraId="75787334">
            <w:pPr>
              <w:widowControl/>
              <w:spacing w:line="280" w:lineRule="exact"/>
              <w:jc w:val="center"/>
              <w:textAlignment w:val="center"/>
              <w:rPr>
                <w:rFonts w:hint="eastAsia" w:ascii="Times New Roman" w:hAnsi="Times New Roman" w:eastAsia="宋体" w:cs="Times New Roman"/>
                <w:color w:val="000000"/>
                <w:szCs w:val="21"/>
                <w:lang w:eastAsia="en-US"/>
              </w:rPr>
            </w:pPr>
            <w:r>
              <w:rPr>
                <w:rFonts w:hint="eastAsia" w:ascii="Times New Roman" w:hAnsi="Times New Roman" w:eastAsia="宋体" w:cs="Times New Roman"/>
                <w:color w:val="000000"/>
                <w:kern w:val="0"/>
                <w:szCs w:val="21"/>
                <w:lang w:bidi="ar"/>
              </w:rPr>
              <w:t>（12）</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8E882A9">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签约覆盖率</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AE94F1A">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noWrap/>
            <w:vAlign w:val="center"/>
          </w:tcPr>
          <w:p w14:paraId="638CA41C">
            <w:pPr>
              <w:widowControl/>
              <w:spacing w:line="280" w:lineRule="exact"/>
              <w:jc w:val="lef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常住人口覆盖率。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2580B631">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调查服务辖区常住人口中医师签约服务签约情况。计算方法为中医师签约人口数/辖区常住人口数*100%，达到90%给满分，每降10%扣1分，共3分扣完为止。</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55DA3E7B">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09BD5DE">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5686FA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72912B5E">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639A817">
            <w:pPr>
              <w:rPr>
                <w:rFonts w:hint="eastAsia" w:ascii="Times New Roman" w:hAnsi="Times New Roman" w:eastAsia="宋体" w:cs="Times New Roman"/>
                <w:color w:val="000000"/>
                <w:szCs w:val="21"/>
              </w:rPr>
            </w:pPr>
          </w:p>
        </w:tc>
      </w:tr>
      <w:tr w14:paraId="7B4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83EBA1">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F37641">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70C4B44">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noWrap/>
            <w:vAlign w:val="center"/>
          </w:tcPr>
          <w:p w14:paraId="5DB05D9F">
            <w:pPr>
              <w:widowControl/>
              <w:spacing w:line="280" w:lineRule="exact"/>
              <w:jc w:val="lef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重点人群覆盖率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2048882">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调查服务辖区重点人群中医师签约服务签约情况。计算方法为中医师签约重点人群人口数/辖区重点人群人口数*100%，达到100%给满分，每降10%扣1分，共3分，扣完为止。</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12F5C4B6">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798839A7">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查看县区提供数据</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7A18BD11">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21A29B1">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0BE3029">
            <w:pPr>
              <w:rPr>
                <w:rFonts w:hint="eastAsia" w:ascii="Times New Roman" w:hAnsi="Times New Roman" w:eastAsia="宋体" w:cs="Times New Roman"/>
                <w:color w:val="000000"/>
                <w:szCs w:val="21"/>
              </w:rPr>
            </w:pPr>
          </w:p>
        </w:tc>
      </w:tr>
      <w:tr w14:paraId="437E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1C98C0">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1CFC9A">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0138DB8">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930835F">
            <w:pPr>
              <w:widowControl/>
              <w:spacing w:line="280" w:lineRule="exact"/>
              <w:jc w:val="lef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协议真实性和完整度</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252C777B">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1.查看协议书真实性，数据是否真实可信，随机抽取10份，发现3份不真实，本项得分为0；</w:t>
            </w:r>
          </w:p>
          <w:p w14:paraId="35F07202">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2.查看协议书完整性，有签约居民和家庭中医师签名（代签无效）、服务台账记录完整，如发现一项不完整，视为该份协议不完整，随机抽取10份，发现3份不完整的本项得0分。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64529390">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4EF3D72D">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随机抽取10份签约档案</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7B92A758">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42ADE8B">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BA852D6">
            <w:pPr>
              <w:rPr>
                <w:rFonts w:hint="eastAsia" w:ascii="Times New Roman" w:hAnsi="Times New Roman" w:eastAsia="宋体" w:cs="Times New Roman"/>
                <w:color w:val="000000"/>
                <w:szCs w:val="21"/>
              </w:rPr>
            </w:pPr>
          </w:p>
        </w:tc>
      </w:tr>
      <w:tr w14:paraId="67D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FEBFC95">
            <w:pPr>
              <w:widowControl/>
              <w:spacing w:line="280" w:lineRule="exact"/>
              <w:jc w:val="center"/>
              <w:textAlignment w:val="center"/>
              <w:rPr>
                <w:rFonts w:hint="eastAsia" w:ascii="Times New Roman" w:hAnsi="Times New Roman" w:eastAsia="宋体" w:cs="Times New Roman"/>
                <w:color w:val="000000"/>
                <w:szCs w:val="21"/>
                <w:lang w:eastAsia="en-US"/>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4B45CD39">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规范化建档率</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FDEEF87">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3697F67E">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电子健康档案覆盖率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ED8218D">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查看辖区签约居民中电子健康档案和签订服务协议的居民人口数的比例，电子健康档案覆盖率=平台电子健康档案人数/签约服务人数×100%，比例小于90%扣1分，少于80%扣2分，低于70%不得分，共3分。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448C2000">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4EB46A8E">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查阅资料和查看数据平台</w:t>
            </w:r>
          </w:p>
          <w:p w14:paraId="7A689928">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抽取10份签约档案</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9C88FF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E48AB83">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4E888D3">
            <w:pPr>
              <w:rPr>
                <w:rFonts w:hint="eastAsia" w:ascii="Times New Roman" w:hAnsi="Times New Roman" w:eastAsia="宋体" w:cs="Times New Roman"/>
                <w:color w:val="000000"/>
                <w:szCs w:val="21"/>
              </w:rPr>
            </w:pPr>
          </w:p>
        </w:tc>
      </w:tr>
      <w:tr w14:paraId="6375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DE7CEF0">
            <w:pPr>
              <w:widowControl/>
              <w:spacing w:line="280" w:lineRule="exact"/>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履约管理</w:t>
            </w:r>
          </w:p>
          <w:p w14:paraId="10FA901A">
            <w:pPr>
              <w:widowControl/>
              <w:spacing w:line="280" w:lineRule="exact"/>
              <w:jc w:val="center"/>
              <w:textAlignment w:val="center"/>
              <w:rPr>
                <w:rFonts w:hint="eastAsia" w:ascii="Times New Roman" w:hAnsi="Times New Roman" w:eastAsia="宋体" w:cs="Times New Roman"/>
                <w:color w:val="000000"/>
                <w:szCs w:val="21"/>
                <w:lang w:eastAsia="en-US"/>
              </w:rPr>
            </w:pPr>
            <w:r>
              <w:rPr>
                <w:rFonts w:hint="eastAsia" w:ascii="Times New Roman" w:hAnsi="Times New Roman" w:eastAsia="宋体" w:cs="Times New Roman"/>
                <w:color w:val="000000"/>
                <w:kern w:val="0"/>
                <w:szCs w:val="21"/>
                <w:lang w:bidi="ar"/>
              </w:rPr>
              <w:t>（25分）</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776F0C9">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基本医疗</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90049D4">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B1D18C5">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开展中医药基本医疗服务情况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64BED5E">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查看资料是否能够为签约群众提供常见病和多发病的中西医诊治、合理用药、就医路径指导和电话转诊预约等基本服务，根据开展情况酌情扣分，共2分。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59DE2B01">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B24A8F2">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查看服务记录及服务对象档案。</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8720EC1">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AACB67E">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EE1B1F9">
            <w:pPr>
              <w:rPr>
                <w:rFonts w:hint="eastAsia" w:ascii="Times New Roman" w:hAnsi="Times New Roman" w:eastAsia="宋体" w:cs="Times New Roman"/>
                <w:color w:val="000000"/>
                <w:szCs w:val="21"/>
              </w:rPr>
            </w:pPr>
          </w:p>
        </w:tc>
      </w:tr>
      <w:tr w14:paraId="75E9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73820F">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A514846">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B4E8290">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DF3C60D">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开展治未病服务情况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C019E63">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对签约群众开展中医体制辨识及风险评估，并根据体制辨识结果为居民制定膳食食疗、起居调养、情志调节、养生功法、保健技术健康饮食的干预方式。每年开展至少两次随访，每少一次扣1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4526289C">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63F0D10C">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890942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D913B84">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7A5277F">
            <w:pPr>
              <w:rPr>
                <w:rFonts w:hint="eastAsia" w:ascii="Times New Roman" w:hAnsi="Times New Roman" w:eastAsia="宋体" w:cs="Times New Roman"/>
                <w:color w:val="000000"/>
                <w:szCs w:val="21"/>
              </w:rPr>
            </w:pPr>
          </w:p>
        </w:tc>
      </w:tr>
      <w:tr w14:paraId="3FC6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A0F023">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291501">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7179A3B">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F84C597">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开展疾病康复服务情况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039D0AF3">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spacing w:val="-6"/>
                <w:kern w:val="0"/>
                <w:szCs w:val="21"/>
                <w:lang w:bidi="ar"/>
              </w:rPr>
              <w:t>查看资料是否为居民提供疾病康复期的用药指导、居家康复治疗、康复训练和指导。根据开展情况酌情扣分，共3分。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3AB9BEA1">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02D302BB">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查看服务记录等相关资料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741C640C">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0370F56">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B53FABB">
            <w:pPr>
              <w:rPr>
                <w:rFonts w:hint="eastAsia" w:ascii="Times New Roman" w:hAnsi="Times New Roman" w:eastAsia="宋体" w:cs="Times New Roman"/>
                <w:color w:val="000000"/>
                <w:szCs w:val="21"/>
              </w:rPr>
            </w:pPr>
          </w:p>
        </w:tc>
      </w:tr>
      <w:tr w14:paraId="30DA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425A99">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9A6ACF">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A006F20">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DB3F5FD">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开展慢病管理情况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BF0E32B">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查看资料是否对心脑血管、糖尿病、高血压等慢病进行治疗干预、开具健康处方、跟踪随访等服务，根据开展情况酌情扣分，共3分。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4347D6EA">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60CB73C">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0DE45A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A23BF43">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86D36C6">
            <w:pPr>
              <w:rPr>
                <w:rFonts w:hint="eastAsia" w:ascii="Times New Roman" w:hAnsi="Times New Roman" w:eastAsia="宋体" w:cs="Times New Roman"/>
                <w:color w:val="000000"/>
                <w:szCs w:val="21"/>
              </w:rPr>
            </w:pPr>
          </w:p>
        </w:tc>
      </w:tr>
      <w:tr w14:paraId="2426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43CFEF">
            <w:pPr>
              <w:widowControl/>
              <w:spacing w:line="280" w:lineRule="exact"/>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8CF318">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A56AF72">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A956614">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开展重点人群管理情况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3079F9EA">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查看资料是否对老年人、残疾人、儿童等重点人群进行健康指导、疾病诊疗、心理健康咨询、康复等。重点人群每人每年开展至少3次随访，每少1次扣1分，共3分。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52754805">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7858C2A0">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02F7A07">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869026F">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F8F3664">
            <w:pPr>
              <w:rPr>
                <w:rFonts w:hint="eastAsia" w:ascii="Times New Roman" w:hAnsi="Times New Roman" w:eastAsia="宋体" w:cs="Times New Roman"/>
                <w:color w:val="000000"/>
                <w:szCs w:val="21"/>
              </w:rPr>
            </w:pPr>
          </w:p>
        </w:tc>
      </w:tr>
      <w:tr w14:paraId="5C29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943AB0">
            <w:pPr>
              <w:widowControl/>
              <w:spacing w:line="280" w:lineRule="exact"/>
              <w:jc w:val="center"/>
              <w:textAlignment w:val="center"/>
              <w:rPr>
                <w:rFonts w:hint="eastAsia" w:ascii="Times New Roman" w:hAnsi="Times New Roman" w:eastAsia="宋体" w:cs="Times New Roman"/>
                <w:color w:val="000000"/>
                <w:szCs w:val="21"/>
                <w:lang w:eastAsia="en-US"/>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9C760A">
            <w:pPr>
              <w:widowControl/>
              <w:spacing w:line="280" w:lineRule="exact"/>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A691A19">
            <w:pPr>
              <w:widowControl/>
              <w:spacing w:line="280" w:lineRule="exact"/>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5D1B2153">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开展危急重症患者救治情况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4DA5633">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查看资料了解签约医师是否经常与居民沟通，当患者发生危急重症时是否对心梗、脑血管疾病、骨折等危急重症第一时间为患者提供指导、救治和就医帮助，根据开展情况酌情扣分，共3分。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729D5B0">
            <w:pPr>
              <w:widowControl/>
              <w:spacing w:line="280" w:lineRule="exact"/>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1AF7C830">
            <w:pPr>
              <w:widowControl/>
              <w:spacing w:line="280" w:lineRule="exact"/>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查看服务记录等相关资料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EC787AB">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7AC87BC">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0DFFE40">
            <w:pPr>
              <w:rPr>
                <w:rFonts w:hint="eastAsia" w:ascii="Times New Roman" w:hAnsi="Times New Roman" w:eastAsia="宋体" w:cs="Times New Roman"/>
                <w:color w:val="000000"/>
                <w:szCs w:val="21"/>
              </w:rPr>
            </w:pPr>
          </w:p>
        </w:tc>
      </w:tr>
      <w:tr w14:paraId="24C0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359C0E">
            <w:pPr>
              <w:jc w:val="center"/>
              <w:rPr>
                <w:rFonts w:hint="eastAsia" w:ascii="Times New Roman" w:hAnsi="Times New Roman" w:eastAsia="宋体" w:cs="Times New Roman"/>
                <w:color w:val="000000"/>
                <w:szCs w:val="21"/>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1CB0B5EE">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就诊服务</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2403411">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341A4A64">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签约居民定点机构就诊率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6FA4AC7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查看资料签约居民是否能够到签约医疗机构内接受签约团队内医师诊疗服务。定点机构就诊率=签约居民在签约医疗机构就诊人次数/签约居民就诊人次数*100%。50%及以上得满分，达不到50%的按比例得分，共2分。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1B79AF78">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264D5ED8">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查阅资料和电子服务平台</w:t>
            </w:r>
          </w:p>
          <w:p w14:paraId="013C4C8E">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随机抽取10份签约档案，通过系统查看住院次数、住院机构及签约机构，进行比对</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1518D07">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09BE3D1">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77F9696">
            <w:pPr>
              <w:rPr>
                <w:rFonts w:hint="eastAsia" w:ascii="Times New Roman" w:hAnsi="Times New Roman" w:eastAsia="宋体" w:cs="Times New Roman"/>
                <w:color w:val="000000"/>
                <w:szCs w:val="21"/>
              </w:rPr>
            </w:pPr>
          </w:p>
        </w:tc>
      </w:tr>
      <w:tr w14:paraId="7487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54D5D46">
            <w:pPr>
              <w:widowControl/>
              <w:spacing w:line="280" w:lineRule="exact"/>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履约管理</w:t>
            </w:r>
          </w:p>
          <w:p w14:paraId="540013FB">
            <w:pPr>
              <w:widowControl/>
              <w:spacing w:line="280" w:lineRule="exact"/>
              <w:jc w:val="center"/>
              <w:textAlignment w:val="center"/>
              <w:rPr>
                <w:rFonts w:hint="eastAsia" w:ascii="Times New Roman" w:hAnsi="Times New Roman" w:eastAsia="宋体" w:cs="Times New Roman"/>
                <w:color w:val="000000"/>
                <w:szCs w:val="21"/>
                <w:lang w:eastAsia="en-US"/>
              </w:rPr>
            </w:pPr>
            <w:r>
              <w:rPr>
                <w:rFonts w:hint="eastAsia" w:ascii="Times New Roman" w:hAnsi="Times New Roman" w:eastAsia="宋体" w:cs="Times New Roman"/>
                <w:color w:val="000000"/>
                <w:kern w:val="0"/>
                <w:szCs w:val="21"/>
                <w:lang w:bidi="ar"/>
              </w:rPr>
              <w:t>（25分）</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20B5DF3">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91FFDFC">
            <w:pPr>
              <w:widowControl/>
              <w:jc w:val="center"/>
              <w:textAlignment w:val="center"/>
              <w:rPr>
                <w:rFonts w:hint="eastAsia" w:ascii="Times New Roman" w:hAnsi="Times New Roman" w:eastAsia="宋体" w:cs="Times New Roman"/>
                <w:color w:val="000000"/>
                <w:szCs w:val="21"/>
                <w:lang w:eastAsia="en-US"/>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4B5F63B2">
            <w:pPr>
              <w:widowControl/>
              <w:textAlignment w:val="center"/>
              <w:rPr>
                <w:rFonts w:hint="eastAsia" w:ascii="Times New Roman" w:hAnsi="Times New Roman" w:eastAsia="宋体" w:cs="Times New Roman"/>
                <w:color w:val="000000"/>
                <w:szCs w:val="21"/>
                <w:lang w:eastAsia="en-US"/>
              </w:rPr>
            </w:pPr>
            <w:r>
              <w:rPr>
                <w:rFonts w:hint="eastAsia" w:ascii="Times New Roman" w:hAnsi="Times New Roman" w:eastAsia="宋体" w:cs="Times New Roman"/>
                <w:color w:val="000000"/>
                <w:kern w:val="0"/>
                <w:szCs w:val="21"/>
                <w:lang w:bidi="ar"/>
              </w:rPr>
              <w:t>转诊机制建设情况</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25807184">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1.查看是否有签约医疗机构转诊服务规范，明确转诊服务路径，为患者提供上级医院转诊服务,并实行转诊率控制。有完整的转诊机制得1分，无机制不得分。</w:t>
            </w:r>
          </w:p>
          <w:p w14:paraId="4B8FA43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2.查看签约医疗机构转诊制度执行情况，签约中医师是否知晓转诊服务流程，并执行转诊制度，有转诊制度并开展转诊的得1分，共1分。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609C25A7">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615D56AD">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查阅资料和电子服务平台</w:t>
            </w:r>
          </w:p>
          <w:p w14:paraId="54D310F9">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随机抽取5户住院患者进行核查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03F1066">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E650121">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3E9344B">
            <w:pPr>
              <w:rPr>
                <w:rFonts w:hint="eastAsia" w:ascii="Times New Roman" w:hAnsi="Times New Roman" w:eastAsia="宋体" w:cs="Times New Roman"/>
                <w:color w:val="000000"/>
                <w:szCs w:val="21"/>
              </w:rPr>
            </w:pPr>
          </w:p>
        </w:tc>
      </w:tr>
      <w:tr w14:paraId="7FA2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4B689A">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F896E9">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BC266FA">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3BF541E3">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签约居民下转回访率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4AED7CB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签约服务机构双向转诊渠道是否通畅，医联体内上级医疗机构签约医生是否对向下转诊的签约居民进行回访。根据统计数据，回访率≥50%，计2分。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13D6CE8E">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2BECF0A">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查阅资料和电子服务平台</w:t>
            </w:r>
          </w:p>
          <w:p w14:paraId="5D1987F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随机抽取5户住院患者进行核查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7825764">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E5F5B71">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B43B5CC">
            <w:pPr>
              <w:rPr>
                <w:rFonts w:hint="eastAsia" w:ascii="Times New Roman" w:hAnsi="Times New Roman" w:eastAsia="宋体" w:cs="Times New Roman"/>
                <w:color w:val="000000"/>
                <w:szCs w:val="21"/>
              </w:rPr>
            </w:pPr>
          </w:p>
        </w:tc>
      </w:tr>
      <w:tr w14:paraId="6C80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C722EA4">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7406F3">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653B42AF">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2D7A2C6F">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签约居民上转追踪率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430777A4">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签约服务机构双向转诊渠道是否通畅，下医联体内向上级转出医疗机构签约医生是否对向上转诊的签约居民进行追踪。根据统计数据，追踪率≥50%，计2分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108595D7">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6FD2029D">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查阅资料和电子服务平台</w:t>
            </w:r>
          </w:p>
          <w:p w14:paraId="66BB3300">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随机抽取5户住院患者进行核查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36A06B7B">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348176A">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FB70D28">
            <w:pPr>
              <w:rPr>
                <w:rFonts w:hint="eastAsia" w:ascii="Times New Roman" w:hAnsi="Times New Roman" w:eastAsia="宋体" w:cs="Times New Roman"/>
                <w:color w:val="000000"/>
                <w:szCs w:val="21"/>
              </w:rPr>
            </w:pPr>
          </w:p>
        </w:tc>
      </w:tr>
      <w:tr w14:paraId="6087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775" w:type="dxa"/>
            <w:tcBorders>
              <w:top w:val="single" w:color="auto" w:sz="4" w:space="0"/>
              <w:left w:val="single" w:color="auto" w:sz="4" w:space="0"/>
              <w:bottom w:val="single" w:color="auto" w:sz="4" w:space="0"/>
              <w:right w:val="single" w:color="auto" w:sz="4" w:space="0"/>
              <w:tl2br w:val="nil"/>
              <w:tr2bl w:val="nil"/>
            </w:tcBorders>
            <w:vAlign w:val="center"/>
          </w:tcPr>
          <w:p w14:paraId="1BD155A0">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签约效果</w:t>
            </w:r>
          </w:p>
          <w:p w14:paraId="48CE9CD6">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（28）</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63A30C">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健康状况</w:t>
            </w:r>
          </w:p>
          <w:p w14:paraId="3E72CD04">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改善率</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52FDB22">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5</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27F68889">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签约居民健康评估及指导合格率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37E0B9CD">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每年为签约居民开展一次健康生活方式和健康状况评估，并进行健康指导及健康干预；是否对已确诊的慢性病患者纳入慢性病管理，告知或预约下次健康管理服务时间。抽取10份，查看合格率是否达到80%，80%及以上得5分，不足的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4344B2A2">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D85BD6E">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随机抽取10份已开展年检的签约居民档案，进行回访</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EC0F0D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5AE52833">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444052B">
            <w:pPr>
              <w:rPr>
                <w:rFonts w:hint="eastAsia" w:ascii="Times New Roman" w:hAnsi="Times New Roman" w:eastAsia="宋体" w:cs="Times New Roman"/>
                <w:color w:val="000000"/>
                <w:szCs w:val="21"/>
              </w:rPr>
            </w:pPr>
          </w:p>
        </w:tc>
      </w:tr>
      <w:tr w14:paraId="23D6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AC546E">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签约效果</w:t>
            </w:r>
          </w:p>
          <w:p w14:paraId="232FC832">
            <w:pPr>
              <w:jc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（28）</w:t>
            </w: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B1FDD88">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1082B387">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12E051C">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签约档案动态管理率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D86A616">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查看已建档人群健康档案信息及档案使用的情况。查看各类重点人群健康档案 的管理 、维护和更新。健康档案动态管理率=抽查档案中有动态记录的档案份数/抽查档案总份数×100%。有动态记录的档案是指1年内与患者的医疗记录相关联或有符合对应服务规范要求的相关服务记录的健康档案。健康档案管理率≥60%给3分。少于60%，不足的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119E8C90">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0A8324D7">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随机抽取10份家庭医师签约服务和查看居民电子健康档案</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4290C3E">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5C792F3">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45D2163">
            <w:pPr>
              <w:rPr>
                <w:rFonts w:hint="eastAsia" w:ascii="Times New Roman" w:hAnsi="Times New Roman" w:eastAsia="宋体" w:cs="Times New Roman"/>
                <w:color w:val="000000"/>
                <w:szCs w:val="21"/>
              </w:rPr>
            </w:pPr>
          </w:p>
        </w:tc>
      </w:tr>
      <w:tr w14:paraId="2E60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F017B3">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CA2923">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898E7FA">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5</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6D082780">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签约居民健康状况改善率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6CE056D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通过签约服务后，签约居民健康状况改善情况，重点人群签约后一年内门诊就诊次数减少50%、住院次数减少50%或最近一次健康随访身体体质、慢病控制情况≥50%，如抽查的高血压病人血压达标率≥50%均为达标。  通过平台查看10份门诊、住院或签约服务记录，判断健康改善情况，如果10人以上改善率达到50%以上得满分，不足按比例得分。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570E50D">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0710074E">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查阅材料，                                      每个机构/团队抽取签约居民10名进行核查。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CF4FE40">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DCA9898">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04CD3AA">
            <w:pPr>
              <w:rPr>
                <w:rFonts w:hint="eastAsia" w:ascii="Times New Roman" w:hAnsi="Times New Roman" w:eastAsia="宋体" w:cs="Times New Roman"/>
                <w:color w:val="000000"/>
                <w:szCs w:val="21"/>
              </w:rPr>
            </w:pPr>
          </w:p>
        </w:tc>
      </w:tr>
      <w:tr w14:paraId="0127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CE4486">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27A24C">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4E89FA60">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5</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1E571AA1">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基层医疗机构诊疗量增长率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0EA55F98">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查看基层门诊数据，基层门急诊量增长率=基层医疗机构本年度门急诊人次/上年度门急诊人次*100%，大于本县区平均增长率得满分，每降低5个百分点扣1分，扣完为止，共5分。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7950FA2B">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329A4D6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查看医疗机构统计数据</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498B6D8">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51AB666B">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784EA91">
            <w:pPr>
              <w:rPr>
                <w:rFonts w:hint="eastAsia" w:ascii="Times New Roman" w:hAnsi="Times New Roman" w:eastAsia="宋体" w:cs="Times New Roman"/>
                <w:color w:val="000000"/>
                <w:szCs w:val="21"/>
              </w:rPr>
            </w:pPr>
          </w:p>
        </w:tc>
      </w:tr>
      <w:tr w14:paraId="7CAA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27FEBC">
            <w:pPr>
              <w:jc w:val="center"/>
              <w:rPr>
                <w:rFonts w:hint="eastAsia" w:ascii="Times New Roman" w:hAnsi="Times New Roman" w:eastAsia="宋体" w:cs="Times New Roman"/>
                <w:color w:val="000000"/>
                <w:szCs w:val="21"/>
              </w:rPr>
            </w:pP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7646E88">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知晓率与满意度</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2F11C7D">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6DED363">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签约居民知晓率</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2D6026A0">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调查服务辖区居民对签约中医师及签约服务内容知晓情况。每个机构抽取签约居民10名，电话调查或问卷调查，若知晓率在80%及以上得满分，不足按比例得分。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5CB6A1AA">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6564D2EB">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每个机构/团队抽取签约居民10名，电话调查或问卷调查。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7FC6B3E">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59AB1C9D">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4758CE1">
            <w:pPr>
              <w:rPr>
                <w:rFonts w:hint="eastAsia" w:ascii="Times New Roman" w:hAnsi="Times New Roman" w:eastAsia="宋体" w:cs="Times New Roman"/>
                <w:color w:val="000000"/>
                <w:szCs w:val="21"/>
              </w:rPr>
            </w:pPr>
          </w:p>
        </w:tc>
      </w:tr>
      <w:tr w14:paraId="0AAF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4188C0">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27FC0D">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BFD5172">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4</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302A4A46">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签约居民满意度</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61701A52">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调查服务辖区居民对签约中医师及签约服务是否满意。每个机构随机抽取签约居民10名，电话调查或问卷调查，若满意率在80%及以上得满分，不足按比例得分。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24AEB327">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5D1BA034">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每个机构/团队，抽取签约居民10名，电话调查或问卷调查。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7DDDE36">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5A25FA2">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13BB587">
            <w:pPr>
              <w:rPr>
                <w:rFonts w:hint="eastAsia" w:ascii="Times New Roman" w:hAnsi="Times New Roman" w:eastAsia="宋体" w:cs="Times New Roman"/>
                <w:color w:val="000000"/>
                <w:szCs w:val="21"/>
              </w:rPr>
            </w:pPr>
          </w:p>
        </w:tc>
      </w:tr>
      <w:tr w14:paraId="2A38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75" w:type="dxa"/>
            <w:tcBorders>
              <w:top w:val="single" w:color="auto" w:sz="4" w:space="0"/>
              <w:left w:val="single" w:color="auto" w:sz="4" w:space="0"/>
              <w:bottom w:val="single" w:color="auto" w:sz="4" w:space="0"/>
              <w:right w:val="single" w:color="auto" w:sz="4" w:space="0"/>
              <w:tl2br w:val="nil"/>
              <w:tr2bl w:val="nil"/>
            </w:tcBorders>
            <w:vAlign w:val="center"/>
          </w:tcPr>
          <w:p w14:paraId="110731D4">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签约效果</w:t>
            </w:r>
          </w:p>
          <w:p w14:paraId="5C0F4650">
            <w:pPr>
              <w:jc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（28）</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14:paraId="51096306">
            <w:pPr>
              <w:jc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知晓率与满意度</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028AF99">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63E5794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签约医师满意度</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756AFDB2">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签约团队医务人员满意度问卷包括工作环境、机构管理、工资待遇、培训机会、职称晋升、发展前景等，医务人员满意度=评价满意的被调查医务人员人数/接受调查的医务人员总数×100%，80%以上得满分，不足按比例得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2493927F">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4C67DD4A">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每个机构/团队抽取10名签约医师，问卷调查。</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7A140D7">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0415399">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530BFBE">
            <w:pPr>
              <w:rPr>
                <w:rFonts w:hint="eastAsia" w:ascii="Times New Roman" w:hAnsi="Times New Roman" w:eastAsia="宋体" w:cs="Times New Roman"/>
                <w:color w:val="000000"/>
                <w:szCs w:val="21"/>
              </w:rPr>
            </w:pPr>
          </w:p>
        </w:tc>
      </w:tr>
      <w:tr w14:paraId="315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A7DC9C9">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创新发展</w:t>
            </w:r>
          </w:p>
          <w:p w14:paraId="26B31563">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（15）</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F4849FC">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服务方式</w:t>
            </w:r>
          </w:p>
          <w:p w14:paraId="534B2C47">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的拓展</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5EE7092">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4</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27613D2C">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信息化平台的推广应用</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8749A4C">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信息平台，通过家庭签约中医师服务和管理信息系统线上线下为居民提供签订协议、健康咨询、慢病随访、双向转诊等服务，实现签约居民健康档案、电子病历、检验报告等信息共享和业务协同。根据实际开展情况酌情扣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0C50433C">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7E2FFE4E">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查看信息系统记录的服务行为</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23BE84E">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F4BB674">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6A349DF">
            <w:pPr>
              <w:rPr>
                <w:rFonts w:hint="eastAsia" w:ascii="Times New Roman" w:hAnsi="Times New Roman" w:eastAsia="宋体" w:cs="Times New Roman"/>
                <w:color w:val="000000"/>
                <w:szCs w:val="21"/>
              </w:rPr>
            </w:pPr>
          </w:p>
        </w:tc>
      </w:tr>
      <w:tr w14:paraId="12E9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A69375">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E73B9E9">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8AFE149">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3</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7E62657D">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服务方式的创新</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1FDC608D">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查看服务记录，了解签约医师是否能够为签约居民或家庭提供全程服务、上门服务、错时服务、预约服务等多种形式的服务。根据实际开展情况酌情扣分，共3分。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6470C9AD">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乡、村级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55F5E47D">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查看服务记录</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554B65CD">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88D53DF">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0D76927">
            <w:pPr>
              <w:rPr>
                <w:rFonts w:hint="eastAsia" w:ascii="Times New Roman" w:hAnsi="Times New Roman" w:eastAsia="宋体" w:cs="Times New Roman"/>
                <w:color w:val="000000"/>
                <w:szCs w:val="21"/>
              </w:rPr>
            </w:pPr>
          </w:p>
        </w:tc>
      </w:tr>
      <w:tr w14:paraId="6F91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1574920">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C9D1F4C">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32C69C2C">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4</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08621DAD">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中医药免煎配送服务</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37193995">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查看是否能够开展智慧中药房建设、煎煮、配送等服务。可以通过签约服务团队实现中医药服务共享得2分，与物流企业签订协议联合开展中药汤剂代煎配送服务，得2分。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5DC2EAC2">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19B50852">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510CDE39">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75B5FF87">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218E18A">
            <w:pPr>
              <w:rPr>
                <w:rFonts w:hint="eastAsia" w:ascii="Times New Roman" w:hAnsi="Times New Roman" w:eastAsia="宋体" w:cs="Times New Roman"/>
                <w:color w:val="000000"/>
                <w:szCs w:val="21"/>
              </w:rPr>
            </w:pPr>
          </w:p>
        </w:tc>
      </w:tr>
      <w:tr w14:paraId="460B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78DA266">
            <w:pPr>
              <w:widowControl/>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创新发展</w:t>
            </w:r>
          </w:p>
          <w:p w14:paraId="4F9BFDCB">
            <w:pPr>
              <w:jc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（15）</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E642D50">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制度创新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42B245D">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161ED682">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激励政策</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38180115">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查看资料，是否建立家庭中医师签约服务激励政策，在人员聘用、职称晋升、在职培训、评奖推优、绩效工资分配等方面重点向签约中医师倾斜并落实到位。无激励机制扣1分，政策未落实扣1分，共2分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0BEE63E4">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县、乡级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537ACC76">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902B245">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677DCE04">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0555E32">
            <w:pPr>
              <w:rPr>
                <w:rFonts w:hint="eastAsia" w:ascii="Times New Roman" w:hAnsi="Times New Roman" w:eastAsia="宋体" w:cs="Times New Roman"/>
                <w:color w:val="000000"/>
                <w:szCs w:val="21"/>
              </w:rPr>
            </w:pPr>
          </w:p>
        </w:tc>
      </w:tr>
      <w:tr w14:paraId="1A4D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99DF41">
            <w:pPr>
              <w:jc w:val="center"/>
              <w:rPr>
                <w:rFonts w:hint="eastAsia" w:ascii="Times New Roman" w:hAnsi="Times New Roman" w:eastAsia="宋体" w:cs="Times New Roman"/>
                <w:color w:val="000000"/>
                <w:szCs w:val="21"/>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16AAA3">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69D09E1">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2</w:t>
            </w:r>
          </w:p>
        </w:tc>
        <w:tc>
          <w:tcPr>
            <w:tcW w:w="2342" w:type="dxa"/>
            <w:tcBorders>
              <w:top w:val="single" w:color="auto" w:sz="4" w:space="0"/>
              <w:left w:val="single" w:color="auto" w:sz="4" w:space="0"/>
              <w:bottom w:val="single" w:color="auto" w:sz="4" w:space="0"/>
              <w:right w:val="single" w:color="auto" w:sz="4" w:space="0"/>
              <w:tl2br w:val="nil"/>
              <w:tr2bl w:val="nil"/>
            </w:tcBorders>
            <w:vAlign w:val="center"/>
          </w:tcPr>
          <w:p w14:paraId="7190CE55">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建立吸引政策</w:t>
            </w:r>
          </w:p>
        </w:tc>
        <w:tc>
          <w:tcPr>
            <w:tcW w:w="5409" w:type="dxa"/>
            <w:tcBorders>
              <w:top w:val="single" w:color="auto" w:sz="4" w:space="0"/>
              <w:left w:val="single" w:color="auto" w:sz="4" w:space="0"/>
              <w:bottom w:val="single" w:color="auto" w:sz="4" w:space="0"/>
              <w:right w:val="single" w:color="auto" w:sz="4" w:space="0"/>
              <w:tl2br w:val="nil"/>
              <w:tr2bl w:val="nil"/>
            </w:tcBorders>
            <w:vAlign w:val="center"/>
          </w:tcPr>
          <w:p w14:paraId="5B488BA9">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查看资料，医疗机构出台相关政策给予家庭中医师团队捏一定比例的预约挂号、预留床位，为转诊患者建立绿色转诊通道。共2分，酌情扣分。</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14:paraId="0922CB1C">
            <w:pPr>
              <w:widowControl/>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县级</w:t>
            </w:r>
          </w:p>
        </w:tc>
        <w:tc>
          <w:tcPr>
            <w:tcW w:w="1604" w:type="dxa"/>
            <w:tcBorders>
              <w:top w:val="single" w:color="auto" w:sz="4" w:space="0"/>
              <w:left w:val="single" w:color="auto" w:sz="4" w:space="0"/>
              <w:bottom w:val="single" w:color="auto" w:sz="4" w:space="0"/>
              <w:right w:val="single" w:color="auto" w:sz="4" w:space="0"/>
              <w:tl2br w:val="nil"/>
              <w:tr2bl w:val="nil"/>
            </w:tcBorders>
            <w:vAlign w:val="center"/>
          </w:tcPr>
          <w:p w14:paraId="16D69630">
            <w:pPr>
              <w:widowControl/>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查看相关资料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414C7EF0">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2EAE8C50">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949ABB5">
            <w:pPr>
              <w:rPr>
                <w:rFonts w:hint="eastAsia" w:ascii="Times New Roman" w:hAnsi="Times New Roman" w:eastAsia="宋体" w:cs="Times New Roman"/>
                <w:color w:val="000000"/>
                <w:szCs w:val="21"/>
              </w:rPr>
            </w:pPr>
          </w:p>
        </w:tc>
      </w:tr>
      <w:tr w14:paraId="1AEC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5" w:type="dxa"/>
            <w:tcBorders>
              <w:top w:val="single" w:color="auto" w:sz="4" w:space="0"/>
              <w:left w:val="single" w:color="auto" w:sz="4" w:space="0"/>
              <w:bottom w:val="single" w:color="auto" w:sz="4" w:space="0"/>
              <w:right w:val="single" w:color="auto" w:sz="4" w:space="0"/>
              <w:tl2br w:val="nil"/>
              <w:tr2bl w:val="nil"/>
            </w:tcBorders>
            <w:noWrap/>
            <w:vAlign w:val="center"/>
          </w:tcPr>
          <w:p w14:paraId="1CB7D9E5">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合计</w:t>
            </w:r>
          </w:p>
        </w:tc>
        <w:tc>
          <w:tcPr>
            <w:tcW w:w="1176" w:type="dxa"/>
            <w:tcBorders>
              <w:top w:val="single" w:color="auto" w:sz="4" w:space="0"/>
              <w:left w:val="single" w:color="auto" w:sz="4" w:space="0"/>
              <w:bottom w:val="single" w:color="auto" w:sz="4" w:space="0"/>
              <w:right w:val="single" w:color="auto" w:sz="4" w:space="0"/>
              <w:tl2br w:val="nil"/>
              <w:tr2bl w:val="nil"/>
            </w:tcBorders>
            <w:noWrap/>
            <w:vAlign w:val="center"/>
          </w:tcPr>
          <w:p w14:paraId="542EDE63">
            <w:pPr>
              <w:jc w:val="center"/>
              <w:rPr>
                <w:rFonts w:hint="eastAsia" w:ascii="Times New Roman" w:hAnsi="Times New Roman" w:eastAsia="宋体" w:cs="Times New Roman"/>
                <w:color w:val="000000"/>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25165EA6">
            <w:pPr>
              <w:widowControl/>
              <w:jc w:val="center"/>
              <w:textAlignment w:val="center"/>
              <w:rPr>
                <w:rFonts w:hint="eastAsia"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100</w:t>
            </w:r>
          </w:p>
        </w:tc>
        <w:tc>
          <w:tcPr>
            <w:tcW w:w="2342" w:type="dxa"/>
            <w:tcBorders>
              <w:top w:val="single" w:color="auto" w:sz="4" w:space="0"/>
              <w:left w:val="single" w:color="auto" w:sz="4" w:space="0"/>
              <w:bottom w:val="single" w:color="auto" w:sz="4" w:space="0"/>
              <w:right w:val="single" w:color="auto" w:sz="4" w:space="0"/>
              <w:tl2br w:val="nil"/>
              <w:tr2bl w:val="nil"/>
            </w:tcBorders>
            <w:noWrap/>
            <w:vAlign w:val="center"/>
          </w:tcPr>
          <w:p w14:paraId="6639C23F">
            <w:pPr>
              <w:jc w:val="center"/>
              <w:rPr>
                <w:rFonts w:hint="eastAsia" w:ascii="Times New Roman" w:hAnsi="Times New Roman" w:eastAsia="宋体" w:cs="Times New Roman"/>
                <w:color w:val="000000"/>
                <w:szCs w:val="21"/>
              </w:rPr>
            </w:pPr>
          </w:p>
        </w:tc>
        <w:tc>
          <w:tcPr>
            <w:tcW w:w="5409" w:type="dxa"/>
            <w:tcBorders>
              <w:top w:val="single" w:color="auto" w:sz="4" w:space="0"/>
              <w:left w:val="single" w:color="auto" w:sz="4" w:space="0"/>
              <w:bottom w:val="single" w:color="auto" w:sz="4" w:space="0"/>
              <w:right w:val="single" w:color="auto" w:sz="4" w:space="0"/>
              <w:tl2br w:val="nil"/>
              <w:tr2bl w:val="nil"/>
            </w:tcBorders>
            <w:noWrap/>
            <w:vAlign w:val="center"/>
          </w:tcPr>
          <w:p w14:paraId="50DDD0B7">
            <w:pPr>
              <w:jc w:val="center"/>
              <w:rPr>
                <w:rFonts w:hint="eastAsia" w:ascii="Times New Roman" w:hAnsi="Times New Roman" w:eastAsia="宋体" w:cs="Times New Roman"/>
                <w:color w:val="000000"/>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noWrap/>
            <w:vAlign w:val="center"/>
          </w:tcPr>
          <w:p w14:paraId="689CD08C">
            <w:pPr>
              <w:jc w:val="center"/>
              <w:rPr>
                <w:rFonts w:hint="eastAsia" w:ascii="Times New Roman" w:hAnsi="Times New Roman" w:eastAsia="宋体" w:cs="Times New Roman"/>
                <w:color w:val="000000"/>
                <w:szCs w:val="21"/>
              </w:rPr>
            </w:pPr>
          </w:p>
        </w:tc>
        <w:tc>
          <w:tcPr>
            <w:tcW w:w="1604" w:type="dxa"/>
            <w:tcBorders>
              <w:top w:val="single" w:color="auto" w:sz="4" w:space="0"/>
              <w:left w:val="single" w:color="auto" w:sz="4" w:space="0"/>
              <w:bottom w:val="single" w:color="auto" w:sz="4" w:space="0"/>
              <w:right w:val="single" w:color="auto" w:sz="4" w:space="0"/>
              <w:tl2br w:val="nil"/>
              <w:tr2bl w:val="nil"/>
            </w:tcBorders>
            <w:noWrap/>
            <w:vAlign w:val="center"/>
          </w:tcPr>
          <w:p w14:paraId="62F9836B">
            <w:pPr>
              <w:jc w:val="cente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14:paraId="193383AE">
            <w:pPr>
              <w:rPr>
                <w:rFonts w:hint="eastAsia" w:ascii="Times New Roman" w:hAnsi="Times New Roman" w:eastAsia="宋体" w:cs="Times New Roman"/>
                <w:color w:val="000000"/>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14:paraId="684F5B96">
            <w:pPr>
              <w:rPr>
                <w:rFonts w:hint="eastAsia" w:ascii="Times New Roman" w:hAnsi="Times New Roman" w:eastAsia="宋体" w:cs="Times New Roman"/>
                <w:color w:val="000000"/>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noWrap/>
            <w:vAlign w:val="center"/>
          </w:tcPr>
          <w:p w14:paraId="47797E3B">
            <w:pPr>
              <w:rPr>
                <w:rFonts w:hint="eastAsia" w:ascii="Times New Roman" w:hAnsi="Times New Roman" w:eastAsia="宋体" w:cs="Times New Roman"/>
                <w:color w:val="000000"/>
                <w:szCs w:val="21"/>
              </w:rPr>
            </w:pPr>
          </w:p>
        </w:tc>
      </w:tr>
    </w:tbl>
    <w:p w14:paraId="7CA2CA5B">
      <w:pPr>
        <w:pStyle w:val="19"/>
        <w:spacing w:before="156" w:beforeLines="50" w:after="156" w:afterLines="50"/>
        <w:ind w:firstLine="0" w:firstLineChars="0"/>
        <w:rPr>
          <w:rFonts w:hint="eastAsia" w:ascii="宋体" w:hAnsi="宋体" w:eastAsia="宋体"/>
          <w:szCs w:val="21"/>
        </w:rPr>
        <w:sectPr>
          <w:pgSz w:w="16838" w:h="11906" w:orient="landscape"/>
          <w:pgMar w:top="1417" w:right="1134" w:bottom="1134" w:left="1417" w:header="851" w:footer="992" w:gutter="0"/>
          <w:cols w:space="0" w:num="1"/>
          <w:titlePg/>
          <w:rtlGutter w:val="0"/>
          <w:docGrid w:type="lines" w:linePitch="312" w:charSpace="0"/>
        </w:sectPr>
      </w:pPr>
    </w:p>
    <w:p w14:paraId="2A139FA3">
      <w:pPr>
        <w:widowControl/>
        <w:spacing w:before="0" w:beforeLines="-2147483648" w:after="0" w:afterLines="-2147483648"/>
        <w:jc w:val="center"/>
        <w:outlineLvl w:val="0"/>
        <w:rPr>
          <w:rFonts w:hint="eastAsia" w:ascii="黑体" w:hAnsi="黑体" w:eastAsia="黑体" w:cs="黑体"/>
          <w:szCs w:val="21"/>
        </w:rPr>
      </w:pPr>
      <w:bookmarkStart w:id="19" w:name="_Toc206490765"/>
      <w:r>
        <w:rPr>
          <w:rFonts w:hint="eastAsia" w:ascii="黑体" w:hAnsi="黑体" w:eastAsia="黑体" w:cs="黑体"/>
          <w:szCs w:val="21"/>
        </w:rPr>
        <w:t>参  考  文  献</w:t>
      </w:r>
      <w:bookmarkEnd w:id="19"/>
    </w:p>
    <w:p w14:paraId="4DE009FA">
      <w:pPr>
        <w:spacing w:line="240" w:lineRule="auto"/>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国家卫生健康委、中医药管理局《关于规范家庭医生签约服务管理的指导意见》（国卫基层发〔</w:t>
      </w:r>
      <w:r>
        <w:rPr>
          <w:rFonts w:ascii="Times New Roman" w:hAnsi="Times New Roman" w:eastAsia="宋体"/>
          <w:szCs w:val="21"/>
        </w:rPr>
        <w:t>2018</w:t>
      </w:r>
      <w:r>
        <w:rPr>
          <w:rFonts w:hint="eastAsia" w:ascii="Times New Roman" w:hAnsi="Times New Roman" w:eastAsia="宋体"/>
          <w:szCs w:val="21"/>
        </w:rPr>
        <w:t>〕</w:t>
      </w:r>
      <w:r>
        <w:rPr>
          <w:rFonts w:ascii="Times New Roman" w:hAnsi="Times New Roman" w:eastAsia="宋体"/>
          <w:szCs w:val="21"/>
        </w:rPr>
        <w:t>35</w:t>
      </w:r>
      <w:r>
        <w:rPr>
          <w:rFonts w:hint="eastAsia" w:ascii="Times New Roman" w:hAnsi="Times New Roman" w:eastAsia="宋体"/>
          <w:szCs w:val="21"/>
        </w:rPr>
        <w:t>号）</w:t>
      </w:r>
    </w:p>
    <w:p w14:paraId="26EBACE4">
      <w:pPr>
        <w:spacing w:line="240" w:lineRule="auto"/>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国家卫生健康委等</w:t>
      </w:r>
      <w:r>
        <w:rPr>
          <w:rFonts w:ascii="Times New Roman" w:hAnsi="Times New Roman" w:eastAsia="宋体"/>
          <w:szCs w:val="21"/>
        </w:rPr>
        <w:t>6</w:t>
      </w:r>
      <w:r>
        <w:rPr>
          <w:rFonts w:hint="eastAsia" w:ascii="Times New Roman" w:hAnsi="Times New Roman" w:eastAsia="宋体"/>
          <w:szCs w:val="21"/>
        </w:rPr>
        <w:t>部委《关于推进家庭医生签约服务高质量发展的指导意见》（国卫基层发〔</w:t>
      </w:r>
      <w:r>
        <w:rPr>
          <w:rFonts w:ascii="Times New Roman" w:hAnsi="Times New Roman" w:eastAsia="宋体"/>
          <w:szCs w:val="21"/>
        </w:rPr>
        <w:t>2022</w:t>
      </w:r>
      <w:r>
        <w:rPr>
          <w:rFonts w:hint="eastAsia" w:ascii="Times New Roman" w:hAnsi="Times New Roman" w:eastAsia="宋体"/>
          <w:szCs w:val="21"/>
        </w:rPr>
        <w:t>）</w:t>
      </w:r>
      <w:r>
        <w:rPr>
          <w:rFonts w:ascii="Times New Roman" w:hAnsi="Times New Roman" w:eastAsia="宋体"/>
          <w:szCs w:val="21"/>
        </w:rPr>
        <w:t>10</w:t>
      </w:r>
      <w:r>
        <w:rPr>
          <w:rFonts w:hint="eastAsia" w:ascii="Times New Roman" w:hAnsi="Times New Roman" w:eastAsia="宋体"/>
          <w:szCs w:val="21"/>
        </w:rPr>
        <w:t>号</w:t>
      </w:r>
      <w:r>
        <w:rPr>
          <w:rFonts w:ascii="Times New Roman" w:hAnsi="Times New Roman" w:eastAsia="宋体"/>
          <w:szCs w:val="21"/>
        </w:rPr>
        <w:t>)</w:t>
      </w:r>
      <w:r>
        <w:rPr>
          <w:rFonts w:hint="eastAsia" w:ascii="Times New Roman" w:hAnsi="Times New Roman" w:eastAsia="宋体"/>
          <w:szCs w:val="21"/>
        </w:rPr>
        <w:t>文件</w:t>
      </w:r>
    </w:p>
    <w:p w14:paraId="3A545DFA">
      <w:pPr>
        <w:spacing w:line="240" w:lineRule="auto"/>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健康中国行动推进办《关于开展健康中国行动中医药健康促进专项活动的通知》（国健推委办发〔</w:t>
      </w:r>
      <w:r>
        <w:rPr>
          <w:rFonts w:ascii="Times New Roman" w:hAnsi="Times New Roman" w:eastAsia="宋体"/>
          <w:szCs w:val="21"/>
        </w:rPr>
        <w:t>2022</w:t>
      </w:r>
      <w:r>
        <w:rPr>
          <w:rFonts w:hint="eastAsia" w:ascii="Times New Roman" w:hAnsi="Times New Roman" w:eastAsia="宋体"/>
          <w:szCs w:val="21"/>
        </w:rPr>
        <w:t>〕</w:t>
      </w:r>
      <w:r>
        <w:rPr>
          <w:rFonts w:ascii="Times New Roman" w:hAnsi="Times New Roman" w:eastAsia="宋体"/>
          <w:szCs w:val="21"/>
        </w:rPr>
        <w:t>5</w:t>
      </w:r>
      <w:r>
        <w:rPr>
          <w:rFonts w:hint="eastAsia" w:ascii="Times New Roman" w:hAnsi="Times New Roman" w:eastAsia="宋体"/>
          <w:szCs w:val="21"/>
        </w:rPr>
        <w:t>号）</w:t>
      </w:r>
    </w:p>
    <w:p w14:paraId="51A60DAC">
      <w:pPr>
        <w:spacing w:line="240" w:lineRule="auto"/>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《中国防治慢性病中长期规划（</w:t>
      </w:r>
      <w:r>
        <w:rPr>
          <w:rFonts w:ascii="Times New Roman" w:hAnsi="Times New Roman" w:eastAsia="宋体"/>
          <w:szCs w:val="21"/>
        </w:rPr>
        <w:t>2017</w:t>
      </w:r>
      <w:r>
        <w:rPr>
          <w:rFonts w:hint="eastAsia" w:ascii="Times New Roman" w:hAnsi="Times New Roman" w:eastAsia="宋体"/>
          <w:szCs w:val="21"/>
        </w:rPr>
        <w:t>－</w:t>
      </w:r>
      <w:r>
        <w:rPr>
          <w:rFonts w:ascii="Times New Roman" w:hAnsi="Times New Roman" w:eastAsia="宋体"/>
          <w:szCs w:val="21"/>
        </w:rPr>
        <w:t>2025</w:t>
      </w:r>
      <w:r>
        <w:rPr>
          <w:rFonts w:hint="eastAsia" w:ascii="Times New Roman" w:hAnsi="Times New Roman" w:eastAsia="宋体"/>
          <w:szCs w:val="21"/>
        </w:rPr>
        <w:t>年）》</w:t>
      </w:r>
    </w:p>
    <w:p w14:paraId="18454910">
      <w:pPr>
        <w:spacing w:line="240" w:lineRule="auto"/>
        <w:rPr>
          <w:rFonts w:hint="eastAsia" w:ascii="宋体" w:hAnsi="宋体" w:eastAsia="宋体" w:cs="Times New Roman"/>
          <w:bCs/>
          <w:sz w:val="24"/>
          <w:szCs w:val="24"/>
        </w:rPr>
      </w:pPr>
      <w:r>
        <mc:AlternateContent>
          <mc:Choice Requires="wps">
            <w:drawing>
              <wp:anchor distT="0" distB="0" distL="114300" distR="114300" simplePos="0" relativeHeight="251661312" behindDoc="0" locked="0" layoutInCell="1" allowOverlap="1">
                <wp:simplePos x="0" y="0"/>
                <wp:positionH relativeFrom="column">
                  <wp:posOffset>2035810</wp:posOffset>
                </wp:positionH>
                <wp:positionV relativeFrom="page">
                  <wp:posOffset>3623310</wp:posOffset>
                </wp:positionV>
                <wp:extent cx="1882775" cy="6350"/>
                <wp:effectExtent l="0" t="4445" r="9525" b="8255"/>
                <wp:wrapNone/>
                <wp:docPr id="6"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0" o:spid="_x0000_s1026" o:spt="20" style="position:absolute;left:0pt;flip:y;margin-left:160.3pt;margin-top:285.3pt;height:0.5pt;width:148.25pt;mso-position-vertical-relative:page;z-index:251661312;mso-width-relative:page;mso-height-relative:page;" filled="f" stroked="t" coordsize="21600,21600" o:gfxdata="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M3K22AAAAAsBAAAPAAAAAAAAAAEAIAAAACIAAABkcnMvZG93bnJldi54&#10;bWxQSwECFAAUAAAACACHTuJAufwC8/oBAADwAwAADgAAAAAAAAABACAAAAAnAQAAZHJzL2Uyb0Rv&#10;Yy54bWxQSwUGAAAAAAYABgBZAQAAkwUAAAAA&#10;">
                <v:fill on="f" focussize="0,0"/>
                <v:stroke weight="0.5pt" color="#000000" joinstyle="miter"/>
                <v:imagedata o:title=""/>
                <o:lock v:ext="edit" aspectratio="f"/>
              </v:line>
            </w:pict>
          </mc:Fallback>
        </mc:AlternateContent>
      </w:r>
      <w:r>
        <w:rPr>
          <w:rFonts w:ascii="Times New Roman" w:hAnsi="Times New Roman" w:eastAsia="宋体"/>
          <w:szCs w:val="21"/>
        </w:rPr>
        <w:t>[5]</w:t>
      </w:r>
      <w:r>
        <w:rPr>
          <w:rFonts w:hint="eastAsia" w:ascii="Times New Roman" w:hAnsi="Times New Roman" w:eastAsia="宋体"/>
          <w:szCs w:val="21"/>
        </w:rPr>
        <w:t>国家基本公共卫生服务规范（第三版）</w:t>
      </w:r>
      <w:bookmarkStart w:id="20" w:name="_GoBack"/>
      <w:bookmarkEnd w:id="20"/>
    </w:p>
    <w:sectPr>
      <w:pgSz w:w="11906" w:h="16838"/>
      <w:pgMar w:top="1417" w:right="1134" w:bottom="1134"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64E8">
    <w:pPr>
      <w:pStyle w:val="6"/>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89615BF">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0CD2F4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689615BF">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0CD2F47">
                    <w:pPr>
                      <w:rPr>
                        <w:rFonts w:hint="eastAsia"/>
                      </w:rPr>
                    </w:pPr>
                  </w:p>
                </w:txbxContent>
              </v:textbox>
            </v:shape>
          </w:pict>
        </mc:Fallback>
      </mc:AlternateContent>
    </w:r>
  </w:p>
  <w:p w14:paraId="3D2BD3A0">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141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30B7">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8F1E">
    <w:pPr>
      <w:pStyle w:val="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699C">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CB31B1">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I</w:t>
                          </w:r>
                          <w:r>
                            <w:rPr>
                              <w:rFonts w:ascii="Times New Roman" w:hAnsi="Times New Roman" w:eastAsia="宋体"/>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6uDDRAQAAow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ZhxZkTliZ++fH98vP35dc3&#10;dpP06QNWlPYQKDEOb/1AufM90mWiPbRg05cIMYqTuuerumqITKZH69V6XVJIUmx2CL94fB4A4zvl&#10;LUtGzYHGl1UVpw8Yx9Q5JVVz/l4bk0doHOtrfvv6pswPrhECN45qJBJjs8mKw36YmO19cyZiPa1A&#10;zR1tPGfmvSOF07bMBszGfjaOAfShox6XuR6GN8dI3eQmU4URdipMs8s0pz1Ly/G3n7Me/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Nergw0QEAAKMDAAAOAAAAAAAAAAEAIAAAAB8BAABk&#10;cnMvZTJvRG9jLnhtbFBLBQYAAAAABgAGAFkBAABiBQAAAAA=&#10;">
              <v:fill on="f" focussize="0,0"/>
              <v:stroke on="f" weight="0.5pt"/>
              <v:imagedata o:title=""/>
              <o:lock v:ext="edit" aspectratio="f"/>
              <v:textbox inset="0mm,0mm,0mm,0mm" style="mso-fit-shape-to-text:t;">
                <w:txbxContent>
                  <w:p w14:paraId="01CB31B1">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I</w:t>
                    </w:r>
                    <w:r>
                      <w:rPr>
                        <w:rFonts w:ascii="Times New Roman" w:hAnsi="Times New Roman" w:eastAsia="宋体"/>
                      </w:rPr>
                      <w:fldChar w:fldCharType="end"/>
                    </w:r>
                  </w:p>
                </w:txbxContent>
              </v:textbox>
            </v:shape>
          </w:pict>
        </mc:Fallback>
      </mc:AlternateContent>
    </w:r>
  </w:p>
  <w:p w14:paraId="44A95F5C">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3087">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2074BD">
                          <w:pPr>
                            <w:pStyle w:val="6"/>
                            <w:rPr>
                              <w:rFonts w:hint="eastAsia"/>
                            </w:rPr>
                          </w:pPr>
                          <w:r>
                            <w:rPr>
                              <w:rFonts w:hint="eastAsia" w:eastAsia="等线"/>
                            </w:rPr>
                            <w:fldChar w:fldCharType="begin"/>
                          </w:r>
                          <w:r>
                            <w:rPr>
                              <w:rFonts w:hint="eastAsia" w:eastAsia="等线"/>
                            </w:rPr>
                            <w:instrText xml:space="preserve"> PAGE  \* MERGEFORMAT </w:instrText>
                          </w:r>
                          <w:r>
                            <w:rPr>
                              <w:rFonts w:hint="eastAsia" w:eastAsia="等线"/>
                            </w:rPr>
                            <w:fldChar w:fldCharType="separate"/>
                          </w:r>
                          <w:r>
                            <w:rPr>
                              <w:rFonts w:hint="eastAsia" w:eastAsia="等线"/>
                            </w:rPr>
                            <w:t>2</w:t>
                          </w:r>
                          <w:r>
                            <w:rPr>
                              <w:rFonts w:hint="eastAsia" w:eastAsia="等线"/>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nGpvRAQAAogMAAA4AAABkcnMvZTJvRG9jLnhtbK1TzY7TMBC+I/EO&#10;lu80aRFL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yvL0ARrMug+Yl4a3fsClme8BLzPrQUWbv8iHYBzFPV/FlUMiIj9ar9brGkMCY7OD+NXD8xAhvZPe&#10;kmwwGnF6RVR++gBpTJ1TcjXn77QxZYLGkZ7Rm5ev6v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iZxqb0QEAAKIDAAAOAAAAAAAAAAEAIAAAAB8BAABk&#10;cnMvZTJvRG9jLnhtbFBLBQYAAAAABgAGAFkBAABiBQAAAAA=&#10;">
              <v:fill on="f" focussize="0,0"/>
              <v:stroke on="f" weight="0.5pt"/>
              <v:imagedata o:title=""/>
              <o:lock v:ext="edit" aspectratio="f"/>
              <v:textbox inset="0mm,0mm,0mm,0mm" style="mso-fit-shape-to-text:t;">
                <w:txbxContent>
                  <w:p w14:paraId="482074BD">
                    <w:pPr>
                      <w:pStyle w:val="6"/>
                      <w:rPr>
                        <w:rFonts w:hint="eastAsia"/>
                      </w:rPr>
                    </w:pPr>
                    <w:r>
                      <w:rPr>
                        <w:rFonts w:hint="eastAsia" w:eastAsia="等线"/>
                      </w:rPr>
                      <w:fldChar w:fldCharType="begin"/>
                    </w:r>
                    <w:r>
                      <w:rPr>
                        <w:rFonts w:hint="eastAsia" w:eastAsia="等线"/>
                      </w:rPr>
                      <w:instrText xml:space="preserve"> PAGE  \* MERGEFORMAT </w:instrText>
                    </w:r>
                    <w:r>
                      <w:rPr>
                        <w:rFonts w:hint="eastAsia" w:eastAsia="等线"/>
                      </w:rPr>
                      <w:fldChar w:fldCharType="separate"/>
                    </w:r>
                    <w:r>
                      <w:rPr>
                        <w:rFonts w:hint="eastAsia" w:eastAsia="等线"/>
                      </w:rPr>
                      <w:t>2</w:t>
                    </w:r>
                    <w:r>
                      <w:rPr>
                        <w:rFonts w:hint="eastAsia" w:eastAsia="等线"/>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6DF3">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9094">
    <w:pPr>
      <w:pStyle w:val="6"/>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87FB7B">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vtifTAQAApA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IubcEOJZQYnfv7x/fzz9/nX&#10;N7KskkC9hxrznjxmxuG9GzB5vge8TLwHGUz6IiOCcZT3dJFXDJHw9KhaVVWJIY6x2UH84vm5DxAf&#10;hDMkGQ0NOL8sKzt+gDimzimpmnX3Sus8Q21J39Dbm7dlfnCJILi2WCORGJtNVhx2w8Rs59oTEutx&#10;BxpqceUp0Y8WJU7rMhthNnazcfBB7TvscZnrgX93iNhNbjJVGGGnwji8THNatLQdf/s56/nn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HFvtifTAQAApAMAAA4AAAAAAAAAAQAgAAAAHwEA&#10;AGRycy9lMm9Eb2MueG1sUEsFBgAAAAAGAAYAWQEAAGQFAAAAAA==&#10;">
              <v:fill on="f" focussize="0,0"/>
              <v:stroke on="f" weight="0.5pt"/>
              <v:imagedata o:title=""/>
              <o:lock v:ext="edit" aspectratio="f"/>
              <v:textbox inset="0mm,0mm,0mm,0mm" style="mso-fit-shape-to-text:t;">
                <w:txbxContent>
                  <w:p w14:paraId="3A87FB7B">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1BEE8B">
                          <w:pPr>
                            <w:rPr>
                              <w:rFonts w:hint="eastAsia"/>
                            </w:rPr>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1SOTDdIBAACjAwAADgAAAAAAAAABACAAAAAfAQAA&#10;ZHJzL2Uyb0RvYy54bWxQSwUGAAAAAAYABgBZAQAAYwUAAAAA&#10;">
              <v:fill on="f" focussize="0,0"/>
              <v:stroke on="f" weight="0.5pt"/>
              <v:imagedata o:title=""/>
              <o:lock v:ext="edit" aspectratio="f"/>
              <v:textbox inset="0mm,0mm,0mm,0mm" style="mso-fit-shape-to-text:t;">
                <w:txbxContent>
                  <w:p w14:paraId="371BEE8B">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1661">
    <w:pPr>
      <w:pStyle w:val="6"/>
      <w:tabs>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7D4C88">
                          <w:pPr>
                            <w:pStyle w:val="6"/>
                            <w:jc w:val="both"/>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VxTi9IBAACjAwAADgAAAAAAAAABACAAAAAfAQAA&#10;ZHJzL2Uyb0RvYy54bWxQSwUGAAAAAAYABgBZAQAAYwUAAAAA&#10;">
              <v:fill on="f" focussize="0,0"/>
              <v:stroke on="f" weight="0.5pt"/>
              <v:imagedata o:title=""/>
              <o:lock v:ext="edit" aspectratio="f"/>
              <v:textbox inset="0mm,0mm,0mm,0mm" style="mso-fit-shape-to-text:t;">
                <w:txbxContent>
                  <w:p w14:paraId="6B7D4C88">
                    <w:pPr>
                      <w:pStyle w:val="6"/>
                      <w:jc w:val="both"/>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txbxContent>
              </v:textbox>
            </v:shape>
          </w:pict>
        </mc:Fallback>
      </mc:AlternateContent>
    </w:r>
    <w:r>
      <w:rPr>
        <w:rFonts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3B64">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94F1">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0BD3">
    <w:pPr>
      <w:pStyle w:val="7"/>
      <w:pBdr>
        <w:bottom w:val="none" w:color="auto" w:sz="0" w:space="0"/>
      </w:pBdr>
      <w:jc w:val="left"/>
      <w:rPr>
        <w:rFonts w:ascii="Times New Roman" w:hAnsi="Times New Roman" w:eastAsia="宋体"/>
      </w:rPr>
    </w:pPr>
    <w:r>
      <w:rPr>
        <w:rFonts w:ascii="Times New Roman" w:hAnsi="Times New Roman" w:eastAsia="宋体"/>
      </w:rPr>
      <w:t>T/CRHA XXX—202X</w:t>
    </w:r>
  </w:p>
  <w:p w14:paraId="1A5780C9">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4EE9">
    <w:pPr>
      <w:pStyle w:val="7"/>
      <w:pBdr>
        <w:bottom w:val="none" w:color="auto" w:sz="0" w:space="0"/>
      </w:pBdr>
      <w:jc w:val="left"/>
      <w:rPr>
        <w:rFonts w:ascii="Times New Roman" w:hAnsi="Times New Roman" w:eastAsia="宋体"/>
      </w:rPr>
    </w:pPr>
    <w:r>
      <w:rPr>
        <w:rFonts w:ascii="Times New Roman" w:hAnsi="Times New Roman" w:eastAsia="宋体"/>
      </w:rPr>
      <w:t>T/CRHA XXX—202X</w:t>
    </w:r>
  </w:p>
  <w:p w14:paraId="6D8B0F77">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172A27"/>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0F5054"/>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A27"/>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07D9A"/>
    <w:rsid w:val="00311695"/>
    <w:rsid w:val="0031175E"/>
    <w:rsid w:val="00315F43"/>
    <w:rsid w:val="003256F7"/>
    <w:rsid w:val="00327512"/>
    <w:rsid w:val="00327862"/>
    <w:rsid w:val="00331CC2"/>
    <w:rsid w:val="0033219D"/>
    <w:rsid w:val="0033587F"/>
    <w:rsid w:val="003400F5"/>
    <w:rsid w:val="00343D89"/>
    <w:rsid w:val="00344106"/>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83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CC"/>
    <w:rsid w:val="004833E2"/>
    <w:rsid w:val="0049165F"/>
    <w:rsid w:val="00493599"/>
    <w:rsid w:val="004A48C8"/>
    <w:rsid w:val="004A5FED"/>
    <w:rsid w:val="004A6F6F"/>
    <w:rsid w:val="004B3892"/>
    <w:rsid w:val="004C52AF"/>
    <w:rsid w:val="004C57D2"/>
    <w:rsid w:val="004C7695"/>
    <w:rsid w:val="004D1A69"/>
    <w:rsid w:val="004D3B8F"/>
    <w:rsid w:val="004D41EE"/>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4D2E"/>
    <w:rsid w:val="005C6025"/>
    <w:rsid w:val="005C6471"/>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3C1"/>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15F"/>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0A62"/>
    <w:rsid w:val="00A1116F"/>
    <w:rsid w:val="00A1166C"/>
    <w:rsid w:val="00A12AE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3C80"/>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42B1"/>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0D6D"/>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A2D3D"/>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DCC"/>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13FA"/>
    <w:rsid w:val="00F723C8"/>
    <w:rsid w:val="00F7713C"/>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25D2"/>
    <w:rsid w:val="00FD3142"/>
    <w:rsid w:val="00FD794C"/>
    <w:rsid w:val="00FE39F2"/>
    <w:rsid w:val="00FE6472"/>
    <w:rsid w:val="00FE6B1E"/>
    <w:rsid w:val="00FF1E6D"/>
    <w:rsid w:val="00FF46F9"/>
    <w:rsid w:val="00FF7904"/>
    <w:rsid w:val="01041951"/>
    <w:rsid w:val="01A249C3"/>
    <w:rsid w:val="03CA6453"/>
    <w:rsid w:val="04B05649"/>
    <w:rsid w:val="04C717A9"/>
    <w:rsid w:val="055C0434"/>
    <w:rsid w:val="05C173E2"/>
    <w:rsid w:val="05D610DF"/>
    <w:rsid w:val="05E40C54"/>
    <w:rsid w:val="0620235A"/>
    <w:rsid w:val="06A42377"/>
    <w:rsid w:val="073C1416"/>
    <w:rsid w:val="07587E1D"/>
    <w:rsid w:val="078337FD"/>
    <w:rsid w:val="07900ABA"/>
    <w:rsid w:val="0A5E0EBE"/>
    <w:rsid w:val="0AF9CB7F"/>
    <w:rsid w:val="0B5F3925"/>
    <w:rsid w:val="11036E61"/>
    <w:rsid w:val="128B3251"/>
    <w:rsid w:val="13836007"/>
    <w:rsid w:val="13A14AC4"/>
    <w:rsid w:val="150C03F7"/>
    <w:rsid w:val="17A70B2D"/>
    <w:rsid w:val="18D72D4C"/>
    <w:rsid w:val="1981715C"/>
    <w:rsid w:val="1A11228E"/>
    <w:rsid w:val="1D5E7B70"/>
    <w:rsid w:val="1EEB7D15"/>
    <w:rsid w:val="206E0FC8"/>
    <w:rsid w:val="21303651"/>
    <w:rsid w:val="23B02BC5"/>
    <w:rsid w:val="24D26ABE"/>
    <w:rsid w:val="25FE5651"/>
    <w:rsid w:val="26472A30"/>
    <w:rsid w:val="264F486A"/>
    <w:rsid w:val="26D27249"/>
    <w:rsid w:val="26EE4083"/>
    <w:rsid w:val="29AC5B2F"/>
    <w:rsid w:val="2ACB3B4E"/>
    <w:rsid w:val="2B0F45C8"/>
    <w:rsid w:val="2B54647E"/>
    <w:rsid w:val="2D5D6C5F"/>
    <w:rsid w:val="2E47409D"/>
    <w:rsid w:val="2E9A689E"/>
    <w:rsid w:val="2F350375"/>
    <w:rsid w:val="30185CCC"/>
    <w:rsid w:val="312F7772"/>
    <w:rsid w:val="31494EC6"/>
    <w:rsid w:val="31FB2065"/>
    <w:rsid w:val="328E04C8"/>
    <w:rsid w:val="32F56799"/>
    <w:rsid w:val="34473024"/>
    <w:rsid w:val="34803EC8"/>
    <w:rsid w:val="34B9379B"/>
    <w:rsid w:val="35C661CB"/>
    <w:rsid w:val="35E772E4"/>
    <w:rsid w:val="36D44917"/>
    <w:rsid w:val="395104A1"/>
    <w:rsid w:val="39785A2E"/>
    <w:rsid w:val="39981C2C"/>
    <w:rsid w:val="3A0D43C8"/>
    <w:rsid w:val="3B247C1B"/>
    <w:rsid w:val="3C1C6B44"/>
    <w:rsid w:val="3C44723E"/>
    <w:rsid w:val="3EAE7781"/>
    <w:rsid w:val="3F779754"/>
    <w:rsid w:val="3FA78228"/>
    <w:rsid w:val="41197AF6"/>
    <w:rsid w:val="42615382"/>
    <w:rsid w:val="42E163F2"/>
    <w:rsid w:val="43317379"/>
    <w:rsid w:val="439B2A45"/>
    <w:rsid w:val="43A06673"/>
    <w:rsid w:val="44E13032"/>
    <w:rsid w:val="4687467B"/>
    <w:rsid w:val="47A0687C"/>
    <w:rsid w:val="47DB5D36"/>
    <w:rsid w:val="48AF2AEE"/>
    <w:rsid w:val="48BC5937"/>
    <w:rsid w:val="49A2495C"/>
    <w:rsid w:val="4A603B63"/>
    <w:rsid w:val="4AD14F9E"/>
    <w:rsid w:val="4BC13157"/>
    <w:rsid w:val="4C303B79"/>
    <w:rsid w:val="5248023B"/>
    <w:rsid w:val="53195734"/>
    <w:rsid w:val="54332825"/>
    <w:rsid w:val="5439223A"/>
    <w:rsid w:val="553F0BCB"/>
    <w:rsid w:val="5842572D"/>
    <w:rsid w:val="5C3435DF"/>
    <w:rsid w:val="5C367357"/>
    <w:rsid w:val="5C6914DA"/>
    <w:rsid w:val="5C696B87"/>
    <w:rsid w:val="5D2378DB"/>
    <w:rsid w:val="5D7A14C5"/>
    <w:rsid w:val="5DAB5B22"/>
    <w:rsid w:val="60730B79"/>
    <w:rsid w:val="60732830"/>
    <w:rsid w:val="61452CD9"/>
    <w:rsid w:val="61D0720B"/>
    <w:rsid w:val="63DE1DF7"/>
    <w:rsid w:val="650F518F"/>
    <w:rsid w:val="66252916"/>
    <w:rsid w:val="68964C95"/>
    <w:rsid w:val="69CC12FA"/>
    <w:rsid w:val="6EBBEF1C"/>
    <w:rsid w:val="6F924D1E"/>
    <w:rsid w:val="70120D53"/>
    <w:rsid w:val="701E08C7"/>
    <w:rsid w:val="70932323"/>
    <w:rsid w:val="74322378"/>
    <w:rsid w:val="754049A5"/>
    <w:rsid w:val="755D4604"/>
    <w:rsid w:val="75E1266E"/>
    <w:rsid w:val="76FF0615"/>
    <w:rsid w:val="77AFCE9C"/>
    <w:rsid w:val="78DE6954"/>
    <w:rsid w:val="794669D3"/>
    <w:rsid w:val="79BF6786"/>
    <w:rsid w:val="7ACC7DC7"/>
    <w:rsid w:val="7B454A69"/>
    <w:rsid w:val="7C7951F7"/>
    <w:rsid w:val="7CC83BA3"/>
    <w:rsid w:val="7DE62CF4"/>
    <w:rsid w:val="7E1F5A45"/>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style>
  <w:style w:type="paragraph" w:styleId="3">
    <w:name w:val="annotation text"/>
    <w:basedOn w:val="1"/>
    <w:link w:val="28"/>
    <w:unhideWhenUsed/>
    <w:qFormat/>
    <w:uiPriority w:val="99"/>
    <w:pPr>
      <w:jc w:val="left"/>
    </w:pPr>
  </w:style>
  <w:style w:type="paragraph" w:styleId="4">
    <w:name w:val="toc 3"/>
    <w:basedOn w:val="1"/>
    <w:next w:val="1"/>
    <w:semiHidden/>
    <w:unhideWhenUsed/>
    <w:qFormat/>
    <w:uiPriority w:val="39"/>
    <w:pPr>
      <w:ind w:left="840" w:leftChars="400"/>
    </w:pPr>
  </w:style>
  <w:style w:type="paragraph" w:styleId="5">
    <w:name w:val="Balloon Text"/>
    <w:basedOn w:val="1"/>
    <w:link w:val="30"/>
    <w:unhideWhenUsed/>
    <w:qFormat/>
    <w:uiPriority w:val="99"/>
    <w:rPr>
      <w:sz w:val="18"/>
      <w:szCs w:val="18"/>
    </w:rPr>
  </w:style>
  <w:style w:type="paragraph" w:styleId="6">
    <w:name w:val="footer"/>
    <w:basedOn w:val="1"/>
    <w:link w:val="52"/>
    <w:unhideWhenUsed/>
    <w:qFormat/>
    <w:uiPriority w:val="99"/>
    <w:pPr>
      <w:tabs>
        <w:tab w:val="center" w:pos="4153"/>
        <w:tab w:val="right" w:pos="8306"/>
      </w:tabs>
      <w:snapToGrid w:val="0"/>
      <w:jc w:val="left"/>
    </w:pPr>
    <w:rPr>
      <w:sz w:val="18"/>
      <w:szCs w:val="18"/>
    </w:rPr>
  </w:style>
  <w:style w:type="paragraph" w:styleId="7">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semiHidden/>
    <w:unhideWhenUsed/>
    <w:qFormat/>
    <w:uiPriority w:val="39"/>
    <w:pPr>
      <w:ind w:left="420" w:leftChars="200"/>
    </w:pPr>
  </w:style>
  <w:style w:type="paragraph" w:styleId="10">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29"/>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99"/>
    <w:rPr>
      <w:sz w:val="21"/>
      <w:szCs w:val="21"/>
    </w:rPr>
  </w:style>
  <w:style w:type="paragraph" w:customStyle="1" w:styleId="19">
    <w:name w:val="列出段落1"/>
    <w:basedOn w:val="1"/>
    <w:link w:val="23"/>
    <w:qFormat/>
    <w:uiPriority w:val="34"/>
    <w:pPr>
      <w:ind w:firstLine="420" w:firstLineChars="200"/>
    </w:pPr>
  </w:style>
  <w:style w:type="character" w:customStyle="1" w:styleId="20">
    <w:name w:val="页眉 Char"/>
    <w:basedOn w:val="15"/>
    <w:qFormat/>
    <w:uiPriority w:val="99"/>
    <w:rPr>
      <w:sz w:val="18"/>
      <w:szCs w:val="18"/>
    </w:rPr>
  </w:style>
  <w:style w:type="character" w:customStyle="1" w:styleId="21">
    <w:name w:val="页脚 Char"/>
    <w:basedOn w:val="15"/>
    <w:qFormat/>
    <w:uiPriority w:val="99"/>
    <w:rPr>
      <w:sz w:val="18"/>
      <w:szCs w:val="18"/>
    </w:rPr>
  </w:style>
  <w:style w:type="paragraph" w:customStyle="1" w:styleId="22">
    <w:name w:val="EndNote Bibliography Title"/>
    <w:basedOn w:val="1"/>
    <w:link w:val="24"/>
    <w:qFormat/>
    <w:uiPriority w:val="0"/>
    <w:pPr>
      <w:jc w:val="center"/>
    </w:pPr>
    <w:rPr>
      <w:rFonts w:ascii="等线" w:hAnsi="等线" w:eastAsia="等线"/>
      <w:sz w:val="20"/>
    </w:rPr>
  </w:style>
  <w:style w:type="character" w:customStyle="1" w:styleId="23">
    <w:name w:val="列出段落 Char"/>
    <w:basedOn w:val="15"/>
    <w:link w:val="19"/>
    <w:qFormat/>
    <w:uiPriority w:val="34"/>
  </w:style>
  <w:style w:type="character" w:customStyle="1" w:styleId="24">
    <w:name w:val="EndNote Bibliography Title 字符"/>
    <w:basedOn w:val="23"/>
    <w:link w:val="22"/>
    <w:qFormat/>
    <w:uiPriority w:val="0"/>
    <w:rPr>
      <w:rFonts w:ascii="等线" w:hAnsi="等线" w:eastAsia="等线"/>
      <w:sz w:val="20"/>
    </w:rPr>
  </w:style>
  <w:style w:type="paragraph" w:customStyle="1" w:styleId="25">
    <w:name w:val="EndNote Bibliography"/>
    <w:basedOn w:val="1"/>
    <w:link w:val="26"/>
    <w:qFormat/>
    <w:uiPriority w:val="0"/>
    <w:rPr>
      <w:rFonts w:ascii="等线" w:hAnsi="等线" w:eastAsia="等线"/>
      <w:sz w:val="20"/>
    </w:rPr>
  </w:style>
  <w:style w:type="character" w:customStyle="1" w:styleId="26">
    <w:name w:val="EndNote Bibliography 字符"/>
    <w:basedOn w:val="23"/>
    <w:link w:val="25"/>
    <w:qFormat/>
    <w:uiPriority w:val="0"/>
    <w:rPr>
      <w:rFonts w:ascii="等线" w:hAnsi="等线" w:eastAsia="等线"/>
      <w:sz w:val="20"/>
    </w:rPr>
  </w:style>
  <w:style w:type="character" w:customStyle="1" w:styleId="27">
    <w:name w:val="未处理的提及1"/>
    <w:basedOn w:val="15"/>
    <w:unhideWhenUsed/>
    <w:qFormat/>
    <w:uiPriority w:val="99"/>
    <w:rPr>
      <w:color w:val="605E5C"/>
      <w:shd w:val="clear" w:color="auto" w:fill="E1DFDD"/>
    </w:rPr>
  </w:style>
  <w:style w:type="character" w:customStyle="1" w:styleId="28">
    <w:name w:val="批注文字 字符"/>
    <w:basedOn w:val="15"/>
    <w:link w:val="3"/>
    <w:semiHidden/>
    <w:qFormat/>
    <w:uiPriority w:val="99"/>
  </w:style>
  <w:style w:type="character" w:customStyle="1" w:styleId="29">
    <w:name w:val="批注主题 字符"/>
    <w:basedOn w:val="28"/>
    <w:link w:val="12"/>
    <w:semiHidden/>
    <w:qFormat/>
    <w:uiPriority w:val="99"/>
    <w:rPr>
      <w:b/>
      <w:bCs/>
    </w:rPr>
  </w:style>
  <w:style w:type="character" w:customStyle="1" w:styleId="30">
    <w:name w:val="批注框文本 字符"/>
    <w:basedOn w:val="15"/>
    <w:link w:val="5"/>
    <w:semiHidden/>
    <w:qFormat/>
    <w:uiPriority w:val="99"/>
    <w:rPr>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semiHidden/>
    <w:qFormat/>
    <w:uiPriority w:val="99"/>
    <w:rPr>
      <w:rFonts w:ascii="宋体" w:hAnsi="宋体" w:eastAsia="宋体" w:cs="宋体"/>
      <w:kern w:val="0"/>
      <w:sz w:val="24"/>
      <w:szCs w:val="24"/>
    </w:rPr>
  </w:style>
  <w:style w:type="character" w:customStyle="1" w:styleId="33">
    <w:name w:val="y2iqfc"/>
    <w:basedOn w:val="15"/>
    <w:qFormat/>
    <w:uiPriority w:val="0"/>
  </w:style>
  <w:style w:type="character" w:customStyle="1" w:styleId="34">
    <w:name w:val="inner-text-paragraph-org"/>
    <w:basedOn w:val="15"/>
    <w:qFormat/>
    <w:uiPriority w:val="0"/>
  </w:style>
  <w:style w:type="character" w:customStyle="1" w:styleId="35">
    <w:name w:val="未处理的提及2"/>
    <w:basedOn w:val="15"/>
    <w:unhideWhenUsed/>
    <w:qFormat/>
    <w:uiPriority w:val="99"/>
    <w:rPr>
      <w:color w:val="605E5C"/>
      <w:shd w:val="clear" w:color="auto" w:fill="E1DFDD"/>
    </w:rPr>
  </w:style>
  <w:style w:type="character" w:customStyle="1" w:styleId="36">
    <w:name w:val="列表段落 字符1"/>
    <w:basedOn w:val="15"/>
    <w:qFormat/>
    <w:uiPriority w:val="34"/>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qFormat/>
    <w:uiPriority w:val="0"/>
    <w:pPr>
      <w:framePr w:wrap="around" w:vAnchor="page" w:hAnchor="text" w:x="1419"/>
    </w:pPr>
  </w:style>
  <w:style w:type="paragraph" w:customStyle="1" w:styleId="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qFormat/>
    <w:uiPriority w:val="0"/>
  </w:style>
  <w:style w:type="paragraph" w:customStyle="1" w:styleId="48">
    <w:name w:val="正文缩进1"/>
    <w:basedOn w:val="1"/>
    <w:unhideWhenUsed/>
    <w:qFormat/>
    <w:uiPriority w:val="0"/>
    <w:pPr>
      <w:ind w:firstLine="200" w:firstLineChars="200"/>
    </w:pPr>
    <w:rPr>
      <w:rFonts w:hint="eastAsia"/>
    </w:rPr>
  </w:style>
  <w:style w:type="paragraph" w:customStyle="1" w:styleId="49">
    <w:name w:val="WPSOffice手动目录 1"/>
    <w:unhideWhenUsed/>
    <w:qFormat/>
    <w:uiPriority w:val="0"/>
    <w:rPr>
      <w:rFonts w:hint="eastAsia" w:ascii="Times New Roman" w:hAnsi="Times New Roman" w:eastAsia="宋体" w:cs="Times New Roman"/>
      <w:lang w:val="en-US" w:eastAsia="zh-CN" w:bidi="ar-SA"/>
    </w:rPr>
  </w:style>
  <w:style w:type="paragraph" w:customStyle="1" w:styleId="50">
    <w:name w:val="WPSOffice手动目录 2"/>
    <w:unhideWhenUsed/>
    <w:qFormat/>
    <w:uiPriority w:val="0"/>
    <w:pPr>
      <w:ind w:left="200" w:leftChars="200"/>
    </w:pPr>
    <w:rPr>
      <w:rFonts w:hint="eastAsia" w:ascii="Times New Roman" w:hAnsi="Times New Roman" w:eastAsia="宋体" w:cs="Times New Roman"/>
      <w:lang w:val="en-US" w:eastAsia="zh-CN" w:bidi="ar-SA"/>
    </w:rPr>
  </w:style>
  <w:style w:type="paragraph" w:customStyle="1" w:styleId="51">
    <w:name w:val="WPSOffice手动目录 3"/>
    <w:unhideWhenUsed/>
    <w:qFormat/>
    <w:uiPriority w:val="0"/>
    <w:pPr>
      <w:ind w:left="400" w:leftChars="400"/>
    </w:pPr>
    <w:rPr>
      <w:rFonts w:hint="eastAsia" w:ascii="Times New Roman" w:hAnsi="Times New Roman" w:eastAsia="宋体" w:cs="Times New Roman"/>
      <w:lang w:val="en-US" w:eastAsia="zh-CN" w:bidi="ar-SA"/>
    </w:rPr>
  </w:style>
  <w:style w:type="character" w:customStyle="1" w:styleId="52">
    <w:name w:val="页脚 字符"/>
    <w:basedOn w:val="15"/>
    <w:link w:val="6"/>
    <w:unhideWhenUsed/>
    <w:qFormat/>
    <w:uiPriority w:val="99"/>
    <w:rPr>
      <w:rFonts w:hint="eastAsia" w:ascii="等线" w:hAnsi="等线" w:eastAsia="等线" w:cs="Times New Roman"/>
      <w:kern w:val="2"/>
      <w:sz w:val="18"/>
      <w:szCs w:val="18"/>
    </w:rPr>
  </w:style>
  <w:style w:type="character" w:customStyle="1" w:styleId="53">
    <w:name w:val="页眉 字符"/>
    <w:basedOn w:val="15"/>
    <w:link w:val="7"/>
    <w:unhideWhenUsed/>
    <w:qFormat/>
    <w:uiPriority w:val="99"/>
    <w:rPr>
      <w:rFonts w:hint="eastAsia" w:ascii="等线" w:hAnsi="等线" w:eastAsia="等线" w:cs="Times New Roman"/>
      <w:kern w:val="2"/>
      <w:sz w:val="18"/>
      <w:szCs w:val="18"/>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9494</Words>
  <Characters>9955</Characters>
  <Lines>85</Lines>
  <Paragraphs>24</Paragraphs>
  <TotalTime>31</TotalTime>
  <ScaleCrop>false</ScaleCrop>
  <LinksUpToDate>false</LinksUpToDate>
  <CharactersWithSpaces>10165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2025-08-22T03:16:38Z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BA6F5279116A48099E345038A1BC9799_13</vt:lpwstr>
  </property>
  <property fmtid="{D5CDD505-2E9C-101B-9397-08002B2CF9AE}" pid="4" name="KSOTemplateDocerSaveRecord">
    <vt:lpwstr>eyJoZGlkIjoiMTFmMDJjZGU0YzYzNjgxMjg1NzBlNDNlZWZkY2IyNjMiLCJ1c2VySWQiOiIxMzc2MzQzNjk3In0=</vt:lpwstr>
  </property>
</Properties>
</file>