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2AD3D">
      <w:pPr>
        <w:pStyle w:val="40"/>
        <w:framePr w:wrap="around" w:vAnchor="page" w:hAnchor="page" w:x="1827" w:y="821"/>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3A0D0648">
      <w:pPr>
        <w:pStyle w:val="40"/>
        <w:framePr w:wrap="around" w:vAnchor="page" w:hAnchor="page" w:x="1827" w:y="821"/>
        <w:rPr>
          <w:rFonts w:ascii="Times New Roman"/>
          <w:b/>
          <w:bCs/>
        </w:rPr>
      </w:pPr>
      <w:r>
        <w:rPr>
          <w:rFonts w:hint="eastAsia" w:ascii="Times New Roman"/>
          <w:b/>
          <w:bCs/>
        </w:rPr>
        <w:t>CCS C 05</w:t>
      </w:r>
    </w:p>
    <w:p w14:paraId="20B6BB38">
      <w:pPr>
        <w:pStyle w:val="44"/>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30B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D391CA0">
            <w:pPr>
              <w:pStyle w:val="42"/>
              <w:framePr w:wrap="around" w:x="1382" w:y="3031"/>
              <w:rPr>
                <w:rFonts w:hint="default" w:eastAsia="黑体"/>
                <w:lang w:val="en-US"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lang w:val="en-US" w:eastAsia="zh-CN"/>
              </w:rPr>
              <w:t>2025</w:t>
            </w:r>
          </w:p>
        </w:tc>
      </w:tr>
    </w:tbl>
    <w:p w14:paraId="6C5C4FF0">
      <w:pPr>
        <w:pStyle w:val="42"/>
        <w:framePr w:wrap="around" w:x="1382" w:y="3031"/>
        <w:jc w:val="center"/>
      </w:pPr>
      <w:r>
        <w:rPr>
          <w:rFonts w:hint="eastAsia"/>
        </w:rPr>
        <w:t>————————————————————————————————————————</w:t>
      </w:r>
    </w:p>
    <w:p w14:paraId="2C7398B5">
      <w:pPr>
        <w:pStyle w:val="42"/>
        <w:framePr w:wrap="around" w:x="1382" w:y="3031"/>
      </w:pPr>
    </w:p>
    <w:p w14:paraId="69B62E98">
      <w:pPr>
        <w:pStyle w:val="41"/>
        <w:keepNext/>
        <w:keepLines/>
        <w:framePr w:w="9116" w:h="4986" w:hRule="exact" w:wrap="around" w:vAnchor="page" w:hAnchor="page" w:x="1327" w:y="6897" w:anchorLock="1"/>
        <w:ind w:firstLine="0"/>
        <w:jc w:val="center"/>
        <w:outlineLvl w:val="9"/>
        <w:rPr>
          <w:rFonts w:hint="eastAsia" w:ascii="黑体" w:hAnsi="黑体" w:eastAsia="黑体" w:cs="黑体"/>
          <w:sz w:val="52"/>
          <w:szCs w:val="52"/>
          <w:lang w:val="en-US" w:eastAsia="zh-CN"/>
        </w:rPr>
      </w:pPr>
      <w:bookmarkStart w:id="1" w:name="StdEnglishName"/>
      <w:r>
        <w:rPr>
          <w:rFonts w:hint="eastAsia" w:ascii="黑体" w:hAnsi="黑体" w:eastAsia="黑体" w:cs="黑体"/>
          <w:sz w:val="52"/>
          <w:szCs w:val="52"/>
          <w:lang w:val="en-US" w:eastAsia="zh-CN"/>
        </w:rPr>
        <w:t>智慧化血管健康全生命周期数字管理分级诊疗实践规范</w:t>
      </w:r>
    </w:p>
    <w:p w14:paraId="0D266B11">
      <w:pPr>
        <w:pStyle w:val="41"/>
        <w:keepNext/>
        <w:keepLines/>
        <w:framePr w:w="9116" w:h="4986" w:hRule="exact" w:wrap="around" w:vAnchor="page" w:hAnchor="page" w:x="1327" w:y="6897" w:anchorLock="1"/>
        <w:ind w:firstLine="0"/>
        <w:jc w:val="center"/>
        <w:outlineLvl w:val="9"/>
        <w:rPr>
          <w:rFonts w:ascii="Times New Roman" w:hAnsi="Times New Roman" w:cs="Times New Roman"/>
          <w:sz w:val="28"/>
          <w:szCs w:val="28"/>
          <w:lang w:val="en-US" w:eastAsia="zh-CN"/>
        </w:rPr>
      </w:pPr>
      <w:r>
        <w:rPr>
          <w:rFonts w:ascii="Times New Roman" w:hAnsi="Times New Roman" w:cs="Times New Roman"/>
          <w:sz w:val="28"/>
          <w:szCs w:val="28"/>
          <w:lang w:val="en-US" w:eastAsia="zh-CN"/>
        </w:rPr>
        <w:t xml:space="preserve">Digital </w:t>
      </w:r>
      <w:r>
        <w:rPr>
          <w:rFonts w:hint="eastAsia" w:ascii="Times New Roman" w:hAnsi="Times New Roman" w:cs="Times New Roman"/>
          <w:sz w:val="28"/>
          <w:szCs w:val="28"/>
          <w:lang w:val="en-US" w:eastAsia="zh-CN"/>
        </w:rPr>
        <w:t>h</w:t>
      </w:r>
      <w:r>
        <w:rPr>
          <w:rFonts w:ascii="Times New Roman" w:hAnsi="Times New Roman" w:cs="Times New Roman"/>
          <w:sz w:val="28"/>
          <w:szCs w:val="28"/>
          <w:lang w:val="en-US" w:eastAsia="zh-CN"/>
        </w:rPr>
        <w:t xml:space="preserve">ierarchic </w:t>
      </w:r>
      <w:r>
        <w:rPr>
          <w:rFonts w:hint="eastAsia" w:ascii="Times New Roman" w:hAnsi="Times New Roman" w:cs="Times New Roman"/>
          <w:sz w:val="28"/>
          <w:szCs w:val="28"/>
          <w:lang w:val="en-US" w:eastAsia="zh-CN"/>
        </w:rPr>
        <w:t>h</w:t>
      </w:r>
      <w:r>
        <w:rPr>
          <w:rFonts w:ascii="Times New Roman" w:hAnsi="Times New Roman" w:cs="Times New Roman"/>
          <w:sz w:val="28"/>
          <w:szCs w:val="28"/>
          <w:lang w:val="en-US" w:eastAsia="zh-CN"/>
        </w:rPr>
        <w:t xml:space="preserve">ealthcare </w:t>
      </w:r>
      <w:r>
        <w:rPr>
          <w:rFonts w:hint="eastAsia" w:ascii="Times New Roman" w:hAnsi="Times New Roman" w:cs="Times New Roman"/>
          <w:sz w:val="28"/>
          <w:szCs w:val="28"/>
          <w:lang w:val="en-US" w:eastAsia="zh-CN"/>
        </w:rPr>
        <w:t>c</w:t>
      </w:r>
      <w:r>
        <w:rPr>
          <w:rFonts w:ascii="Times New Roman" w:hAnsi="Times New Roman" w:cs="Times New Roman"/>
          <w:sz w:val="28"/>
          <w:szCs w:val="28"/>
          <w:lang w:val="en-US" w:eastAsia="zh-CN"/>
        </w:rPr>
        <w:t xml:space="preserve">linical </w:t>
      </w:r>
      <w:r>
        <w:rPr>
          <w:rFonts w:hint="eastAsia" w:ascii="Times New Roman" w:hAnsi="Times New Roman" w:cs="Times New Roman"/>
          <w:sz w:val="28"/>
          <w:szCs w:val="28"/>
          <w:lang w:val="en-US" w:eastAsia="zh-CN"/>
        </w:rPr>
        <w:t>p</w:t>
      </w:r>
      <w:r>
        <w:rPr>
          <w:rFonts w:ascii="Times New Roman" w:hAnsi="Times New Roman" w:cs="Times New Roman"/>
          <w:sz w:val="28"/>
          <w:szCs w:val="28"/>
          <w:lang w:val="en-US" w:eastAsia="zh-CN"/>
        </w:rPr>
        <w:t xml:space="preserve">ractice </w:t>
      </w:r>
      <w:r>
        <w:rPr>
          <w:rFonts w:hint="eastAsia" w:ascii="Times New Roman" w:hAnsi="Times New Roman" w:cs="Times New Roman"/>
          <w:sz w:val="28"/>
          <w:szCs w:val="28"/>
          <w:lang w:val="en-US" w:eastAsia="zh-CN"/>
        </w:rPr>
        <w:t>s</w:t>
      </w:r>
      <w:r>
        <w:rPr>
          <w:rFonts w:ascii="Times New Roman" w:hAnsi="Times New Roman" w:cs="Times New Roman"/>
          <w:sz w:val="28"/>
          <w:szCs w:val="28"/>
          <w:lang w:val="en-US" w:eastAsia="zh-CN"/>
        </w:rPr>
        <w:t xml:space="preserve">tandard for </w:t>
      </w:r>
      <w:r>
        <w:rPr>
          <w:rFonts w:hint="eastAsia" w:ascii="Times New Roman" w:hAnsi="Times New Roman" w:cs="Times New Roman"/>
          <w:sz w:val="28"/>
          <w:szCs w:val="28"/>
          <w:lang w:val="en-US" w:eastAsia="zh-CN"/>
        </w:rPr>
        <w:t>i</w:t>
      </w:r>
      <w:r>
        <w:rPr>
          <w:rFonts w:ascii="Times New Roman" w:hAnsi="Times New Roman" w:cs="Times New Roman"/>
          <w:sz w:val="28"/>
          <w:szCs w:val="28"/>
          <w:lang w:val="en-US" w:eastAsia="zh-CN"/>
        </w:rPr>
        <w:t xml:space="preserve">ntellectualized </w:t>
      </w:r>
      <w:r>
        <w:rPr>
          <w:rFonts w:hint="eastAsia" w:ascii="Times New Roman" w:hAnsi="Times New Roman" w:cs="Times New Roman"/>
          <w:sz w:val="28"/>
          <w:szCs w:val="28"/>
          <w:lang w:val="en-US" w:eastAsia="zh-CN"/>
        </w:rPr>
        <w:t>w</w:t>
      </w:r>
      <w:r>
        <w:rPr>
          <w:rFonts w:ascii="Times New Roman" w:hAnsi="Times New Roman" w:cs="Times New Roman"/>
          <w:sz w:val="28"/>
          <w:szCs w:val="28"/>
          <w:lang w:val="en-US" w:eastAsia="zh-CN"/>
        </w:rPr>
        <w:t xml:space="preserve">hole-Life </w:t>
      </w:r>
      <w:r>
        <w:rPr>
          <w:rFonts w:hint="eastAsia" w:ascii="Times New Roman" w:hAnsi="Times New Roman" w:cs="Times New Roman"/>
          <w:sz w:val="28"/>
          <w:szCs w:val="28"/>
          <w:lang w:val="en-US" w:eastAsia="zh-CN"/>
        </w:rPr>
        <w:t>v</w:t>
      </w:r>
      <w:r>
        <w:rPr>
          <w:rFonts w:ascii="Times New Roman" w:hAnsi="Times New Roman" w:cs="Times New Roman"/>
          <w:sz w:val="28"/>
          <w:szCs w:val="28"/>
          <w:lang w:val="en-US" w:eastAsia="zh-CN"/>
        </w:rPr>
        <w:t xml:space="preserve">ascular </w:t>
      </w:r>
      <w:r>
        <w:rPr>
          <w:rFonts w:hint="eastAsia" w:ascii="Times New Roman" w:hAnsi="Times New Roman" w:cs="Times New Roman"/>
          <w:sz w:val="28"/>
          <w:szCs w:val="28"/>
          <w:lang w:val="en-US" w:eastAsia="zh-CN"/>
        </w:rPr>
        <w:t>h</w:t>
      </w:r>
      <w:r>
        <w:rPr>
          <w:rFonts w:ascii="Times New Roman" w:hAnsi="Times New Roman" w:cs="Times New Roman"/>
          <w:sz w:val="28"/>
          <w:szCs w:val="28"/>
          <w:lang w:val="en-US" w:eastAsia="zh-CN"/>
        </w:rPr>
        <w:t xml:space="preserve">ealth </w:t>
      </w:r>
      <w:r>
        <w:rPr>
          <w:rFonts w:hint="eastAsia" w:ascii="Times New Roman" w:hAnsi="Times New Roman" w:cs="Times New Roman"/>
          <w:sz w:val="28"/>
          <w:szCs w:val="28"/>
          <w:lang w:val="en-US" w:eastAsia="zh-CN"/>
        </w:rPr>
        <w:t>m</w:t>
      </w:r>
      <w:r>
        <w:rPr>
          <w:rFonts w:ascii="Times New Roman" w:hAnsi="Times New Roman" w:cs="Times New Roman"/>
          <w:sz w:val="28"/>
          <w:szCs w:val="28"/>
          <w:lang w:val="en-US" w:eastAsia="zh-CN"/>
        </w:rPr>
        <w:t>anagement</w:t>
      </w:r>
    </w:p>
    <w:p w14:paraId="15E62998">
      <w:pPr>
        <w:pStyle w:val="41"/>
        <w:keepNext/>
        <w:keepLines/>
        <w:framePr w:w="9116" w:h="4986" w:hRule="exact" w:wrap="around" w:vAnchor="page" w:hAnchor="page" w:x="1327" w:y="6897" w:anchorLock="1"/>
        <w:ind w:firstLine="0"/>
        <w:jc w:val="center"/>
        <w:outlineLvl w:val="9"/>
        <w:rPr>
          <w:rFonts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（征求意见稿）</w:t>
      </w:r>
    </w:p>
    <w:p w14:paraId="39D66B75">
      <w:pPr>
        <w:pStyle w:val="48"/>
        <w:framePr w:w="9331" w:wrap="around" w:hAnchor="page" w:x="1242" w:y="14800"/>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71E54D07">
      <w:pPr>
        <w:pStyle w:val="46"/>
        <w:framePr w:w="9416" w:wrap="around" w:x="1294" w:y="15265"/>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发布</w:t>
      </w:r>
      <w:bookmarkEnd w:id="1"/>
    </w:p>
    <w:p w14:paraId="04C90A78">
      <w:pPr>
        <w:rPr>
          <w:rFonts w:hint="eastAsia" w:eastAsia="宋体"/>
        </w:rPr>
      </w:pPr>
      <w:r>
        <w:rPr>
          <w:rFonts w:hint="eastAsia" w:eastAsia="宋体"/>
        </w:rPr>
        <w:drawing>
          <wp:anchor distT="0" distB="0" distL="114300" distR="114300" simplePos="0" relativeHeight="251659264" behindDoc="0" locked="0" layoutInCell="1" allowOverlap="1">
            <wp:simplePos x="0" y="0"/>
            <wp:positionH relativeFrom="column">
              <wp:posOffset>4564380</wp:posOffset>
            </wp:positionH>
            <wp:positionV relativeFrom="paragraph">
              <wp:posOffset>-791210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8" cstate="print"/>
                    <a:stretch>
                      <a:fillRect/>
                    </a:stretch>
                  </pic:blipFill>
                  <pic:spPr>
                    <a:xfrm>
                      <a:off x="0" y="0"/>
                      <a:ext cx="1076325" cy="1040130"/>
                    </a:xfrm>
                    <a:prstGeom prst="rect">
                      <a:avLst/>
                    </a:prstGeom>
                  </pic:spPr>
                </pic:pic>
              </a:graphicData>
            </a:graphic>
          </wp:anchor>
        </w:drawing>
      </w:r>
    </w:p>
    <w:p w14:paraId="2FA35A10">
      <w:pPr>
        <w:widowControl/>
        <w:spacing w:line="360" w:lineRule="auto"/>
        <w:jc w:val="center"/>
        <w:rPr>
          <w:rFonts w:hint="eastAsia" w:ascii="黑体" w:hAnsi="黑体" w:eastAsia="黑体" w:cs="黑体"/>
          <w:color w:val="FF0000"/>
          <w:sz w:val="32"/>
          <w:szCs w:val="32"/>
        </w:rPr>
        <w:sectPr>
          <w:headerReference r:id="rId5" w:type="first"/>
          <w:headerReference r:id="rId3" w:type="default"/>
          <w:footerReference r:id="rId6" w:type="default"/>
          <w:headerReference r:id="rId4" w:type="even"/>
          <w:footerReference r:id="rId7" w:type="even"/>
          <w:pgSz w:w="11906" w:h="16838"/>
          <w:pgMar w:top="1417" w:right="1134" w:bottom="1134" w:left="1417" w:header="851" w:footer="992" w:gutter="0"/>
          <w:pgNumType w:start="0"/>
          <w:cols w:space="0" w:num="1"/>
          <w:titlePg/>
          <w:rtlGutter w:val="0"/>
          <w:docGrid w:type="lines" w:linePitch="312" w:charSpace="0"/>
        </w:sectPr>
      </w:pPr>
    </w:p>
    <w:sdt>
      <w:sdtPr>
        <w:rPr>
          <w:rFonts w:ascii="宋体" w:hAnsi="宋体" w:eastAsia="宋体"/>
        </w:rPr>
        <w:id w:val="147461593"/>
        <w15:color w:val="DBDBDB"/>
        <w:docPartObj>
          <w:docPartGallery w:val="Table of Contents"/>
          <w:docPartUnique/>
        </w:docPartObj>
      </w:sdtPr>
      <w:sdtEndPr>
        <w:rPr>
          <w:rFonts w:hint="eastAsia" w:asciiTheme="minorHAnsi" w:hAnsiTheme="minorHAnsi" w:eastAsiaTheme="minorEastAsia"/>
        </w:rPr>
      </w:sdtEndPr>
      <w:sdtContent>
        <w:p w14:paraId="575920E3">
          <w:pPr>
            <w:jc w:val="center"/>
            <w:rPr>
              <w:rFonts w:hint="eastAsia" w:ascii="黑体" w:hAnsi="黑体" w:eastAsia="黑体"/>
              <w:sz w:val="32"/>
              <w:szCs w:val="32"/>
            </w:rPr>
          </w:pPr>
          <w:r>
            <w:rPr>
              <w:rFonts w:hint="eastAsia" w:ascii="黑体" w:hAnsi="黑体" w:eastAsia="黑体"/>
              <w:sz w:val="32"/>
              <w:szCs w:val="32"/>
            </w:rPr>
            <w:t>目  录</w:t>
          </w:r>
        </w:p>
        <w:p w14:paraId="3854954C">
          <w:pPr>
            <w:jc w:val="center"/>
            <w:rPr>
              <w:rFonts w:hint="eastAsia" w:ascii="黑体" w:hAnsi="黑体" w:eastAsia="黑体"/>
              <w:sz w:val="32"/>
              <w:szCs w:val="32"/>
            </w:rPr>
          </w:pPr>
        </w:p>
        <w:p w14:paraId="73649AF1">
          <w:pPr>
            <w:pStyle w:val="11"/>
            <w:tabs>
              <w:tab w:val="right" w:leader="dot" w:pos="8296"/>
            </w:tabs>
            <w:rPr>
              <w:rFonts w:hint="eastAsia" w:ascii="Times New Roman" w:hAnsi="Times New Roman" w:eastAsia="宋体" w:cs="Times New Roman"/>
              <w:sz w:val="22"/>
              <w:szCs w:val="24"/>
              <w14:ligatures w14:val="standardContextual"/>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TOC \o "1-2" \h \u </w:instrText>
          </w:r>
          <w:r>
            <w:rPr>
              <w:rFonts w:hint="eastAsia" w:ascii="Times New Roman" w:hAnsi="Times New Roman" w:eastAsia="宋体" w:cs="Times New Roman"/>
            </w:rPr>
            <w:fldChar w:fldCharType="separate"/>
          </w: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"_Toc205987157"</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_Toc205987157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5990257">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"_Toc205987158"</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引言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_Toc205987158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09FBA7F0">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"_Toc205987159"</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1 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_Toc205987159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16665E0F">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"_Toc205987160"</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2 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0331DF1">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"_Toc205987161"</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3 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410A51A">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"_Toc205987162"</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4 技术内容</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3D9ACEB5">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"_Toc205987163"</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5 管理路径和服务模式</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76F8BDC2">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"_Toc205987164"</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6 血管健康全生命周期管理要求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3F94AAAC">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"_Toc205987165"</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7 血管健康全生命周期管理流程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4564513D">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"_Toc205987166"</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8 血管健康管理延伸到家庭-专科医师与全科医师的配合团队</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348D7950">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"_Toc205987167"</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9 可复制可推广的血管健康管理模式</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3273B7F9">
          <w:pPr>
            <w:pStyle w:val="11"/>
            <w:tabs>
              <w:tab w:val="right" w:leader="dot" w:pos="8296"/>
            </w:tabs>
            <w:rPr>
              <w:rFonts w:hint="eastAsia" w:ascii="Times New Roman" w:hAnsi="Times New Roman" w:eastAsia="宋体" w:cs="Times New Roman"/>
              <w:sz w:val="22"/>
              <w:szCs w:val="24"/>
              <w14:ligatures w14:val="standardContextual"/>
            </w:rPr>
          </w:pPr>
          <w:r>
            <w:rPr>
              <w:rStyle w:val="20"/>
              <w:rFonts w:hint="eastAsia" w:ascii="Times New Roman" w:hAnsi="Times New Roman" w:eastAsia="宋体" w:cs="Times New Roman"/>
            </w:rPr>
            <w:fldChar w:fldCharType="begin"/>
          </w:r>
          <w:r>
            <w:rPr>
              <w:rStyle w:val="20"/>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"_Toc205987168"</w:instrText>
          </w:r>
          <w:r>
            <w:rPr>
              <w:rStyle w:val="20"/>
              <w:rFonts w:hint="eastAsia" w:ascii="Times New Roman" w:hAnsi="Times New Roman" w:eastAsia="宋体" w:cs="Times New Roman"/>
            </w:rPr>
            <w:instrText xml:space="preserve"> </w:instrText>
          </w:r>
          <w:r>
            <w:rPr>
              <w:rStyle w:val="20"/>
              <w:rFonts w:hint="eastAsia" w:ascii="Times New Roman" w:hAnsi="Times New Roman" w:eastAsia="宋体" w:cs="Times New Roman"/>
            </w:rPr>
            <w:fldChar w:fldCharType="separate"/>
          </w:r>
          <w:r>
            <w:rPr>
              <w:rStyle w:val="20"/>
              <w:rFonts w:hint="eastAsia" w:ascii="Times New Roman" w:hAnsi="Times New Roman" w:eastAsia="宋体" w:cs="Times New Roman"/>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_Toc205987168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20"/>
              <w:rFonts w:hint="eastAsia" w:ascii="Times New Roman" w:hAnsi="Times New Roman" w:eastAsia="宋体" w:cs="Times New Roman"/>
            </w:rPr>
            <w:fldChar w:fldCharType="end"/>
          </w:r>
        </w:p>
        <w:p w14:paraId="33E2AB1C">
          <w:pPr>
            <w:tabs>
              <w:tab w:val="left" w:pos="394"/>
            </w:tabs>
            <w:jc w:val="left"/>
            <w:rPr>
              <w:rFonts w:hint="eastAsia"/>
            </w:rPr>
          </w:pPr>
          <w:r>
            <w:rPr>
              <w:rFonts w:hint="eastAsia" w:ascii="Times New Roman" w:hAnsi="Times New Roman" w:eastAsia="宋体" w:cs="Times New Roman"/>
            </w:rPr>
            <w:fldChar w:fldCharType="end"/>
          </w:r>
        </w:p>
      </w:sdtContent>
    </w:sdt>
    <w:p w14:paraId="19CB1090">
      <w:pPr>
        <w:tabs>
          <w:tab w:val="left" w:pos="394"/>
        </w:tabs>
        <w:jc w:val="left"/>
        <w:rPr>
          <w:rFonts w:hint="eastAsia"/>
        </w:rPr>
        <w:sectPr>
          <w:headerReference r:id="rId8" w:type="first"/>
          <w:footerReference r:id="rId10" w:type="first"/>
          <w:footerReference r:id="rId9" w:type="default"/>
          <w:pgSz w:w="11906" w:h="16838"/>
          <w:pgMar w:top="1417" w:right="1134" w:bottom="1134" w:left="1417" w:header="851" w:footer="992" w:gutter="0"/>
          <w:pgNumType w:start="0"/>
          <w:cols w:space="0" w:num="1"/>
          <w:titlePg/>
          <w:rtlGutter w:val="0"/>
          <w:docGrid w:type="lines" w:linePitch="312" w:charSpace="0"/>
        </w:sectPr>
      </w:pPr>
    </w:p>
    <w:p w14:paraId="1E47316B">
      <w:pPr>
        <w:pStyle w:val="2"/>
        <w:spacing w:before="312" w:beforeLines="100" w:after="312" w:afterLines="100" w:line="240" w:lineRule="auto"/>
        <w:jc w:val="center"/>
        <w:rPr>
          <w:rFonts w:hint="eastAsia" w:ascii="黑体" w:hAnsi="黑体" w:eastAsia="黑体"/>
          <w:b w:val="0"/>
          <w:bCs/>
          <w:sz w:val="32"/>
          <w:szCs w:val="32"/>
        </w:rPr>
      </w:pPr>
      <w:bookmarkStart w:id="2" w:name="_Toc205987157"/>
      <w:bookmarkStart w:id="3" w:name="_Toc9070"/>
      <w:r>
        <w:rPr>
          <w:rFonts w:hint="eastAsia" w:ascii="黑体" w:hAnsi="黑体" w:eastAsia="黑体"/>
          <w:b w:val="0"/>
          <w:bCs/>
          <w:sz w:val="32"/>
          <w:szCs w:val="32"/>
        </w:rPr>
        <w:t>前  言</w:t>
      </w:r>
      <w:bookmarkEnd w:id="2"/>
      <w:bookmarkEnd w:id="3"/>
    </w:p>
    <w:p w14:paraId="1BFDD316">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1.1-2020 《标准化工作导则 第1部分：标准化文件的结构和起草规则》的规定起草。</w:t>
      </w:r>
    </w:p>
    <w:p w14:paraId="7397A7E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请注意本文件的某些内容可能涉及专利。本文件的发布机构部承担识别专利的责任。</w:t>
      </w:r>
    </w:p>
    <w:p w14:paraId="1C10B8D0">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本文件由中国研究型医院学会移动医疗专业委员会提出。</w:t>
      </w:r>
    </w:p>
    <w:p w14:paraId="488EB517">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25C60FAB">
      <w:pPr>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本文件起草单位：。</w:t>
      </w:r>
    </w:p>
    <w:p w14:paraId="3A53E492">
      <w:pPr>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本文件主要起草人：。</w:t>
      </w:r>
    </w:p>
    <w:p w14:paraId="3F747986">
      <w:pPr>
        <w:rPr>
          <w:rFonts w:hint="eastAsia" w:ascii="宋体" w:hAnsi="宋体" w:eastAsia="宋体" w:cs="Times New Roman"/>
          <w:color w:val="FF0000"/>
          <w:szCs w:val="21"/>
        </w:rPr>
      </w:pPr>
      <w:r>
        <w:rPr>
          <w:rFonts w:hint="eastAsia" w:ascii="宋体" w:hAnsi="宋体" w:eastAsia="宋体" w:cs="Times New Roman"/>
          <w:color w:val="FF0000"/>
          <w:szCs w:val="21"/>
        </w:rPr>
        <w:br w:type="page"/>
      </w:r>
    </w:p>
    <w:p w14:paraId="4E1296AC">
      <w:pPr>
        <w:pStyle w:val="2"/>
        <w:spacing w:before="312" w:beforeLines="100" w:after="312" w:afterLines="100" w:line="240" w:lineRule="auto"/>
        <w:jc w:val="center"/>
        <w:rPr>
          <w:rFonts w:hint="eastAsia" w:ascii="黑体" w:hAnsi="黑体" w:eastAsia="黑体"/>
          <w:b w:val="0"/>
          <w:bCs/>
          <w:sz w:val="32"/>
          <w:szCs w:val="32"/>
        </w:rPr>
      </w:pPr>
      <w:bookmarkStart w:id="4" w:name="_Toc5442"/>
      <w:bookmarkStart w:id="5" w:name="_Toc205987158"/>
      <w:r>
        <w:rPr>
          <w:rFonts w:hint="eastAsia" w:ascii="黑体" w:hAnsi="黑体" w:eastAsia="黑体"/>
          <w:b w:val="0"/>
          <w:bCs/>
          <w:sz w:val="32"/>
          <w:szCs w:val="32"/>
        </w:rPr>
        <w:t>引  言</w:t>
      </w:r>
      <w:bookmarkEnd w:id="4"/>
      <w:bookmarkEnd w:id="5"/>
    </w:p>
    <w:p w14:paraId="3A2B164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中国心血管健康与疾病报告2023》中指出，心血管病目前仍位居中国城乡居民的首位死因，2021年分别占农村、城市死因的48.98%和47.35%，即每5例死亡中约2例归因于心血管病。心血管疾病已成为我国影响人民健康的主要疾病负担。如果要从根本上控制心血管疾病，不仅要重视治疗，更需从源头控制危险因素及血管损伤的发生和发展。</w:t>
      </w:r>
    </w:p>
    <w:p w14:paraId="220395AA">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血管健康管理能够早期发现亚临床血管病变，通过控制危险因素改善血管功能，避免终末期致死和致残心血管事件的发生。因此，全生命周期的血管健康管理显得尤为重要。如果要在人群中大规模规范化开展血管健康管理，就需要借助全科医生和专科医生，在信息技术和人工智能的支持下，通过建立规范性、可操作性强的规范标准，最大限度普及现有技术。而目前，我国还没有这类标准出台。</w:t>
      </w:r>
    </w:p>
    <w:p w14:paraId="7E9160B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因此，针对血管健康的全生命周期管理提出可操作性强的智慧化血管健康全生命周期数字管理分级诊疗实践标准，是非常有意义的。开展全科医生和专科医生紧密联合的血管健康管理三级诊疗实践模式探索，积极将信息技术和人工智能应用于血管健康管理，实现基于北京血管健康分级系统的三级医院-社区-家庭预防、治疗与康复一体化的全生命周期血管健康管理模式，践行心血管疾病防控关口的前移。</w:t>
      </w:r>
    </w:p>
    <w:p w14:paraId="2A392587">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在医疗资源仍不足的前提下，基于上述标准，可以最大限度的对罹患心脏和血管疾病危险因素人群进行管理、体检、评估后建档，定期干预和追踪服务，并不断改进管理方法，最大限度地促进健康，使服务对象满意，体现了以人为本、未病先防的服务理念，才能推动心脑血管慢病管理，降低致死、致残率，助力“健康中国2030”的实现。</w:t>
      </w:r>
    </w:p>
    <w:p w14:paraId="6D61710D">
      <w:pPr>
        <w:ind w:firstLine="420" w:firstLineChars="200"/>
        <w:rPr>
          <w:rFonts w:hint="eastAsia" w:ascii="宋体" w:hAnsi="宋体" w:eastAsia="宋体" w:cs="Times New Roman"/>
          <w:color w:val="FF0000"/>
          <w:szCs w:val="21"/>
        </w:rPr>
        <w:sectPr>
          <w:footerReference r:id="rId13" w:type="first"/>
          <w:footerReference r:id="rId11" w:type="default"/>
          <w:footerReference r:id="rId12" w:type="even"/>
          <w:pgSz w:w="11906" w:h="16838"/>
          <w:pgMar w:top="1417" w:right="1134" w:bottom="1134" w:left="1417" w:header="851" w:footer="992" w:gutter="0"/>
          <w:pgNumType w:fmt="upperRoman" w:start="1"/>
          <w:cols w:space="0" w:num="1"/>
          <w:titlePg/>
          <w:rtlGutter w:val="0"/>
          <w:docGrid w:type="lines" w:linePitch="312" w:charSpace="0"/>
        </w:sectPr>
      </w:pPr>
      <w:r>
        <w:rPr>
          <w:rFonts w:hint="eastAsia" w:ascii="宋体" w:hAnsi="宋体" w:eastAsia="宋体" w:cs="Times New Roman"/>
          <w:color w:val="FF0000"/>
          <w:szCs w:val="21"/>
        </w:rPr>
        <w:br w:type="page"/>
      </w:r>
    </w:p>
    <w:p w14:paraId="4E3AE4BA">
      <w:pPr>
        <w:jc w:val="center"/>
        <w:rPr>
          <w:rFonts w:hint="eastAsia" w:ascii="黑体" w:hAnsi="黑体" w:eastAsia="黑体" w:cs="宋体"/>
          <w:sz w:val="32"/>
          <w:szCs w:val="32"/>
        </w:rPr>
      </w:pPr>
      <w:bookmarkStart w:id="6" w:name="_Toc6185"/>
      <w:r>
        <w:rPr>
          <w:rFonts w:hint="eastAsia" w:ascii="黑体" w:hAnsi="黑体" w:eastAsia="黑体" w:cs="宋体"/>
          <w:b w:val="0"/>
          <w:sz w:val="32"/>
          <w:szCs w:val="32"/>
        </w:rPr>
        <w:t>智慧化血管健康全生命周期数字管理分级诊疗实践规范</w:t>
      </w:r>
      <w:bookmarkEnd w:id="6"/>
    </w:p>
    <w:p w14:paraId="446587B7">
      <w:pPr>
        <w:spacing w:before="312" w:beforeLines="100" w:after="312" w:afterLines="100"/>
        <w:outlineLvl w:val="0"/>
        <w:rPr>
          <w:rFonts w:ascii="黑体" w:hAnsi="黑体" w:cs="宋体"/>
          <w:sz w:val="28"/>
          <w:szCs w:val="21"/>
        </w:rPr>
      </w:pPr>
      <w:bookmarkStart w:id="7" w:name="_Toc205987159"/>
      <w:bookmarkStart w:id="8" w:name="_Toc21054"/>
      <w:r>
        <w:rPr>
          <w:rFonts w:ascii="黑体" w:hAnsi="黑体" w:eastAsia="黑体" w:cs="宋体"/>
          <w:b w:val="0"/>
          <w:sz w:val="28"/>
          <w:szCs w:val="21"/>
        </w:rPr>
        <w:t>1</w:t>
      </w:r>
      <w:r>
        <w:rPr>
          <w:rFonts w:hint="eastAsia" w:ascii="黑体" w:hAnsi="黑体" w:eastAsia="黑体" w:cs="宋体"/>
          <w:bCs/>
          <w:szCs w:val="21"/>
        </w:rPr>
        <w:t xml:space="preserve"> </w:t>
      </w:r>
      <w:r>
        <w:rPr>
          <w:rFonts w:hint="eastAsia" w:ascii="黑体" w:hAnsi="黑体" w:eastAsia="黑体" w:cs="宋体"/>
          <w:b w:val="0"/>
          <w:sz w:val="28"/>
          <w:szCs w:val="21"/>
        </w:rPr>
        <w:t>范围</w:t>
      </w:r>
      <w:bookmarkEnd w:id="7"/>
      <w:bookmarkEnd w:id="8"/>
    </w:p>
    <w:p w14:paraId="061450A6">
      <w:pPr>
        <w:ind w:firstLine="420" w:firstLineChars="200"/>
        <w:rPr>
          <w:rFonts w:hint="eastAsia" w:ascii="宋体" w:hAnsi="宋体" w:eastAsia="宋体" w:cs="宋体"/>
          <w:szCs w:val="21"/>
        </w:rPr>
      </w:pPr>
      <w:r>
        <w:rPr>
          <w:rFonts w:hint="eastAsia" w:ascii="宋体" w:hAnsi="宋体" w:eastAsia="宋体" w:cs="宋体"/>
          <w:szCs w:val="21"/>
        </w:rPr>
        <w:t>本文件规定了智慧化血管健康全生命周期数字管理分级诊疗实践规范的标准。</w:t>
      </w:r>
    </w:p>
    <w:p w14:paraId="0186373F">
      <w:pPr>
        <w:ind w:firstLine="420" w:firstLineChars="200"/>
        <w:rPr>
          <w:rFonts w:hint="eastAsia" w:ascii="宋体" w:hAnsi="宋体" w:eastAsia="宋体" w:cs="宋体"/>
          <w:color w:val="FF0000"/>
          <w:szCs w:val="21"/>
        </w:rPr>
      </w:pPr>
      <w:r>
        <w:rPr>
          <w:rFonts w:hint="eastAsia" w:ascii="宋体" w:hAnsi="宋体" w:eastAsia="宋体" w:cs="宋体"/>
          <w:szCs w:val="21"/>
        </w:rPr>
        <w:t>本文件适用于各级各类医疗机构、保健机构、养老机构和居家养老人员针对心血管疾病的预防保健和治疗需求。</w:t>
      </w:r>
    </w:p>
    <w:p w14:paraId="15021061">
      <w:pPr>
        <w:spacing w:before="312" w:beforeLines="100" w:after="312" w:afterLines="100"/>
        <w:outlineLvl w:val="0"/>
        <w:rPr>
          <w:rFonts w:ascii="黑体" w:hAnsi="黑体" w:cs="宋体"/>
          <w:sz w:val="28"/>
          <w:szCs w:val="21"/>
        </w:rPr>
      </w:pPr>
      <w:bookmarkStart w:id="9" w:name="_Toc205987160"/>
      <w:bookmarkStart w:id="10" w:name="_Toc14290"/>
      <w:r>
        <w:rPr>
          <w:rFonts w:ascii="黑体" w:hAnsi="黑体" w:eastAsia="黑体" w:cs="宋体"/>
          <w:b w:val="0"/>
          <w:sz w:val="28"/>
          <w:szCs w:val="21"/>
        </w:rPr>
        <w:t>2</w:t>
      </w:r>
      <w:r>
        <w:rPr>
          <w:rFonts w:hint="eastAsia" w:ascii="黑体" w:hAnsi="黑体" w:eastAsia="黑体" w:cs="宋体"/>
          <w:bCs/>
          <w:szCs w:val="21"/>
        </w:rPr>
        <w:t xml:space="preserve"> </w:t>
      </w:r>
      <w:r>
        <w:rPr>
          <w:rFonts w:hint="eastAsia" w:ascii="黑体" w:hAnsi="黑体" w:eastAsia="黑体" w:cs="宋体"/>
          <w:b w:val="0"/>
          <w:sz w:val="28"/>
          <w:szCs w:val="21"/>
        </w:rPr>
        <w:t>规范性引用文件</w:t>
      </w:r>
      <w:bookmarkEnd w:id="9"/>
      <w:bookmarkEnd w:id="10"/>
    </w:p>
    <w:p w14:paraId="0B3B1E5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76072742">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rPr>
        <w:t>国务院办公厅以国办发〔2015〕70号 印发</w:t>
      </w:r>
      <w:bookmarkStart w:id="11" w:name="_Hlk168429340"/>
      <w:r>
        <w:rPr>
          <w:rFonts w:hint="eastAsia" w:ascii="Times New Roman" w:hAnsi="Times New Roman" w:eastAsia="宋体" w:cs="Times New Roman"/>
          <w:color w:val="000000" w:themeColor="text1"/>
          <w:szCs w:val="21"/>
          <w14:textFill>
            <w14:solidFill>
              <w14:schemeClr w14:val="tx1"/>
            </w14:solidFill>
          </w14:textFill>
        </w:rPr>
        <w:t>《</w:t>
      </w:r>
      <w:bookmarkEnd w:id="11"/>
      <w:r>
        <w:rPr>
          <w:rFonts w:hint="eastAsia" w:ascii="Times New Roman" w:hAnsi="Times New Roman" w:eastAsia="宋体" w:cs="Times New Roman"/>
          <w:color w:val="000000" w:themeColor="text1"/>
          <w:szCs w:val="21"/>
          <w14:textFill>
            <w14:solidFill>
              <w14:schemeClr w14:val="tx1"/>
            </w14:solidFill>
          </w14:textFill>
        </w:rPr>
        <w:t>关于推进分级诊疗制度建设的指导意见</w:t>
      </w:r>
      <w:bookmarkStart w:id="12" w:name="_Hlk168429357"/>
      <w:r>
        <w:rPr>
          <w:rFonts w:hint="eastAsia" w:ascii="Times New Roman" w:hAnsi="Times New Roman" w:eastAsia="宋体" w:cs="Times New Roman"/>
          <w:color w:val="000000" w:themeColor="text1"/>
          <w:szCs w:val="21"/>
          <w14:textFill>
            <w14:solidFill>
              <w14:schemeClr w14:val="tx1"/>
            </w14:solidFill>
          </w14:textFill>
        </w:rPr>
        <w:t>》</w:t>
      </w:r>
    </w:p>
    <w:bookmarkEnd w:id="12"/>
    <w:p w14:paraId="0B7A1404">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国办发〔2016〕26号 关于印发《深化医药卫生体制改革2016年重点工作任务的通知》</w:t>
      </w:r>
    </w:p>
    <w:p w14:paraId="655E9114">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国办发〔2017〕32号 关于《推进医疗联合体建设和发展的指导意见》</w:t>
      </w:r>
    </w:p>
    <w:p w14:paraId="77F08BDF">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国卫医发〔2018〕28号 关于《进一步做好分级诊疗制度建设有关重点工作的通知》</w:t>
      </w:r>
    </w:p>
    <w:p w14:paraId="6232E185">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国卫医发〔2020〕13号 卫生健康委 中医药局关于印发</w:t>
      </w:r>
      <w:bookmarkStart w:id="13" w:name="_Hlk168429388"/>
      <w:r>
        <w:rPr>
          <w:rFonts w:hint="eastAsia" w:ascii="Times New Roman" w:hAnsi="Times New Roman" w:eastAsia="宋体" w:cs="Times New Roman"/>
          <w:color w:val="000000" w:themeColor="text1"/>
          <w:szCs w:val="21"/>
          <w14:textFill>
            <w14:solidFill>
              <w14:schemeClr w14:val="tx1"/>
            </w14:solidFill>
          </w14:textFill>
        </w:rPr>
        <w:t>《</w:t>
      </w:r>
      <w:bookmarkEnd w:id="13"/>
      <w:r>
        <w:rPr>
          <w:rFonts w:hint="eastAsia" w:ascii="Times New Roman" w:hAnsi="Times New Roman" w:eastAsia="宋体" w:cs="Times New Roman"/>
          <w:color w:val="000000" w:themeColor="text1"/>
          <w:szCs w:val="21"/>
          <w14:textFill>
            <w14:solidFill>
              <w14:schemeClr w14:val="tx1"/>
            </w14:solidFill>
          </w14:textFill>
        </w:rPr>
        <w:t>医疗联合体管理办法（试行）的通知》</w:t>
      </w:r>
    </w:p>
    <w:p w14:paraId="5502A0BA">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国办发〔2020〕25号关于印发《深化医药卫生体制改革2020年下半年重点工作任务的通知》</w:t>
      </w:r>
    </w:p>
    <w:p w14:paraId="60DCF19C">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2023年第10号国务院公报 中共中央办公厅国务院办公厅印发《关于进一步完善医疗卫生服务体系的意见》</w:t>
      </w:r>
    </w:p>
    <w:p w14:paraId="172DD90C">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2023年12月30日，国卫基层发〔2023〕41号文《关于全面推进紧密型县域医疗卫生共同体建设的指导意见》</w:t>
      </w:r>
    </w:p>
    <w:p w14:paraId="54EC6000">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《中国血管病变早期检测技术应用指南》</w:t>
      </w:r>
    </w:p>
    <w:p w14:paraId="0B2BB426">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《中国血管健康评估系统应用指南（2018第三次报告）》</w:t>
      </w:r>
    </w:p>
    <w:p w14:paraId="26AAC89C">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《中国非传统血管健康危险因素管理策略专家共识（2022第一次报告）》</w:t>
      </w:r>
    </w:p>
    <w:p w14:paraId="7CC50563">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《中国智慧化血管健康全生命周期数字管理分级诊疗实践指南（2022第一次报告）》</w:t>
      </w:r>
    </w:p>
    <w:p w14:paraId="2D6C982F">
      <w:pPr>
        <w:spacing w:before="312" w:beforeLines="100" w:after="312" w:afterLines="100"/>
        <w:outlineLvl w:val="0"/>
        <w:rPr>
          <w:rFonts w:ascii="黑体" w:hAnsi="黑体" w:cs="宋体"/>
          <w:sz w:val="28"/>
          <w:szCs w:val="21"/>
        </w:rPr>
      </w:pPr>
      <w:bookmarkStart w:id="14" w:name="_Toc30473"/>
      <w:bookmarkStart w:id="15" w:name="_Toc205987161"/>
      <w:r>
        <w:rPr>
          <w:rFonts w:ascii="黑体" w:hAnsi="黑体" w:eastAsia="黑体" w:cs="宋体"/>
          <w:b w:val="0"/>
          <w:sz w:val="28"/>
          <w:szCs w:val="21"/>
        </w:rPr>
        <w:t>3</w:t>
      </w:r>
      <w:r>
        <w:rPr>
          <w:rFonts w:hint="eastAsia" w:ascii="黑体" w:hAnsi="黑体" w:eastAsia="黑体" w:cs="宋体"/>
          <w:bCs/>
          <w:szCs w:val="21"/>
        </w:rPr>
        <w:t xml:space="preserve"> </w:t>
      </w:r>
      <w:r>
        <w:rPr>
          <w:rFonts w:hint="eastAsia" w:ascii="黑体" w:hAnsi="黑体" w:eastAsia="黑体" w:cs="宋体"/>
          <w:b w:val="0"/>
          <w:sz w:val="28"/>
          <w:szCs w:val="21"/>
        </w:rPr>
        <w:t>术语</w:t>
      </w:r>
      <w:r>
        <w:rPr>
          <w:rFonts w:hint="eastAsia" w:ascii="黑体" w:hAnsi="黑体" w:eastAsia="黑体" w:cs="宋体"/>
          <w:bCs/>
          <w:szCs w:val="21"/>
        </w:rPr>
        <w:t>和</w:t>
      </w:r>
      <w:r>
        <w:rPr>
          <w:rFonts w:hint="eastAsia" w:ascii="黑体" w:hAnsi="黑体" w:eastAsia="黑体" w:cs="宋体"/>
          <w:b w:val="0"/>
          <w:sz w:val="28"/>
          <w:szCs w:val="21"/>
        </w:rPr>
        <w:t>定义</w:t>
      </w:r>
      <w:bookmarkEnd w:id="14"/>
      <w:bookmarkEnd w:id="15"/>
    </w:p>
    <w:p w14:paraId="3A1713C6">
      <w:pPr>
        <w:ind w:firstLine="210" w:firstLineChars="100"/>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7F5F4631">
      <w:pPr>
        <w:pStyle w:val="22"/>
        <w:numPr>
          <w:ilvl w:val="2"/>
          <w:numId w:val="0"/>
        </w:numPr>
        <w:spacing w:before="156" w:beforeLines="50" w:after="156" w:afterLines="50"/>
        <w:rPr>
          <w:rFonts w:hint="eastAsia" w:ascii="黑体" w:hAnsi="黑体" w:eastAsia="黑体" w:cs="黑体"/>
          <w:color w:val="000000" w:themeColor="text1"/>
          <w:szCs w:val="21"/>
          <w14:textFill>
            <w14:solidFill>
              <w14:schemeClr w14:val="tx1"/>
            </w14:solidFill>
          </w14:textFill>
        </w:rPr>
      </w:pPr>
      <w:bookmarkStart w:id="16" w:name="_Toc21531"/>
      <w:r>
        <w:rPr>
          <w:rFonts w:ascii="黑体" w:hAnsi="黑体" w:eastAsia="黑体" w:cs="黑体"/>
          <w:color w:val="000000" w:themeColor="text1"/>
          <w:szCs w:val="21"/>
          <w14:textFill>
            <w14:solidFill>
              <w14:schemeClr w14:val="tx1"/>
            </w14:solidFill>
          </w14:textFill>
        </w:rPr>
        <w:t>3.1</w:t>
      </w:r>
      <w:bookmarkEnd w:id="16"/>
    </w:p>
    <w:p w14:paraId="225E5E76">
      <w:pPr>
        <w:pStyle w:val="22"/>
        <w:numPr>
          <w:ilvl w:val="2"/>
          <w:numId w:val="0"/>
        </w:numPr>
        <w:ind w:firstLine="420" w:firstLineChars="200"/>
        <w:outlineLvl w:val="9"/>
        <w:rPr>
          <w:rFonts w:hint="eastAsia" w:ascii="TimesNewRomanPSMT" w:hAnsi="TimesNewRomanPSMT" w:eastAsia="TimesNewRomanPSMT"/>
          <w:szCs w:val="24"/>
        </w:rPr>
      </w:pPr>
      <w:r>
        <w:rPr>
          <w:rFonts w:hint="eastAsia" w:ascii="黑体" w:hAnsi="黑体" w:eastAsia="黑体"/>
          <w:szCs w:val="24"/>
        </w:rPr>
        <w:t xml:space="preserve">分级诊疗 </w:t>
      </w:r>
      <w:r>
        <w:rPr>
          <w:rFonts w:hint="eastAsia" w:ascii="黑体" w:hAnsi="黑体" w:eastAsia="黑体" w:cs="黑体"/>
          <w:color w:val="000000" w:themeColor="text1"/>
          <w:szCs w:val="21"/>
          <w14:textFill>
            <w14:solidFill>
              <w14:schemeClr w14:val="tx1"/>
            </w14:solidFill>
          </w14:textFill>
        </w:rPr>
        <w:t>xxxx</w:t>
      </w:r>
    </w:p>
    <w:p w14:paraId="195A8BF1">
      <w:pPr>
        <w:pStyle w:val="22"/>
        <w:numPr>
          <w:ilvl w:val="1"/>
          <w:numId w:val="0"/>
        </w:numPr>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分级诊疗指按照疾病的轻重缓急及治疗的难易程度进行分级，不同级别的医疗机构承担不同疾病的治疗，通过整合上下级医疗卫生资源并科学配置，医疗卫生机构根据诊疗范围和服务能力进行分级并明确其功能定位引导患者合理分流，实现基层首诊和双向转诊，有序就医的过程。</w:t>
      </w:r>
    </w:p>
    <w:p w14:paraId="3E99C931">
      <w:pPr>
        <w:pStyle w:val="22"/>
        <w:numPr>
          <w:ilvl w:val="2"/>
          <w:numId w:val="0"/>
        </w:numPr>
        <w:spacing w:before="156" w:beforeLines="50" w:after="156" w:afterLines="50"/>
        <w:rPr>
          <w:rFonts w:hint="eastAsia" w:ascii="黑体" w:hAnsi="黑体" w:eastAsia="黑体" w:cs="黑体"/>
          <w:color w:val="000000" w:themeColor="text1"/>
          <w:szCs w:val="21"/>
          <w14:textFill>
            <w14:solidFill>
              <w14:schemeClr w14:val="tx1"/>
            </w14:solidFill>
          </w14:textFill>
        </w:rPr>
      </w:pPr>
      <w:bookmarkStart w:id="17" w:name="_Toc16466"/>
      <w:r>
        <w:rPr>
          <w:rFonts w:ascii="黑体" w:hAnsi="黑体" w:eastAsia="黑体" w:cs="黑体"/>
          <w:color w:val="000000" w:themeColor="text1"/>
          <w:szCs w:val="21"/>
          <w14:textFill>
            <w14:solidFill>
              <w14:schemeClr w14:val="tx1"/>
            </w14:solidFill>
          </w14:textFill>
        </w:rPr>
        <w:t>3.2</w:t>
      </w:r>
    </w:p>
    <w:p w14:paraId="41B7636F">
      <w:pPr>
        <w:pStyle w:val="22"/>
        <w:numPr>
          <w:ilvl w:val="2"/>
          <w:numId w:val="0"/>
        </w:numPr>
        <w:ind w:firstLine="420" w:firstLineChars="200"/>
        <w:outlineLvl w:val="9"/>
        <w:rPr>
          <w:rFonts w:hint="eastAsia" w:ascii="宋体" w:hAnsi="宋体" w:eastAsia="宋体" w:cs="Times New Roman"/>
          <w:b/>
          <w:color w:val="000000" w:themeColor="text1"/>
          <w:szCs w:val="21"/>
          <w14:textFill>
            <w14:solidFill>
              <w14:schemeClr w14:val="tx1"/>
            </w14:solidFill>
          </w14:textFill>
        </w:rPr>
      </w:pPr>
      <w:r>
        <w:rPr>
          <w:rFonts w:hint="eastAsia" w:ascii="黑体" w:hAnsi="黑体" w:eastAsia="黑体" w:cs="黑体"/>
          <w:b w:val="0"/>
          <w:color w:val="000000" w:themeColor="text1"/>
          <w:szCs w:val="21"/>
          <w14:textFill>
            <w14:solidFill>
              <w14:schemeClr w14:val="tx1"/>
            </w14:solidFill>
          </w14:textFill>
        </w:rPr>
        <w:t>分级诊疗制度</w:t>
      </w:r>
      <w:bookmarkEnd w:id="17"/>
      <w:r>
        <w:rPr>
          <w:rFonts w:hint="eastAsia" w:ascii="黑体" w:hAnsi="黑体" w:eastAsia="黑体" w:cs="黑体"/>
          <w:color w:val="000000" w:themeColor="text1"/>
          <w:szCs w:val="21"/>
          <w14:textFill>
            <w14:solidFill>
              <w14:schemeClr w14:val="tx1"/>
            </w14:solidFill>
          </w14:textFill>
        </w:rPr>
        <w:t xml:space="preserve"> xxxx</w:t>
      </w:r>
    </w:p>
    <w:p w14:paraId="336E6CB8">
      <w:pPr>
        <w:pStyle w:val="22"/>
        <w:numPr>
          <w:ilvl w:val="1"/>
          <w:numId w:val="0"/>
        </w:numPr>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是我国深化医改的重要内容之一，总的原则是以人为本、群众自愿、统筹城乡、创新机制。国家卫生健康委围绕“基层首诊、双向转诊、急慢分治、上下联动”的制度框架，以医联体建设为载体，以常见病、多发病、慢性病分级诊疗为突破口，不断完善顶层设计，构建更加科学的分级诊疗格局。</w:t>
      </w:r>
    </w:p>
    <w:p w14:paraId="6901B6CD">
      <w:pPr>
        <w:pStyle w:val="22"/>
        <w:numPr>
          <w:ilvl w:val="2"/>
          <w:numId w:val="0"/>
        </w:numPr>
        <w:spacing w:before="156" w:beforeLines="50" w:after="156" w:afterLines="50"/>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3.3</w:t>
      </w:r>
    </w:p>
    <w:p w14:paraId="2E4DAF0E">
      <w:pPr>
        <w:pStyle w:val="22"/>
        <w:numPr>
          <w:ilvl w:val="2"/>
          <w:numId w:val="0"/>
        </w:numPr>
        <w:ind w:firstLine="420" w:firstLineChars="200"/>
        <w:outlineLvl w:val="9"/>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血管健康</w:t>
      </w:r>
      <w:bookmarkStart w:id="18" w:name="OLE_LINK2"/>
      <w:r>
        <w:rPr>
          <w:rFonts w:hint="eastAsia" w:ascii="黑体" w:hAnsi="黑体" w:eastAsia="黑体" w:cs="黑体"/>
          <w:color w:val="000000" w:themeColor="text1"/>
          <w:szCs w:val="21"/>
          <w14:textFill>
            <w14:solidFill>
              <w14:schemeClr w14:val="tx1"/>
            </w14:solidFill>
          </w14:textFill>
        </w:rPr>
        <w:t xml:space="preserve"> xxxx</w:t>
      </w:r>
      <w:bookmarkEnd w:id="18"/>
    </w:p>
    <w:p w14:paraId="75416840">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指心脏和血管系统的良好状态，包括心脏、血管和循环系统的正常功能。</w:t>
      </w:r>
    </w:p>
    <w:p w14:paraId="1C9BAF35">
      <w:pPr>
        <w:pStyle w:val="22"/>
        <w:numPr>
          <w:ilvl w:val="2"/>
          <w:numId w:val="0"/>
        </w:numPr>
        <w:spacing w:before="156" w:beforeLines="50" w:after="156" w:afterLines="50"/>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3.4</w:t>
      </w:r>
    </w:p>
    <w:p w14:paraId="694959FB">
      <w:pPr>
        <w:pStyle w:val="22"/>
        <w:numPr>
          <w:ilvl w:val="2"/>
          <w:numId w:val="0"/>
        </w:numPr>
        <w:ind w:firstLine="420" w:firstLineChars="200"/>
        <w:outlineLvl w:val="9"/>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北京血管健康健康分级标准</w:t>
      </w:r>
    </w:p>
    <w:p w14:paraId="3E0DE067">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Ⅰ级: 正常: 结构和功能均正常。</w:t>
      </w:r>
    </w:p>
    <w:p w14:paraId="3566B0AD">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Ⅱ级: 动脉内皮功能障碍: 无影像学证实的粥样硬化，FMD ＜ 10％。</w:t>
      </w:r>
    </w:p>
    <w:p w14:paraId="3F94ADD8">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Ⅲ级: 动脉僵硬期: 无影像学证实的粥样硬化，PWV＞9 m/s，CAVI＞9。</w:t>
      </w:r>
    </w:p>
    <w:p w14:paraId="45DE1EDF">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Ⅳ级: 结构性血管病变早期: 影像学证实的动脉粥样硬化管腔狭窄＜50％。</w:t>
      </w:r>
    </w:p>
    <w:p w14:paraId="75531DF6">
      <w:pPr>
        <w:pStyle w:val="22"/>
        <w:numPr>
          <w:ilvl w:val="1"/>
          <w:numId w:val="0"/>
        </w:numPr>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a: 动脉粥样斑块形成，弹性正常( PWV≤9 m/s，CAVI≤9)；</w:t>
      </w:r>
    </w:p>
    <w:p w14:paraId="10B1551D">
      <w:pPr>
        <w:pStyle w:val="22"/>
        <w:numPr>
          <w:ilvl w:val="1"/>
          <w:numId w:val="0"/>
        </w:numPr>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b: 动脉粥样斑块形成，弹性降低( PWV ＞9 m/s，CAVI＞9)；</w:t>
      </w:r>
    </w:p>
    <w:p w14:paraId="7E1AFEFD">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Ⅴ级: 结构性血管病变中期。</w:t>
      </w:r>
    </w:p>
    <w:p w14:paraId="6CB53EB9">
      <w:pPr>
        <w:pStyle w:val="22"/>
        <w:numPr>
          <w:ilvl w:val="1"/>
          <w:numId w:val="0"/>
        </w:numPr>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a: 动脉粥样硬化形成，管腔狭窄50％～75％，弹性正常( PWV≤9 m/s，CAVI≤9)；</w:t>
      </w:r>
    </w:p>
    <w:p w14:paraId="00342124">
      <w:pPr>
        <w:pStyle w:val="22"/>
        <w:numPr>
          <w:ilvl w:val="1"/>
          <w:numId w:val="0"/>
        </w:numPr>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b: 动脉粥样硬化形成，管腔狭窄50％～75％，弹性降低( PWV ＞ 9 m/s，CAVI＞9)。</w:t>
      </w:r>
    </w:p>
    <w:p w14:paraId="6AE82523">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Ⅵ级: 结构性血管病变晚期: 管腔狭窄＞ 75％( 心、脑、肾、下肢血管)。</w:t>
      </w:r>
    </w:p>
    <w:p w14:paraId="66E59F5B">
      <w:pPr>
        <w:pStyle w:val="22"/>
        <w:numPr>
          <w:ilvl w:val="1"/>
          <w:numId w:val="0"/>
        </w:numPr>
        <w:ind w:firstLine="420" w:firstLineChars="200"/>
        <w:outlineLvl w:val="9"/>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Ⅶ级: 临床血管事件期( 需紧急住院) : 血管性猝死、急性冠状动脉综合征、脑血管意外、下肢动脉闭塞。</w:t>
      </w:r>
    </w:p>
    <w:p w14:paraId="121F6703">
      <w:pPr>
        <w:spacing w:before="312" w:beforeLines="100" w:after="312" w:afterLines="100"/>
        <w:outlineLvl w:val="0"/>
        <w:rPr>
          <w:rFonts w:ascii="黑体" w:hAnsi="黑体" w:cs="宋体"/>
          <w:sz w:val="28"/>
          <w:szCs w:val="21"/>
        </w:rPr>
      </w:pPr>
      <w:bookmarkStart w:id="19" w:name="_Toc24967"/>
      <w:bookmarkStart w:id="20" w:name="_Toc205987162"/>
      <w:r>
        <w:rPr>
          <w:rFonts w:ascii="黑体" w:hAnsi="黑体" w:eastAsia="黑体" w:cs="宋体"/>
          <w:b w:val="0"/>
          <w:sz w:val="28"/>
          <w:szCs w:val="21"/>
        </w:rPr>
        <w:t>4</w:t>
      </w:r>
      <w:r>
        <w:rPr>
          <w:rFonts w:hint="eastAsia" w:ascii="黑体" w:hAnsi="黑体" w:eastAsia="黑体" w:cs="宋体"/>
          <w:bCs/>
          <w:szCs w:val="21"/>
        </w:rPr>
        <w:t xml:space="preserve"> </w:t>
      </w:r>
      <w:r>
        <w:rPr>
          <w:rFonts w:hint="eastAsia" w:ascii="黑体" w:hAnsi="黑体" w:eastAsia="黑体" w:cs="宋体"/>
          <w:b w:val="0"/>
          <w:sz w:val="28"/>
          <w:szCs w:val="21"/>
        </w:rPr>
        <w:t>技术内容</w:t>
      </w:r>
      <w:bookmarkEnd w:id="19"/>
      <w:bookmarkEnd w:id="20"/>
    </w:p>
    <w:p w14:paraId="59BFA8B8">
      <w:pPr>
        <w:pStyle w:val="22"/>
        <w:numPr>
          <w:ilvl w:val="2"/>
          <w:numId w:val="0"/>
        </w:numPr>
        <w:spacing w:before="156" w:beforeLines="50" w:after="156" w:afterLines="50"/>
        <w:rPr>
          <w:rFonts w:hint="eastAsia" w:ascii="黑体" w:hAnsi="黑体" w:eastAsia="黑体" w:cs="黑体"/>
          <w:color w:val="000000" w:themeColor="text1"/>
          <w:sz w:val="24"/>
          <w:szCs w:val="21"/>
          <w14:textFill>
            <w14:solidFill>
              <w14:schemeClr w14:val="tx1"/>
            </w14:solidFill>
          </w14:textFill>
        </w:rPr>
      </w:pPr>
      <w:bookmarkStart w:id="21" w:name="_Toc20749"/>
      <w:r>
        <w:rPr>
          <w:rFonts w:hint="eastAsia" w:ascii="黑体" w:hAnsi="黑体" w:eastAsia="黑体" w:cs="黑体"/>
          <w:b w:val="0"/>
          <w:color w:val="000000" w:themeColor="text1"/>
          <w:sz w:val="24"/>
          <w:szCs w:val="21"/>
          <w14:textFill>
            <w14:solidFill>
              <w14:schemeClr w14:val="tx1"/>
            </w14:solidFill>
          </w14:textFill>
        </w:rPr>
        <w:t>4.1 建立三级医院-社区-家庭的血管健康评价标准</w:t>
      </w:r>
      <w:bookmarkEnd w:id="21"/>
    </w:p>
    <w:p w14:paraId="28B87163">
      <w:pPr>
        <w:pStyle w:val="22"/>
        <w:numPr>
          <w:ilvl w:val="1"/>
          <w:numId w:val="0"/>
        </w:numPr>
        <w:snapToGrid w:val="0"/>
        <w:ind w:firstLine="420" w:firstLineChars="200"/>
        <w:rPr>
          <w:rFonts w:hint="eastAsia" w:ascii="Times New Roman" w:hAnsi="Times New Roman" w:eastAsia="宋体" w:cs="Times New Roman"/>
          <w:bCs/>
          <w:color w:val="000000" w:themeColor="text1"/>
          <w:position w:val="-24"/>
          <w:szCs w:val="21"/>
          <w14:textFill>
            <w14:solidFill>
              <w14:schemeClr w14:val="tx1"/>
            </w14:solidFill>
          </w14:textFill>
        </w:rPr>
      </w:pPr>
      <w:r>
        <w:rPr>
          <w:rFonts w:hint="eastAsia" w:ascii="Times New Roman" w:hAnsi="Times New Roman" w:eastAsia="宋体" w:cs="Times New Roman"/>
          <w:bCs/>
          <w:color w:val="000000" w:themeColor="text1"/>
          <w:position w:val="-24"/>
          <w:szCs w:val="21"/>
          <w14:textFill>
            <w14:solidFill>
              <w14:schemeClr w14:val="tx1"/>
            </w14:solidFill>
          </w14:textFill>
        </w:rPr>
        <w:t>内容涵盖：结构性和功能性指标、管理指标、效果效益指标、患者服务满意度指标等可使用性指标。针对不同血管健康分级结合个体情况进行综合评估后，给出风险分层及具体管理意见。</w:t>
      </w:r>
    </w:p>
    <w:p w14:paraId="46E2B4F0">
      <w:pPr>
        <w:pStyle w:val="22"/>
        <w:numPr>
          <w:ilvl w:val="2"/>
          <w:numId w:val="0"/>
        </w:numPr>
        <w:spacing w:before="156" w:beforeLines="50" w:after="156" w:afterLines="50"/>
        <w:rPr>
          <w:rFonts w:hint="eastAsia" w:ascii="黑体" w:hAnsi="黑体" w:eastAsia="黑体" w:cs="黑体"/>
          <w:color w:val="000000" w:themeColor="text1"/>
          <w:sz w:val="24"/>
          <w:szCs w:val="21"/>
          <w14:textFill>
            <w14:solidFill>
              <w14:schemeClr w14:val="tx1"/>
            </w14:solidFill>
          </w14:textFill>
        </w:rPr>
      </w:pPr>
      <w:bookmarkStart w:id="22" w:name="_Toc15104"/>
      <w:r>
        <w:rPr>
          <w:rFonts w:hint="eastAsia" w:ascii="黑体" w:hAnsi="黑体" w:eastAsia="黑体" w:cs="黑体"/>
          <w:b w:val="0"/>
          <w:color w:val="000000" w:themeColor="text1"/>
          <w:sz w:val="24"/>
          <w:szCs w:val="21"/>
          <w14:textFill>
            <w14:solidFill>
              <w14:schemeClr w14:val="tx1"/>
            </w14:solidFill>
          </w14:textFill>
        </w:rPr>
        <w:t>4.2 血管健康评估和血管病变早期综合评价的指标</w:t>
      </w:r>
      <w:bookmarkEnd w:id="22"/>
    </w:p>
    <w:p w14:paraId="02442A17">
      <w:pPr>
        <w:pStyle w:val="22"/>
        <w:numPr>
          <w:ilvl w:val="1"/>
          <w:numId w:val="0"/>
        </w:numPr>
        <w:snapToGrid w:val="0"/>
        <w:ind w:firstLine="420" w:firstLineChars="200"/>
        <w:rPr>
          <w:rFonts w:hint="eastAsia" w:ascii="Times New Roman" w:hAnsi="Times New Roman" w:eastAsia="宋体" w:cs="Times New Roman"/>
          <w:bCs/>
          <w:color w:val="000000" w:themeColor="text1"/>
          <w:position w:val="-24"/>
          <w:szCs w:val="21"/>
          <w14:textFill>
            <w14:solidFill>
              <w14:schemeClr w14:val="tx1"/>
            </w14:solidFill>
          </w14:textFill>
        </w:rPr>
      </w:pPr>
      <w:r>
        <w:rPr>
          <w:rFonts w:hint="eastAsia" w:ascii="Times New Roman" w:hAnsi="Times New Roman" w:eastAsia="宋体" w:cs="Times New Roman"/>
          <w:bCs/>
          <w:color w:val="000000" w:themeColor="text1"/>
          <w:position w:val="-24"/>
          <w:szCs w:val="21"/>
          <w14:textFill>
            <w14:solidFill>
              <w14:schemeClr w14:val="tx1"/>
            </w14:solidFill>
          </w14:textFill>
        </w:rPr>
        <w:t>包括血管内皮功能评估、脉压、超声技术评估动脉结构和功能异常、动脉硬化的评估、踝臂指数的检测、桡动脉脉搏波分析、冠状动脉钙化积分、24小时动态血压和动态心电图监测、生物标志物及其检测、基因遗传学评估。</w:t>
      </w:r>
    </w:p>
    <w:p w14:paraId="0C0F721A">
      <w:pPr>
        <w:pStyle w:val="22"/>
        <w:numPr>
          <w:ilvl w:val="2"/>
          <w:numId w:val="0"/>
        </w:numPr>
        <w:spacing w:before="156" w:beforeLines="50" w:after="156" w:afterLines="50"/>
        <w:rPr>
          <w:rFonts w:hint="eastAsia" w:ascii="黑体" w:hAnsi="黑体" w:eastAsia="黑体" w:cs="黑体"/>
          <w:color w:val="000000" w:themeColor="text1"/>
          <w:sz w:val="24"/>
          <w:szCs w:val="21"/>
          <w14:textFill>
            <w14:solidFill>
              <w14:schemeClr w14:val="tx1"/>
            </w14:solidFill>
          </w14:textFill>
        </w:rPr>
      </w:pPr>
      <w:bookmarkStart w:id="23" w:name="_Toc32200"/>
      <w:r>
        <w:rPr>
          <w:rFonts w:hint="eastAsia" w:ascii="黑体" w:hAnsi="黑体" w:eastAsia="黑体" w:cs="黑体"/>
          <w:b w:val="0"/>
          <w:color w:val="000000" w:themeColor="text1"/>
          <w:sz w:val="24"/>
          <w:szCs w:val="21"/>
          <w14:textFill>
            <w14:solidFill>
              <w14:schemeClr w14:val="tx1"/>
            </w14:solidFill>
          </w14:textFill>
        </w:rPr>
        <w:t>4.3 三级医院、全科医师和家庭医师团队标准</w:t>
      </w:r>
      <w:bookmarkEnd w:id="23"/>
    </w:p>
    <w:p w14:paraId="4798F656">
      <w:pPr>
        <w:pStyle w:val="22"/>
        <w:numPr>
          <w:ilvl w:val="1"/>
          <w:numId w:val="0"/>
        </w:numPr>
        <w:snapToGrid w:val="0"/>
        <w:ind w:firstLine="420" w:firstLineChars="200"/>
        <w:rPr>
          <w:rFonts w:hint="eastAsia" w:ascii="Times New Roman" w:hAnsi="Times New Roman" w:eastAsia="宋体" w:cs="Times New Roman"/>
          <w:bCs/>
          <w:color w:val="000000" w:themeColor="text1"/>
          <w:position w:val="-24"/>
          <w:szCs w:val="21"/>
          <w14:textFill>
            <w14:solidFill>
              <w14:schemeClr w14:val="tx1"/>
            </w14:solidFill>
          </w14:textFill>
        </w:rPr>
      </w:pPr>
      <w:r>
        <w:rPr>
          <w:rFonts w:hint="eastAsia" w:ascii="Times New Roman" w:hAnsi="Times New Roman" w:eastAsia="宋体" w:cs="Times New Roman"/>
          <w:bCs/>
          <w:color w:val="000000" w:themeColor="text1"/>
          <w:position w:val="-24"/>
          <w:szCs w:val="21"/>
          <w14:textFill>
            <w14:solidFill>
              <w14:schemeClr w14:val="tx1"/>
            </w14:solidFill>
          </w14:textFill>
        </w:rPr>
        <w:t>建立三级医院的专科医师-家庭医师团队，与社区卫生服务中心的家庭医师团队相融合，并为患者提供“组团式”签约服务。</w:t>
      </w:r>
    </w:p>
    <w:p w14:paraId="522F1620">
      <w:pPr>
        <w:pStyle w:val="22"/>
        <w:numPr>
          <w:ilvl w:val="2"/>
          <w:numId w:val="0"/>
        </w:numPr>
        <w:spacing w:before="156" w:beforeLines="50" w:after="156" w:afterLines="50"/>
        <w:rPr>
          <w:rFonts w:hint="eastAsia" w:ascii="黑体" w:hAnsi="黑体" w:eastAsia="黑体" w:cs="黑体"/>
          <w:color w:val="000000" w:themeColor="text1"/>
          <w:sz w:val="24"/>
          <w:szCs w:val="21"/>
          <w14:textFill>
            <w14:solidFill>
              <w14:schemeClr w14:val="tx1"/>
            </w14:solidFill>
          </w14:textFill>
        </w:rPr>
      </w:pPr>
      <w:bookmarkStart w:id="24" w:name="_Toc29946"/>
      <w:r>
        <w:rPr>
          <w:rFonts w:hint="eastAsia" w:ascii="黑体" w:hAnsi="黑体" w:eastAsia="黑体" w:cs="黑体"/>
          <w:b w:val="0"/>
          <w:color w:val="000000" w:themeColor="text1"/>
          <w:sz w:val="24"/>
          <w:szCs w:val="21"/>
          <w14:textFill>
            <w14:solidFill>
              <w14:schemeClr w14:val="tx1"/>
            </w14:solidFill>
          </w14:textFill>
        </w:rPr>
        <w:t>4.4 血管健康综合维护策略及数智化管理</w:t>
      </w:r>
      <w:bookmarkEnd w:id="24"/>
    </w:p>
    <w:p w14:paraId="7370B2D2">
      <w:pPr>
        <w:pStyle w:val="22"/>
        <w:numPr>
          <w:ilvl w:val="1"/>
          <w:numId w:val="0"/>
        </w:numPr>
        <w:snapToGrid w:val="0"/>
        <w:ind w:firstLine="420" w:firstLineChars="200"/>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position w:val="-24"/>
          <w:szCs w:val="21"/>
          <w14:textFill>
            <w14:solidFill>
              <w14:schemeClr w14:val="tx1"/>
            </w14:solidFill>
          </w14:textFill>
        </w:rPr>
        <w:t>具体指导及如何运用信息技术支撑数字化、智慧化、互联网+融合实现分级诊疗实践的全面落实。</w:t>
      </w:r>
    </w:p>
    <w:p w14:paraId="45892364">
      <w:pPr>
        <w:spacing w:before="312" w:beforeLines="100" w:after="312" w:afterLines="100"/>
        <w:outlineLvl w:val="0"/>
        <w:rPr>
          <w:rFonts w:ascii="黑体" w:hAnsi="黑体" w:cs="宋体"/>
          <w:sz w:val="28"/>
          <w:szCs w:val="21"/>
        </w:rPr>
      </w:pPr>
      <w:bookmarkStart w:id="25" w:name="_Toc19569"/>
      <w:bookmarkStart w:id="26" w:name="_Toc205987163"/>
      <w:r>
        <w:rPr>
          <w:rFonts w:ascii="黑体" w:hAnsi="黑体" w:eastAsia="黑体" w:cs="宋体"/>
          <w:b w:val="0"/>
          <w:sz w:val="28"/>
          <w:szCs w:val="21"/>
        </w:rPr>
        <w:t xml:space="preserve">5 </w:t>
      </w:r>
      <w:r>
        <w:rPr>
          <w:rFonts w:hint="eastAsia" w:ascii="黑体" w:hAnsi="黑体" w:eastAsia="黑体" w:cs="宋体"/>
          <w:b w:val="0"/>
          <w:sz w:val="28"/>
          <w:szCs w:val="21"/>
        </w:rPr>
        <w:t>管理路径和服务模式</w:t>
      </w:r>
      <w:bookmarkEnd w:id="25"/>
      <w:bookmarkEnd w:id="26"/>
    </w:p>
    <w:p w14:paraId="391F8BF8">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27" w:name="_Toc23506"/>
      <w:r>
        <w:rPr>
          <w:rFonts w:hint="eastAsia" w:ascii="黑体" w:hAnsi="黑体" w:eastAsia="黑体" w:cs="黑体"/>
          <w:b/>
          <w:color w:val="000000" w:themeColor="text1"/>
          <w:sz w:val="24"/>
          <w:szCs w:val="21"/>
          <w14:textFill>
            <w14:solidFill>
              <w14:schemeClr w14:val="tx1"/>
            </w14:solidFill>
          </w14:textFill>
        </w:rPr>
        <w:t>5.1 成立信息化支撑的血管健康管理路径团队组织</w:t>
      </w:r>
      <w:bookmarkEnd w:id="27"/>
    </w:p>
    <w:p w14:paraId="0A497E5E">
      <w:pPr>
        <w:pStyle w:val="22"/>
        <w:numPr>
          <w:ilvl w:val="1"/>
          <w:numId w:val="0"/>
        </w:num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成立血管健康管理路径团队组织、血管健康管理路径管理小组和知名专家工作室，可采取信息化支撑的三级医院、社区和家庭医师参与的全覆盖基层分级管理服务模式，医院的主要职责是进行血管健康管理路径的制订和评价，为实施血管健康管理路径提供保障，拟订血管健康管理路径技术线路，确定血管健康管理路径评价指标及管理计划，社区和家庭医师基层组织实施血管健康具体管理路径。</w:t>
      </w:r>
    </w:p>
    <w:p w14:paraId="40818463">
      <w:pPr>
        <w:pStyle w:val="22"/>
        <w:numPr>
          <w:ilvl w:val="1"/>
          <w:numId w:val="0"/>
        </w:num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血管健康管理路径：实施血管健康管理干预程序：有目标、有计划、有措施、有跟踪以及有指导地进行个人健康的改善和促进。在一个综合程序化的管理平台下，进行干预管理和连续跟踪随访，包括评估分级、制定目标、确定随访管理的项目及时间（半月、每月、每季度和半年等）、生活方式干预管理以及血管健康问题连续干预管理，保证健康服务的连贯性，达到血管健康管理维护目的，实现生命质量的全面提高。</w:t>
      </w:r>
    </w:p>
    <w:p w14:paraId="43C09232">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28" w:name="_Toc17811"/>
      <w:r>
        <w:rPr>
          <w:rFonts w:hint="eastAsia" w:ascii="黑体" w:hAnsi="黑体" w:eastAsia="黑体" w:cs="黑体"/>
          <w:b/>
          <w:color w:val="000000" w:themeColor="text1"/>
          <w:sz w:val="24"/>
          <w:szCs w:val="21"/>
          <w14:textFill>
            <w14:solidFill>
              <w14:schemeClr w14:val="tx1"/>
            </w14:solidFill>
          </w14:textFill>
        </w:rPr>
        <w:t>5.2 确定血管健康管理路径的基本框架和基本要素</w:t>
      </w:r>
      <w:bookmarkEnd w:id="28"/>
    </w:p>
    <w:p w14:paraId="4DB565E6">
      <w:pPr>
        <w:pStyle w:val="22"/>
        <w:numPr>
          <w:ilvl w:val="1"/>
          <w:numId w:val="0"/>
        </w:numPr>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进行基础信息的收集与分析，归纳常见血管健康问题，根据血管病变管理指南的内容结合循证收集的内容，初步确定常见血管健康问题管理路径的基本要素及程序。确定血管健康管理路径相配套的评估标准及评估模型：如流程图、纳入标准、排除标准、评估模型及变异分析等。</w:t>
      </w:r>
    </w:p>
    <w:p w14:paraId="43130B4F">
      <w:pPr>
        <w:pStyle w:val="22"/>
        <w:numPr>
          <w:ilvl w:val="1"/>
          <w:numId w:val="0"/>
        </w:numPr>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制订标准化程序管理系统：依据血管健康问题发展与变化，制订出基本常规的管理要素：标准化的程序与血管健康管理路径的内容相对应。制订标准化的随访及血管健康管理系统并进一步数字化和智能化：根据血管疾病的预防、治疗及康复情况，制定程序化的随访及管理内容，并确定具体时间及目标。确定科学的评估系统：综合专家咨询及血管健康管理路径制定小组的意见，制订血管健康质量评估指标体系，以监控医疗管理质量。具体指标应包括血管健康管理指标、效果效益指标和服务满意度指标。</w:t>
      </w:r>
    </w:p>
    <w:p w14:paraId="4CA5BEF9">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29" w:name="_Toc29977"/>
      <w:r>
        <w:rPr>
          <w:rFonts w:hint="eastAsia" w:ascii="黑体" w:hAnsi="黑体" w:eastAsia="黑体" w:cs="黑体"/>
          <w:b/>
          <w:color w:val="000000" w:themeColor="text1"/>
          <w:sz w:val="24"/>
          <w:szCs w:val="21"/>
          <w14:textFill>
            <w14:solidFill>
              <w14:schemeClr w14:val="tx1"/>
            </w14:solidFill>
          </w14:textFill>
        </w:rPr>
        <w:t>5.3 血管健康评价内容</w:t>
      </w:r>
      <w:bookmarkEnd w:id="29"/>
    </w:p>
    <w:p w14:paraId="3D2377B4">
      <w:pPr>
        <w:pStyle w:val="22"/>
        <w:numPr>
          <w:ilvl w:val="1"/>
          <w:numId w:val="0"/>
        </w:numPr>
        <w:ind w:firstLine="420" w:firstLineChars="200"/>
        <w:rPr>
          <w:rFonts w:hint="eastAsia" w:ascii="E-HZ+ZDGCos-3" w:hAnsi="E-HZ+ZDGCos-3" w:eastAsia="E-HZ+ZDGCos-3"/>
          <w:szCs w:val="24"/>
          <w:highlight w:val="yellow"/>
        </w:rPr>
      </w:pPr>
      <w:r>
        <w:rPr>
          <w:rFonts w:hint="eastAsia" w:ascii="Times New Roman" w:hAnsi="Times New Roman" w:eastAsia="宋体" w:cs="Times New Roman"/>
          <w:bCs/>
          <w:color w:val="000000" w:themeColor="text1"/>
          <w:szCs w:val="21"/>
          <w14:textFill>
            <w14:solidFill>
              <w14:schemeClr w14:val="tx1"/>
            </w14:solidFill>
          </w14:textFill>
        </w:rPr>
        <w:t>根据《中国血管健康评估系统应用指南(2018第三次报告)》和《北京大学血管医学临床诊疗常规》中提出的用于血管健康评估和血管病变早期综合评价的指标。</w:t>
      </w:r>
    </w:p>
    <w:p w14:paraId="14B40311">
      <w:pPr>
        <w:spacing w:before="312" w:beforeLines="100" w:after="312" w:afterLines="100"/>
        <w:outlineLvl w:val="0"/>
        <w:rPr>
          <w:rFonts w:ascii="黑体" w:hAnsi="黑体" w:cs="宋体"/>
          <w:sz w:val="28"/>
          <w:szCs w:val="21"/>
        </w:rPr>
      </w:pPr>
      <w:bookmarkStart w:id="30" w:name="_Toc205987164"/>
      <w:bookmarkStart w:id="31" w:name="_Toc17115"/>
      <w:r>
        <w:rPr>
          <w:rFonts w:ascii="黑体" w:hAnsi="黑体" w:eastAsia="黑体" w:cs="宋体"/>
          <w:b w:val="0"/>
          <w:sz w:val="28"/>
          <w:szCs w:val="21"/>
        </w:rPr>
        <w:t xml:space="preserve">6 </w:t>
      </w:r>
      <w:r>
        <w:rPr>
          <w:rFonts w:hint="eastAsia" w:ascii="黑体" w:hAnsi="黑体" w:eastAsia="黑体" w:cs="宋体"/>
          <w:b w:val="0"/>
          <w:sz w:val="28"/>
          <w:szCs w:val="21"/>
        </w:rPr>
        <w:t>血管健康全生命周期管理要求</w:t>
      </w:r>
      <w:bookmarkEnd w:id="30"/>
      <w:bookmarkEnd w:id="31"/>
    </w:p>
    <w:p w14:paraId="58E67260">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32" w:name="_Toc7300"/>
      <w:r>
        <w:rPr>
          <w:rFonts w:hint="eastAsia" w:ascii="黑体" w:hAnsi="黑体" w:eastAsia="黑体" w:cs="黑体"/>
          <w:b/>
          <w:color w:val="000000" w:themeColor="text1"/>
          <w:sz w:val="24"/>
          <w:szCs w:val="21"/>
          <w14:textFill>
            <w14:solidFill>
              <w14:schemeClr w14:val="tx1"/>
            </w14:solidFill>
          </w14:textFill>
        </w:rPr>
        <w:t>6.1</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
          <w:color w:val="000000" w:themeColor="text1"/>
          <w:sz w:val="24"/>
          <w:szCs w:val="21"/>
          <w14:textFill>
            <w14:solidFill>
              <w14:schemeClr w14:val="tx1"/>
            </w14:solidFill>
          </w14:textFill>
        </w:rPr>
        <w:t>组建管理团队(专-全结合)</w:t>
      </w:r>
      <w:bookmarkEnd w:id="32"/>
    </w:p>
    <w:p w14:paraId="1BBEA67E">
      <w:pPr>
        <w:pStyle w:val="22"/>
        <w:numPr>
          <w:ilvl w:val="1"/>
          <w:numId w:val="0"/>
        </w:numPr>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对患者实行“专-全结合”管理，稳定的血管健康相关慢性疾病由社区家庭医生团队直接解决，急性和疑难情况由社区家庭医生推荐、介绍以及转诊至三级医疗机构专科-家庭医生团队共同处理。经专科团队诊治稳定后的患者，需回到社区并由家庭医生为其协调安排康复和居家护理并且有居民委员会、家庭保健员和社区志愿者服务等参与，从而提供全程一体化连续服务，以实现全科、专科以及其他机构的分工协作。</w:t>
      </w:r>
    </w:p>
    <w:p w14:paraId="7C05EC89">
      <w:pPr>
        <w:pStyle w:val="22"/>
        <w:numPr>
          <w:ilvl w:val="2"/>
          <w:numId w:val="0"/>
        </w:numPr>
        <w:spacing w:before="156" w:beforeLines="50" w:after="156" w:afterLines="50"/>
        <w:jc w:val="left"/>
        <w:outlineLvl w:val="1"/>
        <w:rPr>
          <w:rFonts w:hint="eastAsia" w:ascii="黑体" w:hAnsi="黑体" w:eastAsia="黑体" w:cs="黑体"/>
          <w:color w:val="000000" w:themeColor="text1"/>
          <w:szCs w:val="21"/>
          <w14:textFill>
            <w14:solidFill>
              <w14:schemeClr w14:val="tx1"/>
            </w14:solidFill>
          </w14:textFill>
        </w:rPr>
      </w:pPr>
      <w:bookmarkStart w:id="33" w:name="_Toc32489"/>
      <w:r>
        <w:rPr>
          <w:rFonts w:hint="eastAsia" w:ascii="黑体" w:hAnsi="黑体" w:eastAsia="黑体" w:cs="黑体"/>
          <w:b/>
          <w:color w:val="000000" w:themeColor="text1"/>
          <w:sz w:val="24"/>
          <w:szCs w:val="21"/>
          <w14:textFill>
            <w14:solidFill>
              <w14:schemeClr w14:val="tx1"/>
            </w14:solidFill>
          </w14:textFill>
        </w:rPr>
        <w:t>6.2 基本保障</w:t>
      </w:r>
      <w:bookmarkEnd w:id="33"/>
    </w:p>
    <w:p w14:paraId="0A504FE4">
      <w:pPr>
        <w:pStyle w:val="22"/>
        <w:numPr>
          <w:ilvl w:val="1"/>
          <w:numId w:val="0"/>
        </w:num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包括专业技术人员、信息化保障以及设备设施和药品的保障。</w:t>
      </w:r>
    </w:p>
    <w:p w14:paraId="461584B7">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34" w:name="_Toc8461"/>
      <w:r>
        <w:rPr>
          <w:rFonts w:hint="eastAsia" w:ascii="黑体" w:hAnsi="黑体" w:eastAsia="黑体" w:cs="黑体"/>
          <w:b/>
          <w:color w:val="000000" w:themeColor="text1"/>
          <w:sz w:val="24"/>
          <w:szCs w:val="21"/>
          <w14:textFill>
            <w14:solidFill>
              <w14:schemeClr w14:val="tx1"/>
            </w14:solidFill>
          </w14:textFill>
        </w:rPr>
        <w:t>6.3</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
          <w:color w:val="000000" w:themeColor="text1"/>
          <w:sz w:val="24"/>
          <w:szCs w:val="21"/>
          <w14:textFill>
            <w14:solidFill>
              <w14:schemeClr w14:val="tx1"/>
            </w14:solidFill>
          </w14:textFill>
        </w:rPr>
        <w:t>信息化系统支撑</w:t>
      </w:r>
      <w:bookmarkEnd w:id="34"/>
    </w:p>
    <w:p w14:paraId="429144BC">
      <w:pPr>
        <w:pStyle w:val="22"/>
        <w:numPr>
          <w:ilvl w:val="1"/>
          <w:numId w:val="0"/>
        </w:numPr>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构建“互联网+ 社区卫生健康管理服务”应用模块：应包含智能化血管健康慢性病管理系统、社区人体生理参数远程监测系统、中医药健康管理服务系统、双向转诊系统、移动终端健康服务系统和健康门户网站等。以社区卫生服务机构内部居民健康档案和诊疗服务信息为核心，通过连接信息采集、健康风险评估、健康干预和动态跟踪反馈等各环节，促使居民变被动接受健康服务为主动参与自我血管健康管理，将健康管理从社区卫生服务机构延伸到居民家里，实现全方位及个性化的社区健康管理服务。</w:t>
      </w:r>
    </w:p>
    <w:p w14:paraId="5A06BB7C">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35" w:name="_Toc22618"/>
      <w:r>
        <w:rPr>
          <w:rFonts w:hint="eastAsia" w:ascii="黑体" w:hAnsi="黑体" w:eastAsia="黑体" w:cs="黑体"/>
          <w:b/>
          <w:color w:val="000000" w:themeColor="text1"/>
          <w:sz w:val="24"/>
          <w:szCs w:val="21"/>
          <w14:textFill>
            <w14:solidFill>
              <w14:schemeClr w14:val="tx1"/>
            </w14:solidFill>
          </w14:textFill>
        </w:rPr>
        <w:t>6.4 三级医院工作范畴</w:t>
      </w:r>
      <w:bookmarkEnd w:id="35"/>
    </w:p>
    <w:p w14:paraId="4F53600F">
      <w:pPr>
        <w:pStyle w:val="22"/>
        <w:numPr>
          <w:ilvl w:val="1"/>
          <w:numId w:val="0"/>
        </w:num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血管健康评价指标内容: 除了血管有创和无创高端影像学检查指标外，重点甄别非传统血管健康危险因素，如睡眠障碍、精神心理障碍、内皮功能障碍、男性勃起功能障碍、免疫炎症状态、口腔慢性炎症和运动风险等。制订个体化的血管疾病药物、手术和康复管理方案并进行住院或门诊专科诊疗工作。</w:t>
      </w:r>
    </w:p>
    <w:p w14:paraId="4C98FB63">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36" w:name="_Toc11323"/>
      <w:r>
        <w:rPr>
          <w:rFonts w:hint="eastAsia" w:ascii="黑体" w:hAnsi="黑体" w:eastAsia="黑体" w:cs="黑体"/>
          <w:b/>
          <w:color w:val="000000" w:themeColor="text1"/>
          <w:sz w:val="24"/>
          <w:szCs w:val="21"/>
          <w14:textFill>
            <w14:solidFill>
              <w14:schemeClr w14:val="tx1"/>
            </w14:solidFill>
          </w14:textFill>
        </w:rPr>
        <w:t>6.5 社区卫生服务中心范畴</w:t>
      </w:r>
      <w:bookmarkEnd w:id="36"/>
    </w:p>
    <w:p w14:paraId="69E57EE9">
      <w:pPr>
        <w:pStyle w:val="22"/>
        <w:numPr>
          <w:ilvl w:val="1"/>
          <w:numId w:val="0"/>
        </w:numPr>
        <w:ind w:firstLine="420" w:firstLineChars="200"/>
        <w:jc w:val="left"/>
        <w:rPr>
          <w:rFonts w:hint="eastAsia"/>
        </w:rPr>
      </w:pPr>
      <w:r>
        <w:rPr>
          <w:rFonts w:hint="eastAsia" w:ascii="Times New Roman" w:hAnsi="Times New Roman" w:eastAsia="宋体" w:cs="Times New Roman"/>
          <w:bCs/>
          <w:color w:val="000000" w:themeColor="text1"/>
          <w:szCs w:val="21"/>
          <w14:textFill>
            <w14:solidFill>
              <w14:schemeClr w14:val="tx1"/>
            </w14:solidFill>
          </w14:textFill>
        </w:rPr>
        <w:t>专家下沉社区与全科医师和家庭医师会诊患者，全科医师和家庭医师到三级医院专科参加教学查房，建立专家工作室云平台，按照高血压、糖尿病和CHD慢性病管理的指标要求，远程进行基于血管健康的血管健康评估。</w:t>
      </w:r>
    </w:p>
    <w:p w14:paraId="2442AFBA">
      <w:pPr>
        <w:spacing w:before="312" w:beforeLines="100" w:after="312" w:afterLines="100"/>
        <w:outlineLvl w:val="0"/>
        <w:rPr>
          <w:rFonts w:ascii="黑体" w:hAnsi="黑体" w:cs="宋体"/>
          <w:sz w:val="28"/>
          <w:szCs w:val="21"/>
        </w:rPr>
      </w:pPr>
      <w:bookmarkStart w:id="37" w:name="_Toc2670"/>
      <w:bookmarkStart w:id="38" w:name="_Toc205987165"/>
      <w:r>
        <w:rPr>
          <w:rFonts w:ascii="黑体" w:hAnsi="黑体" w:eastAsia="黑体" w:cs="宋体"/>
          <w:b w:val="0"/>
          <w:sz w:val="28"/>
          <w:szCs w:val="21"/>
        </w:rPr>
        <w:t xml:space="preserve">7 </w:t>
      </w:r>
      <w:r>
        <w:rPr>
          <w:rFonts w:hint="eastAsia" w:ascii="黑体" w:hAnsi="黑体" w:eastAsia="黑体" w:cs="宋体"/>
          <w:b w:val="0"/>
          <w:sz w:val="28"/>
          <w:szCs w:val="21"/>
        </w:rPr>
        <w:t>血管健康全生命周期管理流程</w:t>
      </w:r>
      <w:bookmarkEnd w:id="37"/>
      <w:bookmarkEnd w:id="38"/>
    </w:p>
    <w:p w14:paraId="2D5C2872">
      <w:pPr>
        <w:pStyle w:val="22"/>
        <w:numPr>
          <w:ilvl w:val="1"/>
          <w:numId w:val="0"/>
        </w:numPr>
        <w:ind w:firstLine="420" w:firstLineChars="200"/>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血管健康的管理需要社区卫生服务中心、三级专科门诊及三级专科病房之间的密切配合，全科医师及专科医师对各危险层级血管疾病患者进行血管危险因素的整体评估，实现血管健康全生命周期的管理。</w:t>
      </w:r>
    </w:p>
    <w:p w14:paraId="438867E5">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39" w:name="_Toc19645"/>
      <w:r>
        <w:rPr>
          <w:rFonts w:hint="eastAsia" w:ascii="黑体" w:hAnsi="黑体" w:eastAsia="黑体" w:cs="黑体"/>
          <w:b/>
          <w:color w:val="000000" w:themeColor="text1"/>
          <w:sz w:val="24"/>
          <w:szCs w:val="21"/>
          <w14:textFill>
            <w14:solidFill>
              <w14:schemeClr w14:val="tx1"/>
            </w14:solidFill>
          </w14:textFill>
        </w:rPr>
        <w:t>7.1 血管疾病健康筛查</w:t>
      </w:r>
      <w:bookmarkEnd w:id="39"/>
    </w:p>
    <w:p w14:paraId="13FBDE4D">
      <w:pPr>
        <w:pStyle w:val="22"/>
        <w:numPr>
          <w:ilvl w:val="1"/>
          <w:numId w:val="0"/>
        </w:num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社区卫生服务中心进行全人群及大规模筛查，筛选血管异常人群及健康教育筛选全科医疗管理对象，选取常见血管健康危险人群，如高血压、高血糖及高血脂等，重点关注冠心病和脑卒中等确诊血管疾病人群。推荐评估人群：</w:t>
      </w:r>
    </w:p>
    <w:p w14:paraId="6CD3DF51">
      <w:pPr>
        <w:pStyle w:val="22"/>
        <w:numPr>
          <w:ilvl w:val="1"/>
          <w:numId w:val="0"/>
        </w:num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(1)年满14周岁以上的人群即应开始血管健康状况评估;</w:t>
      </w:r>
    </w:p>
    <w:p w14:paraId="60146B1D">
      <w:pPr>
        <w:pStyle w:val="22"/>
        <w:numPr>
          <w:ilvl w:val="1"/>
          <w:numId w:val="0"/>
        </w:num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(2)有早发心脑血管疾病家族史;</w:t>
      </w:r>
    </w:p>
    <w:p w14:paraId="53814943">
      <w:pPr>
        <w:pStyle w:val="22"/>
        <w:numPr>
          <w:ilvl w:val="1"/>
          <w:numId w:val="0"/>
        </w:num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(3)有长期头晕，活动后或静息状态下胸闷、心悸以及间歇性跛行等症状，尚未明确诊断者;</w:t>
      </w:r>
    </w:p>
    <w:p w14:paraId="50B957AE">
      <w:pPr>
        <w:pStyle w:val="22"/>
        <w:numPr>
          <w:ilvl w:val="1"/>
          <w:numId w:val="0"/>
        </w:num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(4)已被诊断存在心脑血管疾病高危因素者;</w:t>
      </w:r>
    </w:p>
    <w:p w14:paraId="630684CC">
      <w:pPr>
        <w:pStyle w:val="22"/>
        <w:numPr>
          <w:ilvl w:val="1"/>
          <w:numId w:val="0"/>
        </w:numPr>
        <w:ind w:firstLine="420" w:firstLineChars="200"/>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(5)血管疾病史明确者，评估治疗效果和预防血管事件再发。采用健康情况量表调查生活行为情况（采用问卷调查），收集个人基本信息，同时进行系统全面的体格检查，检测相关指标等，收集资料进行初期健康评估。</w:t>
      </w:r>
    </w:p>
    <w:p w14:paraId="0C216054">
      <w:pPr>
        <w:pStyle w:val="22"/>
        <w:numPr>
          <w:ilvl w:val="2"/>
          <w:numId w:val="0"/>
        </w:numPr>
        <w:spacing w:before="156" w:beforeLines="50" w:after="156" w:afterLines="50"/>
        <w:jc w:val="left"/>
        <w:outlineLvl w:val="1"/>
        <w:rPr>
          <w:rFonts w:hint="eastAsia" w:ascii="黑体" w:hAnsi="黑体" w:eastAsia="黑体" w:cs="黑体"/>
          <w:b/>
          <w:color w:val="000000" w:themeColor="text1"/>
          <w:sz w:val="24"/>
          <w:szCs w:val="21"/>
          <w14:textFill>
            <w14:solidFill>
              <w14:schemeClr w14:val="tx1"/>
            </w14:solidFill>
          </w14:textFill>
        </w:rPr>
      </w:pPr>
      <w:bookmarkStart w:id="40" w:name="_Toc28617"/>
      <w:r>
        <w:rPr>
          <w:rFonts w:hint="eastAsia" w:ascii="黑体" w:hAnsi="黑体" w:eastAsia="黑体" w:cs="黑体"/>
          <w:b/>
          <w:color w:val="000000" w:themeColor="text1"/>
          <w:sz w:val="24"/>
          <w:szCs w:val="21"/>
          <w14:textFill>
            <w14:solidFill>
              <w14:schemeClr w14:val="tx1"/>
            </w14:solidFill>
          </w14:textFill>
        </w:rPr>
        <w:t>7.2 诊断</w:t>
      </w:r>
      <w:bookmarkEnd w:id="40"/>
    </w:p>
    <w:p w14:paraId="77791E4D">
      <w:pPr>
        <w:pStyle w:val="22"/>
        <w:numPr>
          <w:ilvl w:val="1"/>
          <w:numId w:val="0"/>
        </w:numPr>
        <w:ind w:firstLine="420" w:firstLineChars="200"/>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诊断标准依据北京血管健康分级标准（BVHS），并进行分级管理。</w:t>
      </w:r>
    </w:p>
    <w:p w14:paraId="7C8C5B1E">
      <w:pPr>
        <w:pStyle w:val="22"/>
        <w:numPr>
          <w:ilvl w:val="2"/>
          <w:numId w:val="0"/>
        </w:numPr>
        <w:spacing w:before="156" w:beforeLines="50" w:after="156" w:afterLines="50"/>
        <w:ind w:firstLine="420" w:firstLineChars="200"/>
        <w:outlineLvl w:val="9"/>
        <w:rPr>
          <w:rFonts w:hint="eastAsia" w:ascii="黑体" w:hAnsi="黑体" w:eastAsia="黑体" w:cs="黑体"/>
          <w:bCs w:val="0"/>
          <w:color w:val="000000" w:themeColor="text1"/>
          <w:szCs w:val="21"/>
          <w14:textFill>
            <w14:solidFill>
              <w14:schemeClr w14:val="tx1"/>
            </w14:solidFill>
          </w14:textFill>
        </w:rPr>
      </w:pPr>
      <w:bookmarkStart w:id="41" w:name="_Toc1712"/>
      <w:r>
        <w:rPr>
          <w:rFonts w:hint="eastAsia" w:ascii="黑体" w:hAnsi="黑体" w:eastAsia="黑体" w:cs="黑体"/>
          <w:b w:val="0"/>
          <w:color w:val="000000" w:themeColor="text1"/>
          <w:sz w:val="21"/>
          <w:szCs w:val="21"/>
          <w14:textFill>
            <w14:solidFill>
              <w14:schemeClr w14:val="tx1"/>
            </w14:solidFill>
          </w14:textFill>
        </w:rPr>
        <w:t>7.3 治疗</w:t>
      </w:r>
      <w:bookmarkEnd w:id="41"/>
    </w:p>
    <w:p w14:paraId="2F908483">
      <w:pPr>
        <w:pStyle w:val="22"/>
        <w:numPr>
          <w:ilvl w:val="1"/>
          <w:numId w:val="0"/>
        </w:numPr>
        <w:ind w:firstLine="420" w:firstLineChars="200"/>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BVHS分级下的人群接受健康生活方式指导和中西医药物治疗。</w:t>
      </w:r>
    </w:p>
    <w:p w14:paraId="56385DBF">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42" w:name="_Toc18438"/>
      <w:r>
        <w:rPr>
          <w:rFonts w:hint="eastAsia" w:ascii="黑体" w:hAnsi="黑体" w:eastAsia="黑体" w:cs="黑体"/>
          <w:b w:val="0"/>
          <w:color w:val="000000" w:themeColor="text1"/>
          <w:sz w:val="21"/>
          <w:szCs w:val="21"/>
          <w14:textFill>
            <w14:solidFill>
              <w14:schemeClr w14:val="tx1"/>
            </w14:solidFill>
          </w14:textFill>
        </w:rPr>
        <w:t>7.4 转诊</w:t>
      </w:r>
      <w:bookmarkEnd w:id="42"/>
    </w:p>
    <w:p w14:paraId="4B713F27">
      <w:p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BVHS高危人群由社区卫生服务中心全科转至三级血管医学专科治疗，稳定后下转至社区卫生服务中心。</w:t>
      </w:r>
    </w:p>
    <w:p w14:paraId="5290A20B">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43" w:name="_Toc8014"/>
      <w:r>
        <w:rPr>
          <w:rFonts w:hint="eastAsia" w:ascii="黑体" w:hAnsi="黑体" w:eastAsia="黑体" w:cs="黑体"/>
          <w:b w:val="0"/>
          <w:color w:val="000000" w:themeColor="text1"/>
          <w:sz w:val="21"/>
          <w:szCs w:val="21"/>
          <w14:textFill>
            <w14:solidFill>
              <w14:schemeClr w14:val="tx1"/>
            </w14:solidFill>
          </w14:textFill>
        </w:rPr>
        <w:t>7.5 随访管理</w:t>
      </w:r>
      <w:bookmarkEnd w:id="43"/>
    </w:p>
    <w:p w14:paraId="11A568E6">
      <w:p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随访管理包括频次和内容，如干预策略、中西医结合、康复、心理及健康生活方式调整和评估。依据为国家基本公共卫生服务规范（第三版)。</w:t>
      </w:r>
    </w:p>
    <w:p w14:paraId="11B5FE6C">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44" w:name="_Toc32584"/>
      <w:r>
        <w:rPr>
          <w:rFonts w:hint="eastAsia" w:ascii="黑体" w:hAnsi="黑体" w:eastAsia="黑体" w:cs="黑体"/>
          <w:b w:val="0"/>
          <w:color w:val="000000" w:themeColor="text1"/>
          <w:sz w:val="21"/>
          <w:szCs w:val="21"/>
          <w14:textFill>
            <w14:solidFill>
              <w14:schemeClr w14:val="tx1"/>
            </w14:solidFill>
          </w14:textFill>
        </w:rPr>
        <w:t>7.6 随访评估</w:t>
      </w:r>
      <w:bookmarkEnd w:id="44"/>
    </w:p>
    <w:p w14:paraId="0DEE37ED">
      <w:p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对于纳入社区慢性病管理(高血压、2型糖尿病、冠心病和脑卒中)患者，每年要提供至少4次面对面血管健康评估随访。包括:评估是否存在危急情况，或存在不能处理的其他疾病时，需在处理后紧急转诊；测量体重及心率，计算体重指数，了解疾病情况和生活方式，了解患者服药情况。</w:t>
      </w:r>
    </w:p>
    <w:p w14:paraId="06E4258A">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45" w:name="_Toc18134"/>
      <w:r>
        <w:rPr>
          <w:rFonts w:hint="eastAsia" w:ascii="黑体" w:hAnsi="黑体" w:eastAsia="黑体" w:cs="黑体"/>
          <w:b w:val="0"/>
          <w:color w:val="000000" w:themeColor="text1"/>
          <w:sz w:val="21"/>
          <w:szCs w:val="21"/>
          <w14:textFill>
            <w14:solidFill>
              <w14:schemeClr w14:val="tx1"/>
            </w14:solidFill>
          </w14:textFill>
        </w:rPr>
        <w:t>7.7 分类干预</w:t>
      </w:r>
      <w:bookmarkEnd w:id="45"/>
    </w:p>
    <w:p w14:paraId="7980D993">
      <w:p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无新发并发症或原有并发症无加重的患者预约下一次血管健康随访时间。第一次出现血压和血糖等控制不满意，或出现药物不良反应的患者，结合其服药依从性，必要时增加现用药物剂量，以及更换或增加不同类药物，2周内随访。对连续两次出现血压和血糖等控制不满意或药物不良反应难以控制，以及出现新的血管健康并发症或原有并发症加重的患者，建议其转诊到上级医院专科，2周内主动随访转诊情况。对所有患者进行有针对性的血管健康教育，与患者一起制定生活方式改进目标，并在下一次随访时评估进展，告知患者出现哪些异常时应立即就诊。</w:t>
      </w:r>
    </w:p>
    <w:p w14:paraId="5F27D051">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46" w:name="_Toc12008"/>
      <w:r>
        <w:rPr>
          <w:rFonts w:hint="eastAsia" w:ascii="黑体" w:hAnsi="黑体" w:eastAsia="黑体" w:cs="黑体"/>
          <w:b w:val="0"/>
          <w:color w:val="000000" w:themeColor="text1"/>
          <w:sz w:val="21"/>
          <w:szCs w:val="21"/>
          <w14:textFill>
            <w14:solidFill>
              <w14:schemeClr w14:val="tx1"/>
            </w14:solidFill>
          </w14:textFill>
        </w:rPr>
        <w:t>7.8 健康体检</w:t>
      </w:r>
      <w:bookmarkEnd w:id="46"/>
    </w:p>
    <w:p w14:paraId="3F71AB44">
      <w:pPr>
        <w:ind w:firstLine="420" w:firstLineChars="200"/>
        <w:jc w:val="left"/>
        <w:rPr>
          <w:rFonts w:hint="eastAsia"/>
        </w:rPr>
      </w:pPr>
      <w:r>
        <w:rPr>
          <w:rFonts w:hint="eastAsia" w:ascii="Times New Roman" w:hAnsi="Times New Roman" w:eastAsia="宋体" w:cs="Times New Roman"/>
          <w:bCs/>
          <w:color w:val="000000" w:themeColor="text1"/>
          <w:szCs w:val="21"/>
          <w14:textFill>
            <w14:solidFill>
              <w14:schemeClr w14:val="tx1"/>
            </w14:solidFill>
          </w14:textFill>
        </w:rPr>
        <w:t>每年至少进行1次较全面的血管健康检查，可与随访相结合。每3～6个月应检查血脂、同型半胱氨酸、超敏C反应蛋白、尿酸、D-二聚体、纤维蛋白原、糖化血红蛋白、微量白蛋白尿和BVHS，综合评估血管健康状况。</w:t>
      </w:r>
    </w:p>
    <w:p w14:paraId="06C41E02">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eastAsia" w:ascii="黑体" w:hAnsi="黑体" w:eastAsia="黑体" w:cs="宋体"/>
          <w:sz w:val="21"/>
          <w:szCs w:val="21"/>
        </w:rPr>
      </w:pPr>
      <w:bookmarkStart w:id="47" w:name="_Toc205987166"/>
      <w:bookmarkStart w:id="48" w:name="_Toc6890"/>
      <w:r>
        <w:rPr>
          <w:rFonts w:ascii="黑体" w:hAnsi="黑体" w:eastAsia="黑体" w:cs="宋体"/>
          <w:b w:val="0"/>
          <w:sz w:val="21"/>
          <w:szCs w:val="21"/>
        </w:rPr>
        <w:t xml:space="preserve">8 </w:t>
      </w:r>
      <w:r>
        <w:rPr>
          <w:rFonts w:hint="eastAsia" w:ascii="黑体" w:hAnsi="黑体" w:eastAsia="黑体" w:cs="宋体"/>
          <w:b w:val="0"/>
          <w:sz w:val="21"/>
          <w:szCs w:val="21"/>
        </w:rPr>
        <w:t>血管健康管理延伸到家庭</w:t>
      </w:r>
      <w:r>
        <w:rPr>
          <w:rFonts w:ascii="黑体" w:hAnsi="黑体" w:eastAsia="黑体" w:cs="宋体"/>
          <w:b w:val="0"/>
          <w:sz w:val="21"/>
          <w:szCs w:val="21"/>
        </w:rPr>
        <w:t>-</w:t>
      </w:r>
      <w:r>
        <w:rPr>
          <w:rFonts w:hint="eastAsia" w:ascii="黑体" w:hAnsi="黑体" w:eastAsia="黑体" w:cs="宋体"/>
          <w:b w:val="0"/>
          <w:sz w:val="21"/>
          <w:szCs w:val="21"/>
        </w:rPr>
        <w:t>专科医师与全科医师的配合团队</w:t>
      </w:r>
      <w:bookmarkEnd w:id="47"/>
      <w:bookmarkEnd w:id="48"/>
    </w:p>
    <w:p w14:paraId="2CBFDF16">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49" w:name="_Toc2285"/>
      <w:r>
        <w:rPr>
          <w:rFonts w:hint="eastAsia" w:ascii="黑体" w:hAnsi="黑体" w:eastAsia="黑体" w:cs="黑体"/>
          <w:b w:val="0"/>
          <w:color w:val="000000" w:themeColor="text1"/>
          <w:sz w:val="21"/>
          <w:szCs w:val="21"/>
          <w14:textFill>
            <w14:solidFill>
              <w14:schemeClr w14:val="tx1"/>
            </w14:solidFill>
          </w14:textFill>
        </w:rPr>
        <w:t>8.1</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 w:val="0"/>
          <w:color w:val="000000" w:themeColor="text1"/>
          <w:sz w:val="21"/>
          <w:szCs w:val="21"/>
          <w14:textFill>
            <w14:solidFill>
              <w14:schemeClr w14:val="tx1"/>
            </w14:solidFill>
          </w14:textFill>
        </w:rPr>
        <w:t>规范三级医院、全科医师和家庭医师团队标准</w:t>
      </w:r>
      <w:bookmarkEnd w:id="49"/>
    </w:p>
    <w:p w14:paraId="57DE16D9">
      <w:p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三级医院的血管医学专科医师-家庭医师团队由“专科医师”和“护师”组成，专科医师要求中级以上职称，作为与居民患者签约的家庭医生; 护师要求初级以上职称，作为三级医院专科医师-家庭医师团队的主要核心人员; 再结合签约居民患者的实际情况可不断地加入其他专科医师，形成1+1+N的团队模式，共同为居民患者提供多学科会诊形式的履约服务。</w:t>
      </w:r>
    </w:p>
    <w:p w14:paraId="7E1F6416">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50" w:name="_Toc3262"/>
      <w:r>
        <w:rPr>
          <w:rFonts w:hint="eastAsia" w:ascii="黑体" w:hAnsi="黑体" w:eastAsia="黑体" w:cs="黑体"/>
          <w:b w:val="0"/>
          <w:color w:val="000000" w:themeColor="text1"/>
          <w:sz w:val="21"/>
          <w:szCs w:val="21"/>
          <w14:textFill>
            <w14:solidFill>
              <w14:schemeClr w14:val="tx1"/>
            </w14:solidFill>
          </w14:textFill>
        </w:rPr>
        <w:t>8.2 制定三级医院个性化签约服务包</w:t>
      </w:r>
      <w:bookmarkEnd w:id="50"/>
    </w:p>
    <w:p w14:paraId="154F975B">
      <w:pPr>
        <w:ind w:firstLine="420" w:firstLineChars="200"/>
        <w:jc w:val="left"/>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提供“菜单式”服务供居民选择三级医院的血管医学专业专科医师-社区家庭医师团队为签约居民患者提供家庭医生签约服务包，服务包内容要结合居民患者的实际需求来定，同时服务包内的服务内容既要涵盖三级医院的专科诊疗服务，也要涵盖公共卫生服务部分。</w:t>
      </w:r>
    </w:p>
    <w:p w14:paraId="296E3F2C">
      <w:pPr>
        <w:pStyle w:val="22"/>
        <w:numPr>
          <w:ilvl w:val="2"/>
          <w:numId w:val="0"/>
        </w:numPr>
        <w:spacing w:before="156" w:beforeLines="50" w:after="156" w:afterLines="50"/>
        <w:ind w:firstLine="420" w:firstLineChars="200"/>
        <w:outlineLvl w:val="9"/>
        <w:rPr>
          <w:rFonts w:hint="eastAsia" w:ascii="黑体" w:hAnsi="黑体" w:eastAsia="黑体" w:cs="黑体"/>
          <w:b w:val="0"/>
          <w:color w:val="000000" w:themeColor="text1"/>
          <w:sz w:val="21"/>
          <w:szCs w:val="21"/>
          <w14:textFill>
            <w14:solidFill>
              <w14:schemeClr w14:val="tx1"/>
            </w14:solidFill>
          </w14:textFill>
        </w:rPr>
      </w:pPr>
      <w:bookmarkStart w:id="51" w:name="_Toc11253"/>
      <w:r>
        <w:rPr>
          <w:rFonts w:hint="eastAsia" w:ascii="黑体" w:hAnsi="黑体" w:eastAsia="黑体" w:cs="黑体"/>
          <w:b w:val="0"/>
          <w:color w:val="000000" w:themeColor="text1"/>
          <w:sz w:val="21"/>
          <w:szCs w:val="21"/>
          <w14:textFill>
            <w14:solidFill>
              <w14:schemeClr w14:val="tx1"/>
            </w14:solidFill>
          </w14:textFill>
        </w:rPr>
        <w:t>8.3</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 w:val="0"/>
          <w:color w:val="000000" w:themeColor="text1"/>
          <w:sz w:val="21"/>
          <w:szCs w:val="21"/>
          <w14:textFill>
            <w14:solidFill>
              <w14:schemeClr w14:val="tx1"/>
            </w14:solidFill>
          </w14:textFill>
        </w:rPr>
        <w:t>血管健康综合维护策略</w:t>
      </w:r>
      <w:bookmarkEnd w:id="51"/>
    </w:p>
    <w:p w14:paraId="4031DE8B">
      <w:pPr>
        <w:ind w:firstLine="420" w:firstLineChars="200"/>
        <w:jc w:val="left"/>
        <w:rPr>
          <w:rFonts w:hint="eastAsia"/>
        </w:rPr>
      </w:pPr>
      <w:r>
        <w:rPr>
          <w:rFonts w:hint="eastAsia" w:ascii="宋体" w:hAnsi="宋体" w:eastAsia="宋体" w:cs="Times New Roman"/>
          <w:bCs/>
          <w:color w:val="000000" w:themeColor="text1"/>
          <w:szCs w:val="21"/>
          <w14:textFill>
            <w14:solidFill>
              <w14:schemeClr w14:val="tx1"/>
            </w14:solidFill>
          </w14:textFill>
        </w:rPr>
        <w:t>中西医结合、康复、心理和健康生活方式调整，传统与非传统血管健康 危险因素共同管理和血管疾病的及时诊疗是全生命周期血管健康 维护的主要内容。非传统心脏和血管健康 危险因素包括内皮功能障碍、阻塞性睡眠呼吸暂停、口腔炎症、精神压力和运动风险等，需要中西医综合管理。</w:t>
      </w:r>
    </w:p>
    <w:p w14:paraId="5433402E">
      <w:pPr>
        <w:spacing w:before="312" w:beforeLines="100" w:after="312" w:afterLines="100"/>
        <w:outlineLvl w:val="0"/>
        <w:rPr>
          <w:rFonts w:ascii="黑体" w:hAnsi="黑体" w:cs="宋体"/>
          <w:sz w:val="21"/>
          <w:szCs w:val="16"/>
        </w:rPr>
      </w:pPr>
      <w:bookmarkStart w:id="52" w:name="_Toc205987167"/>
      <w:bookmarkStart w:id="53" w:name="_Toc20929"/>
      <w:r>
        <w:rPr>
          <w:rFonts w:ascii="黑体" w:hAnsi="黑体" w:eastAsia="黑体" w:cs="宋体"/>
          <w:b w:val="0"/>
          <w:sz w:val="21"/>
          <w:szCs w:val="16"/>
        </w:rPr>
        <w:t xml:space="preserve">9 </w:t>
      </w:r>
      <w:r>
        <w:rPr>
          <w:rFonts w:hint="eastAsia" w:ascii="黑体" w:hAnsi="黑体" w:eastAsia="黑体" w:cs="宋体"/>
          <w:b w:val="0"/>
          <w:sz w:val="21"/>
          <w:szCs w:val="16"/>
        </w:rPr>
        <w:t>可复制可推广的血管健康管理模式</w:t>
      </w:r>
      <w:bookmarkEnd w:id="52"/>
      <w:bookmarkEnd w:id="53"/>
    </w:p>
    <w:p w14:paraId="70BE23BD">
      <w:pPr>
        <w:pStyle w:val="22"/>
        <w:numPr>
          <w:ilvl w:val="2"/>
          <w:numId w:val="0"/>
        </w:numPr>
        <w:spacing w:before="156" w:beforeLines="50" w:after="156" w:afterLines="50"/>
        <w:ind w:firstLineChars="20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9.1</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Cs/>
          <w:color w:val="000000" w:themeColor="text1"/>
          <w:szCs w:val="21"/>
          <w14:textFill>
            <w14:solidFill>
              <w14:schemeClr w14:val="tx1"/>
            </w14:solidFill>
          </w14:textFill>
        </w:rPr>
        <w:t>可复制</w:t>
      </w:r>
    </w:p>
    <w:p w14:paraId="4D31FBB4">
      <w:pPr>
        <w:ind w:firstLine="420" w:firstLineChars="200"/>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该模式契合国家加快深化医改的政策背景，血管医学的发展与实践，和国家层面给予的指导意见与要求是完全吻合的，这更让我们信心百倍，以三级医院血管医学中心为龙头带动基层医疗卫生机构开展全生命周期血管健康管理，加快分级诊疗、做好医防融合，为早日实现健康中国，做出血管医学人应有的贡献。</w:t>
      </w:r>
    </w:p>
    <w:p w14:paraId="352C3D98">
      <w:pPr>
        <w:pStyle w:val="22"/>
        <w:numPr>
          <w:ilvl w:val="2"/>
          <w:numId w:val="0"/>
        </w:numPr>
        <w:spacing w:before="156" w:beforeLines="50" w:after="156" w:afterLines="50"/>
        <w:ind w:firstLineChars="20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9.2</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Cs/>
          <w:color w:val="000000" w:themeColor="text1"/>
          <w:szCs w:val="21"/>
          <w14:textFill>
            <w14:solidFill>
              <w14:schemeClr w14:val="tx1"/>
            </w14:solidFill>
          </w14:textFill>
        </w:rPr>
        <w:t>可推广</w:t>
      </w:r>
    </w:p>
    <w:p w14:paraId="17CFE2CB">
      <w:pPr>
        <w:widowControl w:val="0"/>
        <w:ind w:firstLine="420" w:firstLineChars="200"/>
        <w:jc w:val="both"/>
        <w:rPr>
          <w:rFonts w:hint="eastAsia" w:ascii="宋体" w:hAnsi="宋体" w:eastAsia="宋体" w:cs="Times New Roman"/>
          <w:bCs/>
          <w:color w:val="FF0000"/>
          <w:szCs w:val="21"/>
        </w:rPr>
      </w:pPr>
      <w:r>
        <w:rPr>
          <w:rFonts w:hint="eastAsia" w:ascii="宋体" w:hAnsi="宋体" w:eastAsia="宋体" w:cs="Times New Roman"/>
          <w:bCs/>
          <w:color w:val="000000" w:themeColor="text1"/>
          <w:szCs w:val="21"/>
          <w14:textFill>
            <w14:solidFill>
              <w14:schemeClr w14:val="tx1"/>
            </w14:solidFill>
          </w14:textFill>
        </w:rPr>
        <w:t>结合人工智能时代的到来和新质生产力的实践，传统的医学模式也在随着科技的发展而转变，特别是在全国推行分级诊疗和家庭医生签约与履约服务的大背景下，为基层医疗赋能，从疾病预防和血管健康入手，将血管健康的全生命周期管理与智慧化信息数字管理管理相融合，真正是值得推广的一项标准，同时也是实现新质生产力的体现。</w:t>
      </w:r>
      <w:bookmarkStart w:id="61" w:name="_GoBack"/>
      <w:bookmarkEnd w:id="61"/>
      <w:r>
        <w:rPr>
          <w:rFonts w:ascii="宋体" w:hAnsi="宋体" w:eastAsia="宋体" w:cs="Times New Roman"/>
          <w:bCs/>
          <w:color w:val="FF0000"/>
          <w:szCs w:val="21"/>
        </w:rPr>
        <w:br w:type="page"/>
      </w:r>
    </w:p>
    <w:p w14:paraId="1D3C3B19">
      <w:pPr>
        <w:pStyle w:val="2"/>
        <w:keepNext/>
        <w:keepLines/>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b w:val="0"/>
          <w:bCs/>
          <w:sz w:val="21"/>
          <w:szCs w:val="21"/>
        </w:rPr>
      </w:pPr>
      <w:bookmarkStart w:id="54" w:name="_Toc205987168"/>
      <w:bookmarkStart w:id="55" w:name="_Toc2998"/>
      <w:r>
        <w:rPr>
          <w:rFonts w:hint="eastAsia" w:ascii="黑体" w:hAnsi="黑体" w:eastAsia="黑体"/>
          <w:b w:val="0"/>
          <w:bCs/>
          <w:sz w:val="21"/>
          <w:szCs w:val="21"/>
        </w:rPr>
        <w:t>参  考  文  献</w:t>
      </w:r>
      <w:bookmarkEnd w:id="54"/>
      <w:bookmarkEnd w:id="55"/>
    </w:p>
    <w:p w14:paraId="2AB3EE26">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szCs w:val="21"/>
        </w:rPr>
        <w:t>中国血管病变早期检测技术标准化建议</w:t>
      </w:r>
      <w:r>
        <w:rPr>
          <w:rFonts w:hint="eastAsia" w:ascii="Times New Roman" w:hAnsi="Times New Roman" w:eastAsia="宋体" w:cs="Times New Roman"/>
          <w:szCs w:val="21"/>
        </w:rPr>
        <w:t>(</w:t>
      </w:r>
      <w:r>
        <w:rPr>
          <w:rFonts w:ascii="Times New Roman" w:hAnsi="Times New Roman" w:eastAsia="宋体" w:cs="Times New Roman"/>
          <w:szCs w:val="21"/>
        </w:rPr>
        <w:t>草案</w:t>
      </w:r>
      <w:r>
        <w:rPr>
          <w:rFonts w:hint="eastAsia" w:ascii="Times New Roman" w:hAnsi="Times New Roman" w:eastAsia="宋体" w:cs="Times New Roman"/>
          <w:szCs w:val="21"/>
        </w:rPr>
        <w:t>)</w:t>
      </w:r>
      <w:r>
        <w:rPr>
          <w:rFonts w:ascii="Times New Roman" w:hAnsi="Times New Roman" w:eastAsia="宋体" w:cs="Times New Roman"/>
          <w:szCs w:val="21"/>
        </w:rPr>
        <w:t>专家工作组.中国血管病变早期检测技术标准化建议</w:t>
      </w:r>
      <w:bookmarkStart w:id="56" w:name="OLE_LINK1"/>
      <w:r>
        <w:rPr>
          <w:rFonts w:hint="eastAsia" w:ascii="Times New Roman" w:hAnsi="Times New Roman" w:eastAsia="宋体" w:cs="Times New Roman"/>
          <w:szCs w:val="21"/>
        </w:rPr>
        <w:t>(</w:t>
      </w:r>
      <w:r>
        <w:rPr>
          <w:rFonts w:ascii="Times New Roman" w:hAnsi="Times New Roman" w:eastAsia="宋体" w:cs="Times New Roman"/>
          <w:szCs w:val="21"/>
        </w:rPr>
        <w:t>草案</w:t>
      </w:r>
      <w:r>
        <w:rPr>
          <w:rFonts w:hint="eastAsia" w:ascii="Times New Roman" w:hAnsi="Times New Roman" w:eastAsia="宋体" w:cs="Times New Roman"/>
          <w:szCs w:val="21"/>
        </w:rPr>
        <w:t>)</w:t>
      </w:r>
      <w:bookmarkEnd w:id="56"/>
      <w:r>
        <w:rPr>
          <w:rFonts w:ascii="Times New Roman" w:hAnsi="Times New Roman" w:eastAsia="宋体" w:cs="Times New Roman"/>
          <w:szCs w:val="21"/>
        </w:rPr>
        <w:t>.中国民康医学.2005</w:t>
      </w:r>
      <w:r>
        <w:rPr>
          <w:rFonts w:hint="eastAsia" w:ascii="Times New Roman" w:hAnsi="Times New Roman" w:eastAsia="宋体" w:cs="Times New Roman"/>
          <w:szCs w:val="21"/>
        </w:rPr>
        <w:t>,</w:t>
      </w:r>
      <w:r>
        <w:rPr>
          <w:rFonts w:ascii="Times New Roman" w:hAnsi="Times New Roman" w:eastAsia="宋体" w:cs="Times New Roman"/>
          <w:szCs w:val="21"/>
        </w:rPr>
        <w:t>17</w:t>
      </w:r>
      <w:r>
        <w:rPr>
          <w:rFonts w:hint="eastAsia" w:ascii="Times New Roman" w:hAnsi="Times New Roman" w:eastAsia="宋体" w:cs="Times New Roman"/>
          <w:szCs w:val="21"/>
        </w:rPr>
        <w:t>(</w:t>
      </w:r>
      <w:r>
        <w:rPr>
          <w:rFonts w:ascii="Times New Roman" w:hAnsi="Times New Roman" w:eastAsia="宋体" w:cs="Times New Roman"/>
          <w:szCs w:val="21"/>
        </w:rPr>
        <w:t>增刊</w:t>
      </w:r>
      <w:r>
        <w:rPr>
          <w:rFonts w:hint="eastAsia" w:ascii="Times New Roman" w:hAnsi="Times New Roman" w:eastAsia="宋体" w:cs="Times New Roman"/>
          <w:szCs w:val="21"/>
        </w:rPr>
        <w:t xml:space="preserve">): </w:t>
      </w:r>
      <w:r>
        <w:rPr>
          <w:rFonts w:ascii="Times New Roman" w:hAnsi="Times New Roman" w:eastAsia="宋体" w:cs="Times New Roman"/>
          <w:szCs w:val="21"/>
        </w:rPr>
        <w:t>1-4.</w:t>
      </w:r>
    </w:p>
    <w:p w14:paraId="53C3E6E5">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szCs w:val="21"/>
        </w:rPr>
        <w:t>中国社会工作协会康复医学工作委员会血管专业委员会.中国血管病变早期检测技术应用指南</w:t>
      </w:r>
      <w:r>
        <w:rPr>
          <w:rFonts w:hint="eastAsia" w:ascii="Times New Roman" w:hAnsi="Times New Roman" w:eastAsia="宋体" w:cs="Times New Roman"/>
          <w:szCs w:val="21"/>
        </w:rPr>
        <w:t>(</w:t>
      </w:r>
      <w:r>
        <w:rPr>
          <w:rFonts w:ascii="Times New Roman" w:hAnsi="Times New Roman" w:eastAsia="宋体" w:cs="Times New Roman"/>
          <w:szCs w:val="21"/>
        </w:rPr>
        <w:t>第一次报告</w:t>
      </w:r>
      <w:r>
        <w:rPr>
          <w:rFonts w:hint="eastAsia" w:ascii="Times New Roman" w:hAnsi="Times New Roman" w:eastAsia="宋体" w:cs="Times New Roman"/>
          <w:szCs w:val="21"/>
        </w:rPr>
        <w:t>)</w:t>
      </w:r>
      <w:r>
        <w:rPr>
          <w:rFonts w:ascii="Times New Roman" w:hAnsi="Times New Roman" w:eastAsia="宋体" w:cs="Times New Roman"/>
          <w:szCs w:val="21"/>
        </w:rPr>
        <w:t>.中国民康医学杂志.2006</w:t>
      </w:r>
      <w:r>
        <w:rPr>
          <w:rFonts w:hint="eastAsia" w:ascii="Times New Roman" w:hAnsi="Times New Roman" w:eastAsia="宋体" w:cs="Times New Roman"/>
          <w:szCs w:val="21"/>
        </w:rPr>
        <w:t>,</w:t>
      </w:r>
      <w:r>
        <w:rPr>
          <w:rFonts w:ascii="Times New Roman" w:hAnsi="Times New Roman" w:eastAsia="宋体" w:cs="Times New Roman"/>
          <w:szCs w:val="21"/>
        </w:rPr>
        <w:t>18</w:t>
      </w: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 xml:space="preserve">): </w:t>
      </w:r>
      <w:r>
        <w:rPr>
          <w:rFonts w:ascii="Times New Roman" w:hAnsi="Times New Roman" w:eastAsia="宋体" w:cs="Times New Roman"/>
          <w:szCs w:val="21"/>
        </w:rPr>
        <w:t>323-331.</w:t>
      </w:r>
    </w:p>
    <w:p w14:paraId="1D7DB6C9">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szCs w:val="21"/>
        </w:rPr>
        <w:t>中国血管病变早期检测技术应用指南（2011第二次报告）.中国继续医学教育，2011，3</w:t>
      </w:r>
      <w:r>
        <w:rPr>
          <w:rFonts w:hint="eastAsia" w:ascii="Times New Roman" w:hAnsi="Times New Roman" w:eastAsia="宋体" w:cs="Times New Roman"/>
          <w:szCs w:val="21"/>
        </w:rPr>
        <w:t>(</w:t>
      </w:r>
      <w:r>
        <w:rPr>
          <w:rFonts w:ascii="Times New Roman" w:hAnsi="Times New Roman" w:eastAsia="宋体" w:cs="Times New Roman"/>
          <w:szCs w:val="21"/>
        </w:rPr>
        <w:t>07</w:t>
      </w:r>
      <w:r>
        <w:rPr>
          <w:rFonts w:hint="eastAsia" w:ascii="Times New Roman" w:hAnsi="Times New Roman" w:eastAsia="宋体" w:cs="Times New Roman"/>
          <w:szCs w:val="21"/>
        </w:rPr>
        <w:t xml:space="preserve">): </w:t>
      </w:r>
      <w:r>
        <w:rPr>
          <w:rFonts w:ascii="Times New Roman" w:hAnsi="Times New Roman" w:eastAsia="宋体" w:cs="Times New Roman"/>
          <w:szCs w:val="21"/>
        </w:rPr>
        <w:t>1-7.</w:t>
      </w:r>
      <w:bookmarkStart w:id="57" w:name="OLE_LINK19"/>
      <w:bookmarkStart w:id="58" w:name="OLE_LINK20"/>
    </w:p>
    <w:p w14:paraId="7AD9FD74">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szCs w:val="21"/>
        </w:rPr>
        <w:t>中国血管病变早期检测技术应用指南</w:t>
      </w:r>
      <w:bookmarkEnd w:id="57"/>
      <w:bookmarkEnd w:id="58"/>
      <w:r>
        <w:rPr>
          <w:rFonts w:hint="eastAsia" w:ascii="Times New Roman" w:hAnsi="Times New Roman" w:eastAsia="宋体" w:cs="Times New Roman"/>
          <w:szCs w:val="21"/>
        </w:rPr>
        <w:t>（</w:t>
      </w:r>
      <w:r>
        <w:rPr>
          <w:rFonts w:ascii="Times New Roman" w:hAnsi="Times New Roman" w:eastAsia="宋体" w:cs="Times New Roman"/>
          <w:szCs w:val="21"/>
        </w:rPr>
        <w:t>2011第二次报告）.心血管病学进展.2011</w:t>
      </w:r>
      <w:r>
        <w:rPr>
          <w:rFonts w:hint="eastAsia" w:ascii="Times New Roman" w:hAnsi="Times New Roman" w:eastAsia="宋体" w:cs="Times New Roman"/>
          <w:szCs w:val="21"/>
        </w:rPr>
        <w:t>,</w:t>
      </w: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 xml:space="preserve">): </w:t>
      </w:r>
      <w:r>
        <w:rPr>
          <w:rFonts w:ascii="Times New Roman" w:hAnsi="Times New Roman" w:eastAsia="宋体" w:cs="Times New Roman"/>
          <w:szCs w:val="21"/>
        </w:rPr>
        <w:t>318-323.</w:t>
      </w:r>
    </w:p>
    <w:p w14:paraId="17DD5370">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szCs w:val="21"/>
        </w:rPr>
        <w:t>王宏宇</w:t>
      </w:r>
      <w:r>
        <w:rPr>
          <w:rFonts w:hint="eastAsia" w:ascii="Times New Roman" w:hAnsi="Times New Roman" w:eastAsia="宋体" w:cs="Times New Roman"/>
          <w:szCs w:val="21"/>
        </w:rPr>
        <w:t>,</w:t>
      </w:r>
      <w:r>
        <w:rPr>
          <w:rFonts w:ascii="Times New Roman" w:hAnsi="Times New Roman" w:eastAsia="宋体" w:cs="Times New Roman"/>
          <w:szCs w:val="21"/>
        </w:rPr>
        <w:t>刘欢.新的血管健康分级标准与血管医学.心血管病学进展.2015</w:t>
      </w:r>
      <w:r>
        <w:rPr>
          <w:rFonts w:hint="eastAsia" w:ascii="Times New Roman" w:hAnsi="Times New Roman" w:eastAsia="宋体" w:cs="Times New Roman"/>
          <w:szCs w:val="21"/>
        </w:rPr>
        <w:t>,</w:t>
      </w:r>
      <w:r>
        <w:rPr>
          <w:rFonts w:ascii="Times New Roman" w:hAnsi="Times New Roman" w:eastAsia="宋体" w:cs="Times New Roman"/>
          <w:szCs w:val="21"/>
        </w:rPr>
        <w:t>36</w:t>
      </w: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 xml:space="preserve">): </w:t>
      </w:r>
      <w:r>
        <w:rPr>
          <w:rFonts w:ascii="Times New Roman" w:hAnsi="Times New Roman" w:eastAsia="宋体" w:cs="Times New Roman"/>
          <w:szCs w:val="21"/>
        </w:rPr>
        <w:t>365-368.</w:t>
      </w:r>
      <w:bookmarkStart w:id="59" w:name="OLE_LINK22"/>
      <w:bookmarkStart w:id="60" w:name="OLE_LINK21"/>
    </w:p>
    <w:p w14:paraId="20D6B2C0">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szCs w:val="21"/>
        </w:rPr>
        <w:t>中国血管健康评估系统应用指南</w:t>
      </w:r>
      <w:r>
        <w:rPr>
          <w:rFonts w:hint="eastAsia" w:ascii="Times New Roman" w:hAnsi="Times New Roman" w:eastAsia="宋体" w:cs="Times New Roman"/>
          <w:szCs w:val="21"/>
        </w:rPr>
        <w:t>(</w:t>
      </w:r>
      <w:r>
        <w:rPr>
          <w:rFonts w:ascii="Times New Roman" w:hAnsi="Times New Roman" w:eastAsia="宋体" w:cs="Times New Roman"/>
          <w:szCs w:val="21"/>
        </w:rPr>
        <w:t>2018第三次报告</w:t>
      </w:r>
      <w:r>
        <w:rPr>
          <w:rFonts w:hint="eastAsia" w:ascii="Times New Roman" w:hAnsi="Times New Roman" w:eastAsia="宋体" w:cs="Times New Roman"/>
          <w:szCs w:val="21"/>
        </w:rPr>
        <w:t>)</w:t>
      </w:r>
      <w:bookmarkEnd w:id="59"/>
      <w:bookmarkEnd w:id="60"/>
      <w:r>
        <w:rPr>
          <w:rFonts w:ascii="Times New Roman" w:hAnsi="Times New Roman" w:eastAsia="宋体" w:cs="Times New Roman"/>
          <w:szCs w:val="21"/>
        </w:rPr>
        <w:t>.中华医学杂志.2018</w:t>
      </w:r>
      <w:r>
        <w:rPr>
          <w:rFonts w:hint="eastAsia" w:ascii="Times New Roman" w:hAnsi="Times New Roman" w:eastAsia="宋体" w:cs="Times New Roman"/>
          <w:szCs w:val="21"/>
        </w:rPr>
        <w:t>,</w:t>
      </w:r>
      <w:r>
        <w:rPr>
          <w:rFonts w:ascii="Times New Roman" w:hAnsi="Times New Roman" w:eastAsia="宋体" w:cs="Times New Roman"/>
          <w:szCs w:val="21"/>
        </w:rPr>
        <w:t>98</w:t>
      </w:r>
      <w:r>
        <w:rPr>
          <w:rFonts w:hint="eastAsia" w:ascii="Times New Roman" w:hAnsi="Times New Roman" w:eastAsia="宋体" w:cs="Times New Roman"/>
          <w:szCs w:val="21"/>
        </w:rPr>
        <w:t>(</w:t>
      </w:r>
      <w:r>
        <w:rPr>
          <w:rFonts w:ascii="Times New Roman" w:hAnsi="Times New Roman" w:eastAsia="宋体" w:cs="Times New Roman"/>
          <w:szCs w:val="21"/>
        </w:rPr>
        <w:t>37</w:t>
      </w:r>
      <w:r>
        <w:rPr>
          <w:rFonts w:hint="eastAsia" w:ascii="Times New Roman" w:hAnsi="Times New Roman" w:eastAsia="宋体" w:cs="Times New Roman"/>
          <w:szCs w:val="21"/>
        </w:rPr>
        <w:t xml:space="preserve">): </w:t>
      </w:r>
      <w:r>
        <w:rPr>
          <w:rFonts w:ascii="Times New Roman" w:hAnsi="Times New Roman" w:eastAsia="宋体" w:cs="Times New Roman"/>
          <w:szCs w:val="21"/>
        </w:rPr>
        <w:t>2955-2967.</w:t>
      </w:r>
    </w:p>
    <w:p w14:paraId="67943907">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kern w:val="0"/>
          <w:szCs w:val="21"/>
        </w:rPr>
        <w:t>刘欢</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何映东</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刘金波</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黄薇</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赵娜</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赵红薇</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周晓华</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王宏宇.血管健康指标对新发心脑血管事件的预测价值：北京血管健康分级标准的初步验证.北京大学学报（医学版）.2020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52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：514-520.</w:t>
      </w:r>
    </w:p>
    <w:p w14:paraId="3C5CB41C">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rPr>
        <w:t>Wen F</w:t>
      </w:r>
      <w:r>
        <w:rPr>
          <w:rFonts w:hint="eastAsia" w:ascii="Times New Roman" w:hAnsi="Times New Roman" w:eastAsia="宋体" w:cs="Times New Roman"/>
        </w:rPr>
        <w:t xml:space="preserve">, </w:t>
      </w:r>
      <w:r>
        <w:rPr>
          <w:rFonts w:ascii="Times New Roman" w:hAnsi="Times New Roman" w:eastAsia="宋体" w:cs="Times New Roman"/>
        </w:rPr>
        <w:t>Liu Y</w:t>
      </w:r>
      <w:r>
        <w:rPr>
          <w:rFonts w:hint="eastAsia" w:ascii="Times New Roman" w:hAnsi="Times New Roman" w:eastAsia="宋体" w:cs="Times New Roman"/>
        </w:rPr>
        <w:t xml:space="preserve">, </w:t>
      </w:r>
      <w:r>
        <w:rPr>
          <w:rFonts w:ascii="Times New Roman" w:hAnsi="Times New Roman" w:eastAsia="宋体" w:cs="Times New Roman"/>
        </w:rPr>
        <w:t>Wang H.</w:t>
      </w:r>
      <w:r>
        <w:rPr>
          <w:rFonts w:ascii="Times New Roman" w:hAnsi="Times New Roman" w:eastAsia="宋体" w:cs="Times New Roman"/>
          <w:kern w:val="0"/>
          <w:szCs w:val="21"/>
        </w:rPr>
        <w:t>Clinical Evaluation Tool for Vascular Health–Endothelial Function and Cardiovascular Disease Management. Cells.2022</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11</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3363.</w:t>
      </w:r>
    </w:p>
    <w:p w14:paraId="4B766598">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kern w:val="0"/>
          <w:szCs w:val="21"/>
        </w:rPr>
        <w:t>中国非传统血管健康危险因素管理策略专家共识（2022第一次报告）.中华医学杂志.2023，103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4</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242-258.</w:t>
      </w:r>
    </w:p>
    <w:p w14:paraId="182466BE">
      <w:pPr>
        <w:pStyle w:val="22"/>
        <w:numPr>
          <w:ilvl w:val="0"/>
          <w:numId w:val="1"/>
        </w:numPr>
        <w:ind w:left="0" w:firstLine="0" w:firstLineChars="0"/>
        <w:rPr>
          <w:rFonts w:ascii="Times New Roman" w:hAnsi="Times New Roman" w:eastAsia="宋体" w:cs="Times New Roman"/>
          <w:szCs w:val="21"/>
        </w:rPr>
      </w:pPr>
      <w:r>
        <w:rPr>
          <w:rFonts w:ascii="Times New Roman" w:hAnsi="Times New Roman" w:eastAsia="宋体" w:cs="Times New Roman"/>
          <w:kern w:val="0"/>
          <w:szCs w:val="21"/>
        </w:rPr>
        <w:t>中国智慧化血管健康全生命周期数字管理分级诊疗实践指南（2022 第一次报告）.心血管病学进展.2023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44</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71-81.</w:t>
      </w:r>
    </w:p>
    <w:p w14:paraId="5301F64F">
      <w:pPr>
        <w:pStyle w:val="22"/>
        <w:numPr>
          <w:ilvl w:val="0"/>
          <w:numId w:val="1"/>
        </w:numPr>
        <w:ind w:firstLine="0" w:firstLineChars="0"/>
        <w:rPr>
          <w:rFonts w:hint="eastAsia" w:ascii="宋体" w:hAnsi="宋体"/>
          <w:bCs/>
          <w:sz w:val="24"/>
          <w:szCs w:val="24"/>
        </w:rPr>
      </w:pPr>
      <w:r>
        <w:rPr>
          <w:rFonts w:hint="eastAsia" w:ascii="宋体" w:hAnsi="宋体"/>
          <w:bCs/>
          <w:sz w:val="24"/>
        </w:rPr>
        <mc:AlternateContent>
          <mc:Choice Requires="wps">
            <w:drawing>
              <wp:anchor distT="0" distB="0" distL="114300" distR="114300" simplePos="0" relativeHeight="251660288" behindDoc="0" locked="0" layoutInCell="1" allowOverlap="1">
                <wp:simplePos x="0" y="0"/>
                <wp:positionH relativeFrom="column">
                  <wp:posOffset>2164715</wp:posOffset>
                </wp:positionH>
                <wp:positionV relativeFrom="page">
                  <wp:posOffset>5782310</wp:posOffset>
                </wp:positionV>
                <wp:extent cx="1882775" cy="6350"/>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45pt;margin-top:455.3pt;height:0.5pt;width:148.25pt;mso-position-vertical-relative:page;z-index:251660288;mso-width-relative:page;mso-height-relative:page;" filled="f" stroked="t" coordsize="21600,21600" o:gfxdata="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16ianZAAAADQEAAA8AAAAAAAAAAQAgAAAAIgAAAGRycy9kb3ducmV2LnhtbFBLAQIUABQAAAAI&#10;AIdO4kC6LcQY7AEAAMADAAAOAAAAAAAAAAEAIAAAACgBAABkcnMvZTJvRG9jLnhtbFBLBQYAAAAA&#10;BgAGAFkBAACGBQ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kern w:val="0"/>
          <w:szCs w:val="21"/>
        </w:rPr>
        <w:t>Wen F</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Jiang S</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Yuan P</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Liu J</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Bai X</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Zhao H</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Chen X</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Gong Y</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Asmar R</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Wang H. Vascular Health Promotion Project and Vascular Medicine in China-CCVM2004-2023.Vascular Health and Risk Management.2023</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19</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741–751.</w:t>
      </w:r>
    </w:p>
    <w:sectPr>
      <w:footerReference r:id="rId15" w:type="default"/>
      <w:headerReference r:id="rId14" w:type="even"/>
      <w:footerReference r:id="rId16" w:type="even"/>
      <w:pgSz w:w="11906" w:h="16838"/>
      <w:pgMar w:top="1417" w:right="1134" w:bottom="1134" w:left="14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等线"/>
    <w:panose1 w:val="00000000000000000000"/>
    <w:charset w:val="86"/>
    <w:family w:val="auto"/>
    <w:pitch w:val="default"/>
    <w:sig w:usb0="00000000" w:usb1="00000000" w:usb2="00000000" w:usb3="00000000" w:csb0="00040000" w:csb1="00000000"/>
  </w:font>
  <w:font w:name="E-HZ+ZDGCos-3">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D5A9">
    <w:pPr>
      <w:pStyle w:val="9"/>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202AF6F">
                              <w:pPr>
                                <w:pStyle w:val="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C10E9C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1202AF6F">
                        <w:pPr>
                          <w:pStyle w:val="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C10E9C7">
                    <w:pPr>
                      <w:rPr>
                        <w:rFonts w:hint="eastAsia"/>
                      </w:rPr>
                    </w:pPr>
                  </w:p>
                </w:txbxContent>
              </v:textbox>
            </v:shape>
          </w:pict>
        </mc:Fallback>
      </mc:AlternateContent>
    </w:r>
  </w:p>
  <w:p w14:paraId="2D808B8A">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8F5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A68B">
    <w:pPr>
      <w:pStyle w:val="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107E">
    <w:pPr>
      <w:pStyle w:val="9"/>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9CFD">
    <w:pPr>
      <w:pStyle w:val="9"/>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10F6A">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6810F6A">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3BD760FD">
    <w:pPr>
      <w:pStyle w:val="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4270">
    <w:pPr>
      <w:pStyle w:val="9"/>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8E2A">
    <w:pPr>
      <w:pStyle w:val="9"/>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8BC6">
    <w:pPr>
      <w:pStyle w:val="9"/>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D8899">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61D8899">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D766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BCD766C">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864F">
    <w:pPr>
      <w:pStyle w:val="9"/>
      <w:tabs>
        <w:tab w:val="clear" w:pos="4153"/>
      </w:tabs>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BF6F0">
                          <w:pPr>
                            <w:pStyle w:val="9"/>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F7BF6F0">
                    <w:pPr>
                      <w:pStyle w:val="9"/>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55ECA">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3649">
    <w:pPr>
      <w:pStyle w:val="10"/>
      <w:pBdr>
        <w:bottom w:val="none" w:color="auto" w:sz="0" w:space="1"/>
      </w:pBdr>
      <w:tabs>
        <w:tab w:val="left" w:pos="510"/>
      </w:tabs>
      <w:jc w:val="both"/>
      <w:rPr>
        <w:rFonts w:hint="eastAsia"/>
        <w:lang w:val="fr-FR"/>
      </w:rPr>
    </w:pPr>
    <w:r>
      <w:tab/>
    </w:r>
    <w:r>
      <w:rPr>
        <w:lang w:val="fr-FR"/>
      </w:rPr>
      <w:t>T/CRHA XXX—202X</w:t>
    </w:r>
    <w:r>
      <w:rPr>
        <w:lang w:val="fr-F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3A1EB">
    <w:pPr>
      <w:pStyle w:val="1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A6EF">
    <w:pPr>
      <w:pStyle w:val="10"/>
      <w:pBdr>
        <w:bottom w:val="none" w:color="auto" w:sz="0" w:space="1"/>
      </w:pBdr>
      <w:jc w:val="left"/>
      <w:rPr>
        <w:rFonts w:hint="eastAsia"/>
      </w:rPr>
    </w:pPr>
    <w:r>
      <w:rPr>
        <w:rFonts w:ascii="Times New Roman" w:hAnsi="Times New Roman" w:eastAsia="宋体" w:cs="Times New Roman"/>
      </w:rPr>
      <w:t>T/CRHA 75</w:t>
    </w:r>
    <w:r>
      <w:rPr>
        <w:rFonts w:hint="eastAsia" w:ascii="Times New Roman" w:hAnsi="Times New Roman" w:eastAsia="宋体" w:cs="Times New Roman"/>
      </w:rPr>
      <w:t>—</w:t>
    </w:r>
    <w:r>
      <w:rPr>
        <w:rFonts w:ascii="Times New Roman" w:hAnsi="Times New Roman" w:eastAsia="宋体" w:cs="Times New Roman"/>
      </w:rPr>
      <w:t>2023001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0EC1">
    <w:pPr>
      <w:pStyle w:val="10"/>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77ADED2F">
    <w:pPr>
      <w:pStyle w:val="1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C0448"/>
    <w:multiLevelType w:val="singleLevel"/>
    <w:tmpl w:val="489C044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172A27"/>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A7EE2"/>
    <w:rsid w:val="000B12BE"/>
    <w:rsid w:val="000B54AC"/>
    <w:rsid w:val="000B5A07"/>
    <w:rsid w:val="000C032C"/>
    <w:rsid w:val="000C24EB"/>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A27"/>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D5499"/>
    <w:rsid w:val="001E186D"/>
    <w:rsid w:val="001E637A"/>
    <w:rsid w:val="001E64A9"/>
    <w:rsid w:val="001E6E82"/>
    <w:rsid w:val="001E74EF"/>
    <w:rsid w:val="001E781A"/>
    <w:rsid w:val="001F12B9"/>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6409"/>
    <w:rsid w:val="00247092"/>
    <w:rsid w:val="0025110E"/>
    <w:rsid w:val="00251F14"/>
    <w:rsid w:val="00252505"/>
    <w:rsid w:val="00252F69"/>
    <w:rsid w:val="00255007"/>
    <w:rsid w:val="002554FD"/>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536C"/>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1034"/>
    <w:rsid w:val="00387294"/>
    <w:rsid w:val="00390258"/>
    <w:rsid w:val="003906E6"/>
    <w:rsid w:val="00390962"/>
    <w:rsid w:val="00392044"/>
    <w:rsid w:val="00393573"/>
    <w:rsid w:val="00393AE0"/>
    <w:rsid w:val="003979DD"/>
    <w:rsid w:val="003A3B44"/>
    <w:rsid w:val="003A4197"/>
    <w:rsid w:val="003A4C7C"/>
    <w:rsid w:val="003A4FB7"/>
    <w:rsid w:val="003B055C"/>
    <w:rsid w:val="003B4A13"/>
    <w:rsid w:val="003B7750"/>
    <w:rsid w:val="003C036C"/>
    <w:rsid w:val="003C0938"/>
    <w:rsid w:val="003C1481"/>
    <w:rsid w:val="003C5E4C"/>
    <w:rsid w:val="003C76BA"/>
    <w:rsid w:val="003C7AE8"/>
    <w:rsid w:val="003D05AD"/>
    <w:rsid w:val="003D3BDD"/>
    <w:rsid w:val="003D4309"/>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D6E58"/>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029"/>
    <w:rsid w:val="00562781"/>
    <w:rsid w:val="005641B7"/>
    <w:rsid w:val="005702B0"/>
    <w:rsid w:val="0057249C"/>
    <w:rsid w:val="0057395C"/>
    <w:rsid w:val="00573B86"/>
    <w:rsid w:val="00575A68"/>
    <w:rsid w:val="00581CA9"/>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240EE"/>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3BCB"/>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344D"/>
    <w:rsid w:val="007A3CA8"/>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3CF9"/>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A6AA1"/>
    <w:rsid w:val="008B0383"/>
    <w:rsid w:val="008B4528"/>
    <w:rsid w:val="008B58AE"/>
    <w:rsid w:val="008B5A83"/>
    <w:rsid w:val="008B65FF"/>
    <w:rsid w:val="008B7BD5"/>
    <w:rsid w:val="008C0A0A"/>
    <w:rsid w:val="008C57A8"/>
    <w:rsid w:val="008C5F0B"/>
    <w:rsid w:val="008C7770"/>
    <w:rsid w:val="008C7B4E"/>
    <w:rsid w:val="008D2276"/>
    <w:rsid w:val="008D5D2B"/>
    <w:rsid w:val="008E5ED9"/>
    <w:rsid w:val="008F004E"/>
    <w:rsid w:val="008F02E4"/>
    <w:rsid w:val="008F469E"/>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439E6"/>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747"/>
    <w:rsid w:val="00BF1C4E"/>
    <w:rsid w:val="00BF1FD0"/>
    <w:rsid w:val="00BF415D"/>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4FFC"/>
    <w:rsid w:val="00C55A5E"/>
    <w:rsid w:val="00C567D1"/>
    <w:rsid w:val="00C56A8A"/>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177AF"/>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1A4"/>
    <w:rsid w:val="00D71C09"/>
    <w:rsid w:val="00D724F5"/>
    <w:rsid w:val="00D74072"/>
    <w:rsid w:val="00D77D54"/>
    <w:rsid w:val="00D81903"/>
    <w:rsid w:val="00D81C75"/>
    <w:rsid w:val="00D83260"/>
    <w:rsid w:val="00D87ADD"/>
    <w:rsid w:val="00D94F5F"/>
    <w:rsid w:val="00D95652"/>
    <w:rsid w:val="00D9567E"/>
    <w:rsid w:val="00DB7F17"/>
    <w:rsid w:val="00DC0E13"/>
    <w:rsid w:val="00DC1BFC"/>
    <w:rsid w:val="00DC43B6"/>
    <w:rsid w:val="00DC51BD"/>
    <w:rsid w:val="00DC6BE3"/>
    <w:rsid w:val="00DC7A56"/>
    <w:rsid w:val="00DC7E6D"/>
    <w:rsid w:val="00DD0E9B"/>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1D21"/>
    <w:rsid w:val="00E222C0"/>
    <w:rsid w:val="00E22B4B"/>
    <w:rsid w:val="00E25688"/>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13BC"/>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07AA2"/>
    <w:rsid w:val="00F22547"/>
    <w:rsid w:val="00F22E0E"/>
    <w:rsid w:val="00F23836"/>
    <w:rsid w:val="00F24572"/>
    <w:rsid w:val="00F259CE"/>
    <w:rsid w:val="00F304DC"/>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17C3"/>
    <w:rsid w:val="00FE39F2"/>
    <w:rsid w:val="00FE6472"/>
    <w:rsid w:val="00FE6B1E"/>
    <w:rsid w:val="00FF1E6D"/>
    <w:rsid w:val="00FF46F9"/>
    <w:rsid w:val="00FF7904"/>
    <w:rsid w:val="01041951"/>
    <w:rsid w:val="05E40C54"/>
    <w:rsid w:val="06147E59"/>
    <w:rsid w:val="06A42377"/>
    <w:rsid w:val="073F0418"/>
    <w:rsid w:val="07587E1D"/>
    <w:rsid w:val="0AF9CB7F"/>
    <w:rsid w:val="13836007"/>
    <w:rsid w:val="13A14AC4"/>
    <w:rsid w:val="150C03F7"/>
    <w:rsid w:val="18F61C57"/>
    <w:rsid w:val="1D5E7B70"/>
    <w:rsid w:val="1EEB7D15"/>
    <w:rsid w:val="206E0FC8"/>
    <w:rsid w:val="222D7FD7"/>
    <w:rsid w:val="23B02BC5"/>
    <w:rsid w:val="25FE5651"/>
    <w:rsid w:val="26472A30"/>
    <w:rsid w:val="26FC6074"/>
    <w:rsid w:val="271433BD"/>
    <w:rsid w:val="2ACB3B4E"/>
    <w:rsid w:val="2BCC0394"/>
    <w:rsid w:val="2D5D6C5F"/>
    <w:rsid w:val="2E47409D"/>
    <w:rsid w:val="2EEE2746"/>
    <w:rsid w:val="31774C75"/>
    <w:rsid w:val="31B5249C"/>
    <w:rsid w:val="34803EC8"/>
    <w:rsid w:val="34B9379B"/>
    <w:rsid w:val="35E772E4"/>
    <w:rsid w:val="38685317"/>
    <w:rsid w:val="38EC5F48"/>
    <w:rsid w:val="3C552056"/>
    <w:rsid w:val="3EAE7781"/>
    <w:rsid w:val="3F779754"/>
    <w:rsid w:val="3FA78228"/>
    <w:rsid w:val="40DA6FCE"/>
    <w:rsid w:val="40E1035D"/>
    <w:rsid w:val="42DB1762"/>
    <w:rsid w:val="4687467B"/>
    <w:rsid w:val="492E308A"/>
    <w:rsid w:val="49A2495C"/>
    <w:rsid w:val="4A603B63"/>
    <w:rsid w:val="4BC13157"/>
    <w:rsid w:val="4C303B79"/>
    <w:rsid w:val="4CD05A23"/>
    <w:rsid w:val="4EA54CFD"/>
    <w:rsid w:val="5439223A"/>
    <w:rsid w:val="553F0BCB"/>
    <w:rsid w:val="555B64D8"/>
    <w:rsid w:val="5C5D2B35"/>
    <w:rsid w:val="5C696B87"/>
    <w:rsid w:val="60732830"/>
    <w:rsid w:val="61452CD9"/>
    <w:rsid w:val="62F22E4E"/>
    <w:rsid w:val="63185A08"/>
    <w:rsid w:val="63DE1DF7"/>
    <w:rsid w:val="650F518F"/>
    <w:rsid w:val="68964C95"/>
    <w:rsid w:val="6EBBEF1C"/>
    <w:rsid w:val="70120D53"/>
    <w:rsid w:val="701E08C7"/>
    <w:rsid w:val="70507493"/>
    <w:rsid w:val="70932323"/>
    <w:rsid w:val="74322378"/>
    <w:rsid w:val="750E6B08"/>
    <w:rsid w:val="754049A5"/>
    <w:rsid w:val="76FF0615"/>
    <w:rsid w:val="77AFCE9C"/>
    <w:rsid w:val="78D47B14"/>
    <w:rsid w:val="7A0D5F68"/>
    <w:rsid w:val="7ACC7DC7"/>
    <w:rsid w:val="7C7951F7"/>
    <w:rsid w:val="7D650C54"/>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Body Text"/>
    <w:basedOn w:val="1"/>
    <w:qFormat/>
    <w:uiPriority w:val="0"/>
    <w:pPr>
      <w:spacing w:after="120"/>
    </w:pPr>
  </w:style>
  <w:style w:type="paragraph" w:styleId="7">
    <w:name w:val="toc 3"/>
    <w:basedOn w:val="1"/>
    <w:next w:val="1"/>
    <w:semiHidden/>
    <w:unhideWhenUsed/>
    <w:qFormat/>
    <w:uiPriority w:val="39"/>
    <w:pPr>
      <w:ind w:left="840" w:leftChars="400"/>
    </w:pPr>
  </w:style>
  <w:style w:type="paragraph" w:styleId="8">
    <w:name w:val="Balloon Text"/>
    <w:basedOn w:val="1"/>
    <w:link w:val="33"/>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semiHidden/>
    <w:unhideWhenUsed/>
    <w:qFormat/>
    <w:uiPriority w:val="39"/>
    <w:pPr>
      <w:ind w:left="420" w:leftChars="200"/>
    </w:pPr>
  </w:style>
  <w:style w:type="paragraph" w:styleId="13">
    <w:name w:val="HTML Preformatted"/>
    <w:basedOn w:val="1"/>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5"/>
    <w:next w:val="5"/>
    <w:link w:val="32"/>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20"/>
    <w:rPr>
      <w:i/>
      <w:i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customStyle="1" w:styleId="22">
    <w:name w:val="列出段落1"/>
    <w:basedOn w:val="1"/>
    <w:link w:val="26"/>
    <w:qFormat/>
    <w:uiPriority w:val="34"/>
    <w:pPr>
      <w:ind w:firstLine="420" w:firstLineChars="200"/>
    </w:pPr>
  </w:style>
  <w:style w:type="character" w:customStyle="1" w:styleId="23">
    <w:name w:val="页眉 字符"/>
    <w:basedOn w:val="18"/>
    <w:link w:val="10"/>
    <w:qFormat/>
    <w:uiPriority w:val="99"/>
    <w:rPr>
      <w:sz w:val="18"/>
      <w:szCs w:val="18"/>
    </w:rPr>
  </w:style>
  <w:style w:type="character" w:customStyle="1" w:styleId="24">
    <w:name w:val="页脚 字符"/>
    <w:basedOn w:val="18"/>
    <w:link w:val="9"/>
    <w:qFormat/>
    <w:uiPriority w:val="99"/>
    <w:rPr>
      <w:sz w:val="18"/>
      <w:szCs w:val="18"/>
    </w:rPr>
  </w:style>
  <w:style w:type="paragraph" w:customStyle="1" w:styleId="25">
    <w:name w:val="EndNote Bibliography Title"/>
    <w:basedOn w:val="1"/>
    <w:link w:val="27"/>
    <w:qFormat/>
    <w:uiPriority w:val="0"/>
    <w:pPr>
      <w:jc w:val="center"/>
    </w:pPr>
    <w:rPr>
      <w:rFonts w:ascii="等线" w:hAnsi="等线" w:eastAsia="等线"/>
      <w:sz w:val="20"/>
    </w:rPr>
  </w:style>
  <w:style w:type="character" w:customStyle="1" w:styleId="26">
    <w:name w:val="列出段落 Char"/>
    <w:basedOn w:val="18"/>
    <w:link w:val="22"/>
    <w:qFormat/>
    <w:uiPriority w:val="34"/>
  </w:style>
  <w:style w:type="character" w:customStyle="1" w:styleId="27">
    <w:name w:val="EndNote Bibliography Title 字符"/>
    <w:basedOn w:val="26"/>
    <w:link w:val="25"/>
    <w:qFormat/>
    <w:uiPriority w:val="0"/>
    <w:rPr>
      <w:rFonts w:ascii="等线" w:hAnsi="等线" w:eastAsia="等线"/>
      <w:sz w:val="20"/>
    </w:rPr>
  </w:style>
  <w:style w:type="paragraph" w:customStyle="1" w:styleId="28">
    <w:name w:val="EndNote Bibliography"/>
    <w:basedOn w:val="1"/>
    <w:link w:val="29"/>
    <w:qFormat/>
    <w:uiPriority w:val="0"/>
    <w:rPr>
      <w:rFonts w:ascii="等线" w:hAnsi="等线" w:eastAsia="等线"/>
      <w:sz w:val="20"/>
    </w:rPr>
  </w:style>
  <w:style w:type="character" w:customStyle="1" w:styleId="29">
    <w:name w:val="EndNote Bibliography 字符"/>
    <w:basedOn w:val="26"/>
    <w:link w:val="28"/>
    <w:qFormat/>
    <w:uiPriority w:val="0"/>
    <w:rPr>
      <w:rFonts w:ascii="等线" w:hAnsi="等线" w:eastAsia="等线"/>
      <w:sz w:val="20"/>
    </w:rPr>
  </w:style>
  <w:style w:type="character" w:customStyle="1" w:styleId="30">
    <w:name w:val="未处理的提及1"/>
    <w:basedOn w:val="18"/>
    <w:unhideWhenUsed/>
    <w:qFormat/>
    <w:uiPriority w:val="99"/>
    <w:rPr>
      <w:color w:val="605E5C"/>
      <w:shd w:val="clear" w:color="auto" w:fill="E1DFDD"/>
    </w:rPr>
  </w:style>
  <w:style w:type="character" w:customStyle="1" w:styleId="31">
    <w:name w:val="批注文字 字符"/>
    <w:basedOn w:val="18"/>
    <w:link w:val="5"/>
    <w:semiHidden/>
    <w:qFormat/>
    <w:uiPriority w:val="99"/>
  </w:style>
  <w:style w:type="character" w:customStyle="1" w:styleId="32">
    <w:name w:val="批注主题 字符"/>
    <w:basedOn w:val="31"/>
    <w:link w:val="15"/>
    <w:semiHidden/>
    <w:qFormat/>
    <w:uiPriority w:val="99"/>
    <w:rPr>
      <w:b/>
      <w:bCs/>
    </w:rPr>
  </w:style>
  <w:style w:type="character" w:customStyle="1" w:styleId="33">
    <w:name w:val="批注框文本 字符"/>
    <w:basedOn w:val="18"/>
    <w:link w:val="8"/>
    <w:semiHidden/>
    <w:qFormat/>
    <w:uiPriority w:val="99"/>
    <w:rPr>
      <w:sz w:val="18"/>
      <w:szCs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HTML 预设格式 字符"/>
    <w:basedOn w:val="18"/>
    <w:link w:val="13"/>
    <w:semiHidden/>
    <w:qFormat/>
    <w:uiPriority w:val="99"/>
    <w:rPr>
      <w:rFonts w:ascii="宋体" w:hAnsi="宋体" w:eastAsia="宋体" w:cs="宋体"/>
      <w:kern w:val="0"/>
      <w:sz w:val="24"/>
      <w:szCs w:val="24"/>
    </w:rPr>
  </w:style>
  <w:style w:type="character" w:customStyle="1" w:styleId="36">
    <w:name w:val="y2iqfc"/>
    <w:basedOn w:val="18"/>
    <w:qFormat/>
    <w:uiPriority w:val="0"/>
  </w:style>
  <w:style w:type="character" w:customStyle="1" w:styleId="37">
    <w:name w:val="inner-text-paragraph-org"/>
    <w:basedOn w:val="18"/>
    <w:qFormat/>
    <w:uiPriority w:val="0"/>
  </w:style>
  <w:style w:type="character" w:customStyle="1" w:styleId="38">
    <w:name w:val="未处理的提及2"/>
    <w:basedOn w:val="18"/>
    <w:unhideWhenUsed/>
    <w:qFormat/>
    <w:uiPriority w:val="99"/>
    <w:rPr>
      <w:color w:val="605E5C"/>
      <w:shd w:val="clear" w:color="auto" w:fill="E1DFDD"/>
    </w:rPr>
  </w:style>
  <w:style w:type="character" w:customStyle="1" w:styleId="39">
    <w:name w:val="列表段落 字符1"/>
    <w:basedOn w:val="18"/>
    <w:qFormat/>
    <w:uiPriority w:val="34"/>
  </w:style>
  <w:style w:type="paragraph" w:customStyle="1" w:styleId="4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1">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发布部门"/>
    <w:next w:val="4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其他发布日期"/>
    <w:basedOn w:val="49"/>
    <w:qFormat/>
    <w:uiPriority w:val="0"/>
    <w:pPr>
      <w:framePr w:wrap="around" w:vAnchor="page" w:hAnchor="text" w:x="1419"/>
    </w:pPr>
  </w:style>
  <w:style w:type="paragraph" w:customStyle="1" w:styleId="4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样式1"/>
    <w:basedOn w:val="1"/>
    <w:next w:val="11"/>
    <w:qFormat/>
    <w:uiPriority w:val="0"/>
  </w:style>
  <w:style w:type="paragraph" w:styleId="51">
    <w:name w:val="List Paragraph"/>
    <w:basedOn w:val="1"/>
    <w:unhideWhenUsed/>
    <w:qFormat/>
    <w:uiPriority w:val="99"/>
    <w:pPr>
      <w:ind w:firstLine="420" w:firstLineChars="200"/>
    </w:p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6531</Words>
  <Characters>7327</Characters>
  <Lines>65</Lines>
  <Paragraphs>18</Paragraphs>
  <TotalTime>46</TotalTime>
  <ScaleCrop>false</ScaleCrop>
  <LinksUpToDate>false</LinksUpToDate>
  <CharactersWithSpaces>7585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2025-08-22T03:15:50Z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341BC9BEE68A4A9996F18C0573B25DB2_13</vt:lpwstr>
  </property>
  <property fmtid="{D5CDD505-2E9C-101B-9397-08002B2CF9AE}" pid="4" name="KSOTemplateDocerSaveRecord">
    <vt:lpwstr>eyJoZGlkIjoiMTFmMDJjZGU0YzYzNjgxMjg1NzBlNDNlZWZkY2IyNjMiLCJ1c2VySWQiOiIxMzc2MzQzNjk3In0=</vt:lpwstr>
  </property>
</Properties>
</file>