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74E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8D512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8704D3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91.010.01</w:t>
            </w:r>
            <w:r>
              <w:rPr>
                <w:rFonts w:ascii="黑体" w:hAnsi="黑体" w:eastAsia="黑体"/>
                <w:sz w:val="21"/>
                <w:szCs w:val="21"/>
              </w:rPr>
              <w:fldChar w:fldCharType="end"/>
            </w:r>
            <w:bookmarkEnd w:id="0"/>
          </w:p>
        </w:tc>
      </w:tr>
      <w:tr w14:paraId="5DCF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C0907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5A7547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C73E865">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4F612B8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09</w:t>
            </w:r>
            <w:r>
              <w:rPr>
                <w:rFonts w:ascii="黑体" w:hAnsi="黑体" w:eastAsia="黑体"/>
                <w:sz w:val="21"/>
                <w:szCs w:val="21"/>
              </w:rPr>
              <w:fldChar w:fldCharType="end"/>
            </w:r>
            <w:bookmarkEnd w:id="2"/>
          </w:p>
        </w:tc>
      </w:tr>
    </w:tbl>
    <w:p w14:paraId="0A928D73">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3492B54">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190FF1FC">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3C31A6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ED9A52F">
      <w:pPr>
        <w:pStyle w:val="50"/>
        <w:framePr w:w="9639" w:h="6976" w:hRule="exact" w:hSpace="0" w:vSpace="0" w:wrap="around" w:hAnchor="page" w:y="6408"/>
        <w:jc w:val="center"/>
        <w:rPr>
          <w:rFonts w:hint="eastAsia" w:ascii="黑体" w:hAnsi="黑体" w:eastAsia="黑体"/>
          <w:b w:val="0"/>
          <w:bCs w:val="0"/>
          <w:w w:val="100"/>
        </w:rPr>
      </w:pPr>
    </w:p>
    <w:p w14:paraId="3EA2D0E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建筑低碳施工高处作业管理规范</w:t>
      </w:r>
      <w:r>
        <w:fldChar w:fldCharType="end"/>
      </w:r>
      <w:bookmarkEnd w:id="9"/>
    </w:p>
    <w:p w14:paraId="0734AC59">
      <w:pPr>
        <w:framePr w:w="9639" w:h="6974" w:hRule="exact" w:wrap="around" w:vAnchor="page" w:hAnchor="page" w:x="1419" w:y="6408" w:anchorLock="1"/>
        <w:ind w:left="-1418"/>
      </w:pPr>
    </w:p>
    <w:p w14:paraId="0AC48CE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Regulations for management of high-altitude operations in low-carbon construction</w:t>
      </w:r>
      <w:r>
        <w:rPr>
          <w:rFonts w:eastAsia="黑体"/>
          <w:szCs w:val="28"/>
        </w:rPr>
        <w:fldChar w:fldCharType="end"/>
      </w:r>
      <w:bookmarkEnd w:id="10"/>
    </w:p>
    <w:p w14:paraId="315F3B96">
      <w:pPr>
        <w:framePr w:w="9639" w:h="6974" w:hRule="exact" w:wrap="around" w:vAnchor="page" w:hAnchor="page" w:x="1419" w:y="6408" w:anchorLock="1"/>
        <w:spacing w:line="760" w:lineRule="exact"/>
        <w:ind w:left="-1418"/>
      </w:pPr>
    </w:p>
    <w:p w14:paraId="2D7DBB04">
      <w:pPr>
        <w:pStyle w:val="125"/>
        <w:framePr w:w="9639" w:h="6974" w:hRule="exact" w:wrap="around" w:vAnchor="page" w:hAnchor="page" w:x="1419" w:y="6408" w:anchorLock="1"/>
        <w:textAlignment w:val="bottom"/>
        <w:rPr>
          <w:rFonts w:eastAsia="黑体"/>
          <w:szCs w:val="28"/>
        </w:rPr>
      </w:pPr>
    </w:p>
    <w:p w14:paraId="4B7C53E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BABC1B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734ADC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AFA983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AAE13F4">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340444C">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388C41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E2FA7A4">
      <w:pPr>
        <w:pStyle w:val="91"/>
        <w:spacing w:after="360"/>
        <w:rPr>
          <w:rFonts w:hint="eastAsia"/>
        </w:rPr>
      </w:pPr>
      <w:bookmarkStart w:id="21" w:name="BookMark1"/>
      <w:r>
        <w:rPr>
          <w:rFonts w:hint="eastAsia"/>
          <w:spacing w:val="320"/>
        </w:rPr>
        <w:t>目</w:t>
      </w:r>
      <w:r>
        <w:rPr>
          <w:rFonts w:hint="eastAsia"/>
        </w:rPr>
        <w:t>次</w:t>
      </w:r>
    </w:p>
    <w:p w14:paraId="5405F65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"_Toc205456903"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_Toc205456903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3C8EAB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"_Toc205456904"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_Toc205456904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DE0FFF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"_Toc205456905"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_Toc205456905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BC7806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"_Toc205456906"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_Toc205456906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F954CE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"_Toc205456907"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_Toc205456907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DB3115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"_Toc205456908" </w:instrText>
      </w:r>
      <w:r>
        <w:fldChar w:fldCharType="separate"/>
      </w:r>
      <w:r>
        <w:rPr>
          <w:rStyle w:val="32"/>
          <w:rFonts w:hint="eastAsia"/>
        </w:rPr>
        <w:t>5</w:t>
      </w:r>
      <w:r>
        <w:rPr>
          <w:rStyle w:val="32"/>
        </w:rPr>
        <w:t xml:space="preserve"> </w:t>
      </w:r>
      <w:r>
        <w:rPr>
          <w:rStyle w:val="32"/>
          <w:rFonts w:hint="eastAsia"/>
        </w:rPr>
        <w:t xml:space="preserve"> 高处作业要求</w:t>
      </w:r>
      <w:r>
        <w:rPr>
          <w:rFonts w:hint="eastAsia"/>
        </w:rPr>
        <w:tab/>
      </w:r>
      <w:r>
        <w:rPr>
          <w:rFonts w:hint="eastAsia"/>
        </w:rPr>
        <w:fldChar w:fldCharType="begin"/>
      </w:r>
      <w:r>
        <w:rPr>
          <w:rFonts w:hint="eastAsia"/>
        </w:rPr>
        <w:instrText xml:space="preserve"> </w:instrText>
      </w:r>
      <w:r>
        <w:instrText xml:space="preserve">PAGEREF _Toc205456908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9ACA93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"_Toc205456909" </w:instrText>
      </w:r>
      <w:r>
        <w:fldChar w:fldCharType="separate"/>
      </w:r>
      <w:r>
        <w:rPr>
          <w:rStyle w:val="32"/>
          <w:rFonts w:hint="eastAsia"/>
        </w:rPr>
        <w:t>6</w:t>
      </w:r>
      <w:r>
        <w:rPr>
          <w:rStyle w:val="32"/>
        </w:rPr>
        <w:t xml:space="preserve"> </w:t>
      </w:r>
      <w:r>
        <w:rPr>
          <w:rStyle w:val="32"/>
          <w:rFonts w:hint="eastAsia"/>
        </w:rPr>
        <w:t xml:space="preserve"> 安全防护措施</w:t>
      </w:r>
      <w:r>
        <w:rPr>
          <w:rFonts w:hint="eastAsia"/>
        </w:rPr>
        <w:tab/>
      </w:r>
      <w:r>
        <w:rPr>
          <w:rFonts w:hint="eastAsia"/>
        </w:rPr>
        <w:fldChar w:fldCharType="begin"/>
      </w:r>
      <w:r>
        <w:rPr>
          <w:rFonts w:hint="eastAsia"/>
        </w:rPr>
        <w:instrText xml:space="preserve"> </w:instrText>
      </w:r>
      <w:r>
        <w:instrText xml:space="preserve">PAGEREF _Toc205456909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FE3A94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"_Toc205456910" </w:instrText>
      </w:r>
      <w:r>
        <w:fldChar w:fldCharType="separate"/>
      </w:r>
      <w:r>
        <w:rPr>
          <w:rStyle w:val="32"/>
          <w:rFonts w:hint="eastAsia"/>
        </w:rPr>
        <w:t>7</w:t>
      </w:r>
      <w:r>
        <w:rPr>
          <w:rStyle w:val="32"/>
        </w:rPr>
        <w:t xml:space="preserve"> </w:t>
      </w:r>
      <w:r>
        <w:rPr>
          <w:rStyle w:val="32"/>
          <w:rFonts w:hint="eastAsia"/>
        </w:rPr>
        <w:t xml:space="preserve"> 低碳作业措施</w:t>
      </w:r>
      <w:r>
        <w:rPr>
          <w:rFonts w:hint="eastAsia"/>
        </w:rPr>
        <w:tab/>
      </w:r>
      <w:r>
        <w:rPr>
          <w:rFonts w:hint="eastAsia"/>
        </w:rPr>
        <w:fldChar w:fldCharType="begin"/>
      </w:r>
      <w:r>
        <w:rPr>
          <w:rFonts w:hint="eastAsia"/>
        </w:rPr>
        <w:instrText xml:space="preserve"> </w:instrText>
      </w:r>
      <w:r>
        <w:instrText xml:space="preserve">PAGEREF _Toc205456910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BE2A30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"_Toc205456911" </w:instrText>
      </w:r>
      <w:r>
        <w:fldChar w:fldCharType="separate"/>
      </w:r>
      <w:r>
        <w:rPr>
          <w:rStyle w:val="32"/>
          <w:rFonts w:hint="eastAsia"/>
        </w:rPr>
        <w:t>8</w:t>
      </w:r>
      <w:r>
        <w:rPr>
          <w:rStyle w:val="32"/>
        </w:rPr>
        <w:t xml:space="preserve"> </w:t>
      </w:r>
      <w:r>
        <w:rPr>
          <w:rStyle w:val="32"/>
          <w:rFonts w:hint="eastAsia"/>
        </w:rPr>
        <w:t xml:space="preserve"> 检查与验收</w:t>
      </w:r>
      <w:r>
        <w:rPr>
          <w:rFonts w:hint="eastAsia"/>
        </w:rPr>
        <w:tab/>
      </w:r>
      <w:r>
        <w:rPr>
          <w:rFonts w:hint="eastAsia"/>
        </w:rPr>
        <w:fldChar w:fldCharType="begin"/>
      </w:r>
      <w:r>
        <w:rPr>
          <w:rFonts w:hint="eastAsia"/>
        </w:rPr>
        <w:instrText xml:space="preserve"> </w:instrText>
      </w:r>
      <w:r>
        <w:instrText xml:space="preserve">PAGEREF _Toc205456911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60ED55C">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E70A495">
      <w:pPr>
        <w:pStyle w:val="89"/>
        <w:spacing w:before="900" w:after="360"/>
        <w:rPr>
          <w:rFonts w:hint="eastAsia"/>
        </w:rPr>
      </w:pPr>
      <w:bookmarkStart w:id="22" w:name="_Toc205456903"/>
      <w:bookmarkStart w:id="23" w:name="BookMark2"/>
      <w:r>
        <w:rPr>
          <w:rFonts w:hint="eastAsia"/>
          <w:spacing w:val="320"/>
        </w:rPr>
        <w:t>前</w:t>
      </w:r>
      <w:r>
        <w:rPr>
          <w:rFonts w:hint="eastAsia"/>
        </w:rPr>
        <w:t>言</w:t>
      </w:r>
      <w:bookmarkEnd w:id="22"/>
    </w:p>
    <w:p w14:paraId="26C455D0">
      <w:pPr>
        <w:pStyle w:val="56"/>
        <w:ind w:firstLine="420"/>
        <w:rPr>
          <w:rFonts w:hint="eastAsia"/>
        </w:rPr>
      </w:pPr>
      <w:r>
        <w:rPr>
          <w:rFonts w:hint="eastAsia"/>
        </w:rPr>
        <w:t>本文件按照GB/T 1.1—2020《标准化工作导则  第1部分：标准化文件的结构和起草规则》的规定起草。</w:t>
      </w:r>
    </w:p>
    <w:p w14:paraId="4E306C93">
      <w:pPr>
        <w:pStyle w:val="56"/>
        <w:ind w:firstLine="420"/>
      </w:pPr>
      <w:r>
        <w:rPr>
          <w:rFonts w:hint="eastAsia"/>
        </w:rPr>
        <w:t>请注意本文件的某些内容可能涉及专利。本文件的发布机构不承担识别专利的责任。</w:t>
      </w:r>
    </w:p>
    <w:p w14:paraId="18F89A22">
      <w:pPr>
        <w:pStyle w:val="56"/>
        <w:ind w:firstLine="420"/>
        <w:rPr>
          <w:rFonts w:hint="eastAsia"/>
        </w:rPr>
      </w:pPr>
      <w:r>
        <w:rPr>
          <w:rFonts w:hint="eastAsia"/>
        </w:rPr>
        <w:t>本文件由宁波鹏华建设有限公司提出。</w:t>
      </w:r>
    </w:p>
    <w:p w14:paraId="1F8B80FC">
      <w:pPr>
        <w:pStyle w:val="56"/>
        <w:ind w:firstLine="420"/>
        <w:rPr>
          <w:rFonts w:hint="eastAsia"/>
        </w:rPr>
      </w:pPr>
      <w:r>
        <w:rPr>
          <w:rFonts w:hint="eastAsia"/>
        </w:rPr>
        <w:t>本文件由中国中小企业协会归口。</w:t>
      </w:r>
    </w:p>
    <w:p w14:paraId="3C706EB7">
      <w:pPr>
        <w:pStyle w:val="56"/>
        <w:ind w:firstLine="420"/>
        <w:rPr>
          <w:rFonts w:hint="eastAsia" w:eastAsia="宋体"/>
          <w:lang w:val="en-US" w:eastAsia="zh-CN"/>
        </w:rPr>
      </w:pPr>
      <w:r>
        <w:rPr>
          <w:rFonts w:hint="eastAsia"/>
        </w:rPr>
        <w:t>本文件起草单位：</w:t>
      </w:r>
      <w:bookmarkStart w:id="56" w:name="_GoBack"/>
      <w:r>
        <w:rPr>
          <w:rFonts w:hint="eastAsia"/>
        </w:rPr>
        <w:t>宁波鹏华建设有限公司</w:t>
      </w:r>
      <w:bookmarkEnd w:id="56"/>
      <w:r>
        <w:rPr>
          <w:rFonts w:hint="eastAsia"/>
          <w:lang w:eastAsia="zh-CN"/>
        </w:rPr>
        <w:t>。</w:t>
      </w:r>
    </w:p>
    <w:p w14:paraId="0256F8C0">
      <w:pPr>
        <w:pStyle w:val="56"/>
        <w:ind w:firstLine="420"/>
        <w:rPr>
          <w:rFonts w:hint="eastAsia"/>
        </w:rPr>
      </w:pPr>
      <w:r>
        <w:rPr>
          <w:rFonts w:hint="eastAsia"/>
        </w:rPr>
        <w:t>本文件主要起草人：</w:t>
      </w:r>
    </w:p>
    <w:p w14:paraId="25A01CC0">
      <w:pPr>
        <w:pStyle w:val="56"/>
        <w:ind w:firstLine="420"/>
        <w:rPr>
          <w:rFonts w:hint="eastAsia"/>
        </w:rPr>
      </w:pPr>
    </w:p>
    <w:p w14:paraId="588D2CE7">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3"/>
    <w:p w14:paraId="50D888B1">
      <w:pPr>
        <w:spacing w:line="20" w:lineRule="exact"/>
        <w:jc w:val="center"/>
        <w:rPr>
          <w:rFonts w:hint="eastAsia" w:ascii="黑体" w:hAnsi="黑体" w:eastAsia="黑体"/>
          <w:sz w:val="32"/>
          <w:szCs w:val="32"/>
        </w:rPr>
      </w:pPr>
      <w:bookmarkStart w:id="24" w:name="BookMark4"/>
    </w:p>
    <w:p w14:paraId="1E00C751">
      <w:pPr>
        <w:spacing w:line="20" w:lineRule="exact"/>
        <w:jc w:val="center"/>
        <w:rPr>
          <w:rFonts w:hint="eastAsia" w:ascii="黑体" w:hAnsi="黑体" w:eastAsia="黑体"/>
          <w:sz w:val="32"/>
          <w:szCs w:val="32"/>
        </w:rPr>
      </w:pPr>
    </w:p>
    <w:sdt>
      <w:sdtPr>
        <w:tag w:val="NEW_STAND_NAME"/>
        <w:id w:val="595910757"/>
        <w:lock w:val="sdtLocked"/>
        <w:placeholder>
          <w:docPart w:val="B6DA6FE3A06D45FFB91759896AA7E53D"/>
        </w:placeholder>
      </w:sdtPr>
      <w:sdtContent>
        <w:p w14:paraId="1EEB402D">
          <w:pPr>
            <w:pStyle w:val="177"/>
            <w:spacing w:before="2" w:beforeLines="1" w:after="528" w:afterLines="220"/>
            <w:rPr>
              <w:rFonts w:hint="eastAsia"/>
            </w:rPr>
          </w:pPr>
          <w:bookmarkStart w:id="25" w:name="_Hlk205456684"/>
          <w:bookmarkStart w:id="26" w:name="NEW_STAND_NAME"/>
          <w:r>
            <w:rPr>
              <w:rFonts w:hint="eastAsia"/>
            </w:rPr>
            <w:t>建筑低碳施工高处作业管理规范</w:t>
          </w:r>
        </w:p>
      </w:sdtContent>
    </w:sdt>
    <w:bookmarkEnd w:id="25"/>
    <w:bookmarkEnd w:id="26"/>
    <w:p w14:paraId="4209B858">
      <w:pPr>
        <w:pStyle w:val="104"/>
        <w:spacing w:before="240" w:after="240"/>
      </w:pPr>
      <w:bookmarkStart w:id="27" w:name="_Toc26718930"/>
      <w:bookmarkStart w:id="28" w:name="_Toc205456904"/>
      <w:bookmarkStart w:id="29" w:name="_Toc26986530"/>
      <w:bookmarkStart w:id="30" w:name="_Toc97192964"/>
      <w:bookmarkStart w:id="31" w:name="_Toc26986771"/>
      <w:bookmarkStart w:id="32" w:name="_Toc17233333"/>
      <w:bookmarkStart w:id="33" w:name="_Toc26648465"/>
      <w:bookmarkStart w:id="34" w:name="_Toc24884211"/>
      <w:bookmarkStart w:id="35" w:name="_Toc17233325"/>
      <w:bookmarkStart w:id="36" w:name="_Toc24884218"/>
      <w:r>
        <w:rPr>
          <w:rFonts w:hint="eastAsia"/>
        </w:rPr>
        <w:t>范围</w:t>
      </w:r>
      <w:bookmarkEnd w:id="27"/>
      <w:bookmarkEnd w:id="28"/>
      <w:bookmarkEnd w:id="29"/>
      <w:bookmarkEnd w:id="30"/>
      <w:bookmarkEnd w:id="31"/>
      <w:bookmarkEnd w:id="32"/>
      <w:bookmarkEnd w:id="33"/>
      <w:bookmarkEnd w:id="34"/>
      <w:bookmarkEnd w:id="35"/>
      <w:bookmarkEnd w:id="36"/>
    </w:p>
    <w:p w14:paraId="4AFB9144">
      <w:pPr>
        <w:pStyle w:val="56"/>
        <w:ind w:firstLine="420"/>
      </w:pPr>
      <w:bookmarkStart w:id="37" w:name="_Toc17233334"/>
      <w:bookmarkStart w:id="38" w:name="_Toc24884212"/>
      <w:bookmarkStart w:id="39" w:name="_Toc24884219"/>
      <w:bookmarkStart w:id="40" w:name="_Toc17233326"/>
      <w:bookmarkStart w:id="41" w:name="_Toc26648466"/>
      <w:r>
        <w:rPr>
          <w:rFonts w:hint="eastAsia"/>
        </w:rPr>
        <w:t>本文件规定了建筑低碳施工高处作业管理的术语和定义、基本要求、高处作业要求、安全防护措施、低碳作业措施、检查与验收。</w:t>
      </w:r>
    </w:p>
    <w:p w14:paraId="09F1D214">
      <w:pPr>
        <w:pStyle w:val="56"/>
        <w:ind w:firstLine="420"/>
      </w:pPr>
      <w:r>
        <w:rPr>
          <w:rFonts w:hint="eastAsia"/>
        </w:rPr>
        <w:t>本文件适用于建筑低碳施工高处作业管理。</w:t>
      </w:r>
    </w:p>
    <w:p w14:paraId="1D14EF08">
      <w:pPr>
        <w:pStyle w:val="104"/>
        <w:spacing w:before="240" w:after="240"/>
      </w:pPr>
      <w:bookmarkStart w:id="42" w:name="_Toc26718931"/>
      <w:bookmarkStart w:id="43" w:name="_Toc26986531"/>
      <w:bookmarkStart w:id="44" w:name="_Toc26986772"/>
      <w:bookmarkStart w:id="45" w:name="_Toc205456905"/>
      <w:bookmarkStart w:id="46" w:name="_Toc97192965"/>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3DFF5ADA10A94026A287987BC1842E5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722CE5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23F5AC">
      <w:pPr>
        <w:pStyle w:val="56"/>
        <w:ind w:firstLine="420"/>
        <w:rPr>
          <w:rFonts w:hint="eastAsia"/>
        </w:rPr>
      </w:pPr>
      <w:r>
        <w:t>GB 2811</w:t>
      </w:r>
      <w:r>
        <w:rPr>
          <w:rFonts w:hint="eastAsia"/>
        </w:rPr>
        <w:t xml:space="preserve"> 头部防护 安全帽</w:t>
      </w:r>
    </w:p>
    <w:p w14:paraId="21911002">
      <w:pPr>
        <w:pStyle w:val="56"/>
        <w:ind w:firstLine="420"/>
        <w:rPr>
          <w:rFonts w:hint="eastAsia"/>
        </w:rPr>
      </w:pPr>
      <w:r>
        <w:t>GB 6095</w:t>
      </w:r>
      <w:r>
        <w:rPr>
          <w:rFonts w:hint="eastAsia"/>
        </w:rPr>
        <w:t xml:space="preserve"> 坠落防护 安全带</w:t>
      </w:r>
    </w:p>
    <w:p w14:paraId="1D539211">
      <w:pPr>
        <w:pStyle w:val="56"/>
        <w:ind w:firstLine="420"/>
      </w:pPr>
      <w:r>
        <w:t>GB 50870</w:t>
      </w:r>
      <w:r>
        <w:rPr>
          <w:rFonts w:hint="eastAsia"/>
        </w:rPr>
        <w:t xml:space="preserve"> 建筑施工安全技术统一规范</w:t>
      </w:r>
    </w:p>
    <w:p w14:paraId="25DE58CB">
      <w:pPr>
        <w:pStyle w:val="56"/>
        <w:ind w:firstLine="420"/>
        <w:rPr>
          <w:rFonts w:hint="eastAsia"/>
        </w:rPr>
      </w:pPr>
      <w:r>
        <w:t>GB/T 50034</w:t>
      </w:r>
      <w:r>
        <w:rPr>
          <w:rFonts w:hint="eastAsia"/>
        </w:rPr>
        <w:t xml:space="preserve"> 建筑照明设计标准</w:t>
      </w:r>
    </w:p>
    <w:p w14:paraId="2A174635">
      <w:pPr>
        <w:pStyle w:val="104"/>
        <w:spacing w:before="240" w:after="240"/>
      </w:pPr>
      <w:bookmarkStart w:id="47" w:name="_Toc97192966"/>
      <w:bookmarkStart w:id="48" w:name="_Toc205456906"/>
      <w:r>
        <w:rPr>
          <w:rFonts w:hint="eastAsia"/>
          <w:szCs w:val="21"/>
        </w:rPr>
        <w:t>术语和定义</w:t>
      </w:r>
      <w:bookmarkEnd w:id="47"/>
      <w:bookmarkEnd w:id="48"/>
    </w:p>
    <w:sdt>
      <w:sdtPr>
        <w:id w:val="-1909835108"/>
        <w:placeholder>
          <w:docPart w:val="4A4A4860A30347B097CC9F44B886262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9ED234A">
          <w:pPr>
            <w:pStyle w:val="56"/>
            <w:ind w:firstLine="420"/>
          </w:pPr>
          <w:bookmarkStart w:id="49" w:name="_Toc26986532"/>
          <w:bookmarkEnd w:id="49"/>
          <w:r>
            <w:t>下列术语和定义适用于本文件。</w:t>
          </w:r>
        </w:p>
      </w:sdtContent>
    </w:sdt>
    <w:p w14:paraId="4E3763EA">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高处作业 w</w:t>
      </w:r>
      <w:r>
        <w:rPr>
          <w:rFonts w:ascii="黑体" w:hAnsi="黑体" w:eastAsia="黑体"/>
        </w:rPr>
        <w:t>orking at heights</w:t>
      </w:r>
    </w:p>
    <w:p w14:paraId="796FA505">
      <w:pPr>
        <w:pStyle w:val="56"/>
        <w:ind w:firstLine="420"/>
      </w:pPr>
      <w:r>
        <w:rPr>
          <w:rFonts w:hint="eastAsia"/>
        </w:rPr>
        <w:t>指凡在距坠落高度基准面2 m以上（含2 m）有可能坠落的高处进行的作业。</w:t>
      </w:r>
    </w:p>
    <w:p w14:paraId="1C4C997F">
      <w:pPr>
        <w:pStyle w:val="104"/>
        <w:spacing w:before="240" w:after="240"/>
      </w:pPr>
      <w:bookmarkStart w:id="50" w:name="_Toc205456907"/>
      <w:r>
        <w:rPr>
          <w:rFonts w:hint="eastAsia"/>
        </w:rPr>
        <w:t>基本要求</w:t>
      </w:r>
      <w:bookmarkEnd w:id="50"/>
    </w:p>
    <w:p w14:paraId="41A968D1">
      <w:pPr>
        <w:pStyle w:val="105"/>
        <w:spacing w:before="120" w:after="120"/>
      </w:pPr>
      <w:r>
        <w:rPr>
          <w:rFonts w:hint="eastAsia"/>
        </w:rPr>
        <w:t>组织管理责任</w:t>
      </w:r>
    </w:p>
    <w:p w14:paraId="1B26DEF0">
      <w:pPr>
        <w:pStyle w:val="165"/>
      </w:pPr>
      <w:r>
        <w:rPr>
          <w:rFonts w:hint="eastAsia"/>
        </w:rPr>
        <w:t>建设单位应明确项目低碳施工与高处作业安全管理目标，并在合同中约定相关要求。</w:t>
      </w:r>
    </w:p>
    <w:p w14:paraId="3D435BD4">
      <w:pPr>
        <w:pStyle w:val="165"/>
      </w:pPr>
      <w:r>
        <w:rPr>
          <w:rFonts w:hint="eastAsia"/>
        </w:rPr>
        <w:t>施工总承包单位应对施工现场高处作业的低碳与安全负总责，应建立健全覆盖高处作业的低碳施工管理体系和责任制度，明确各层级、各岗位的管理职责。</w:t>
      </w:r>
    </w:p>
    <w:p w14:paraId="5C26A829">
      <w:pPr>
        <w:pStyle w:val="165"/>
      </w:pPr>
      <w:r>
        <w:rPr>
          <w:rFonts w:hint="eastAsia"/>
        </w:rPr>
        <w:t>专业分包单位和劳务分包单位应服从总承包单位的管理，落实其分包范围内高处作业的低碳与安全责任。</w:t>
      </w:r>
    </w:p>
    <w:p w14:paraId="520E060F">
      <w:pPr>
        <w:pStyle w:val="165"/>
      </w:pPr>
      <w:r>
        <w:rPr>
          <w:rFonts w:hint="eastAsia"/>
        </w:rPr>
        <w:t>监理单位应审查高处作业专项施工方案中的低碳与安全措施，并对实施过程进行监督。</w:t>
      </w:r>
    </w:p>
    <w:p w14:paraId="7F0B4D21">
      <w:pPr>
        <w:pStyle w:val="165"/>
      </w:pPr>
      <w:r>
        <w:rPr>
          <w:rFonts w:hint="eastAsia"/>
        </w:rPr>
        <w:t>工程项目部应设立专职或兼职的低碳施工与高处作业安全管理人员，负责日常协调、监督和检查工作。</w:t>
      </w:r>
    </w:p>
    <w:p w14:paraId="24FB6B73">
      <w:pPr>
        <w:pStyle w:val="105"/>
        <w:spacing w:before="120" w:after="120"/>
      </w:pPr>
      <w:r>
        <w:rPr>
          <w:rFonts w:hint="eastAsia"/>
        </w:rPr>
        <w:t>人员要求</w:t>
      </w:r>
    </w:p>
    <w:p w14:paraId="5C55DFEF">
      <w:pPr>
        <w:pStyle w:val="165"/>
      </w:pPr>
      <w:r>
        <w:rPr>
          <w:rFonts w:hint="eastAsia"/>
        </w:rPr>
        <w:t>从事高处作业的人员应经专业培训并考核合格，取得相应的特种作业操作资格证书后方可上岗。</w:t>
      </w:r>
    </w:p>
    <w:p w14:paraId="657CC6C3">
      <w:pPr>
        <w:pStyle w:val="165"/>
      </w:pPr>
      <w:r>
        <w:rPr>
          <w:rFonts w:hint="eastAsia"/>
        </w:rPr>
        <w:t>高处作业人员应定期接受身体检查，患有高血压、心脏病、癫痫病、恐高症以及其他不适宜高处作业疾病或生理状态的人员，不应从事高处作业。</w:t>
      </w:r>
    </w:p>
    <w:p w14:paraId="7EE2191A">
      <w:pPr>
        <w:pStyle w:val="165"/>
      </w:pPr>
      <w:r>
        <w:rPr>
          <w:rFonts w:hint="eastAsia"/>
        </w:rPr>
        <w:t>高处作业人员应接受专门的安全教育和低碳操作培训，掌握本岗位的安全操作规程、风险辨识、应急处置以及节能降耗、减少废弃物等方面的知识与技能。</w:t>
      </w:r>
    </w:p>
    <w:p w14:paraId="42E9FAB9">
      <w:pPr>
        <w:pStyle w:val="165"/>
      </w:pPr>
      <w:r>
        <w:rPr>
          <w:rFonts w:hint="eastAsia"/>
        </w:rPr>
        <w:t>作业现场负责人、班组长和安全员应具备相应的管理能力，熟悉高处作业安全规范和低碳施工要求，能有效组织、指挥和监督作业。</w:t>
      </w:r>
    </w:p>
    <w:p w14:paraId="4BB7511A">
      <w:pPr>
        <w:pStyle w:val="105"/>
        <w:spacing w:before="120" w:after="120"/>
      </w:pPr>
      <w:r>
        <w:rPr>
          <w:rFonts w:hint="eastAsia"/>
        </w:rPr>
        <w:t>方案与策划</w:t>
      </w:r>
    </w:p>
    <w:p w14:paraId="52AF210B">
      <w:pPr>
        <w:pStyle w:val="165"/>
      </w:pPr>
      <w:r>
        <w:rPr>
          <w:rFonts w:hint="eastAsia"/>
        </w:rPr>
        <w:t>项目在施工组织设计中应包含低碳施工的总体安排，并应针对高处作业制定专门的专项施工方案。该方案应融合安全与低碳双重目标。</w:t>
      </w:r>
    </w:p>
    <w:p w14:paraId="23939198">
      <w:pPr>
        <w:pStyle w:val="165"/>
      </w:pPr>
      <w:r>
        <w:rPr>
          <w:rFonts w:hint="eastAsia"/>
        </w:rPr>
        <w:t>高处作业专项施工方案应明确作业内容、方法、流程、所需设备与材料、人员组织、安全防护措施。方案应特别强调低碳实施要点，包括但不限于设备能源类型选择、材料运输与吊装路径优化、废弃物减量与分类回收措施等。</w:t>
      </w:r>
    </w:p>
    <w:p w14:paraId="6F452B97">
      <w:pPr>
        <w:pStyle w:val="165"/>
      </w:pPr>
      <w:r>
        <w:rPr>
          <w:rFonts w:hint="eastAsia"/>
        </w:rPr>
        <w:t>专项施工方案应按规定履行审核、审批手续。涉及超过一定规模的危险性较大分部分项工程的高处作业，方案应组织专家论证。</w:t>
      </w:r>
    </w:p>
    <w:p w14:paraId="4BA6229C">
      <w:pPr>
        <w:pStyle w:val="165"/>
      </w:pPr>
      <w:r>
        <w:rPr>
          <w:rFonts w:hint="eastAsia"/>
        </w:rPr>
        <w:t>实施前，项目技术负责人应向现场管理人员和作业人员进行详细的方案交底，重点说明安全风险点、关键控制措施和低碳施工的具体要求，交底应有书面记录并由双方签字确认。</w:t>
      </w:r>
    </w:p>
    <w:p w14:paraId="44C61C5D">
      <w:pPr>
        <w:pStyle w:val="105"/>
        <w:spacing w:before="120" w:after="120"/>
      </w:pPr>
      <w:r>
        <w:rPr>
          <w:rFonts w:hint="eastAsia"/>
        </w:rPr>
        <w:t>设备与材料管理</w:t>
      </w:r>
    </w:p>
    <w:p w14:paraId="7F3AE7FC">
      <w:pPr>
        <w:pStyle w:val="165"/>
      </w:pPr>
      <w:r>
        <w:rPr>
          <w:rFonts w:hint="eastAsia"/>
        </w:rPr>
        <w:t>高处作业使用的机械设备、施工机具、安全防护设施、个人防护用品等，应符合</w:t>
      </w:r>
      <w:r>
        <w:t>GB 50870</w:t>
      </w:r>
      <w:r>
        <w:rPr>
          <w:rFonts w:hint="eastAsia"/>
        </w:rPr>
        <w:t>的有关要求，并应优先选用节能环保、低碳排放的设备。</w:t>
      </w:r>
    </w:p>
    <w:p w14:paraId="11E2A456">
      <w:pPr>
        <w:pStyle w:val="165"/>
      </w:pPr>
      <w:r>
        <w:rPr>
          <w:rFonts w:hint="eastAsia"/>
        </w:rPr>
        <w:t>所有设备、机具和防护设施在使用前应进行检查、验收和维护保养，确保其性能良好、安全可靠、满足低碳运行要求。</w:t>
      </w:r>
    </w:p>
    <w:p w14:paraId="3EC73F66">
      <w:pPr>
        <w:pStyle w:val="165"/>
      </w:pPr>
      <w:r>
        <w:rPr>
          <w:rFonts w:hint="eastAsia"/>
        </w:rPr>
        <w:t>高处作业所用材料应合理规划采购量与进场时间，减少现场存储和二次搬运。应采用集中加工配送模式提升效率。优先选用可再生、可循环、低隐含碳的建筑材料。</w:t>
      </w:r>
    </w:p>
    <w:p w14:paraId="7CD802D1">
      <w:pPr>
        <w:pStyle w:val="165"/>
      </w:pPr>
      <w:r>
        <w:rPr>
          <w:rFonts w:hint="eastAsia"/>
        </w:rPr>
        <w:t>应建立材料和设备台账，对高能耗设备的使用进行监控，推广使用电动化、小型化、轻量化的设备替代传统燃油高排设备。</w:t>
      </w:r>
    </w:p>
    <w:p w14:paraId="0D5F493C">
      <w:pPr>
        <w:pStyle w:val="105"/>
        <w:spacing w:before="120" w:after="120"/>
      </w:pPr>
      <w:r>
        <w:rPr>
          <w:rFonts w:hint="eastAsia"/>
        </w:rPr>
        <w:t>教育培训与交底</w:t>
      </w:r>
    </w:p>
    <w:p w14:paraId="1B8948A2">
      <w:pPr>
        <w:pStyle w:val="165"/>
      </w:pPr>
      <w:r>
        <w:rPr>
          <w:rFonts w:hint="eastAsia"/>
        </w:rPr>
        <w:t>项目应建立并实施常态化的安全与低碳教育培训制度。新进场工人、转岗工人或采用新工艺、新技术、新设备前，应接受有针对性的安全教育和低碳操作培训。</w:t>
      </w:r>
    </w:p>
    <w:p w14:paraId="7CB42D6A">
      <w:pPr>
        <w:pStyle w:val="165"/>
      </w:pPr>
      <w:r>
        <w:rPr>
          <w:rFonts w:hint="eastAsia"/>
        </w:rPr>
        <w:t>教育培训内容应涵盖安全生产法律法规、项目规章制度、高处作业风险辨识、安全操作规程、个人防护用品使用、应急逃生与救援知识，以及低碳施工理念、现场节能措施、废弃物管理要求等。</w:t>
      </w:r>
    </w:p>
    <w:p w14:paraId="273F2F0D">
      <w:pPr>
        <w:pStyle w:val="165"/>
      </w:pPr>
      <w:r>
        <w:rPr>
          <w:rFonts w:hint="eastAsia"/>
        </w:rPr>
        <w:t>每日班前，班组长应结合当日高处作业任务、环境特点及低碳要求进行有针对性的安全讲话和操作要点提醒。</w:t>
      </w:r>
    </w:p>
    <w:p w14:paraId="3DFCBCCC">
      <w:pPr>
        <w:pStyle w:val="165"/>
      </w:pPr>
      <w:r>
        <w:rPr>
          <w:rFonts w:hint="eastAsia"/>
        </w:rPr>
        <w:t>项目应定期组织高处作业事故和低碳实践案例的应急演练。</w:t>
      </w:r>
    </w:p>
    <w:p w14:paraId="6F3D77AB">
      <w:pPr>
        <w:pStyle w:val="105"/>
        <w:spacing w:before="120" w:after="120"/>
      </w:pPr>
      <w:r>
        <w:rPr>
          <w:rFonts w:hint="eastAsia"/>
        </w:rPr>
        <w:t>现场布置与检查</w:t>
      </w:r>
    </w:p>
    <w:p w14:paraId="2424BB55">
      <w:pPr>
        <w:pStyle w:val="165"/>
      </w:pPr>
      <w:r>
        <w:rPr>
          <w:rFonts w:hint="eastAsia"/>
        </w:rPr>
        <w:t>施工现场平面布置应科学规划，优化高处作业区域的划分和物流路径，减少物料垂直和水平运输距离，降低能源消耗。</w:t>
      </w:r>
    </w:p>
    <w:p w14:paraId="3033680C">
      <w:pPr>
        <w:pStyle w:val="165"/>
      </w:pPr>
      <w:r>
        <w:rPr>
          <w:rFonts w:hint="eastAsia"/>
        </w:rPr>
        <w:t>作业区域应设置清晰的安全警示标识、风险告知牌和低碳提示标语。安全通道、消防通道应保持畅通。</w:t>
      </w:r>
    </w:p>
    <w:p w14:paraId="3F2B68BB">
      <w:pPr>
        <w:pStyle w:val="165"/>
      </w:pPr>
      <w:r>
        <w:rPr>
          <w:rFonts w:hint="eastAsia"/>
        </w:rPr>
        <w:t>应建立并严格执行高处作业日常巡查、专项检查和定期综合检查制度。检查内容应同时包含安全防护措施的有效性、人员操作规范性以及低碳措施的执行情况，如设备空转、能源浪费、材料不合理损耗、废弃物混放等。</w:t>
      </w:r>
    </w:p>
    <w:p w14:paraId="7F5D95A3">
      <w:pPr>
        <w:pStyle w:val="165"/>
      </w:pPr>
      <w:r>
        <w:rPr>
          <w:rFonts w:hint="eastAsia"/>
        </w:rPr>
        <w:t>对检查发现的安全隐患和低碳管理问题，应定人、定时、定措施落实整改，并跟踪验证整改效果。</w:t>
      </w:r>
    </w:p>
    <w:p w14:paraId="47645BCB">
      <w:pPr>
        <w:pStyle w:val="105"/>
        <w:spacing w:before="120" w:after="120"/>
      </w:pPr>
      <w:r>
        <w:rPr>
          <w:rFonts w:hint="eastAsia"/>
        </w:rPr>
        <w:t>沟通与协作</w:t>
      </w:r>
    </w:p>
    <w:p w14:paraId="70226165">
      <w:pPr>
        <w:pStyle w:val="165"/>
      </w:pPr>
      <w:r>
        <w:rPr>
          <w:rFonts w:hint="eastAsia"/>
        </w:rPr>
        <w:t>应建立顺畅的信息沟通机制，确保高处作业指令、安全要求、低碳措施等信息能准确、及时地传达至所有相关作业人员和管理人员。</w:t>
      </w:r>
    </w:p>
    <w:p w14:paraId="71FF5A0C">
      <w:pPr>
        <w:pStyle w:val="165"/>
      </w:pPr>
      <w:r>
        <w:rPr>
          <w:rFonts w:hint="eastAsia"/>
        </w:rPr>
        <w:t>不同工种、不同单位在高处作业区域进行交叉作业时，总承包单位应统一协调，明确各方责任界面，制定并落实可靠的安全隔离和低碳协同措施。</w:t>
      </w:r>
    </w:p>
    <w:p w14:paraId="6C2E7006">
      <w:pPr>
        <w:pStyle w:val="165"/>
      </w:pPr>
      <w:r>
        <w:rPr>
          <w:rFonts w:hint="eastAsia"/>
        </w:rPr>
        <w:t>应鼓励作业人员就现场发现的安全隐患和可优化的低碳操作提出改进建议。</w:t>
      </w:r>
    </w:p>
    <w:p w14:paraId="45DCDD18">
      <w:pPr>
        <w:pStyle w:val="105"/>
        <w:spacing w:before="120" w:after="120"/>
      </w:pPr>
      <w:r>
        <w:rPr>
          <w:rFonts w:hint="eastAsia"/>
        </w:rPr>
        <w:t>环保与低碳意识</w:t>
      </w:r>
    </w:p>
    <w:p w14:paraId="451AB6D6">
      <w:pPr>
        <w:pStyle w:val="165"/>
      </w:pPr>
      <w:r>
        <w:rPr>
          <w:rFonts w:hint="eastAsia"/>
        </w:rPr>
        <w:t>所有参与高处作业的人员和管理人员应树立牢固的安全意识和环保低碳意识，理解并认同在保障安全的前提下实现低碳施工作业的重要性。</w:t>
      </w:r>
    </w:p>
    <w:p w14:paraId="2CE516C5">
      <w:pPr>
        <w:pStyle w:val="165"/>
      </w:pPr>
      <w:r>
        <w:rPr>
          <w:rFonts w:hint="eastAsia"/>
        </w:rPr>
        <w:t>项目应积极营造安全、绿色、低碳的作业文化氛围，倡导节约能源资源、减少废弃物、保护环境的行为习惯。</w:t>
      </w:r>
    </w:p>
    <w:p w14:paraId="7F998B55">
      <w:pPr>
        <w:pStyle w:val="105"/>
        <w:spacing w:before="120" w:after="120"/>
      </w:pPr>
      <w:r>
        <w:rPr>
          <w:rFonts w:hint="eastAsia"/>
        </w:rPr>
        <w:t>分包管理</w:t>
      </w:r>
    </w:p>
    <w:p w14:paraId="40832C7F">
      <w:pPr>
        <w:pStyle w:val="165"/>
      </w:pPr>
      <w:r>
        <w:rPr>
          <w:rFonts w:hint="eastAsia"/>
        </w:rPr>
        <w:t>总承包单位应将分包单位的高处作业活动纳入项目统一的低碳与安全管理体系，实施同标准、同要求的管理。</w:t>
      </w:r>
    </w:p>
    <w:p w14:paraId="034EDE48">
      <w:pPr>
        <w:pStyle w:val="165"/>
      </w:pPr>
      <w:r>
        <w:rPr>
          <w:rFonts w:hint="eastAsia"/>
        </w:rPr>
        <w:t>分包单位进场前，总承包单位应对其资质、人员资格、安全管理能力和低碳施工能力进行审查。</w:t>
      </w:r>
    </w:p>
    <w:p w14:paraId="03B210FB">
      <w:pPr>
        <w:pStyle w:val="165"/>
      </w:pPr>
      <w:r>
        <w:rPr>
          <w:rFonts w:hint="eastAsia"/>
        </w:rPr>
        <w:t>总承包单位应监督分包单位对其作业人员进行安全与低碳教育培训和技术交底。</w:t>
      </w:r>
    </w:p>
    <w:p w14:paraId="3E62394A">
      <w:pPr>
        <w:pStyle w:val="105"/>
        <w:spacing w:before="120" w:after="120"/>
      </w:pPr>
      <w:r>
        <w:rPr>
          <w:rFonts w:hint="eastAsia"/>
        </w:rPr>
        <w:t>风险评估</w:t>
      </w:r>
    </w:p>
    <w:p w14:paraId="593C978F">
      <w:pPr>
        <w:pStyle w:val="165"/>
      </w:pPr>
      <w:r>
        <w:rPr>
          <w:rFonts w:hint="eastAsia"/>
        </w:rPr>
        <w:t>在进行高处作业前以及作业环境、工艺、条件发生重大变化时，项目应组织进行作业安全风险评估和低碳影响评估。</w:t>
      </w:r>
    </w:p>
    <w:p w14:paraId="5B72EE36">
      <w:pPr>
        <w:pStyle w:val="165"/>
      </w:pPr>
      <w:r>
        <w:rPr>
          <w:rFonts w:hint="eastAsia"/>
        </w:rPr>
        <w:t>评估结果应作为制定或修订安全技术措施和低碳实施方案的重要依据。</w:t>
      </w:r>
    </w:p>
    <w:p w14:paraId="45A46DE6">
      <w:pPr>
        <w:pStyle w:val="104"/>
        <w:spacing w:before="240" w:after="240"/>
        <w:rPr>
          <w:rFonts w:hint="eastAsia"/>
        </w:rPr>
      </w:pPr>
      <w:bookmarkStart w:id="51" w:name="_Toc205456908"/>
      <w:r>
        <w:rPr>
          <w:rFonts w:hint="eastAsia"/>
        </w:rPr>
        <w:t>高处作业要求</w:t>
      </w:r>
      <w:bookmarkEnd w:id="51"/>
    </w:p>
    <w:p w14:paraId="5018FBC7">
      <w:pPr>
        <w:pStyle w:val="105"/>
        <w:spacing w:before="120" w:after="120"/>
        <w:rPr>
          <w:rFonts w:hint="eastAsia"/>
        </w:rPr>
      </w:pPr>
      <w:r>
        <w:rPr>
          <w:rFonts w:hint="eastAsia"/>
        </w:rPr>
        <w:t>作业人员要求</w:t>
      </w:r>
    </w:p>
    <w:p w14:paraId="697FD85C">
      <w:pPr>
        <w:pStyle w:val="165"/>
        <w:rPr>
          <w:rFonts w:hint="eastAsia"/>
        </w:rPr>
      </w:pPr>
      <w:r>
        <w:rPr>
          <w:rFonts w:hint="eastAsia"/>
        </w:rPr>
        <w:t>作业人员应正确佩戴和使用符合</w:t>
      </w:r>
      <w:r>
        <w:t>GB 2811</w:t>
      </w:r>
      <w:r>
        <w:rPr>
          <w:rFonts w:hint="eastAsia"/>
        </w:rPr>
        <w:t>、</w:t>
      </w:r>
      <w:r>
        <w:t>GB 6095</w:t>
      </w:r>
      <w:r>
        <w:rPr>
          <w:rFonts w:hint="eastAsia"/>
        </w:rPr>
        <w:t>的安全帽、安全带等个人防护用品。安全带应高挂低用，并可靠系挂在牢固构件上，不应系挂在移动或不稳定物体上。</w:t>
      </w:r>
    </w:p>
    <w:p w14:paraId="689C1DCE">
      <w:pPr>
        <w:pStyle w:val="165"/>
        <w:rPr>
          <w:rFonts w:hint="eastAsia"/>
        </w:rPr>
      </w:pPr>
      <w:r>
        <w:rPr>
          <w:rFonts w:hint="eastAsia"/>
        </w:rPr>
        <w:t>作业人员上下通道应使用专用梯道或施工升降设备，不应攀爬脚手架、模板支撑体系或利用绳索随意上下。</w:t>
      </w:r>
    </w:p>
    <w:p w14:paraId="4830669D">
      <w:pPr>
        <w:pStyle w:val="165"/>
        <w:rPr>
          <w:rFonts w:hint="eastAsia"/>
        </w:rPr>
      </w:pPr>
      <w:r>
        <w:rPr>
          <w:rFonts w:hint="eastAsia"/>
        </w:rPr>
        <w:t>作业时应集中精力，不应酒后作业、疲劳作业或嬉戏打闹。传递工具、材料应使用专用工具袋或绳索系吊，不应抛掷。</w:t>
      </w:r>
    </w:p>
    <w:p w14:paraId="03DD7BC4">
      <w:pPr>
        <w:pStyle w:val="165"/>
        <w:rPr>
          <w:rFonts w:hint="eastAsia"/>
        </w:rPr>
      </w:pPr>
      <w:r>
        <w:rPr>
          <w:rFonts w:hint="eastAsia"/>
        </w:rPr>
        <w:t>作业过程中应及时清理操作平台及通道上的杂物、油污，保持作业面整洁，减少坠落风险及后续清理能耗。</w:t>
      </w:r>
    </w:p>
    <w:p w14:paraId="09FB1FF2">
      <w:pPr>
        <w:pStyle w:val="105"/>
        <w:spacing w:before="120" w:after="120"/>
        <w:rPr>
          <w:rFonts w:hint="eastAsia"/>
        </w:rPr>
      </w:pPr>
      <w:r>
        <w:rPr>
          <w:rFonts w:hint="eastAsia"/>
        </w:rPr>
        <w:t>作业环境管理</w:t>
      </w:r>
    </w:p>
    <w:p w14:paraId="020548DB">
      <w:pPr>
        <w:pStyle w:val="165"/>
        <w:rPr>
          <w:rFonts w:hint="eastAsia"/>
        </w:rPr>
      </w:pPr>
      <w:r>
        <w:rPr>
          <w:rFonts w:hint="eastAsia"/>
        </w:rPr>
        <w:t>遇六级及以上强风、暴雨、大雪、大雾、雷电等恶劣天气时，应停止露天高处作业。恢复作业前应检查作业环境安全状况。</w:t>
      </w:r>
    </w:p>
    <w:p w14:paraId="1FC8A70B">
      <w:pPr>
        <w:pStyle w:val="165"/>
        <w:rPr>
          <w:rFonts w:hint="eastAsia"/>
        </w:rPr>
      </w:pPr>
      <w:r>
        <w:rPr>
          <w:rFonts w:hint="eastAsia"/>
        </w:rPr>
        <w:t>夜间高处作业应保证充足的照明，照明灯具宜采用节能LED光源，照度应符合安全操作要求，避免眩光。</w:t>
      </w:r>
    </w:p>
    <w:p w14:paraId="6FBD0E4A">
      <w:pPr>
        <w:pStyle w:val="165"/>
        <w:rPr>
          <w:rFonts w:hint="eastAsia"/>
        </w:rPr>
      </w:pPr>
      <w:r>
        <w:rPr>
          <w:rFonts w:hint="eastAsia"/>
        </w:rPr>
        <w:t>高温季节作业应合理安排作息时间，采取防暑降温措施，配备清凉饮品。低温环境应采取防冻防滑措施，及时清除冰霜。</w:t>
      </w:r>
    </w:p>
    <w:p w14:paraId="42DA0DB1">
      <w:pPr>
        <w:pStyle w:val="165"/>
        <w:rPr>
          <w:rFonts w:hint="eastAsia"/>
        </w:rPr>
      </w:pPr>
      <w:r>
        <w:rPr>
          <w:rFonts w:hint="eastAsia"/>
        </w:rPr>
        <w:t>作业区域下方应设置警戒隔离区，悬挂警示标识，无关人员不应进入。物料堆放应远离临边洞口，避免高空坠物。</w:t>
      </w:r>
    </w:p>
    <w:p w14:paraId="7A95E0F5">
      <w:pPr>
        <w:pStyle w:val="105"/>
        <w:spacing w:before="120" w:after="120"/>
        <w:rPr>
          <w:rFonts w:hint="eastAsia"/>
        </w:rPr>
      </w:pPr>
      <w:r>
        <w:rPr>
          <w:rFonts w:hint="eastAsia"/>
        </w:rPr>
        <w:t>脚手架作业</w:t>
      </w:r>
    </w:p>
    <w:p w14:paraId="62E40812">
      <w:pPr>
        <w:pStyle w:val="165"/>
        <w:rPr>
          <w:rFonts w:hint="eastAsia"/>
        </w:rPr>
      </w:pPr>
      <w:r>
        <w:rPr>
          <w:rFonts w:hint="eastAsia"/>
        </w:rPr>
        <w:t>脚手架搭设、拆除应编制专项方案，作业人员应持证上岗。搭设完成后应经验收合格并悬挂验收标牌后方可使用。</w:t>
      </w:r>
    </w:p>
    <w:p w14:paraId="6116781F">
      <w:pPr>
        <w:pStyle w:val="165"/>
        <w:rPr>
          <w:rFonts w:hint="eastAsia"/>
        </w:rPr>
      </w:pPr>
      <w:r>
        <w:rPr>
          <w:rFonts w:hint="eastAsia"/>
        </w:rPr>
        <w:t>脚手架作业层应满铺脚手板，绑扎牢固，临边设置挡脚板和防护栏杆。通道应保持畅通，不应堆放物料堵塞。</w:t>
      </w:r>
    </w:p>
    <w:p w14:paraId="360B3872">
      <w:pPr>
        <w:pStyle w:val="165"/>
        <w:rPr>
          <w:rFonts w:hint="eastAsia"/>
        </w:rPr>
      </w:pPr>
      <w:r>
        <w:rPr>
          <w:rFonts w:hint="eastAsia"/>
        </w:rPr>
        <w:t>脚手架材料应优先采用可重复使用的标准化构件。拆除时应分类回收构件，减少损耗，不应暴力拆卸。</w:t>
      </w:r>
    </w:p>
    <w:p w14:paraId="67813891">
      <w:pPr>
        <w:pStyle w:val="165"/>
        <w:rPr>
          <w:rFonts w:hint="eastAsia"/>
        </w:rPr>
      </w:pPr>
      <w:r>
        <w:rPr>
          <w:rFonts w:hint="eastAsia"/>
        </w:rPr>
        <w:t>定期检查脚手架基础沉降、杆件变形、连墙件松动等情况，发现问题应及时加固或停止使用。</w:t>
      </w:r>
    </w:p>
    <w:p w14:paraId="0C866958">
      <w:pPr>
        <w:pStyle w:val="105"/>
        <w:spacing w:before="120" w:after="120"/>
        <w:rPr>
          <w:rFonts w:hint="eastAsia"/>
        </w:rPr>
      </w:pPr>
      <w:r>
        <w:rPr>
          <w:rFonts w:hint="eastAsia"/>
        </w:rPr>
        <w:t>吊篮与操作平台作业</w:t>
      </w:r>
    </w:p>
    <w:p w14:paraId="1B840021">
      <w:pPr>
        <w:pStyle w:val="165"/>
        <w:rPr>
          <w:rFonts w:hint="eastAsia"/>
        </w:rPr>
      </w:pPr>
      <w:r>
        <w:rPr>
          <w:rFonts w:hint="eastAsia"/>
        </w:rPr>
        <w:t>吊篮安装应由专业单位实施，检测合格并取得使用登记后方可投入使用。每日使用前应进行空载运行试验和安全装置检查。</w:t>
      </w:r>
    </w:p>
    <w:p w14:paraId="3205BD71">
      <w:pPr>
        <w:pStyle w:val="165"/>
        <w:rPr>
          <w:rFonts w:hint="eastAsia"/>
        </w:rPr>
      </w:pPr>
      <w:r>
        <w:rPr>
          <w:rFonts w:hint="eastAsia"/>
        </w:rPr>
        <w:t>吊篮内荷载应均匀分布，不应超载。作业人员应系挂安全带于独立生命绳上，不应系于吊篮本体。</w:t>
      </w:r>
    </w:p>
    <w:p w14:paraId="21416E85">
      <w:pPr>
        <w:pStyle w:val="165"/>
        <w:rPr>
          <w:rFonts w:hint="eastAsia"/>
        </w:rPr>
      </w:pPr>
      <w:r>
        <w:rPr>
          <w:rFonts w:hint="eastAsia"/>
        </w:rPr>
        <w:t>移动式操作平台应设置防倾覆措施，轮子应锁定牢固。平台四周应设防护栏杆，高度不低于1.2 m。</w:t>
      </w:r>
    </w:p>
    <w:p w14:paraId="6639AF51">
      <w:pPr>
        <w:pStyle w:val="165"/>
        <w:rPr>
          <w:rFonts w:hint="eastAsia"/>
        </w:rPr>
      </w:pPr>
      <w:r>
        <w:rPr>
          <w:rFonts w:hint="eastAsia"/>
        </w:rPr>
        <w:t>吊篮动力宜选用电力驱动装置，减少燃油设备碳排放。闲置时应及时关闭电源，避免空载能耗。</w:t>
      </w:r>
    </w:p>
    <w:p w14:paraId="17F07BEE">
      <w:pPr>
        <w:pStyle w:val="105"/>
        <w:spacing w:before="120" w:after="120"/>
        <w:rPr>
          <w:rFonts w:hint="eastAsia"/>
        </w:rPr>
      </w:pPr>
      <w:r>
        <w:rPr>
          <w:rFonts w:hint="eastAsia"/>
        </w:rPr>
        <w:t>攀爬与悬空作业</w:t>
      </w:r>
    </w:p>
    <w:p w14:paraId="7FCF2A3B">
      <w:pPr>
        <w:pStyle w:val="165"/>
        <w:rPr>
          <w:rFonts w:hint="eastAsia"/>
        </w:rPr>
      </w:pPr>
      <w:r>
        <w:rPr>
          <w:rFonts w:hint="eastAsia"/>
        </w:rPr>
        <w:t>使用梯子时，梯脚应防滑固定，上端应与固定物可靠绑扎，倾斜角度宜为75°±5°。不应两人同时在同架梯上作业。</w:t>
      </w:r>
    </w:p>
    <w:p w14:paraId="4994124B">
      <w:pPr>
        <w:pStyle w:val="165"/>
        <w:rPr>
          <w:rFonts w:hint="eastAsia"/>
        </w:rPr>
      </w:pPr>
      <w:r>
        <w:rPr>
          <w:rFonts w:hint="eastAsia"/>
        </w:rPr>
        <w:t>钢结构安装、管道安装等悬空作业应设置操作平台或悬挂式脚手架。无法设置时，应使用双钩交替系挂的安全带。</w:t>
      </w:r>
    </w:p>
    <w:p w14:paraId="508EA0A3">
      <w:pPr>
        <w:pStyle w:val="165"/>
        <w:rPr>
          <w:rFonts w:hint="eastAsia"/>
        </w:rPr>
      </w:pPr>
      <w:r>
        <w:rPr>
          <w:rFonts w:hint="eastAsia"/>
        </w:rPr>
        <w:t>轻型屋面板上行走应铺设缓冲垫板或设置安全绳。采光瓦、彩钢板等易碎材料区域应设置防坠格栅。</w:t>
      </w:r>
    </w:p>
    <w:p w14:paraId="6A81C9CD">
      <w:pPr>
        <w:pStyle w:val="105"/>
        <w:spacing w:before="120" w:after="120"/>
        <w:rPr>
          <w:rFonts w:hint="eastAsia"/>
        </w:rPr>
      </w:pPr>
      <w:r>
        <w:rPr>
          <w:rFonts w:hint="eastAsia"/>
        </w:rPr>
        <w:t>交叉作业管理</w:t>
      </w:r>
    </w:p>
    <w:p w14:paraId="1027AFD1">
      <w:pPr>
        <w:pStyle w:val="165"/>
        <w:rPr>
          <w:rFonts w:hint="eastAsia"/>
        </w:rPr>
      </w:pPr>
      <w:r>
        <w:rPr>
          <w:rFonts w:hint="eastAsia"/>
        </w:rPr>
        <w:t>上下垂直交叉作业时，应设置硬质隔离防护棚，棚顶应能承受不小于1 kN/m²的冲击荷载。</w:t>
      </w:r>
    </w:p>
    <w:p w14:paraId="5D909F71">
      <w:pPr>
        <w:pStyle w:val="165"/>
        <w:rPr>
          <w:rFonts w:hint="eastAsia"/>
        </w:rPr>
      </w:pPr>
      <w:r>
        <w:rPr>
          <w:rFonts w:hint="eastAsia"/>
        </w:rPr>
        <w:t>同一作业面多工种交叉施工时，总承包单位应统一协调，明确作业时序，避免相互干扰。</w:t>
      </w:r>
    </w:p>
    <w:p w14:paraId="1041ACF0">
      <w:pPr>
        <w:pStyle w:val="165"/>
        <w:rPr>
          <w:rFonts w:hint="eastAsia"/>
        </w:rPr>
      </w:pPr>
      <w:r>
        <w:rPr>
          <w:rFonts w:hint="eastAsia"/>
        </w:rPr>
        <w:t>焊接、切割等动火作业下方应清除易燃物，设置接火斗，并安排专人监护。宜采用集中加工后吊装方式，减少高空动火频次。</w:t>
      </w:r>
    </w:p>
    <w:p w14:paraId="47FB20AC">
      <w:pPr>
        <w:pStyle w:val="105"/>
        <w:spacing w:before="120" w:after="120"/>
        <w:rPr>
          <w:rFonts w:hint="eastAsia"/>
        </w:rPr>
      </w:pPr>
      <w:r>
        <w:rPr>
          <w:rFonts w:hint="eastAsia"/>
        </w:rPr>
        <w:t>临时拆除与开口防护</w:t>
      </w:r>
    </w:p>
    <w:p w14:paraId="0821407A">
      <w:pPr>
        <w:pStyle w:val="165"/>
        <w:rPr>
          <w:rFonts w:hint="eastAsia"/>
        </w:rPr>
      </w:pPr>
      <w:r>
        <w:rPr>
          <w:rFonts w:hint="eastAsia"/>
        </w:rPr>
        <w:t>因施工需临时拆除防护设施时，应办理审批手续，设置临时警戒和替代防护措施，完工后应立即恢复原状。</w:t>
      </w:r>
    </w:p>
    <w:p w14:paraId="7EB34190">
      <w:pPr>
        <w:pStyle w:val="165"/>
        <w:rPr>
          <w:rFonts w:hint="eastAsia"/>
        </w:rPr>
      </w:pPr>
      <w:r>
        <w:rPr>
          <w:rFonts w:hint="eastAsia"/>
        </w:rPr>
        <w:t>预留洞口、电梯井口等应采用定型化盖板覆盖或设置防护栏杆，盖板应标明承载限值并固定牢固。</w:t>
      </w:r>
    </w:p>
    <w:p w14:paraId="3DE728D3">
      <w:pPr>
        <w:pStyle w:val="165"/>
        <w:rPr>
          <w:rFonts w:hint="eastAsia"/>
        </w:rPr>
      </w:pPr>
      <w:r>
        <w:rPr>
          <w:rFonts w:hint="eastAsia"/>
        </w:rPr>
        <w:t>拆除的防护材料应分类存放、及时回收再利用，减少废弃物产生和资源消耗。</w:t>
      </w:r>
    </w:p>
    <w:p w14:paraId="2D7FC612">
      <w:pPr>
        <w:pStyle w:val="105"/>
        <w:spacing w:before="120" w:after="120"/>
        <w:rPr>
          <w:rFonts w:hint="eastAsia"/>
        </w:rPr>
      </w:pPr>
      <w:r>
        <w:rPr>
          <w:rFonts w:hint="eastAsia"/>
        </w:rPr>
        <w:t>设备与机具操作</w:t>
      </w:r>
    </w:p>
    <w:p w14:paraId="19DE658D">
      <w:pPr>
        <w:pStyle w:val="165"/>
        <w:rPr>
          <w:rFonts w:hint="eastAsia"/>
        </w:rPr>
      </w:pPr>
      <w:r>
        <w:rPr>
          <w:rFonts w:hint="eastAsia"/>
        </w:rPr>
        <w:t>手持电动工具、焊机等设备应配备漏电保护器，电缆线不应拖地或缠绕架体。</w:t>
      </w:r>
    </w:p>
    <w:p w14:paraId="03EA90DE">
      <w:pPr>
        <w:pStyle w:val="165"/>
        <w:rPr>
          <w:rFonts w:hint="eastAsia"/>
        </w:rPr>
      </w:pPr>
      <w:r>
        <w:rPr>
          <w:rFonts w:hint="eastAsia"/>
        </w:rPr>
        <w:t>高处使用电钻、切割机等产生粉尘的工具时，应佩戴防尘口罩，并采取局部降尘措施。</w:t>
      </w:r>
    </w:p>
    <w:p w14:paraId="58C4426E">
      <w:pPr>
        <w:pStyle w:val="165"/>
        <w:rPr>
          <w:rFonts w:hint="eastAsia"/>
        </w:rPr>
      </w:pPr>
      <w:r>
        <w:rPr>
          <w:rFonts w:hint="eastAsia"/>
        </w:rPr>
        <w:t>设备停用超过30 min应关闭电源。宜选用低噪音、低振动、高能效的电动设备替代燃油设备。</w:t>
      </w:r>
    </w:p>
    <w:p w14:paraId="24295E4F">
      <w:pPr>
        <w:pStyle w:val="105"/>
        <w:spacing w:before="120" w:after="120"/>
        <w:rPr>
          <w:rFonts w:hint="eastAsia"/>
        </w:rPr>
      </w:pPr>
      <w:r>
        <w:rPr>
          <w:rFonts w:hint="eastAsia"/>
        </w:rPr>
        <w:t>材料运输与存放</w:t>
      </w:r>
    </w:p>
    <w:p w14:paraId="6213D4E3">
      <w:pPr>
        <w:pStyle w:val="165"/>
        <w:rPr>
          <w:rFonts w:hint="eastAsia"/>
        </w:rPr>
      </w:pPr>
      <w:r>
        <w:rPr>
          <w:rFonts w:hint="eastAsia"/>
        </w:rPr>
        <w:t>小型材料宜使用提升机、滑轮组等机械垂直运输，人工搬运单件重量不宜超过20 kg。</w:t>
      </w:r>
    </w:p>
    <w:p w14:paraId="2DDB00A7">
      <w:pPr>
        <w:pStyle w:val="165"/>
        <w:rPr>
          <w:rFonts w:hint="eastAsia"/>
        </w:rPr>
      </w:pPr>
      <w:r>
        <w:rPr>
          <w:rFonts w:hint="eastAsia"/>
        </w:rPr>
        <w:t>工具、螺栓等零散件应使用工具箱分类存放，避免散落损耗。</w:t>
      </w:r>
    </w:p>
    <w:p w14:paraId="45B4C7A1">
      <w:pPr>
        <w:pStyle w:val="165"/>
        <w:rPr>
          <w:rFonts w:hint="eastAsia"/>
        </w:rPr>
      </w:pPr>
      <w:r>
        <w:rPr>
          <w:rFonts w:hint="eastAsia"/>
        </w:rPr>
        <w:t>材料应按需分批次吊运至作业层，减少楼面堆积。包装材料应就地拆解回收，不应高空抛扔。</w:t>
      </w:r>
    </w:p>
    <w:p w14:paraId="6D4693D2">
      <w:pPr>
        <w:pStyle w:val="104"/>
        <w:spacing w:before="240" w:after="240"/>
        <w:rPr>
          <w:rFonts w:hint="eastAsia"/>
        </w:rPr>
      </w:pPr>
      <w:bookmarkStart w:id="52" w:name="_Toc205456909"/>
      <w:r>
        <w:rPr>
          <w:rFonts w:hint="eastAsia"/>
        </w:rPr>
        <w:t>安全防护措施</w:t>
      </w:r>
      <w:bookmarkEnd w:id="52"/>
    </w:p>
    <w:p w14:paraId="47A1D11B">
      <w:pPr>
        <w:pStyle w:val="105"/>
        <w:spacing w:before="120" w:after="120"/>
        <w:rPr>
          <w:rFonts w:hint="eastAsia"/>
        </w:rPr>
      </w:pPr>
      <w:r>
        <w:rPr>
          <w:rFonts w:hint="eastAsia"/>
        </w:rPr>
        <w:t>个体防护装备</w:t>
      </w:r>
    </w:p>
    <w:p w14:paraId="25DFCF5A">
      <w:pPr>
        <w:pStyle w:val="165"/>
        <w:rPr>
          <w:rFonts w:hint="eastAsia"/>
        </w:rPr>
      </w:pPr>
      <w:r>
        <w:rPr>
          <w:rFonts w:hint="eastAsia"/>
        </w:rPr>
        <w:t>进入高处作业区域的所有人员应正确佩戴符合</w:t>
      </w:r>
      <w:r>
        <w:t>GB 2811</w:t>
      </w:r>
      <w:r>
        <w:rPr>
          <w:rFonts w:hint="eastAsia"/>
        </w:rPr>
        <w:t>的安全帽，帽带应系紧。</w:t>
      </w:r>
    </w:p>
    <w:p w14:paraId="162281AB">
      <w:pPr>
        <w:pStyle w:val="165"/>
        <w:rPr>
          <w:rFonts w:hint="eastAsia"/>
        </w:rPr>
      </w:pPr>
      <w:r>
        <w:rPr>
          <w:rFonts w:hint="eastAsia"/>
        </w:rPr>
        <w:t>高处作业人员应全员佩戴全身式双钩安全带，安全带织带应无磨损、断股，金属构件无变形锈蚀。</w:t>
      </w:r>
    </w:p>
    <w:p w14:paraId="44D54C05">
      <w:pPr>
        <w:pStyle w:val="165"/>
        <w:rPr>
          <w:rFonts w:hint="eastAsia"/>
        </w:rPr>
      </w:pPr>
      <w:r>
        <w:rPr>
          <w:rFonts w:hint="eastAsia"/>
        </w:rPr>
        <w:t>安全带系挂点应独立于作业平台设置，优先选择混凝土结构柱、钢梁等永久性牢固构件，系挂高度宜高于腰部。</w:t>
      </w:r>
    </w:p>
    <w:p w14:paraId="45D23FEC">
      <w:pPr>
        <w:pStyle w:val="165"/>
        <w:rPr>
          <w:rFonts w:hint="eastAsia"/>
        </w:rPr>
      </w:pPr>
      <w:r>
        <w:rPr>
          <w:rFonts w:hint="eastAsia"/>
        </w:rPr>
        <w:t>从事焊接、切割等作业时，应穿戴阻燃防护服、绝缘鞋及防护面罩。接触粉尘作业应配置防尘口罩。</w:t>
      </w:r>
    </w:p>
    <w:p w14:paraId="2DEB0DFD">
      <w:pPr>
        <w:pStyle w:val="165"/>
        <w:rPr>
          <w:rFonts w:hint="eastAsia"/>
        </w:rPr>
      </w:pPr>
      <w:r>
        <w:rPr>
          <w:rFonts w:hint="eastAsia"/>
        </w:rPr>
        <w:t>防护装备应定期检验维护，破损或失效的装备应及时更换。宜选用轻量化、高耐久材料以降低资源消耗。</w:t>
      </w:r>
    </w:p>
    <w:p w14:paraId="4A8273A9">
      <w:pPr>
        <w:pStyle w:val="105"/>
        <w:spacing w:before="120" w:after="120"/>
        <w:rPr>
          <w:rFonts w:hint="eastAsia"/>
        </w:rPr>
      </w:pPr>
      <w:r>
        <w:rPr>
          <w:rFonts w:hint="eastAsia"/>
        </w:rPr>
        <w:t>临边与洞口防护</w:t>
      </w:r>
    </w:p>
    <w:p w14:paraId="099BF669">
      <w:pPr>
        <w:pStyle w:val="165"/>
        <w:rPr>
          <w:rFonts w:hint="eastAsia"/>
        </w:rPr>
      </w:pPr>
      <w:r>
        <w:rPr>
          <w:rFonts w:hint="eastAsia"/>
        </w:rPr>
        <w:t>基坑周边、楼层周边、楼梯侧边等临空边沿应设置工具式防护栏杆，高度不低于1.2 m，立杆间距不大于2 m。</w:t>
      </w:r>
    </w:p>
    <w:p w14:paraId="3F48CFB8">
      <w:pPr>
        <w:pStyle w:val="165"/>
        <w:rPr>
          <w:rFonts w:hint="eastAsia"/>
        </w:rPr>
      </w:pPr>
      <w:r>
        <w:rPr>
          <w:rFonts w:hint="eastAsia"/>
        </w:rPr>
        <w:t>竖向洞口短边尺寸大于25 mm且小于500 mm时，应采用坚实盖板封闭；大于500 mm时，应在洞口四周设防护栏杆。</w:t>
      </w:r>
    </w:p>
    <w:p w14:paraId="67559ACF">
      <w:pPr>
        <w:pStyle w:val="165"/>
        <w:rPr>
          <w:rFonts w:hint="eastAsia"/>
        </w:rPr>
      </w:pPr>
      <w:r>
        <w:rPr>
          <w:rFonts w:hint="eastAsia"/>
        </w:rPr>
        <w:t>电梯井口应设置高度不低于1.5 m的定型化防护门，井道内每10 m至少设置一道硬质水平防护。</w:t>
      </w:r>
    </w:p>
    <w:p w14:paraId="5A20F6A7">
      <w:pPr>
        <w:pStyle w:val="165"/>
        <w:rPr>
          <w:rFonts w:hint="eastAsia"/>
        </w:rPr>
      </w:pPr>
      <w:r>
        <w:rPr>
          <w:rFonts w:hint="eastAsia"/>
        </w:rPr>
        <w:t>防护设施宜采用标准化、工具化构件，提升周转率和复用率，减少材料浪费。</w:t>
      </w:r>
    </w:p>
    <w:p w14:paraId="3A76B4D7">
      <w:pPr>
        <w:pStyle w:val="105"/>
        <w:spacing w:before="120" w:after="120"/>
        <w:rPr>
          <w:rFonts w:hint="eastAsia"/>
        </w:rPr>
      </w:pPr>
      <w:r>
        <w:rPr>
          <w:rFonts w:hint="eastAsia"/>
        </w:rPr>
        <w:t>通道与爬梯防护</w:t>
      </w:r>
    </w:p>
    <w:p w14:paraId="77046695">
      <w:pPr>
        <w:pStyle w:val="165"/>
        <w:rPr>
          <w:rFonts w:hint="eastAsia"/>
        </w:rPr>
      </w:pPr>
      <w:r>
        <w:rPr>
          <w:rFonts w:hint="eastAsia"/>
        </w:rPr>
        <w:t>人员上下通道应优先采用定型钢制斜道或之字形爬梯，坡度不宜大于50°，踏步间距应均匀。</w:t>
      </w:r>
    </w:p>
    <w:p w14:paraId="7EE05118">
      <w:pPr>
        <w:pStyle w:val="165"/>
        <w:rPr>
          <w:rFonts w:hint="eastAsia"/>
        </w:rPr>
      </w:pPr>
      <w:r>
        <w:rPr>
          <w:rFonts w:hint="eastAsia"/>
        </w:rPr>
        <w:t>通道两侧应设置扶手栏杆，高度不低于1.2 m，底部设不低于180 mm挡脚板。</w:t>
      </w:r>
    </w:p>
    <w:p w14:paraId="7E94065E">
      <w:pPr>
        <w:pStyle w:val="165"/>
        <w:rPr>
          <w:rFonts w:hint="eastAsia"/>
        </w:rPr>
      </w:pPr>
      <w:r>
        <w:rPr>
          <w:rFonts w:hint="eastAsia"/>
        </w:rPr>
        <w:t>固定式直爬梯高度超过3 m时应设护笼，护笼起始高度距地面1.5 m～2 m，间距不超过9 m设休息平台。</w:t>
      </w:r>
    </w:p>
    <w:p w14:paraId="0FC53FB5">
      <w:pPr>
        <w:pStyle w:val="165"/>
        <w:rPr>
          <w:rFonts w:hint="eastAsia"/>
        </w:rPr>
      </w:pPr>
      <w:r>
        <w:rPr>
          <w:rFonts w:hint="eastAsia"/>
        </w:rPr>
        <w:t>通道照明宜采用太阳能LED灯具，减少布线能耗。</w:t>
      </w:r>
    </w:p>
    <w:p w14:paraId="6748E42F">
      <w:pPr>
        <w:pStyle w:val="105"/>
        <w:spacing w:before="120" w:after="120"/>
        <w:rPr>
          <w:rFonts w:hint="eastAsia"/>
        </w:rPr>
      </w:pPr>
      <w:r>
        <w:rPr>
          <w:rFonts w:hint="eastAsia"/>
        </w:rPr>
        <w:t>操作平台防护</w:t>
      </w:r>
    </w:p>
    <w:p w14:paraId="7266DEAD">
      <w:pPr>
        <w:pStyle w:val="165"/>
        <w:rPr>
          <w:rFonts w:hint="eastAsia"/>
        </w:rPr>
      </w:pPr>
      <w:r>
        <w:rPr>
          <w:rFonts w:hint="eastAsia"/>
        </w:rPr>
        <w:t>移动式操作平台应设置防倾覆脚轮锁止装置，平台四周安装不低于1.2 m的防护栏杆及挡脚板。</w:t>
      </w:r>
    </w:p>
    <w:p w14:paraId="6F79797F">
      <w:pPr>
        <w:pStyle w:val="165"/>
        <w:rPr>
          <w:rFonts w:hint="eastAsia"/>
        </w:rPr>
      </w:pPr>
      <w:r>
        <w:rPr>
          <w:rFonts w:hint="eastAsia"/>
        </w:rPr>
        <w:t>悬挑式钢平台应编制专项方案，锚固点应经设计验算，平台荷载标识应清晰可见。</w:t>
      </w:r>
    </w:p>
    <w:p w14:paraId="2236F7A6">
      <w:pPr>
        <w:pStyle w:val="165"/>
        <w:rPr>
          <w:rFonts w:hint="eastAsia"/>
        </w:rPr>
      </w:pPr>
      <w:r>
        <w:rPr>
          <w:rFonts w:hint="eastAsia"/>
        </w:rPr>
        <w:t>平台上物料堆放应距边缘不小于0.5 m，总荷载不应超过设计限值。</w:t>
      </w:r>
    </w:p>
    <w:p w14:paraId="31C74E2F">
      <w:pPr>
        <w:pStyle w:val="165"/>
        <w:rPr>
          <w:rFonts w:hint="eastAsia"/>
        </w:rPr>
      </w:pPr>
      <w:r>
        <w:rPr>
          <w:rFonts w:hint="eastAsia"/>
        </w:rPr>
        <w:t>平台面板宜选用防滑再生钢板，减少木材使用。</w:t>
      </w:r>
    </w:p>
    <w:p w14:paraId="4D7FC0C7">
      <w:pPr>
        <w:pStyle w:val="105"/>
        <w:spacing w:before="120" w:after="120"/>
        <w:rPr>
          <w:rFonts w:hint="eastAsia"/>
        </w:rPr>
      </w:pPr>
      <w:r>
        <w:rPr>
          <w:rFonts w:hint="eastAsia"/>
        </w:rPr>
        <w:t>安全网设置</w:t>
      </w:r>
    </w:p>
    <w:p w14:paraId="391383E3">
      <w:pPr>
        <w:pStyle w:val="165"/>
        <w:rPr>
          <w:rFonts w:hint="eastAsia"/>
        </w:rPr>
      </w:pPr>
      <w:r>
        <w:rPr>
          <w:rFonts w:hint="eastAsia"/>
        </w:rPr>
        <w:t>建筑物外立面应张挂密目式安全立网，网体应绷紧无破损，绑扎点间距不大于450 mm。</w:t>
      </w:r>
    </w:p>
    <w:p w14:paraId="3CB75D07">
      <w:pPr>
        <w:pStyle w:val="165"/>
        <w:rPr>
          <w:rFonts w:hint="eastAsia"/>
        </w:rPr>
      </w:pPr>
      <w:r>
        <w:rPr>
          <w:rFonts w:hint="eastAsia"/>
        </w:rPr>
        <w:t>下方有人员通行或作业的区域应设置双层水平安全平网，首层网距地面或坠落基准面不超过10 m，层间距不大于10 m。</w:t>
      </w:r>
    </w:p>
    <w:p w14:paraId="6178ACE8">
      <w:pPr>
        <w:pStyle w:val="165"/>
        <w:rPr>
          <w:rFonts w:hint="eastAsia"/>
        </w:rPr>
      </w:pPr>
      <w:r>
        <w:rPr>
          <w:rFonts w:hint="eastAsia"/>
        </w:rPr>
        <w:t>安全网进场应具有产品合格证和冲击试验报告，每周应检查一次网体完整性。</w:t>
      </w:r>
    </w:p>
    <w:p w14:paraId="6D8E388A">
      <w:pPr>
        <w:pStyle w:val="165"/>
        <w:rPr>
          <w:rFonts w:hint="eastAsia"/>
        </w:rPr>
      </w:pPr>
      <w:r>
        <w:rPr>
          <w:rFonts w:hint="eastAsia"/>
        </w:rPr>
        <w:t>破损安全网应回收处理，不应露天焚烧。宜选用可降解高分子材料网体。</w:t>
      </w:r>
    </w:p>
    <w:p w14:paraId="3F7CE1D3">
      <w:pPr>
        <w:pStyle w:val="105"/>
        <w:spacing w:before="120" w:after="120"/>
        <w:rPr>
          <w:rFonts w:hint="eastAsia"/>
        </w:rPr>
      </w:pPr>
      <w:r>
        <w:rPr>
          <w:rFonts w:hint="eastAsia"/>
        </w:rPr>
        <w:t>防坠与缓冲</w:t>
      </w:r>
    </w:p>
    <w:p w14:paraId="34F02888">
      <w:pPr>
        <w:pStyle w:val="165"/>
        <w:rPr>
          <w:rFonts w:hint="eastAsia"/>
        </w:rPr>
      </w:pPr>
      <w:r>
        <w:rPr>
          <w:rFonts w:hint="eastAsia"/>
        </w:rPr>
        <w:t>钢结构安装、屋面施工等区域应设置连续安全生命绳，直径不小于12 mm，固定点间距不超过8 m。</w:t>
      </w:r>
    </w:p>
    <w:p w14:paraId="7C4FAAD1">
      <w:pPr>
        <w:pStyle w:val="165"/>
        <w:rPr>
          <w:rFonts w:hint="eastAsia"/>
        </w:rPr>
      </w:pPr>
      <w:r>
        <w:rPr>
          <w:rFonts w:hint="eastAsia"/>
        </w:rPr>
        <w:t>可能发生坠落的区域下方宜设置缓冲沙箱、防坠气垫等装置，沙箱填充物可选用再生建筑废料。</w:t>
      </w:r>
    </w:p>
    <w:p w14:paraId="175903B9">
      <w:pPr>
        <w:pStyle w:val="165"/>
        <w:rPr>
          <w:rFonts w:hint="eastAsia"/>
        </w:rPr>
      </w:pPr>
      <w:r>
        <w:rPr>
          <w:rFonts w:hint="eastAsia"/>
        </w:rPr>
        <w:t>高处拆除作业时，应在底层设置柔性隔离层吸收坠落冲击能量。</w:t>
      </w:r>
    </w:p>
    <w:p w14:paraId="420421BB">
      <w:pPr>
        <w:pStyle w:val="105"/>
        <w:spacing w:before="120" w:after="120"/>
        <w:rPr>
          <w:rFonts w:hint="eastAsia"/>
        </w:rPr>
      </w:pPr>
      <w:r>
        <w:rPr>
          <w:rFonts w:hint="eastAsia"/>
        </w:rPr>
        <w:t>交叉作业隔离</w:t>
      </w:r>
    </w:p>
    <w:p w14:paraId="338ECBD7">
      <w:pPr>
        <w:pStyle w:val="165"/>
        <w:rPr>
          <w:rFonts w:hint="eastAsia"/>
        </w:rPr>
      </w:pPr>
      <w:r>
        <w:rPr>
          <w:rFonts w:hint="eastAsia"/>
        </w:rPr>
        <w:t>上下立体交叉作业时，应在底层作业区顶部搭设硬质防护隔离层，层板厚度不小于50 mm。</w:t>
      </w:r>
    </w:p>
    <w:p w14:paraId="082EC6D5">
      <w:pPr>
        <w:pStyle w:val="165"/>
        <w:rPr>
          <w:rFonts w:hint="eastAsia"/>
        </w:rPr>
      </w:pPr>
      <w:r>
        <w:rPr>
          <w:rFonts w:hint="eastAsia"/>
        </w:rPr>
        <w:t>多工种同层交叉作业应划分独立作业区，设置可拆卸式隔离围栏。</w:t>
      </w:r>
    </w:p>
    <w:p w14:paraId="058E970C">
      <w:pPr>
        <w:pStyle w:val="165"/>
        <w:rPr>
          <w:rFonts w:hint="eastAsia"/>
        </w:rPr>
      </w:pPr>
      <w:r>
        <w:rPr>
          <w:rFonts w:hint="eastAsia"/>
        </w:rPr>
        <w:t>焊接火花飞溅区域应使用防火帆布围挡，下方设置接火盆。</w:t>
      </w:r>
    </w:p>
    <w:p w14:paraId="648C14F4">
      <w:pPr>
        <w:pStyle w:val="105"/>
        <w:spacing w:before="120" w:after="120"/>
        <w:rPr>
          <w:rFonts w:hint="eastAsia"/>
        </w:rPr>
      </w:pPr>
      <w:r>
        <w:rPr>
          <w:rFonts w:hint="eastAsia"/>
        </w:rPr>
        <w:t>电气安全防护</w:t>
      </w:r>
    </w:p>
    <w:p w14:paraId="6D0CAF74">
      <w:pPr>
        <w:pStyle w:val="165"/>
        <w:rPr>
          <w:rFonts w:hint="eastAsia"/>
        </w:rPr>
      </w:pPr>
      <w:r>
        <w:rPr>
          <w:rFonts w:hint="eastAsia"/>
        </w:rPr>
        <w:t>高处用电设备应配备防雨防尘罩，电缆线应架空敷设或穿管保护，不应拖地使用。</w:t>
      </w:r>
    </w:p>
    <w:p w14:paraId="1AB3D4AD">
      <w:pPr>
        <w:pStyle w:val="165"/>
        <w:rPr>
          <w:rFonts w:hint="eastAsia"/>
        </w:rPr>
      </w:pPr>
      <w:r>
        <w:rPr>
          <w:rFonts w:hint="eastAsia"/>
        </w:rPr>
        <w:t>便携式电动工具电压应不大于36 V，潮湿环境应使用12 V安全电压。</w:t>
      </w:r>
    </w:p>
    <w:p w14:paraId="7FF2BB19">
      <w:pPr>
        <w:pStyle w:val="165"/>
        <w:rPr>
          <w:rFonts w:hint="eastAsia"/>
        </w:rPr>
      </w:pPr>
      <w:r>
        <w:rPr>
          <w:rFonts w:hint="eastAsia"/>
        </w:rPr>
        <w:t>电焊机二次侧应安装空载降压保护器，减少待机能耗。</w:t>
      </w:r>
    </w:p>
    <w:p w14:paraId="1B3397F5">
      <w:pPr>
        <w:pStyle w:val="105"/>
        <w:spacing w:before="120" w:after="120"/>
        <w:rPr>
          <w:rFonts w:hint="eastAsia"/>
        </w:rPr>
      </w:pPr>
      <w:r>
        <w:rPr>
          <w:rFonts w:hint="eastAsia"/>
        </w:rPr>
        <w:t>极端天气防护</w:t>
      </w:r>
    </w:p>
    <w:p w14:paraId="2559469B">
      <w:pPr>
        <w:pStyle w:val="165"/>
        <w:rPr>
          <w:rFonts w:hint="eastAsia"/>
        </w:rPr>
      </w:pPr>
      <w:r>
        <w:rPr>
          <w:rFonts w:hint="eastAsia"/>
        </w:rPr>
        <w:t>大风预警后应对安全网、标语牌等易飘浮物进行加固或拆除。</w:t>
      </w:r>
    </w:p>
    <w:p w14:paraId="6CF66F6A">
      <w:pPr>
        <w:pStyle w:val="165"/>
        <w:rPr>
          <w:rFonts w:hint="eastAsia"/>
        </w:rPr>
      </w:pPr>
      <w:r>
        <w:rPr>
          <w:rFonts w:hint="eastAsia"/>
        </w:rPr>
        <w:t>雨雪天气应清除通道、平台积水积雪，铺设防滑草垫或金属格栅。</w:t>
      </w:r>
    </w:p>
    <w:p w14:paraId="451D1DCF">
      <w:pPr>
        <w:pStyle w:val="165"/>
        <w:rPr>
          <w:rFonts w:hint="eastAsia"/>
        </w:rPr>
      </w:pPr>
      <w:r>
        <w:rPr>
          <w:rFonts w:hint="eastAsia"/>
        </w:rPr>
        <w:t>高温期作业平台宜设置遮阳棚，减少设备暴晒导致的能源损耗。</w:t>
      </w:r>
    </w:p>
    <w:p w14:paraId="653EC260">
      <w:pPr>
        <w:pStyle w:val="105"/>
        <w:spacing w:before="120" w:after="120"/>
        <w:rPr>
          <w:rFonts w:hint="eastAsia"/>
        </w:rPr>
      </w:pPr>
      <w:r>
        <w:rPr>
          <w:rFonts w:hint="eastAsia"/>
        </w:rPr>
        <w:t>检查与维护</w:t>
      </w:r>
    </w:p>
    <w:p w14:paraId="33B3D2E4">
      <w:pPr>
        <w:pStyle w:val="165"/>
        <w:rPr>
          <w:rFonts w:hint="eastAsia"/>
        </w:rPr>
      </w:pPr>
      <w:r>
        <w:rPr>
          <w:rFonts w:hint="eastAsia"/>
        </w:rPr>
        <w:t>防护设施投入使用前应组织验收，每月至少进行一次全面检查。</w:t>
      </w:r>
    </w:p>
    <w:p w14:paraId="14AE36FE">
      <w:pPr>
        <w:pStyle w:val="165"/>
        <w:rPr>
          <w:rFonts w:hint="eastAsia"/>
        </w:rPr>
      </w:pPr>
      <w:r>
        <w:rPr>
          <w:rFonts w:hint="eastAsia"/>
        </w:rPr>
        <w:t>强风雨雪后应对临边防护、安全网等设施进行专项检查。</w:t>
      </w:r>
    </w:p>
    <w:p w14:paraId="4A86363B">
      <w:pPr>
        <w:pStyle w:val="165"/>
      </w:pPr>
      <w:r>
        <w:rPr>
          <w:rFonts w:hint="eastAsia"/>
        </w:rPr>
        <w:t>维护更换应采用同规格标准件，避免非标构件加工产生的能源浪费。</w:t>
      </w:r>
    </w:p>
    <w:p w14:paraId="7ADFD6D8">
      <w:pPr>
        <w:pStyle w:val="104"/>
        <w:spacing w:before="240" w:after="240"/>
        <w:rPr>
          <w:rFonts w:hint="eastAsia"/>
        </w:rPr>
      </w:pPr>
      <w:bookmarkStart w:id="53" w:name="_Toc205456910"/>
      <w:r>
        <w:rPr>
          <w:rFonts w:hint="eastAsia"/>
        </w:rPr>
        <w:t>低碳作业措施</w:t>
      </w:r>
      <w:bookmarkEnd w:id="53"/>
    </w:p>
    <w:p w14:paraId="784221FD">
      <w:pPr>
        <w:pStyle w:val="105"/>
        <w:spacing w:before="120" w:after="120"/>
        <w:rPr>
          <w:rFonts w:hint="eastAsia"/>
        </w:rPr>
      </w:pPr>
      <w:r>
        <w:rPr>
          <w:rFonts w:hint="eastAsia"/>
        </w:rPr>
        <w:t>能源管理</w:t>
      </w:r>
    </w:p>
    <w:p w14:paraId="1C1EDB20">
      <w:pPr>
        <w:pStyle w:val="165"/>
        <w:rPr>
          <w:rFonts w:hint="eastAsia"/>
        </w:rPr>
      </w:pPr>
      <w:r>
        <w:rPr>
          <w:rFonts w:hint="eastAsia"/>
        </w:rPr>
        <w:t>高处作业设备应优先选用电力驱动装置，逐步淘汰燃油动力设备。塔吊、施工电梯等大型设备宜采用变频控制技术。</w:t>
      </w:r>
    </w:p>
    <w:p w14:paraId="66C929F9">
      <w:pPr>
        <w:pStyle w:val="165"/>
        <w:rPr>
          <w:rFonts w:hint="eastAsia"/>
        </w:rPr>
      </w:pPr>
      <w:r>
        <w:rPr>
          <w:rFonts w:hint="eastAsia"/>
        </w:rPr>
        <w:t>设备操作人员应遵守节能操作规程，待机超过10 min应关闭发动机或切断电源，设备空载运行时间单次不宜超过5 min。</w:t>
      </w:r>
    </w:p>
    <w:p w14:paraId="4E5C1D02">
      <w:pPr>
        <w:pStyle w:val="165"/>
        <w:rPr>
          <w:rFonts w:hint="eastAsia"/>
        </w:rPr>
      </w:pPr>
      <w:r>
        <w:rPr>
          <w:rFonts w:hint="eastAsia"/>
        </w:rPr>
        <w:t>夜间施工照明应采用分区定时控制，推广使用太阳能LED灯具，照明设施功率密度值应</w:t>
      </w:r>
      <w:r>
        <w:t>GB/T 50034</w:t>
      </w:r>
      <w:r>
        <w:rPr>
          <w:rFonts w:hint="eastAsia"/>
        </w:rPr>
        <w:t>的有关要求。</w:t>
      </w:r>
    </w:p>
    <w:p w14:paraId="3ED1B09D">
      <w:pPr>
        <w:pStyle w:val="165"/>
        <w:rPr>
          <w:rFonts w:hint="eastAsia"/>
        </w:rPr>
      </w:pPr>
      <w:r>
        <w:rPr>
          <w:rFonts w:hint="eastAsia"/>
        </w:rPr>
        <w:t>焊接设备应配置空载自动断电装置，减少无效能耗。</w:t>
      </w:r>
    </w:p>
    <w:p w14:paraId="511E3D31">
      <w:pPr>
        <w:pStyle w:val="105"/>
        <w:spacing w:before="120" w:after="120"/>
        <w:rPr>
          <w:rFonts w:hint="eastAsia"/>
        </w:rPr>
      </w:pPr>
      <w:r>
        <w:rPr>
          <w:rFonts w:hint="eastAsia"/>
        </w:rPr>
        <w:t>材料低碳化</w:t>
      </w:r>
    </w:p>
    <w:p w14:paraId="101E5446">
      <w:pPr>
        <w:pStyle w:val="165"/>
        <w:rPr>
          <w:rFonts w:hint="eastAsia"/>
        </w:rPr>
      </w:pPr>
      <w:r>
        <w:rPr>
          <w:rFonts w:hint="eastAsia"/>
        </w:rPr>
        <w:t>高处作业临时设施应选用标准化、工具化、可重复使用的金属构件，周转次数不宜低于10次，逐步替代木竹制品。</w:t>
      </w:r>
    </w:p>
    <w:p w14:paraId="7693C23D">
      <w:pPr>
        <w:pStyle w:val="165"/>
        <w:rPr>
          <w:rFonts w:hint="eastAsia"/>
        </w:rPr>
      </w:pPr>
      <w:r>
        <w:rPr>
          <w:rFonts w:hint="eastAsia"/>
        </w:rPr>
        <w:t>防护网、安全绳等耗材宜采用可再生高分子材料，废弃后回收率应达到80%以上。</w:t>
      </w:r>
    </w:p>
    <w:p w14:paraId="1D8FA2EF">
      <w:pPr>
        <w:pStyle w:val="165"/>
        <w:rPr>
          <w:rFonts w:hint="eastAsia"/>
        </w:rPr>
      </w:pPr>
      <w:r>
        <w:rPr>
          <w:rFonts w:hint="eastAsia"/>
        </w:rPr>
        <w:t>施工材料运输应通过BIM技术优化吊装路径，减少塔吊运行距离和频次。小型物料宜使用电动提升机替代塔吊吊运。</w:t>
      </w:r>
    </w:p>
    <w:p w14:paraId="2A6A7F92">
      <w:pPr>
        <w:pStyle w:val="165"/>
        <w:rPr>
          <w:rFonts w:hint="eastAsia"/>
        </w:rPr>
      </w:pPr>
      <w:r>
        <w:rPr>
          <w:rFonts w:hint="eastAsia"/>
        </w:rPr>
        <w:t>推广使用轻质高强建筑材料，降低结构荷载与运输能耗。</w:t>
      </w:r>
    </w:p>
    <w:p w14:paraId="498A17C9">
      <w:pPr>
        <w:pStyle w:val="105"/>
        <w:spacing w:before="120" w:after="120"/>
        <w:rPr>
          <w:rFonts w:hint="eastAsia"/>
        </w:rPr>
      </w:pPr>
      <w:r>
        <w:rPr>
          <w:rFonts w:hint="eastAsia"/>
        </w:rPr>
        <w:t>水资源与废弃物</w:t>
      </w:r>
    </w:p>
    <w:p w14:paraId="51BF5522">
      <w:pPr>
        <w:pStyle w:val="165"/>
        <w:rPr>
          <w:rFonts w:hint="eastAsia"/>
        </w:rPr>
      </w:pPr>
      <w:r>
        <w:rPr>
          <w:rFonts w:hint="eastAsia"/>
        </w:rPr>
        <w:t>高处作业混凝土养护、冲洗等用水应使用节水喷头，宜收集雨水或利用循环水系统。</w:t>
      </w:r>
    </w:p>
    <w:p w14:paraId="3431CE65">
      <w:pPr>
        <w:pStyle w:val="165"/>
        <w:rPr>
          <w:rFonts w:hint="eastAsia"/>
        </w:rPr>
      </w:pPr>
      <w:r>
        <w:rPr>
          <w:rFonts w:hint="eastAsia"/>
        </w:rPr>
        <w:t>作业层应设置分类回收装置，对金属边角料、包装材料、废弃防护用品等实行分类存放。</w:t>
      </w:r>
    </w:p>
    <w:p w14:paraId="75C7D8BF">
      <w:pPr>
        <w:pStyle w:val="165"/>
        <w:rPr>
          <w:rFonts w:hint="eastAsia"/>
        </w:rPr>
      </w:pPr>
      <w:r>
        <w:rPr>
          <w:rFonts w:hint="eastAsia"/>
        </w:rPr>
        <w:t>建筑垃圾应采用密闭容器垂直运输，不应高空抛洒。可再利用废弃物现场回收率不应低于70%。</w:t>
      </w:r>
    </w:p>
    <w:p w14:paraId="0ED31259">
      <w:pPr>
        <w:pStyle w:val="165"/>
        <w:rPr>
          <w:rFonts w:hint="eastAsia"/>
        </w:rPr>
      </w:pPr>
      <w:r>
        <w:rPr>
          <w:rFonts w:hint="eastAsia"/>
        </w:rPr>
        <w:t>粉尘作业区应配置负压吸尘装置，减少扬尘污染及后期清理能耗。</w:t>
      </w:r>
    </w:p>
    <w:p w14:paraId="376778F5">
      <w:pPr>
        <w:pStyle w:val="105"/>
        <w:spacing w:before="120" w:after="120"/>
        <w:rPr>
          <w:rFonts w:hint="eastAsia"/>
        </w:rPr>
      </w:pPr>
      <w:r>
        <w:rPr>
          <w:rFonts w:hint="eastAsia"/>
        </w:rPr>
        <w:t>工艺与工序优化</w:t>
      </w:r>
    </w:p>
    <w:p w14:paraId="17982540">
      <w:pPr>
        <w:pStyle w:val="165"/>
        <w:rPr>
          <w:rFonts w:hint="eastAsia"/>
        </w:rPr>
      </w:pPr>
      <w:r>
        <w:rPr>
          <w:rFonts w:hint="eastAsia"/>
        </w:rPr>
        <w:t>钢结构、幕墙等安装宜采用地面整体拼装、分段吊装工艺，减少高空散装作业量。</w:t>
      </w:r>
    </w:p>
    <w:p w14:paraId="42D9BE59">
      <w:pPr>
        <w:pStyle w:val="165"/>
        <w:rPr>
          <w:rFonts w:hint="eastAsia"/>
        </w:rPr>
      </w:pPr>
      <w:r>
        <w:rPr>
          <w:rFonts w:hint="eastAsia"/>
        </w:rPr>
        <w:t>推广免拆模体系、装配式防护设施等工业化产品，降低现场切割加工产生的能耗与废料。</w:t>
      </w:r>
    </w:p>
    <w:p w14:paraId="36683BB7">
      <w:pPr>
        <w:pStyle w:val="165"/>
        <w:rPr>
          <w:rFonts w:hint="eastAsia"/>
        </w:rPr>
      </w:pPr>
      <w:r>
        <w:rPr>
          <w:rFonts w:hint="eastAsia"/>
        </w:rPr>
        <w:t>合理安排施工时序，避免同一区域反复搭拆脚手架，减少资源消耗和机械碳排放。</w:t>
      </w:r>
    </w:p>
    <w:p w14:paraId="24D42D55">
      <w:pPr>
        <w:pStyle w:val="105"/>
        <w:spacing w:before="120" w:after="120"/>
        <w:rPr>
          <w:rFonts w:hint="eastAsia"/>
        </w:rPr>
      </w:pPr>
      <w:r>
        <w:rPr>
          <w:rFonts w:hint="eastAsia"/>
        </w:rPr>
        <w:t>数字化与智能化</w:t>
      </w:r>
    </w:p>
    <w:p w14:paraId="7ADBD976">
      <w:pPr>
        <w:pStyle w:val="165"/>
        <w:rPr>
          <w:rFonts w:hint="eastAsia"/>
        </w:rPr>
      </w:pPr>
      <w:r>
        <w:rPr>
          <w:rFonts w:hint="eastAsia"/>
        </w:rPr>
        <w:t>宜采用传感器监测大型设备实时能耗，建立塔吊、电梯等设备能效标杆管理制度。</w:t>
      </w:r>
    </w:p>
    <w:p w14:paraId="5F327DEC">
      <w:pPr>
        <w:pStyle w:val="165"/>
        <w:rPr>
          <w:rFonts w:hint="eastAsia"/>
        </w:rPr>
      </w:pPr>
      <w:r>
        <w:rPr>
          <w:rFonts w:hint="eastAsia"/>
        </w:rPr>
        <w:t>高处作业安全巡检可使用无人机替代人工攀爬检查，减少人员移动碳排放。</w:t>
      </w:r>
    </w:p>
    <w:p w14:paraId="2F15C2E4">
      <w:pPr>
        <w:pStyle w:val="165"/>
        <w:rPr>
          <w:rFonts w:hint="eastAsia"/>
        </w:rPr>
      </w:pPr>
      <w:r>
        <w:rPr>
          <w:rFonts w:hint="eastAsia"/>
        </w:rPr>
        <w:t>材料领用与废弃物产出应纳入智慧工地系统进行量化追踪，实现碳足迹可视化。</w:t>
      </w:r>
    </w:p>
    <w:p w14:paraId="086FEC9E">
      <w:pPr>
        <w:pStyle w:val="105"/>
        <w:spacing w:before="120" w:after="120"/>
        <w:rPr>
          <w:rFonts w:hint="eastAsia"/>
        </w:rPr>
      </w:pPr>
      <w:r>
        <w:rPr>
          <w:rFonts w:hint="eastAsia"/>
        </w:rPr>
        <w:t>监测与改进</w:t>
      </w:r>
    </w:p>
    <w:p w14:paraId="48D52B2F">
      <w:pPr>
        <w:pStyle w:val="165"/>
        <w:rPr>
          <w:rFonts w:hint="eastAsia"/>
        </w:rPr>
      </w:pPr>
      <w:r>
        <w:rPr>
          <w:rFonts w:hint="eastAsia"/>
        </w:rPr>
        <w:t>项目应每月统计高处作业相关能源消耗量、材料损耗率及废弃物产生量，对比低碳目标进行偏差分析。</w:t>
      </w:r>
    </w:p>
    <w:p w14:paraId="34E69659">
      <w:pPr>
        <w:pStyle w:val="165"/>
        <w:rPr>
          <w:rFonts w:hint="eastAsia"/>
        </w:rPr>
      </w:pPr>
      <w:r>
        <w:rPr>
          <w:rFonts w:hint="eastAsia"/>
        </w:rPr>
        <w:t>每季度开展高处作业碳足迹核算，范围涵盖设备用能、材料运输、废弃物处理等全流程。</w:t>
      </w:r>
    </w:p>
    <w:p w14:paraId="1F24778B">
      <w:pPr>
        <w:pStyle w:val="165"/>
      </w:pPr>
      <w:r>
        <w:rPr>
          <w:rFonts w:hint="eastAsia"/>
        </w:rPr>
        <w:t>根据监测结果及时调整低碳措施，持续优化高处作业的碳排放强度。</w:t>
      </w:r>
    </w:p>
    <w:p w14:paraId="7F520BF4">
      <w:pPr>
        <w:pStyle w:val="104"/>
        <w:spacing w:before="240" w:after="240"/>
        <w:rPr>
          <w:rFonts w:hint="eastAsia"/>
        </w:rPr>
      </w:pPr>
      <w:bookmarkStart w:id="54" w:name="_Toc205456911"/>
      <w:r>
        <w:rPr>
          <w:rFonts w:hint="eastAsia"/>
        </w:rPr>
        <w:t>检查与验收</w:t>
      </w:r>
      <w:bookmarkEnd w:id="54"/>
    </w:p>
    <w:p w14:paraId="09A17971">
      <w:pPr>
        <w:pStyle w:val="105"/>
        <w:spacing w:before="120" w:after="120"/>
        <w:rPr>
          <w:rFonts w:hint="eastAsia"/>
        </w:rPr>
      </w:pPr>
      <w:r>
        <w:rPr>
          <w:rFonts w:hint="eastAsia"/>
        </w:rPr>
        <w:t>日常检查</w:t>
      </w:r>
    </w:p>
    <w:p w14:paraId="12BCA9D0">
      <w:pPr>
        <w:pStyle w:val="165"/>
        <w:rPr>
          <w:rFonts w:hint="eastAsia"/>
        </w:rPr>
      </w:pPr>
      <w:r>
        <w:rPr>
          <w:rFonts w:hint="eastAsia"/>
        </w:rPr>
        <w:t>作业班组应每日开展高处作业安全与低碳措施班前检查，重点核查个体防护装备完整性、设备能源关闭状态及作业面整洁度。</w:t>
      </w:r>
    </w:p>
    <w:p w14:paraId="6ACB4828">
      <w:pPr>
        <w:pStyle w:val="165"/>
        <w:rPr>
          <w:rFonts w:hint="eastAsia"/>
        </w:rPr>
      </w:pPr>
      <w:r>
        <w:rPr>
          <w:rFonts w:hint="eastAsia"/>
        </w:rPr>
        <w:t>安全员应每日巡查防护设施稳固性、临边洞口封闭状态及废弃物分类情况，发现问题应立即责令整改。</w:t>
      </w:r>
    </w:p>
    <w:p w14:paraId="139C1E32">
      <w:pPr>
        <w:pStyle w:val="165"/>
        <w:rPr>
          <w:rFonts w:hint="eastAsia"/>
        </w:rPr>
      </w:pPr>
      <w:r>
        <w:rPr>
          <w:rFonts w:hint="eastAsia"/>
        </w:rPr>
        <w:t>设备管理员应记录大型设备日能耗数据，异常能耗波动超过10%时应启动诊断分析。</w:t>
      </w:r>
    </w:p>
    <w:p w14:paraId="7AF37AD1">
      <w:pPr>
        <w:pStyle w:val="105"/>
        <w:spacing w:before="120" w:after="120"/>
        <w:rPr>
          <w:rFonts w:hint="eastAsia"/>
        </w:rPr>
      </w:pPr>
      <w:r>
        <w:rPr>
          <w:rFonts w:hint="eastAsia"/>
        </w:rPr>
        <w:t>专项检查</w:t>
      </w:r>
    </w:p>
    <w:p w14:paraId="69BB900C">
      <w:pPr>
        <w:pStyle w:val="165"/>
        <w:rPr>
          <w:rFonts w:hint="eastAsia"/>
        </w:rPr>
      </w:pPr>
      <w:r>
        <w:rPr>
          <w:rFonts w:hint="eastAsia"/>
        </w:rPr>
        <w:t>遇强风、暴雨等极端天气后，应组织防护设施抗风性能、防雨密封性专项检查。</w:t>
      </w:r>
    </w:p>
    <w:p w14:paraId="5B91FA65">
      <w:pPr>
        <w:pStyle w:val="165"/>
        <w:rPr>
          <w:rFonts w:hint="eastAsia"/>
        </w:rPr>
      </w:pPr>
      <w:r>
        <w:rPr>
          <w:rFonts w:hint="eastAsia"/>
        </w:rPr>
        <w:t>每月应实施一次综合检查，涵盖安全防护有效性、材料周转率、能源消耗指标及碳足迹核算结果。</w:t>
      </w:r>
    </w:p>
    <w:p w14:paraId="0A3FCCF6">
      <w:pPr>
        <w:pStyle w:val="165"/>
        <w:rPr>
          <w:rFonts w:hint="eastAsia"/>
        </w:rPr>
      </w:pPr>
      <w:r>
        <w:rPr>
          <w:rFonts w:hint="eastAsia"/>
        </w:rPr>
        <w:t>新安装的脚手架、吊篮等设施启用前，应进行荷载试验及安全装置有效性专项验证。</w:t>
      </w:r>
    </w:p>
    <w:p w14:paraId="31196DF4">
      <w:pPr>
        <w:pStyle w:val="105"/>
        <w:spacing w:before="120" w:after="120"/>
        <w:rPr>
          <w:rFonts w:hint="eastAsia"/>
        </w:rPr>
      </w:pPr>
      <w:r>
        <w:rPr>
          <w:rFonts w:hint="eastAsia"/>
        </w:rPr>
        <w:t>验收管理</w:t>
      </w:r>
    </w:p>
    <w:p w14:paraId="379BF000">
      <w:pPr>
        <w:pStyle w:val="165"/>
        <w:rPr>
          <w:rFonts w:hint="eastAsia"/>
        </w:rPr>
      </w:pPr>
      <w:r>
        <w:rPr>
          <w:rFonts w:hint="eastAsia"/>
        </w:rPr>
        <w:t>高处作业设施搭设完成后，应由总包单位组织监理、安拆单位进行联合验收，重点核查：</w:t>
      </w:r>
    </w:p>
    <w:p w14:paraId="2E268BE1">
      <w:pPr>
        <w:pStyle w:val="132"/>
        <w:rPr>
          <w:rFonts w:hint="eastAsia"/>
        </w:rPr>
      </w:pPr>
      <w:r>
        <w:rPr>
          <w:rFonts w:hint="eastAsia"/>
        </w:rPr>
        <w:t>防护栏杆高度与间距合规性；</w:t>
      </w:r>
    </w:p>
    <w:p w14:paraId="17D0F05C">
      <w:pPr>
        <w:pStyle w:val="132"/>
        <w:rPr>
          <w:rFonts w:hint="eastAsia"/>
        </w:rPr>
      </w:pPr>
      <w:r>
        <w:rPr>
          <w:rFonts w:hint="eastAsia"/>
        </w:rPr>
        <w:t>标准化构件使用比例；</w:t>
      </w:r>
    </w:p>
    <w:p w14:paraId="45A1C70C">
      <w:pPr>
        <w:pStyle w:val="132"/>
        <w:rPr>
          <w:rFonts w:hint="eastAsia"/>
        </w:rPr>
      </w:pPr>
      <w:r>
        <w:rPr>
          <w:rFonts w:hint="eastAsia"/>
        </w:rPr>
        <w:t>低碳设备配置率；</w:t>
      </w:r>
    </w:p>
    <w:p w14:paraId="6A5DF817">
      <w:pPr>
        <w:pStyle w:val="132"/>
        <w:rPr>
          <w:rFonts w:hint="eastAsia"/>
        </w:rPr>
      </w:pPr>
      <w:r>
        <w:rPr>
          <w:rFonts w:hint="eastAsia"/>
        </w:rPr>
        <w:t>生命绳锚固点设计文件。</w:t>
      </w:r>
    </w:p>
    <w:p w14:paraId="3203774D">
      <w:pPr>
        <w:pStyle w:val="165"/>
        <w:rPr>
          <w:rFonts w:hint="eastAsia"/>
        </w:rPr>
      </w:pPr>
      <w:r>
        <w:rPr>
          <w:rFonts w:hint="eastAsia"/>
        </w:rPr>
        <w:t>验收合格后应悬挂验收标识牌，注明允许荷载、使用期限及责任人。</w:t>
      </w:r>
    </w:p>
    <w:p w14:paraId="4A04A2DC">
      <w:pPr>
        <w:pStyle w:val="165"/>
        <w:rPr>
          <w:rFonts w:hint="eastAsia"/>
        </w:rPr>
      </w:pPr>
      <w:r>
        <w:rPr>
          <w:rFonts w:hint="eastAsia"/>
        </w:rPr>
        <w:t>采用新型低碳工艺或设备时，应增加碳排放基准值符合性验收项。</w:t>
      </w:r>
    </w:p>
    <w:p w14:paraId="2EE89C41">
      <w:pPr>
        <w:pStyle w:val="105"/>
        <w:spacing w:before="120" w:after="120"/>
        <w:rPr>
          <w:rFonts w:hint="eastAsia"/>
        </w:rPr>
      </w:pPr>
      <w:r>
        <w:rPr>
          <w:rFonts w:hint="eastAsia"/>
        </w:rPr>
        <w:t>检查工具</w:t>
      </w:r>
    </w:p>
    <w:p w14:paraId="2CBF2449">
      <w:pPr>
        <w:pStyle w:val="165"/>
        <w:rPr>
          <w:rFonts w:hint="eastAsia"/>
        </w:rPr>
      </w:pPr>
      <w:r>
        <w:rPr>
          <w:rFonts w:hint="eastAsia"/>
        </w:rPr>
        <w:t>宜采用无人机对高层外立面防护网完整性进行空中巡检。</w:t>
      </w:r>
    </w:p>
    <w:p w14:paraId="3BDFC09D">
      <w:pPr>
        <w:pStyle w:val="165"/>
        <w:rPr>
          <w:rFonts w:hint="eastAsia"/>
        </w:rPr>
      </w:pPr>
      <w:r>
        <w:rPr>
          <w:rFonts w:hint="eastAsia"/>
        </w:rPr>
        <w:t>能源消耗检查应使用智能电表、燃油流量计等自动监测设备，数据保存期不应少于1年。</w:t>
      </w:r>
    </w:p>
    <w:p w14:paraId="11ED1470">
      <w:pPr>
        <w:pStyle w:val="165"/>
        <w:rPr>
          <w:rFonts w:hint="eastAsia"/>
        </w:rPr>
      </w:pPr>
      <w:r>
        <w:rPr>
          <w:rFonts w:hint="eastAsia"/>
        </w:rPr>
        <w:t>材料周转率核查应扫描构件RFID标签，验证实际周转次数是否符合设计要求。</w:t>
      </w:r>
    </w:p>
    <w:p w14:paraId="5FC012E6">
      <w:pPr>
        <w:pStyle w:val="105"/>
        <w:spacing w:before="120" w:after="120"/>
        <w:rPr>
          <w:rFonts w:hint="eastAsia"/>
        </w:rPr>
      </w:pPr>
      <w:r>
        <w:rPr>
          <w:rFonts w:hint="eastAsia"/>
        </w:rPr>
        <w:t>问题整改</w:t>
      </w:r>
    </w:p>
    <w:p w14:paraId="66A1DE50">
      <w:pPr>
        <w:pStyle w:val="165"/>
        <w:rPr>
          <w:rFonts w:hint="eastAsia"/>
        </w:rPr>
      </w:pPr>
      <w:r>
        <w:rPr>
          <w:rFonts w:hint="eastAsia"/>
        </w:rPr>
        <w:t>检查发现的安全隐患应开具整改通知单，明确整改措施、责任人和完成时限。</w:t>
      </w:r>
    </w:p>
    <w:p w14:paraId="6ADA9E51">
      <w:pPr>
        <w:pStyle w:val="165"/>
        <w:rPr>
          <w:rFonts w:hint="eastAsia"/>
        </w:rPr>
      </w:pPr>
      <w:r>
        <w:rPr>
          <w:rFonts w:hint="eastAsia"/>
        </w:rPr>
        <w:t>低碳措施不达标项应分析根本原因，制定能效提升或材料优化方案。</w:t>
      </w:r>
    </w:p>
    <w:p w14:paraId="5FF881E9">
      <w:pPr>
        <w:pStyle w:val="165"/>
        <w:rPr>
          <w:rFonts w:hint="eastAsia"/>
        </w:rPr>
      </w:pPr>
      <w:r>
        <w:rPr>
          <w:rFonts w:hint="eastAsia"/>
        </w:rPr>
        <w:t>整改完成后应由检查方复核确认，形成“检查-整改-验证”闭环记录。</w:t>
      </w:r>
    </w:p>
    <w:p w14:paraId="235EDE8C">
      <w:pPr>
        <w:pStyle w:val="105"/>
        <w:spacing w:before="120" w:after="120"/>
        <w:rPr>
          <w:rFonts w:hint="eastAsia"/>
        </w:rPr>
      </w:pPr>
      <w:r>
        <w:rPr>
          <w:rFonts w:hint="eastAsia"/>
        </w:rPr>
        <w:t>数据应用</w:t>
      </w:r>
    </w:p>
    <w:p w14:paraId="098C6EDD">
      <w:pPr>
        <w:pStyle w:val="165"/>
        <w:rPr>
          <w:rFonts w:hint="eastAsia"/>
        </w:rPr>
      </w:pPr>
      <w:r>
        <w:rPr>
          <w:rFonts w:hint="eastAsia"/>
        </w:rPr>
        <w:t>月度检查数据应纳入项目低碳施工评价体系，生成高处作业专项碳排放强度报告。</w:t>
      </w:r>
    </w:p>
    <w:p w14:paraId="6B85CB21">
      <w:pPr>
        <w:pStyle w:val="165"/>
        <w:rPr>
          <w:rFonts w:hint="eastAsia"/>
        </w:rPr>
      </w:pPr>
      <w:r>
        <w:rPr>
          <w:rFonts w:hint="eastAsia"/>
        </w:rPr>
        <w:t>验收记录、能耗数据、材料周转率等应作为供应商履约评价依据。</w:t>
      </w:r>
    </w:p>
    <w:p w14:paraId="0CD18543">
      <w:pPr>
        <w:pStyle w:val="165"/>
      </w:pPr>
      <w:r>
        <w:rPr>
          <w:rFonts w:hint="eastAsia"/>
        </w:rPr>
        <w:t>每季度应对比行业标杆值，修订高处作业低碳管理目标及措施。</w:t>
      </w:r>
    </w:p>
    <w:bookmarkEnd w:id="24"/>
    <w:p w14:paraId="077105ED">
      <w:pPr>
        <w:pStyle w:val="56"/>
        <w:ind w:firstLine="0" w:firstLineChars="0"/>
        <w:jc w:val="center"/>
      </w:pPr>
      <w:bookmarkStart w:id="55" w:name="BookMark8"/>
      <w:r>
        <w:drawing>
          <wp:inline distT="0" distB="0" distL="0" distR="0">
            <wp:extent cx="1485900" cy="317500"/>
            <wp:effectExtent l="0" t="0" r="0" b="6350"/>
            <wp:docPr id="256654460" name="图片 3"/>
            <wp:cNvGraphicFramePr/>
            <a:graphic xmlns:a="http://schemas.openxmlformats.org/drawingml/2006/main">
              <a:graphicData uri="http://schemas.openxmlformats.org/drawingml/2006/picture">
                <pic:pic xmlns:pic="http://schemas.openxmlformats.org/drawingml/2006/picture">
                  <pic:nvPicPr>
                    <pic:cNvPr id="256654460"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FB54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72D7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519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FA263">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7810">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F89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DD23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02551">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D084">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C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178"/>
    <w:rsid w:val="0004249A"/>
    <w:rsid w:val="00043282"/>
    <w:rsid w:val="00044286"/>
    <w:rsid w:val="00047F28"/>
    <w:rsid w:val="000503AA"/>
    <w:rsid w:val="000506A1"/>
    <w:rsid w:val="00050DE4"/>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1A31"/>
    <w:rsid w:val="00092B8A"/>
    <w:rsid w:val="00092FB0"/>
    <w:rsid w:val="000934C5"/>
    <w:rsid w:val="00093D25"/>
    <w:rsid w:val="00093DAB"/>
    <w:rsid w:val="00094D73"/>
    <w:rsid w:val="00096D63"/>
    <w:rsid w:val="000A0B60"/>
    <w:rsid w:val="000A0EB8"/>
    <w:rsid w:val="000A19FC"/>
    <w:rsid w:val="000A296B"/>
    <w:rsid w:val="000A2F36"/>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0F7CBF"/>
    <w:rsid w:val="00104926"/>
    <w:rsid w:val="00113B1E"/>
    <w:rsid w:val="0011711C"/>
    <w:rsid w:val="00124E4F"/>
    <w:rsid w:val="001260B7"/>
    <w:rsid w:val="001265CB"/>
    <w:rsid w:val="001321C6"/>
    <w:rsid w:val="001325C4"/>
    <w:rsid w:val="00133010"/>
    <w:rsid w:val="001338EE"/>
    <w:rsid w:val="00133AAE"/>
    <w:rsid w:val="00135323"/>
    <w:rsid w:val="001356C4"/>
    <w:rsid w:val="001361D9"/>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6823"/>
    <w:rsid w:val="00216838"/>
    <w:rsid w:val="002204BB"/>
    <w:rsid w:val="00221B79"/>
    <w:rsid w:val="00221C6B"/>
    <w:rsid w:val="002253A1"/>
    <w:rsid w:val="00225CF8"/>
    <w:rsid w:val="0022794E"/>
    <w:rsid w:val="00233D64"/>
    <w:rsid w:val="0023482A"/>
    <w:rsid w:val="002359CB"/>
    <w:rsid w:val="00243540"/>
    <w:rsid w:val="0024497B"/>
    <w:rsid w:val="0024515B"/>
    <w:rsid w:val="00245818"/>
    <w:rsid w:val="00246021"/>
    <w:rsid w:val="0024666E"/>
    <w:rsid w:val="00247F52"/>
    <w:rsid w:val="00250B25"/>
    <w:rsid w:val="00250BBE"/>
    <w:rsid w:val="002515C2"/>
    <w:rsid w:val="0025194F"/>
    <w:rsid w:val="0026148A"/>
    <w:rsid w:val="00262696"/>
    <w:rsid w:val="00263D25"/>
    <w:rsid w:val="002643C3"/>
    <w:rsid w:val="00264A0C"/>
    <w:rsid w:val="00266DBD"/>
    <w:rsid w:val="00266EEB"/>
    <w:rsid w:val="00267EF4"/>
    <w:rsid w:val="00270CB8"/>
    <w:rsid w:val="002725B6"/>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8F9"/>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2A6"/>
    <w:rsid w:val="00432DAA"/>
    <w:rsid w:val="00434305"/>
    <w:rsid w:val="00435DF7"/>
    <w:rsid w:val="0044083F"/>
    <w:rsid w:val="00441AE7"/>
    <w:rsid w:val="00445574"/>
    <w:rsid w:val="004467FB"/>
    <w:rsid w:val="004507AB"/>
    <w:rsid w:val="00452D6B"/>
    <w:rsid w:val="00454484"/>
    <w:rsid w:val="0045517B"/>
    <w:rsid w:val="00463B77"/>
    <w:rsid w:val="00463C7B"/>
    <w:rsid w:val="004644A6"/>
    <w:rsid w:val="004659BD"/>
    <w:rsid w:val="00470507"/>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87F8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459"/>
    <w:rsid w:val="006770F4"/>
    <w:rsid w:val="00677A84"/>
    <w:rsid w:val="0068026D"/>
    <w:rsid w:val="00680A27"/>
    <w:rsid w:val="006816A4"/>
    <w:rsid w:val="006819B8"/>
    <w:rsid w:val="006840A6"/>
    <w:rsid w:val="006850CD"/>
    <w:rsid w:val="00685AAB"/>
    <w:rsid w:val="00693C60"/>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B2D"/>
    <w:rsid w:val="00711CBA"/>
    <w:rsid w:val="00711FB5"/>
    <w:rsid w:val="00712A01"/>
    <w:rsid w:val="00714F58"/>
    <w:rsid w:val="00722FBF"/>
    <w:rsid w:val="00722FC2"/>
    <w:rsid w:val="00724E1B"/>
    <w:rsid w:val="00725949"/>
    <w:rsid w:val="00727601"/>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A48"/>
    <w:rsid w:val="00755402"/>
    <w:rsid w:val="00756B26"/>
    <w:rsid w:val="00756EDF"/>
    <w:rsid w:val="007600E3"/>
    <w:rsid w:val="00765C43"/>
    <w:rsid w:val="00765EFB"/>
    <w:rsid w:val="007671CA"/>
    <w:rsid w:val="00767C61"/>
    <w:rsid w:val="0077008A"/>
    <w:rsid w:val="00773C1F"/>
    <w:rsid w:val="00774DA4"/>
    <w:rsid w:val="00776599"/>
    <w:rsid w:val="007800C1"/>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3CC"/>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3E82"/>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0DB"/>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4F97"/>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6CB"/>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2885"/>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08D"/>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655"/>
    <w:rsid w:val="00B56FBE"/>
    <w:rsid w:val="00B60ACF"/>
    <w:rsid w:val="00B62B58"/>
    <w:rsid w:val="00B65149"/>
    <w:rsid w:val="00B66567"/>
    <w:rsid w:val="00B66F52"/>
    <w:rsid w:val="00B66FE5"/>
    <w:rsid w:val="00B72880"/>
    <w:rsid w:val="00B758BF"/>
    <w:rsid w:val="00B77EC8"/>
    <w:rsid w:val="00B827A6"/>
    <w:rsid w:val="00B831CE"/>
    <w:rsid w:val="00B83816"/>
    <w:rsid w:val="00B86677"/>
    <w:rsid w:val="00B87131"/>
    <w:rsid w:val="00B939B1"/>
    <w:rsid w:val="00B96D40"/>
    <w:rsid w:val="00B97386"/>
    <w:rsid w:val="00BA263B"/>
    <w:rsid w:val="00BA42B2"/>
    <w:rsid w:val="00BA58D4"/>
    <w:rsid w:val="00BA5B9E"/>
    <w:rsid w:val="00BA7C9A"/>
    <w:rsid w:val="00BB5F8F"/>
    <w:rsid w:val="00BB657A"/>
    <w:rsid w:val="00BC0F72"/>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053"/>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811"/>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AB1"/>
    <w:rsid w:val="00CD7799"/>
    <w:rsid w:val="00CE0C4F"/>
    <w:rsid w:val="00CE30EA"/>
    <w:rsid w:val="00CF048A"/>
    <w:rsid w:val="00CF155A"/>
    <w:rsid w:val="00CF2947"/>
    <w:rsid w:val="00CF4AE8"/>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64BE"/>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33C"/>
    <w:rsid w:val="00DD54B0"/>
    <w:rsid w:val="00DD57EE"/>
    <w:rsid w:val="00DD6BCC"/>
    <w:rsid w:val="00DE0470"/>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2E0B"/>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09A"/>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245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E0D"/>
    <w:rsid w:val="00F56511"/>
    <w:rsid w:val="00F6194E"/>
    <w:rsid w:val="00F623AC"/>
    <w:rsid w:val="00F6412A"/>
    <w:rsid w:val="00F65893"/>
    <w:rsid w:val="00F66A4A"/>
    <w:rsid w:val="00F67AD0"/>
    <w:rsid w:val="00F71E22"/>
    <w:rsid w:val="00F72142"/>
    <w:rsid w:val="00F72AE7"/>
    <w:rsid w:val="00F833BA"/>
    <w:rsid w:val="00F84FD0"/>
    <w:rsid w:val="00F859A8"/>
    <w:rsid w:val="00F86D87"/>
    <w:rsid w:val="00F9108B"/>
    <w:rsid w:val="00F91349"/>
    <w:rsid w:val="00F919DA"/>
    <w:rsid w:val="00F93A8A"/>
    <w:rsid w:val="00F95248"/>
    <w:rsid w:val="00F956A9"/>
    <w:rsid w:val="00F963ED"/>
    <w:rsid w:val="00F966CF"/>
    <w:rsid w:val="00F96CAE"/>
    <w:rsid w:val="00F97C99"/>
    <w:rsid w:val="00FA544E"/>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18E"/>
    <w:rsid w:val="00FD7299"/>
    <w:rsid w:val="00FD7BF1"/>
    <w:rsid w:val="00FE1FBE"/>
    <w:rsid w:val="00FE3901"/>
    <w:rsid w:val="00FE39D3"/>
    <w:rsid w:val="00FE4BCE"/>
    <w:rsid w:val="00FE54AE"/>
    <w:rsid w:val="00FE576A"/>
    <w:rsid w:val="00FE7E79"/>
    <w:rsid w:val="00FF3E7D"/>
    <w:rsid w:val="00FF5B99"/>
    <w:rsid w:val="00FF730C"/>
    <w:rsid w:val="00FF73F4"/>
    <w:rsid w:val="00FF7CE4"/>
    <w:rsid w:val="00FF7E39"/>
    <w:rsid w:val="0C7C1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DA6FE3A06D45FFB91759896AA7E53D"/>
        <w:style w:val=""/>
        <w:category>
          <w:name w:val="常规"/>
          <w:gallery w:val="placeholder"/>
        </w:category>
        <w:types>
          <w:type w:val="bbPlcHdr"/>
        </w:types>
        <w:behaviors>
          <w:behavior w:val="content"/>
        </w:behaviors>
        <w:description w:val=""/>
        <w:guid w:val="{69CBD4F0-2085-46F2-854B-BF1C7D9F6B13}"/>
      </w:docPartPr>
      <w:docPartBody>
        <w:p w14:paraId="47A67E36">
          <w:pPr>
            <w:pStyle w:val="5"/>
            <w:rPr>
              <w:rFonts w:hint="eastAsia"/>
            </w:rPr>
          </w:pPr>
          <w:r>
            <w:rPr>
              <w:rStyle w:val="4"/>
              <w:rFonts w:hint="eastAsia"/>
            </w:rPr>
            <w:t>单击或点击此处输入文字。</w:t>
          </w:r>
        </w:p>
      </w:docPartBody>
    </w:docPart>
    <w:docPart>
      <w:docPartPr>
        <w:name w:val="3DFF5ADA10A94026A287987BC1842E57"/>
        <w:style w:val=""/>
        <w:category>
          <w:name w:val="常规"/>
          <w:gallery w:val="placeholder"/>
        </w:category>
        <w:types>
          <w:type w:val="bbPlcHdr"/>
        </w:types>
        <w:behaviors>
          <w:behavior w:val="content"/>
        </w:behaviors>
        <w:description w:val=""/>
        <w:guid w:val="{6615F46A-6C21-4282-A93C-7D83EBFEDDB2}"/>
      </w:docPartPr>
      <w:docPartBody>
        <w:p w14:paraId="1F15FFEA">
          <w:pPr>
            <w:pStyle w:val="6"/>
            <w:rPr>
              <w:rFonts w:hint="eastAsia"/>
            </w:rPr>
          </w:pPr>
          <w:r>
            <w:rPr>
              <w:rStyle w:val="4"/>
              <w:rFonts w:hint="eastAsia"/>
            </w:rPr>
            <w:t>选择一项。</w:t>
          </w:r>
        </w:p>
      </w:docPartBody>
    </w:docPart>
    <w:docPart>
      <w:docPartPr>
        <w:name w:val="4A4A4860A30347B097CC9F44B886262B"/>
        <w:style w:val=""/>
        <w:category>
          <w:name w:val="常规"/>
          <w:gallery w:val="placeholder"/>
        </w:category>
        <w:types>
          <w:type w:val="bbPlcHdr"/>
        </w:types>
        <w:behaviors>
          <w:behavior w:val="content"/>
        </w:behaviors>
        <w:description w:val=""/>
        <w:guid w:val="{281E483C-C7C7-4EBE-8A0F-9D9A667CB02B}"/>
      </w:docPartPr>
      <w:docPartBody>
        <w:p w14:paraId="77CC2A76">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5C"/>
    <w:rsid w:val="00041178"/>
    <w:rsid w:val="000A2F36"/>
    <w:rsid w:val="00416FC7"/>
    <w:rsid w:val="00A1644D"/>
    <w:rsid w:val="00B83816"/>
    <w:rsid w:val="00BE1A5C"/>
    <w:rsid w:val="00FB2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B6DA6FE3A06D45FFB91759896AA7E53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DFF5ADA10A94026A287987BC1842E5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4A4A4860A30347B097CC9F44B886262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6886</Words>
  <Characters>7142</Characters>
  <Lines>324</Lines>
  <Paragraphs>364</Paragraphs>
  <TotalTime>579</TotalTime>
  <ScaleCrop>false</ScaleCrop>
  <LinksUpToDate>false</LinksUpToDate>
  <CharactersWithSpaces>7242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2025-08-05T07:25:00Z</dcterms:created>
  <dc:creator>Administrator</dc:creator>
  <dc:description>&lt;config cover="true" show_menu="true" version="1.0.0" doctype="SDKXY"&gt;_x000d_
&lt;/config&gt;</dc:description>
  <cp:lastModifiedBy>Shimmer</cp:lastModifiedBy>
  <cp:lastPrinted>2021-02-02T08:22:00Z</cp:lastPrinted>
  <dcterms:modified xsi:type="dcterms:W3CDTF">2025-08-14T03:31:24Z</dcterms:modified>
  <dc:title>团体标准</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2052-12.1.0.21915</vt:lpwstr>
  </property>
  <property fmtid="{D5CDD505-2E9C-101B-9397-08002B2CF9AE}" pid="16" name="ICV">
    <vt:lpwstr>1449EFE7C9F14AC2AEA3592587CC15E9_12</vt:lpwstr>
  </property>
</Properties>
</file>