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18BA">
      <w:pPr>
        <w:rPr>
          <w:rFonts w:hint="eastAsia"/>
        </w:rPr>
      </w:pPr>
    </w:p>
    <w:p w14:paraId="2DA283D8">
      <w:pPr>
        <w:rPr>
          <w:rFonts w:hint="eastAsia"/>
        </w:rPr>
      </w:pPr>
    </w:p>
    <w:p w14:paraId="4EA8BB14">
      <w:pPr>
        <w:rPr>
          <w:rFonts w:hint="eastAsia"/>
        </w:rPr>
      </w:pPr>
    </w:p>
    <w:p w14:paraId="3A1DBE4A">
      <w:pPr>
        <w:rPr>
          <w:rFonts w:hint="eastAsia"/>
        </w:rPr>
      </w:pPr>
    </w:p>
    <w:p w14:paraId="2219F66D">
      <w:pPr>
        <w:rPr>
          <w:rFonts w:hint="eastAsia"/>
        </w:rPr>
      </w:pPr>
    </w:p>
    <w:p w14:paraId="590F6965">
      <w:pPr>
        <w:rPr>
          <w:rFonts w:hint="eastAsia"/>
        </w:rPr>
      </w:pPr>
    </w:p>
    <w:p w14:paraId="3F4B3191">
      <w:pPr>
        <w:rPr>
          <w:rFonts w:hint="eastAsia"/>
        </w:rPr>
      </w:pPr>
    </w:p>
    <w:p w14:paraId="42B95467">
      <w:pPr>
        <w:rPr>
          <w:rFonts w:hint="eastAsia"/>
        </w:rPr>
      </w:pPr>
    </w:p>
    <w:p w14:paraId="5AE7CD41">
      <w:pPr>
        <w:spacing w:line="600" w:lineRule="auto"/>
        <w:rPr>
          <w:rFonts w:hint="eastAsia"/>
        </w:rPr>
      </w:pPr>
    </w:p>
    <w:p w14:paraId="09BA2EA7">
      <w:pPr>
        <w:spacing w:line="360" w:lineRule="auto"/>
        <w:jc w:val="center"/>
        <w:rPr>
          <w:rFonts w:hint="eastAsia" w:ascii="黑体" w:hAnsi="黑体" w:eastAsia="黑体" w:cs="黑体"/>
          <w:sz w:val="44"/>
          <w:szCs w:val="44"/>
        </w:rPr>
      </w:pPr>
      <w:r>
        <w:rPr>
          <w:rFonts w:hint="eastAsia" w:ascii="黑体" w:hAnsi="黑体" w:eastAsia="黑体" w:cs="黑体"/>
          <w:sz w:val="44"/>
          <w:szCs w:val="44"/>
        </w:rPr>
        <w:t>中国中小企业协会团体标准</w:t>
      </w:r>
    </w:p>
    <w:p w14:paraId="469C6FB2">
      <w:pPr>
        <w:spacing w:line="360" w:lineRule="auto"/>
        <w:jc w:val="center"/>
        <w:rPr>
          <w:rFonts w:hint="eastAsia" w:ascii="黑体" w:hAnsi="黑体" w:eastAsia="黑体" w:cs="黑体"/>
          <w:sz w:val="44"/>
          <w:szCs w:val="44"/>
        </w:rPr>
      </w:pPr>
    </w:p>
    <w:p w14:paraId="7A75CDE3">
      <w:pPr>
        <w:spacing w:line="360" w:lineRule="auto"/>
        <w:jc w:val="center"/>
        <w:rPr>
          <w:rFonts w:hint="eastAsia" w:ascii="黑体" w:hAnsi="黑体" w:eastAsia="黑体" w:cs="黑体"/>
          <w:sz w:val="44"/>
          <w:szCs w:val="44"/>
        </w:rPr>
      </w:pPr>
      <w:r>
        <w:rPr>
          <w:rFonts w:hint="eastAsia" w:ascii="黑体" w:hAnsi="黑体" w:eastAsia="黑体" w:cs="黑体"/>
          <w:sz w:val="44"/>
          <w:szCs w:val="44"/>
        </w:rPr>
        <w:t>《消费电子 笔记本电脑键</w:t>
      </w:r>
      <w:r>
        <w:rPr>
          <w:rFonts w:hint="eastAsia" w:ascii="黑体" w:hAnsi="黑体" w:eastAsia="黑体" w:cs="黑体"/>
          <w:sz w:val="44"/>
          <w:szCs w:val="44"/>
          <w:lang w:val="en-US" w:eastAsia="zh-CN"/>
        </w:rPr>
        <w:t>盘</w:t>
      </w:r>
      <w:r>
        <w:rPr>
          <w:rFonts w:hint="eastAsia" w:ascii="黑体" w:hAnsi="黑体" w:eastAsia="黑体" w:cs="黑体"/>
          <w:sz w:val="44"/>
          <w:szCs w:val="44"/>
        </w:rPr>
        <w:t>薄膜开关线路板 通用技术条件》</w:t>
      </w:r>
    </w:p>
    <w:p w14:paraId="14686F95">
      <w:pPr>
        <w:jc w:val="center"/>
        <w:rPr>
          <w:rFonts w:hint="eastAsia" w:ascii="黑体" w:hAnsi="黑体" w:eastAsia="黑体" w:cs="黑体"/>
          <w:sz w:val="44"/>
          <w:szCs w:val="44"/>
        </w:rPr>
      </w:pPr>
    </w:p>
    <w:p w14:paraId="058D732F">
      <w:pPr>
        <w:jc w:val="center"/>
        <w:rPr>
          <w:rFonts w:hint="eastAsia" w:ascii="黑体" w:hAnsi="黑体" w:eastAsia="黑体" w:cs="黑体"/>
          <w:sz w:val="44"/>
          <w:szCs w:val="44"/>
        </w:rPr>
      </w:pPr>
      <w:r>
        <w:rPr>
          <w:rFonts w:hint="eastAsia" w:ascii="黑体" w:hAnsi="黑体" w:eastAsia="黑体" w:cs="黑体"/>
          <w:sz w:val="44"/>
          <w:szCs w:val="44"/>
        </w:rPr>
        <w:t>编制说明</w:t>
      </w:r>
    </w:p>
    <w:p w14:paraId="1E889390">
      <w:pPr>
        <w:jc w:val="center"/>
        <w:rPr>
          <w:rFonts w:hint="eastAsia" w:ascii="等线" w:hAnsi="等线" w:eastAsia="等线"/>
          <w:szCs w:val="22"/>
        </w:rPr>
      </w:pPr>
    </w:p>
    <w:p w14:paraId="7891CBB5">
      <w:pPr>
        <w:jc w:val="center"/>
        <w:rPr>
          <w:rFonts w:hint="eastAsia" w:ascii="等线" w:hAnsi="等线" w:eastAsia="等线"/>
          <w:szCs w:val="22"/>
        </w:rPr>
      </w:pPr>
    </w:p>
    <w:p w14:paraId="0C40DB23">
      <w:pPr>
        <w:jc w:val="center"/>
        <w:rPr>
          <w:rFonts w:hint="eastAsia" w:ascii="等线" w:hAnsi="等线" w:eastAsia="等线"/>
          <w:szCs w:val="22"/>
        </w:rPr>
      </w:pPr>
    </w:p>
    <w:p w14:paraId="2F239546">
      <w:pPr>
        <w:jc w:val="center"/>
        <w:rPr>
          <w:rFonts w:hint="eastAsia" w:ascii="等线" w:hAnsi="等线" w:eastAsia="等线"/>
          <w:szCs w:val="22"/>
        </w:rPr>
      </w:pPr>
    </w:p>
    <w:p w14:paraId="032263D1">
      <w:pPr>
        <w:jc w:val="center"/>
        <w:rPr>
          <w:rFonts w:hint="eastAsia" w:ascii="等线" w:hAnsi="等线" w:eastAsia="等线"/>
          <w:szCs w:val="22"/>
        </w:rPr>
      </w:pPr>
    </w:p>
    <w:p w14:paraId="595C040B">
      <w:pPr>
        <w:jc w:val="center"/>
        <w:rPr>
          <w:rFonts w:hint="eastAsia" w:ascii="等线" w:hAnsi="等线" w:eastAsia="等线"/>
          <w:szCs w:val="22"/>
        </w:rPr>
      </w:pPr>
    </w:p>
    <w:p w14:paraId="3A13FFE7">
      <w:pPr>
        <w:jc w:val="center"/>
        <w:rPr>
          <w:rFonts w:hint="eastAsia" w:ascii="等线" w:hAnsi="等线" w:eastAsia="等线"/>
          <w:szCs w:val="22"/>
        </w:rPr>
      </w:pPr>
    </w:p>
    <w:p w14:paraId="2C4D0C99">
      <w:pPr>
        <w:jc w:val="center"/>
        <w:rPr>
          <w:rFonts w:hint="eastAsia" w:ascii="等线" w:hAnsi="等线" w:eastAsia="等线"/>
          <w:szCs w:val="22"/>
        </w:rPr>
      </w:pPr>
    </w:p>
    <w:p w14:paraId="22E90E98">
      <w:pPr>
        <w:jc w:val="center"/>
        <w:rPr>
          <w:rFonts w:hint="eastAsia" w:ascii="等线" w:hAnsi="等线" w:eastAsia="等线"/>
          <w:szCs w:val="22"/>
        </w:rPr>
      </w:pPr>
    </w:p>
    <w:p w14:paraId="61E19BDB">
      <w:pPr>
        <w:jc w:val="center"/>
        <w:rPr>
          <w:rFonts w:hint="eastAsia" w:ascii="等线" w:hAnsi="等线" w:eastAsia="等线"/>
          <w:szCs w:val="22"/>
        </w:rPr>
      </w:pPr>
    </w:p>
    <w:p w14:paraId="27251B11">
      <w:pPr>
        <w:jc w:val="center"/>
        <w:rPr>
          <w:rFonts w:hint="eastAsia" w:ascii="等线" w:hAnsi="等线" w:eastAsia="等线"/>
          <w:szCs w:val="22"/>
        </w:rPr>
      </w:pPr>
    </w:p>
    <w:p w14:paraId="558C3457">
      <w:pPr>
        <w:jc w:val="center"/>
        <w:rPr>
          <w:rFonts w:hint="eastAsia" w:ascii="黑体" w:hAnsi="黑体" w:eastAsia="黑体" w:cs="黑体"/>
          <w:sz w:val="28"/>
          <w:szCs w:val="28"/>
        </w:rPr>
      </w:pPr>
      <w:r>
        <w:rPr>
          <w:rFonts w:hint="eastAsia" w:ascii="黑体" w:hAnsi="黑体" w:eastAsia="黑体" w:cs="黑体"/>
          <w:sz w:val="28"/>
          <w:szCs w:val="28"/>
        </w:rPr>
        <w:t>团体标准起草组</w:t>
      </w:r>
    </w:p>
    <w:p w14:paraId="7EC0CD49">
      <w:pPr>
        <w:jc w:val="center"/>
        <w:rPr>
          <w:rFonts w:hint="eastAsia" w:ascii="黑体" w:hAnsi="黑体" w:eastAsia="黑体" w:cs="黑体"/>
          <w:sz w:val="28"/>
          <w:szCs w:val="28"/>
        </w:rPr>
      </w:pPr>
      <w:r>
        <w:rPr>
          <w:rFonts w:hint="eastAsia" w:ascii="黑体" w:hAnsi="黑体" w:eastAsia="黑体" w:cs="黑体"/>
          <w:sz w:val="28"/>
          <w:szCs w:val="28"/>
        </w:rPr>
        <w:t>二零二五年八月</w:t>
      </w:r>
    </w:p>
    <w:p w14:paraId="45906800">
      <w:pPr>
        <w:rPr>
          <w:rFonts w:hint="eastAsia"/>
        </w:rPr>
      </w:pPr>
    </w:p>
    <w:p w14:paraId="4FF292DA">
      <w:pPr>
        <w:rPr>
          <w:rFonts w:hint="eastAsia"/>
        </w:rPr>
      </w:pPr>
    </w:p>
    <w:p w14:paraId="27F8A0A5">
      <w:pPr>
        <w:rPr>
          <w:rFonts w:hint="eastAsia"/>
        </w:rPr>
      </w:pPr>
    </w:p>
    <w:p w14:paraId="08379F8E">
      <w:pPr>
        <w:rPr>
          <w:rFonts w:hint="eastAsia" w:ascii="宋体" w:hAnsi="宋体" w:cs="宋体"/>
          <w:b/>
          <w:bCs/>
          <w:sz w:val="28"/>
          <w:szCs w:val="28"/>
        </w:rPr>
        <w:sectPr>
          <w:pgSz w:w="11906" w:h="16838"/>
          <w:pgMar w:top="1440" w:right="1800" w:bottom="1440" w:left="1800" w:header="851" w:footer="992" w:gutter="0"/>
          <w:cols w:space="720" w:num="1"/>
          <w:docGrid w:type="lines" w:linePitch="312" w:charSpace="0"/>
        </w:sectPr>
      </w:pPr>
    </w:p>
    <w:p w14:paraId="58F0B43F">
      <w:pPr>
        <w:numPr>
          <w:ilvl w:val="0"/>
          <w:numId w:val="1"/>
        </w:numPr>
        <w:spacing w:line="360" w:lineRule="auto"/>
        <w:ind w:firstLine="0"/>
        <w:jc w:val="left"/>
        <w:rPr>
          <w:rFonts w:hint="eastAsia" w:ascii="宋体" w:hAnsi="宋体"/>
          <w:b/>
          <w:bCs/>
          <w:sz w:val="28"/>
          <w:szCs w:val="28"/>
        </w:rPr>
      </w:pPr>
      <w:r>
        <w:rPr>
          <w:rFonts w:hint="eastAsia" w:ascii="宋体" w:hAnsi="宋体"/>
          <w:b/>
          <w:bCs/>
          <w:sz w:val="28"/>
          <w:szCs w:val="28"/>
        </w:rPr>
        <w:t>工作简况</w:t>
      </w:r>
    </w:p>
    <w:p w14:paraId="253FAE6E">
      <w:pPr>
        <w:ind w:left="420"/>
        <w:rPr>
          <w:rFonts w:hint="eastAsia" w:ascii="宋体" w:hAnsi="宋体" w:cs="宋体"/>
          <w:b/>
          <w:bCs/>
          <w:sz w:val="28"/>
          <w:szCs w:val="28"/>
        </w:rPr>
      </w:pPr>
      <w:r>
        <w:rPr>
          <w:rFonts w:hint="eastAsia" w:ascii="宋体" w:hAnsi="宋体" w:cs="宋体"/>
          <w:b/>
          <w:bCs/>
          <w:sz w:val="28"/>
          <w:szCs w:val="28"/>
        </w:rPr>
        <w:t>（一）任务来源</w:t>
      </w:r>
    </w:p>
    <w:p w14:paraId="171367C3">
      <w:pPr>
        <w:ind w:firstLine="560" w:firstLineChars="200"/>
        <w:rPr>
          <w:rFonts w:hint="eastAsia" w:ascii="宋体" w:hAnsi="宋体" w:cs="宋体"/>
          <w:sz w:val="28"/>
          <w:szCs w:val="28"/>
        </w:rPr>
      </w:pPr>
      <w:r>
        <w:rPr>
          <w:rFonts w:hint="eastAsia" w:ascii="宋体" w:hAnsi="宋体" w:cs="宋体"/>
          <w:sz w:val="28"/>
          <w:szCs w:val="28"/>
        </w:rPr>
        <w:t>为响应市场需求和满足市场产品质量提升需要，依据《中华人民共和国标准化法》，以及《团体标准管理规定》相关规定，江苏传艺科技股份有限公司联合相关单位共同提出《消费电子 笔记本电脑键盘薄膜开关线路板 通用技术条件》团体标准制定计划。</w:t>
      </w:r>
    </w:p>
    <w:p w14:paraId="5E806759">
      <w:pPr>
        <w:ind w:left="420"/>
        <w:rPr>
          <w:rFonts w:hint="eastAsia" w:ascii="宋体" w:hAnsi="宋体" w:cs="宋体"/>
          <w:b/>
          <w:bCs/>
          <w:sz w:val="28"/>
          <w:szCs w:val="28"/>
        </w:rPr>
      </w:pPr>
      <w:r>
        <w:rPr>
          <w:rFonts w:hint="eastAsia" w:ascii="宋体" w:hAnsi="宋体" w:cs="宋体"/>
          <w:b/>
          <w:bCs/>
          <w:sz w:val="28"/>
          <w:szCs w:val="28"/>
        </w:rPr>
        <w:t>（二）制定背景及目的</w:t>
      </w:r>
    </w:p>
    <w:p w14:paraId="6D863906">
      <w:pPr>
        <w:ind w:firstLine="560" w:firstLineChars="200"/>
        <w:rPr>
          <w:rFonts w:hint="eastAsia" w:ascii="宋体" w:hAnsi="宋体" w:cs="宋体"/>
          <w:sz w:val="28"/>
          <w:szCs w:val="28"/>
        </w:rPr>
      </w:pPr>
      <w:r>
        <w:rPr>
          <w:rFonts w:hint="eastAsia" w:ascii="宋体" w:hAnsi="宋体" w:cs="宋体"/>
          <w:sz w:val="28"/>
          <w:szCs w:val="28"/>
        </w:rPr>
        <w:t>在柔性电路板的生产技术已经取得显著进展的基础上，消费电子产品在快速发展，笔记本电脑键盘薄膜开关线路板作为消费电子产品中不可或缺的核心部件，直接决定了键盘的性能、用户体验和设备的整体品质，是现代笔记本电脑设计中至关重要的技术基础。笔记本电脑键盘薄膜开关线路板作为一种柔性电路板，运用丝网印刷技术，按设计好的接点和电路将银浆印刷到聚酯薄膜（即PET薄膜）基材上来制成，具有外形平整、结构简单、成品轻薄、密封性好、使用寿命长的特点。它不仅解决了传统键盘开关的不防水、不防尘、内部电路氧化等问题，还具备良好的柔韧性和耐候性，能够适应不同的设计需求。因此，它成为了笔记本电脑键盘的主流选择，也广泛应用于笔记本电脑、平板电脑、游戏设备、智能家居设备等领域。</w:t>
      </w:r>
    </w:p>
    <w:p w14:paraId="51468820">
      <w:pPr>
        <w:ind w:firstLine="560" w:firstLineChars="200"/>
        <w:rPr>
          <w:rFonts w:hint="eastAsia" w:ascii="宋体" w:hAnsi="宋体" w:cs="宋体"/>
          <w:sz w:val="28"/>
          <w:szCs w:val="28"/>
        </w:rPr>
      </w:pPr>
      <w:r>
        <w:rPr>
          <w:rFonts w:hint="eastAsia" w:ascii="宋体" w:hAnsi="宋体" w:cs="宋体"/>
          <w:sz w:val="28"/>
          <w:szCs w:val="28"/>
        </w:rPr>
        <w:t>笔记本电脑键盘薄膜开关线路板在消费电子领域中占据着极为重要的地位，但市场上相关产品在质量、性能和可靠性方面参差不齐。部分企业由于缺乏明确的生产指导和质量控制标准，使得生产的产品质量难以保证。甚至一些低质量的笔记本电脑键盘薄膜开关线路板可能会出现按键失灵、电路短路、使用寿命短等问题。这些问题不仅损害了消费者的利益，也阻碍了该行业的健康发展，因此制定与笔记本电脑键盘薄膜开关线路板有关的标准变得尤为重要。</w:t>
      </w:r>
    </w:p>
    <w:p w14:paraId="325B6D13">
      <w:pPr>
        <w:ind w:firstLine="560" w:firstLineChars="200"/>
        <w:rPr>
          <w:rFonts w:hint="eastAsia" w:ascii="宋体" w:hAnsi="宋体" w:cs="宋体"/>
          <w:sz w:val="28"/>
          <w:szCs w:val="28"/>
        </w:rPr>
      </w:pPr>
      <w:r>
        <w:rPr>
          <w:rFonts w:hint="eastAsia" w:ascii="宋体" w:hAnsi="宋体" w:cs="宋体"/>
          <w:sz w:val="28"/>
          <w:szCs w:val="28"/>
        </w:rPr>
        <w:t>通过制定《消费电子 笔记本电脑键盘薄膜开关线路板 通用技术条件》团体标准，将明确规范笔记本电脑键盘薄膜开关线路板的生产要求和质量控制，不仅为生产企业提供明确的质量标准和技术指导，也能有效保障产品的生产和使用质量、避免无序竞争和低质量产品对市场的影响。此外标准的制定与发布也为用户提供明确的选择依据和质量保障，市场需求将会逐渐增长，有利于推动企业加大对消费电子中笔记本电脑键盘薄膜开关线路板的研发投入、加速对笔记本电脑键盘薄膜开关线路板的技术创新，这对对促进相关领域的发展具有积极的意义。</w:t>
      </w:r>
    </w:p>
    <w:p w14:paraId="787443A5">
      <w:pPr>
        <w:ind w:left="420"/>
        <w:rPr>
          <w:rFonts w:hint="eastAsia" w:ascii="宋体" w:hAnsi="宋体" w:cs="宋体"/>
          <w:b/>
          <w:bCs/>
          <w:sz w:val="28"/>
          <w:szCs w:val="28"/>
        </w:rPr>
      </w:pPr>
      <w:r>
        <w:rPr>
          <w:rFonts w:hint="eastAsia" w:ascii="宋体" w:hAnsi="宋体" w:cs="宋体"/>
          <w:b/>
          <w:bCs/>
          <w:sz w:val="28"/>
          <w:szCs w:val="28"/>
        </w:rPr>
        <w:t>（三）编制依据</w:t>
      </w:r>
    </w:p>
    <w:p w14:paraId="1F5417AA">
      <w:pPr>
        <w:ind w:firstLine="560" w:firstLineChars="200"/>
        <w:rPr>
          <w:rFonts w:ascii="宋体" w:hAnsi="宋体" w:cs="宋体"/>
          <w:sz w:val="28"/>
          <w:szCs w:val="28"/>
        </w:rPr>
      </w:pPr>
      <w:r>
        <w:rPr>
          <w:rFonts w:hint="eastAsia" w:ascii="宋体" w:hAnsi="宋体" w:cs="宋体"/>
          <w:sz w:val="28"/>
          <w:szCs w:val="28"/>
        </w:rPr>
        <w:t>本标准立足于国家出台的有关线路板制造行业的法律法规、政策文件、相关标准，结合起草单位的实际服务情况，旨在提供一项具有科学导向的笔记本电脑键</w:t>
      </w:r>
      <w:r>
        <w:rPr>
          <w:rFonts w:hint="eastAsia" w:ascii="宋体" w:hAnsi="宋体" w:cs="宋体"/>
          <w:sz w:val="28"/>
          <w:szCs w:val="28"/>
          <w:lang w:val="en-US" w:eastAsia="zh-CN"/>
        </w:rPr>
        <w:t>盘</w:t>
      </w:r>
      <w:r>
        <w:rPr>
          <w:rFonts w:hint="eastAsia" w:ascii="宋体" w:hAnsi="宋体" w:cs="宋体"/>
          <w:sz w:val="28"/>
          <w:szCs w:val="28"/>
        </w:rPr>
        <w:t>薄膜开关线路板标准，按GB/T 1.1-2020《标准化工作导则 第1部分：标准化文件的结构和起草规则》的规定而制定。</w:t>
      </w:r>
    </w:p>
    <w:p w14:paraId="781C9F02">
      <w:pPr>
        <w:ind w:firstLine="560" w:firstLineChars="200"/>
        <w:rPr>
          <w:rFonts w:hint="eastAsia" w:ascii="宋体" w:hAnsi="宋体" w:cs="宋体"/>
          <w:sz w:val="28"/>
          <w:szCs w:val="28"/>
        </w:rPr>
      </w:pPr>
      <w:r>
        <w:rPr>
          <w:rFonts w:hint="eastAsia" w:ascii="宋体" w:hAnsi="宋体" w:cs="宋体"/>
          <w:sz w:val="28"/>
          <w:szCs w:val="28"/>
        </w:rPr>
        <w:t>本标准主要参考了以下标准：</w:t>
      </w:r>
    </w:p>
    <w:p w14:paraId="373CE5CF">
      <w:pPr>
        <w:ind w:firstLine="560" w:firstLineChars="200"/>
        <w:rPr>
          <w:rFonts w:hint="eastAsia" w:ascii="宋体" w:hAnsi="宋体" w:cs="宋体"/>
          <w:sz w:val="28"/>
          <w:szCs w:val="28"/>
        </w:rPr>
      </w:pPr>
      <w:r>
        <w:rPr>
          <w:rFonts w:hint="eastAsia" w:ascii="宋体" w:hAnsi="宋体" w:cs="宋体"/>
          <w:sz w:val="28"/>
          <w:szCs w:val="28"/>
        </w:rPr>
        <w:t>GB/T 191 包装储运图示标志</w:t>
      </w:r>
    </w:p>
    <w:p w14:paraId="3648F909">
      <w:pPr>
        <w:ind w:firstLine="560" w:firstLineChars="200"/>
        <w:rPr>
          <w:rFonts w:hint="eastAsia" w:ascii="宋体" w:hAnsi="宋体" w:cs="宋体"/>
          <w:sz w:val="28"/>
          <w:szCs w:val="28"/>
        </w:rPr>
      </w:pPr>
      <w:r>
        <w:rPr>
          <w:rFonts w:hint="eastAsia" w:ascii="宋体" w:hAnsi="宋体" w:cs="宋体"/>
          <w:sz w:val="28"/>
          <w:szCs w:val="28"/>
        </w:rPr>
        <w:t>GB/T 2036 印制电路术语</w:t>
      </w:r>
    </w:p>
    <w:p w14:paraId="2886A902">
      <w:pPr>
        <w:ind w:firstLine="560" w:firstLineChars="200"/>
        <w:rPr>
          <w:rFonts w:hint="eastAsia" w:ascii="宋体" w:hAnsi="宋体" w:cs="宋体"/>
          <w:sz w:val="28"/>
          <w:szCs w:val="28"/>
        </w:rPr>
      </w:pPr>
      <w:r>
        <w:rPr>
          <w:rFonts w:hint="eastAsia" w:ascii="宋体" w:hAnsi="宋体" w:cs="宋体"/>
          <w:sz w:val="28"/>
          <w:szCs w:val="28"/>
        </w:rPr>
        <w:t>GB/T 2423.17 环境试验 第2部分：试验方法 试验Ka：盐雾</w:t>
      </w:r>
    </w:p>
    <w:p w14:paraId="510E8A4B">
      <w:pPr>
        <w:ind w:firstLine="560" w:firstLineChars="200"/>
        <w:rPr>
          <w:rFonts w:hint="eastAsia" w:ascii="宋体" w:hAnsi="宋体" w:cs="宋体"/>
          <w:sz w:val="28"/>
          <w:szCs w:val="28"/>
        </w:rPr>
      </w:pPr>
      <w:r>
        <w:rPr>
          <w:rFonts w:hint="eastAsia" w:ascii="宋体" w:hAnsi="宋体" w:cs="宋体"/>
          <w:sz w:val="28"/>
          <w:szCs w:val="28"/>
        </w:rPr>
        <w:t>GB/T 2828.1-2012 计数抽样检验程序 第1部分：按接收质量限（AQL）检索的逐批检验抽样计划</w:t>
      </w:r>
    </w:p>
    <w:p w14:paraId="35DC2D8C">
      <w:pPr>
        <w:ind w:firstLine="560" w:firstLineChars="200"/>
        <w:rPr>
          <w:rFonts w:hint="eastAsia" w:ascii="宋体" w:hAnsi="宋体" w:cs="宋体"/>
          <w:sz w:val="28"/>
          <w:szCs w:val="28"/>
        </w:rPr>
      </w:pPr>
      <w:r>
        <w:rPr>
          <w:rFonts w:hint="eastAsia" w:ascii="宋体" w:hAnsi="宋体" w:cs="宋体"/>
          <w:sz w:val="28"/>
          <w:szCs w:val="28"/>
        </w:rPr>
        <w:t>GB/T 4588.3 印制板的设计和使用</w:t>
      </w:r>
    </w:p>
    <w:p w14:paraId="5ACC2694">
      <w:pPr>
        <w:ind w:firstLine="560" w:firstLineChars="200"/>
        <w:rPr>
          <w:rFonts w:hint="eastAsia" w:ascii="宋体" w:hAnsi="宋体" w:cs="宋体"/>
          <w:sz w:val="28"/>
          <w:szCs w:val="28"/>
        </w:rPr>
      </w:pPr>
      <w:r>
        <w:rPr>
          <w:rFonts w:hint="eastAsia" w:ascii="宋体" w:hAnsi="宋体" w:cs="宋体"/>
          <w:sz w:val="28"/>
          <w:szCs w:val="28"/>
        </w:rPr>
        <w:t>GB/T 4677-2002 印制板测试方法</w:t>
      </w:r>
    </w:p>
    <w:p w14:paraId="64F0E9FC">
      <w:pPr>
        <w:ind w:firstLine="560" w:firstLineChars="200"/>
        <w:rPr>
          <w:rFonts w:hint="eastAsia" w:ascii="宋体" w:hAnsi="宋体" w:cs="宋体"/>
          <w:sz w:val="28"/>
          <w:szCs w:val="28"/>
        </w:rPr>
      </w:pPr>
      <w:r>
        <w:rPr>
          <w:rFonts w:hint="eastAsia" w:ascii="宋体" w:hAnsi="宋体" w:cs="宋体"/>
          <w:sz w:val="28"/>
          <w:szCs w:val="28"/>
        </w:rPr>
        <w:t>GB/T 13557-2017 印制电路用挠性覆铜箔材料试验方法</w:t>
      </w:r>
    </w:p>
    <w:p w14:paraId="094D49CF">
      <w:pPr>
        <w:ind w:firstLine="560" w:firstLineChars="200"/>
        <w:rPr>
          <w:rFonts w:hint="eastAsia" w:ascii="宋体" w:hAnsi="宋体" w:cs="宋体"/>
          <w:sz w:val="28"/>
          <w:szCs w:val="28"/>
        </w:rPr>
      </w:pPr>
      <w:r>
        <w:rPr>
          <w:rFonts w:hint="eastAsia" w:ascii="宋体" w:hAnsi="宋体" w:cs="宋体"/>
          <w:sz w:val="28"/>
          <w:szCs w:val="28"/>
        </w:rPr>
        <w:t>GB/T 14515-2019 单、双面挠性印制板分规范</w:t>
      </w:r>
    </w:p>
    <w:p w14:paraId="751534D5">
      <w:pPr>
        <w:ind w:firstLine="560" w:firstLineChars="200"/>
        <w:rPr>
          <w:rFonts w:hint="eastAsia" w:ascii="宋体" w:hAnsi="宋体" w:cs="宋体"/>
          <w:sz w:val="28"/>
          <w:szCs w:val="28"/>
        </w:rPr>
      </w:pPr>
      <w:r>
        <w:rPr>
          <w:rFonts w:hint="eastAsia" w:ascii="宋体" w:hAnsi="宋体" w:cs="宋体"/>
          <w:sz w:val="28"/>
          <w:szCs w:val="28"/>
        </w:rPr>
        <w:t>GB/T 16261 印制板总规范</w:t>
      </w:r>
    </w:p>
    <w:p w14:paraId="4998B6C8">
      <w:pPr>
        <w:ind w:firstLine="560" w:firstLineChars="200"/>
        <w:rPr>
          <w:rFonts w:hint="eastAsia" w:ascii="宋体" w:hAnsi="宋体" w:cs="宋体"/>
          <w:sz w:val="28"/>
          <w:szCs w:val="28"/>
        </w:rPr>
      </w:pPr>
      <w:r>
        <w:rPr>
          <w:rFonts w:hint="eastAsia" w:ascii="宋体" w:hAnsi="宋体" w:cs="宋体"/>
          <w:sz w:val="28"/>
          <w:szCs w:val="28"/>
        </w:rPr>
        <w:t>GB/T 26572 电子电气产品中限用物质的限量要求</w:t>
      </w:r>
    </w:p>
    <w:p w14:paraId="02A8E39D">
      <w:pPr>
        <w:ind w:firstLine="560" w:firstLineChars="200"/>
        <w:rPr>
          <w:rFonts w:hint="eastAsia" w:ascii="宋体" w:hAnsi="宋体" w:cs="宋体"/>
          <w:sz w:val="28"/>
          <w:szCs w:val="28"/>
        </w:rPr>
      </w:pPr>
      <w:r>
        <w:rPr>
          <w:rFonts w:hint="eastAsia" w:ascii="宋体" w:hAnsi="宋体" w:cs="宋体"/>
          <w:sz w:val="28"/>
          <w:szCs w:val="28"/>
        </w:rPr>
        <w:t>GB/T 37876 电子电气产品有害物质限制使用符合性评价通则</w:t>
      </w:r>
    </w:p>
    <w:p w14:paraId="2430A00E">
      <w:pPr>
        <w:ind w:firstLine="560" w:firstLineChars="200"/>
        <w:rPr>
          <w:rFonts w:hint="eastAsia" w:ascii="宋体" w:hAnsi="宋体" w:cs="宋体"/>
          <w:sz w:val="28"/>
          <w:szCs w:val="28"/>
        </w:rPr>
      </w:pPr>
      <w:r>
        <w:rPr>
          <w:rFonts w:hint="eastAsia" w:ascii="宋体" w:hAnsi="宋体" w:cs="宋体"/>
          <w:sz w:val="28"/>
          <w:szCs w:val="28"/>
        </w:rPr>
        <w:t>SJ 20828A 印制板合格鉴定用测试图形和布设总图</w:t>
      </w:r>
    </w:p>
    <w:p w14:paraId="46EB825A">
      <w:pPr>
        <w:ind w:firstLine="560" w:firstLineChars="200"/>
        <w:rPr>
          <w:rFonts w:hint="eastAsia" w:ascii="宋体" w:hAnsi="宋体" w:cs="宋体"/>
          <w:sz w:val="28"/>
          <w:szCs w:val="28"/>
        </w:rPr>
      </w:pPr>
      <w:r>
        <w:rPr>
          <w:rFonts w:hint="eastAsia" w:ascii="宋体" w:hAnsi="宋体" w:cs="宋体"/>
          <w:sz w:val="28"/>
          <w:szCs w:val="28"/>
        </w:rPr>
        <w:t>QJ 519A 印制电路板试验方法</w:t>
      </w:r>
    </w:p>
    <w:p w14:paraId="53F48DC3">
      <w:pPr>
        <w:ind w:left="420"/>
        <w:rPr>
          <w:rFonts w:hint="eastAsia" w:ascii="宋体" w:hAnsi="宋体" w:cs="宋体"/>
          <w:b/>
          <w:bCs/>
          <w:sz w:val="28"/>
          <w:szCs w:val="28"/>
        </w:rPr>
      </w:pPr>
      <w:r>
        <w:rPr>
          <w:rFonts w:hint="eastAsia" w:ascii="宋体" w:hAnsi="宋体" w:cs="宋体"/>
          <w:b/>
          <w:bCs/>
          <w:sz w:val="28"/>
          <w:szCs w:val="28"/>
        </w:rPr>
        <w:t>（四）</w:t>
      </w:r>
      <w:r>
        <w:rPr>
          <w:rFonts w:ascii="宋体" w:hAnsi="宋体" w:cs="宋体"/>
          <w:b/>
          <w:bCs/>
          <w:sz w:val="28"/>
          <w:szCs w:val="28"/>
        </w:rPr>
        <w:t>编制过程</w:t>
      </w:r>
    </w:p>
    <w:p w14:paraId="67EF4E39">
      <w:pPr>
        <w:topLinePunct/>
        <w:spacing w:line="360" w:lineRule="auto"/>
        <w:ind w:firstLine="562" w:firstLineChars="200"/>
        <w:jc w:val="left"/>
        <w:rPr>
          <w:rFonts w:hint="eastAsia" w:ascii="宋体" w:hAnsi="宋体"/>
          <w:b/>
          <w:bCs/>
          <w:sz w:val="28"/>
          <w:szCs w:val="28"/>
        </w:rPr>
      </w:pPr>
      <w:r>
        <w:rPr>
          <w:rFonts w:hint="eastAsia" w:ascii="宋体" w:hAnsi="宋体"/>
          <w:b/>
          <w:bCs/>
          <w:sz w:val="28"/>
          <w:szCs w:val="28"/>
        </w:rPr>
        <w:t>1、项目立项阶段</w:t>
      </w:r>
    </w:p>
    <w:p w14:paraId="6298DF7C">
      <w:pPr>
        <w:topLinePunct/>
        <w:spacing w:line="360" w:lineRule="auto"/>
        <w:ind w:firstLine="560" w:firstLineChars="200"/>
        <w:jc w:val="left"/>
        <w:rPr>
          <w:rFonts w:hint="eastAsia" w:ascii="宋体" w:hAnsi="宋体"/>
          <w:sz w:val="28"/>
          <w:szCs w:val="28"/>
        </w:rPr>
      </w:pPr>
      <w:r>
        <w:rPr>
          <w:rFonts w:hint="eastAsia" w:ascii="宋体" w:hAnsi="宋体" w:cs="宋体"/>
          <w:sz w:val="28"/>
          <w:szCs w:val="28"/>
        </w:rPr>
        <w:t>由江苏传艺科技股份有限公司</w:t>
      </w:r>
      <w:r>
        <w:rPr>
          <w:rFonts w:hint="eastAsia" w:ascii="宋体" w:hAnsi="宋体"/>
          <w:sz w:val="28"/>
          <w:szCs w:val="28"/>
        </w:rPr>
        <w:t>等相关单位的</w:t>
      </w:r>
      <w:r>
        <w:rPr>
          <w:rFonts w:ascii="宋体" w:hAnsi="宋体"/>
          <w:sz w:val="28"/>
          <w:szCs w:val="28"/>
        </w:rPr>
        <w:t>技术人员共同成立了标准起草组，制定了详细的工作方案和实施计划，</w:t>
      </w:r>
      <w:r>
        <w:rPr>
          <w:rFonts w:hint="eastAsia" w:ascii="宋体" w:hAnsi="宋体"/>
          <w:sz w:val="28"/>
          <w:szCs w:val="28"/>
        </w:rPr>
        <w:t>研究分析</w:t>
      </w:r>
      <w:r>
        <w:rPr>
          <w:rFonts w:hint="eastAsia" w:ascii="宋体" w:hAnsi="宋体" w:cs="宋体"/>
          <w:sz w:val="28"/>
          <w:szCs w:val="28"/>
        </w:rPr>
        <w:t>笔记本电脑键盘薄膜开关线路板</w:t>
      </w:r>
      <w:r>
        <w:rPr>
          <w:rFonts w:hint="eastAsia" w:ascii="宋体" w:hAnsi="宋体"/>
          <w:sz w:val="28"/>
          <w:szCs w:val="28"/>
        </w:rPr>
        <w:t>领域标准制修订情况和行业发展现状</w:t>
      </w:r>
      <w:r>
        <w:rPr>
          <w:rFonts w:ascii="宋体" w:hAnsi="宋体"/>
          <w:sz w:val="28"/>
          <w:szCs w:val="28"/>
        </w:rPr>
        <w:t>，在此基础上结合</w:t>
      </w:r>
      <w:r>
        <w:rPr>
          <w:rFonts w:hint="eastAsia" w:ascii="宋体" w:hAnsi="宋体"/>
          <w:sz w:val="28"/>
          <w:szCs w:val="28"/>
        </w:rPr>
        <w:t>起草单位的</w:t>
      </w:r>
      <w:r>
        <w:rPr>
          <w:rFonts w:ascii="宋体" w:hAnsi="宋体"/>
          <w:sz w:val="28"/>
          <w:szCs w:val="28"/>
        </w:rPr>
        <w:t>实际</w:t>
      </w:r>
      <w:r>
        <w:rPr>
          <w:rFonts w:hint="eastAsia" w:ascii="宋体" w:hAnsi="宋体"/>
          <w:sz w:val="28"/>
          <w:szCs w:val="28"/>
        </w:rPr>
        <w:t>作业情况</w:t>
      </w:r>
      <w:r>
        <w:rPr>
          <w:rFonts w:ascii="宋体" w:hAnsi="宋体"/>
          <w:sz w:val="28"/>
          <w:szCs w:val="28"/>
        </w:rPr>
        <w:t>，多次召开内部研讨会议，确定了标准名称</w:t>
      </w:r>
      <w:r>
        <w:rPr>
          <w:rFonts w:hint="eastAsia" w:ascii="宋体" w:hAnsi="宋体"/>
          <w:sz w:val="28"/>
          <w:szCs w:val="28"/>
        </w:rPr>
        <w:t>。并向中国中小企业协会提交了</w:t>
      </w:r>
      <w:r>
        <w:rPr>
          <w:rFonts w:hint="eastAsia" w:ascii="宋体" w:hAnsi="宋体" w:cs="宋体"/>
          <w:sz w:val="28"/>
          <w:szCs w:val="28"/>
        </w:rPr>
        <w:t>《消费电子 笔记本电脑键盘薄膜开关线路板 通用技术条件》团体标准制订申请，</w:t>
      </w:r>
      <w:r>
        <w:rPr>
          <w:rFonts w:ascii="宋体" w:hAnsi="宋体"/>
          <w:sz w:val="28"/>
          <w:szCs w:val="28"/>
        </w:rPr>
        <w:t>完成该项团体标准的立项工作。</w:t>
      </w:r>
    </w:p>
    <w:p w14:paraId="1DC27EC7">
      <w:pPr>
        <w:topLinePunct/>
        <w:spacing w:line="360" w:lineRule="auto"/>
        <w:ind w:firstLine="562" w:firstLineChars="200"/>
        <w:jc w:val="left"/>
        <w:rPr>
          <w:rFonts w:hint="eastAsia" w:ascii="宋体" w:hAnsi="宋体"/>
          <w:b/>
          <w:bCs/>
          <w:sz w:val="28"/>
          <w:szCs w:val="28"/>
        </w:rPr>
      </w:pPr>
      <w:r>
        <w:rPr>
          <w:rFonts w:hint="eastAsia" w:ascii="宋体" w:hAnsi="宋体"/>
          <w:b/>
          <w:bCs/>
          <w:sz w:val="28"/>
          <w:szCs w:val="28"/>
        </w:rPr>
        <w:t>2、理论研究阶段</w:t>
      </w:r>
    </w:p>
    <w:p w14:paraId="49864CE4">
      <w:pPr>
        <w:topLinePunct/>
        <w:spacing w:line="360" w:lineRule="auto"/>
        <w:ind w:firstLine="560" w:firstLineChars="200"/>
        <w:jc w:val="left"/>
        <w:rPr>
          <w:rFonts w:hint="eastAsia" w:ascii="宋体" w:hAnsi="宋体"/>
          <w:sz w:val="28"/>
          <w:szCs w:val="28"/>
        </w:rPr>
      </w:pPr>
      <w:r>
        <w:rPr>
          <w:rFonts w:hint="eastAsia" w:ascii="宋体" w:hAnsi="宋体"/>
          <w:sz w:val="28"/>
          <w:szCs w:val="28"/>
        </w:rPr>
        <w:t>标准起草组广泛搜集相关标准和国外技术资料，进行了大量的研究分析、资料查证工作，确定了标准的制定原则，结合起草单位现有</w:t>
      </w:r>
      <w:r>
        <w:rPr>
          <w:rFonts w:hint="eastAsia" w:ascii="宋体" w:hAnsi="宋体" w:cs="宋体"/>
          <w:sz w:val="28"/>
          <w:szCs w:val="28"/>
        </w:rPr>
        <w:t>笔记本电脑键盘薄膜开关线路板</w:t>
      </w:r>
      <w:r>
        <w:rPr>
          <w:rFonts w:hint="eastAsia" w:ascii="宋体" w:hAnsi="宋体" w:cs="宋体"/>
          <w:sz w:val="28"/>
          <w:szCs w:val="28"/>
          <w:lang w:val="en-US" w:eastAsia="zh-CN"/>
        </w:rPr>
        <w:t>技术研究</w:t>
      </w:r>
      <w:r>
        <w:rPr>
          <w:rFonts w:hint="eastAsia" w:ascii="宋体" w:hAnsi="宋体"/>
          <w:sz w:val="28"/>
          <w:szCs w:val="28"/>
        </w:rPr>
        <w:t>，为标准的起草奠定了基础。</w:t>
      </w:r>
    </w:p>
    <w:p w14:paraId="4040B44C">
      <w:pPr>
        <w:topLinePunct/>
        <w:spacing w:line="360" w:lineRule="auto"/>
        <w:ind w:firstLine="560" w:firstLineChars="200"/>
        <w:jc w:val="left"/>
        <w:rPr>
          <w:rFonts w:hint="eastAsia" w:ascii="宋体" w:hAnsi="宋体"/>
          <w:sz w:val="28"/>
          <w:szCs w:val="28"/>
        </w:rPr>
      </w:pPr>
      <w:r>
        <w:rPr>
          <w:rFonts w:hint="eastAsia" w:ascii="宋体" w:hAnsi="宋体"/>
          <w:sz w:val="28"/>
          <w:szCs w:val="28"/>
        </w:rPr>
        <w:t>标准起草组进一步研讨</w:t>
      </w:r>
      <w:r>
        <w:rPr>
          <w:rFonts w:hint="eastAsia" w:ascii="宋体" w:hAnsi="宋体" w:cs="宋体"/>
          <w:sz w:val="28"/>
          <w:szCs w:val="28"/>
        </w:rPr>
        <w:t>笔记本电脑键盘薄膜开关线路板制造</w:t>
      </w:r>
      <w:r>
        <w:rPr>
          <w:rFonts w:hint="eastAsia" w:ascii="宋体" w:hAnsi="宋体"/>
          <w:sz w:val="28"/>
          <w:szCs w:val="28"/>
        </w:rPr>
        <w:t>过程中的需求和要求，为标准的具体起草指明方向。</w:t>
      </w:r>
    </w:p>
    <w:p w14:paraId="0D51AFEA">
      <w:pPr>
        <w:topLinePunct/>
        <w:spacing w:line="360" w:lineRule="auto"/>
        <w:ind w:firstLine="562" w:firstLineChars="200"/>
        <w:jc w:val="left"/>
        <w:rPr>
          <w:rFonts w:hint="eastAsia" w:ascii="宋体" w:hAnsi="宋体"/>
          <w:sz w:val="28"/>
          <w:szCs w:val="28"/>
        </w:rPr>
      </w:pPr>
      <w:r>
        <w:rPr>
          <w:rFonts w:hint="eastAsia" w:ascii="宋体" w:hAnsi="宋体"/>
          <w:b/>
          <w:bCs/>
          <w:sz w:val="28"/>
          <w:szCs w:val="28"/>
        </w:rPr>
        <w:t>3、</w:t>
      </w:r>
      <w:r>
        <w:rPr>
          <w:rFonts w:ascii="宋体" w:hAnsi="宋体"/>
          <w:b/>
          <w:bCs/>
          <w:sz w:val="28"/>
          <w:szCs w:val="28"/>
        </w:rPr>
        <w:t>标准起草阶段</w:t>
      </w:r>
    </w:p>
    <w:p w14:paraId="11D6517E">
      <w:pPr>
        <w:topLinePunct/>
        <w:spacing w:line="360" w:lineRule="auto"/>
        <w:ind w:firstLine="560" w:firstLineChars="200"/>
        <w:jc w:val="left"/>
        <w:rPr>
          <w:rFonts w:hint="eastAsia" w:ascii="宋体" w:hAnsi="宋体"/>
          <w:sz w:val="28"/>
          <w:szCs w:val="28"/>
        </w:rPr>
      </w:pPr>
      <w:r>
        <w:rPr>
          <w:rFonts w:hint="eastAsia" w:ascii="宋体" w:hAnsi="宋体"/>
          <w:sz w:val="28"/>
          <w:szCs w:val="28"/>
        </w:rPr>
        <w:t>标准起草组通过调研国内外相关标准及工程实践，结合</w:t>
      </w:r>
      <w:r>
        <w:rPr>
          <w:rFonts w:hint="eastAsia" w:ascii="宋体" w:hAnsi="宋体" w:cs="宋体"/>
          <w:sz w:val="28"/>
          <w:szCs w:val="28"/>
        </w:rPr>
        <w:t>笔记本电脑键盘薄膜开关线路板的</w:t>
      </w:r>
      <w:r>
        <w:rPr>
          <w:rFonts w:hint="eastAsia" w:ascii="宋体" w:hAnsi="宋体"/>
          <w:sz w:val="28"/>
          <w:szCs w:val="28"/>
        </w:rPr>
        <w:t>特点和技术要求，拟定标准框架（涵盖技术要求、试验方法、检验规则、标志、包装、运输和贮存）；组织专家团队开展专题研讨，确定质量验收内容编写标准草案条文，明确技术要求（如一般要求、外观、尺寸、物理性能、电性能、环境性能、清洁度、阻燃性和限用物质）、试验方法、检验规则和标志、包装、运输和贮存；同步征求</w:t>
      </w:r>
      <w:r>
        <w:rPr>
          <w:rFonts w:hint="eastAsia" w:ascii="宋体" w:hAnsi="宋体" w:cs="宋体"/>
          <w:sz w:val="28"/>
          <w:szCs w:val="28"/>
        </w:rPr>
        <w:t>笔记本电脑键盘薄膜开关线路板的生产</w:t>
      </w:r>
      <w:r>
        <w:rPr>
          <w:rFonts w:hint="eastAsia" w:ascii="宋体" w:hAnsi="宋体"/>
          <w:sz w:val="28"/>
          <w:szCs w:val="28"/>
        </w:rPr>
        <w:t>企业意见，反复修订完善文本，确保标准的科学性、可操作性和行业适用性，形成了《</w:t>
      </w:r>
      <w:r>
        <w:rPr>
          <w:rFonts w:hint="eastAsia" w:ascii="宋体" w:hAnsi="宋体" w:cs="宋体"/>
          <w:sz w:val="28"/>
          <w:szCs w:val="28"/>
        </w:rPr>
        <w:t>消费电子 笔记本电脑键盘薄膜开关线路板 通用技术条件</w:t>
      </w:r>
      <w:r>
        <w:rPr>
          <w:rFonts w:hint="eastAsia" w:ascii="宋体" w:hAnsi="宋体"/>
          <w:sz w:val="28"/>
          <w:szCs w:val="28"/>
        </w:rPr>
        <w:t>》（标准草案稿）。</w:t>
      </w:r>
    </w:p>
    <w:p w14:paraId="66010C10">
      <w:pPr>
        <w:topLinePunct/>
        <w:spacing w:line="360" w:lineRule="auto"/>
        <w:ind w:firstLine="562" w:firstLineChars="200"/>
        <w:jc w:val="left"/>
        <w:rPr>
          <w:rFonts w:hint="eastAsia" w:ascii="宋体" w:hAnsi="宋体"/>
          <w:b/>
          <w:bCs/>
          <w:sz w:val="28"/>
          <w:szCs w:val="28"/>
        </w:rPr>
      </w:pPr>
      <w:r>
        <w:rPr>
          <w:rFonts w:ascii="宋体" w:hAnsi="宋体"/>
          <w:b/>
          <w:bCs/>
          <w:sz w:val="28"/>
          <w:szCs w:val="28"/>
        </w:rPr>
        <w:t>4、标准征求意见阶段</w:t>
      </w:r>
    </w:p>
    <w:p w14:paraId="5138B1FB">
      <w:pPr>
        <w:topLinePunct/>
        <w:spacing w:line="360" w:lineRule="auto"/>
        <w:ind w:firstLine="560" w:firstLineChars="200"/>
        <w:jc w:val="left"/>
        <w:rPr>
          <w:rFonts w:hint="eastAsia" w:ascii="宋体" w:hAnsi="宋体"/>
          <w:sz w:val="28"/>
          <w:szCs w:val="28"/>
        </w:rPr>
      </w:pPr>
      <w:r>
        <w:rPr>
          <w:rFonts w:hint="eastAsia" w:ascii="宋体" w:hAnsi="宋体"/>
          <w:sz w:val="28"/>
          <w:szCs w:val="28"/>
        </w:rPr>
        <w:t>形成标准草案稿之后，标准起草组召开了多次专家研讨会，从标准框架、标准具体内容等角度广泛征求多方意见，正式形成《</w:t>
      </w:r>
      <w:r>
        <w:rPr>
          <w:rFonts w:hint="eastAsia" w:ascii="宋体" w:hAnsi="宋体" w:cs="宋体"/>
          <w:sz w:val="28"/>
          <w:szCs w:val="28"/>
        </w:rPr>
        <w:t>消费电子 笔记本电脑键盘薄膜开关线路板 通用技术条件</w:t>
      </w:r>
      <w:r>
        <w:rPr>
          <w:rFonts w:hint="eastAsia" w:ascii="宋体" w:hAnsi="宋体"/>
          <w:sz w:val="28"/>
          <w:szCs w:val="28"/>
        </w:rPr>
        <w:t>》（征求意见稿）。形成征求意见稿后，标准起草组通过线上、线下等渠道，面向</w:t>
      </w:r>
      <w:r>
        <w:rPr>
          <w:rFonts w:hint="eastAsia" w:ascii="宋体" w:hAnsi="宋体" w:cs="宋体"/>
          <w:sz w:val="28"/>
          <w:szCs w:val="28"/>
        </w:rPr>
        <w:t>笔记本电脑键盘薄膜开关线路板生产</w:t>
      </w:r>
      <w:r>
        <w:rPr>
          <w:rFonts w:hint="eastAsia" w:ascii="宋体" w:hAnsi="宋体"/>
          <w:sz w:val="28"/>
          <w:szCs w:val="28"/>
        </w:rPr>
        <w:t>企业、行业协会等相关方进行广泛征求意见；同时组织专家论证会，重点研讨技术要求的合理性、适用性和试验方法的可操作性、科学性等核心内容进行深入研讨；对收集的书面意见进行系统汇总、分类整理和逐条分析，由标准起草组研究采纳或回复，对存在争议的条款组织专题论证，形成意见处理汇总表；根据反馈意见对标准内容进行多轮修改完善，确保各方关切得到合理回应，最终形成标准《</w:t>
      </w:r>
      <w:r>
        <w:rPr>
          <w:rFonts w:hint="eastAsia" w:ascii="宋体" w:hAnsi="宋体" w:cs="宋体"/>
          <w:sz w:val="28"/>
          <w:szCs w:val="28"/>
        </w:rPr>
        <w:t>消费电子 笔记本电脑键盘薄膜开关线路板 通用技术条件</w:t>
      </w:r>
      <w:r>
        <w:rPr>
          <w:rFonts w:hint="eastAsia" w:ascii="宋体" w:hAnsi="宋体"/>
          <w:sz w:val="28"/>
          <w:szCs w:val="28"/>
        </w:rPr>
        <w:t>》（送审稿）。</w:t>
      </w:r>
    </w:p>
    <w:p w14:paraId="0710C0CE">
      <w:pPr>
        <w:topLinePunct/>
        <w:spacing w:line="360" w:lineRule="auto"/>
        <w:ind w:firstLine="562" w:firstLineChars="200"/>
        <w:jc w:val="left"/>
        <w:rPr>
          <w:rFonts w:hint="eastAsia" w:ascii="宋体" w:hAnsi="宋体"/>
          <w:b/>
          <w:bCs/>
          <w:sz w:val="28"/>
          <w:szCs w:val="28"/>
        </w:rPr>
      </w:pPr>
      <w:r>
        <w:rPr>
          <w:rFonts w:hint="eastAsia" w:ascii="宋体" w:hAnsi="宋体"/>
          <w:b/>
          <w:bCs/>
          <w:sz w:val="28"/>
          <w:szCs w:val="28"/>
        </w:rPr>
        <w:t>5、专家审核</w:t>
      </w:r>
    </w:p>
    <w:p w14:paraId="28C1516A">
      <w:pPr>
        <w:topLinePunct/>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lang w:val="en-US" w:eastAsia="zh-CN"/>
        </w:rPr>
        <w:t>本标准拟定于</w:t>
      </w:r>
      <w:r>
        <w:rPr>
          <w:rFonts w:hint="eastAsia" w:ascii="宋体" w:hAnsi="宋体"/>
          <w:color w:val="000000"/>
          <w:sz w:val="28"/>
          <w:szCs w:val="28"/>
        </w:rPr>
        <w:t>2025年</w:t>
      </w:r>
      <w:r>
        <w:rPr>
          <w:rFonts w:hint="eastAsia" w:ascii="宋体" w:hAnsi="宋体"/>
          <w:color w:val="000000"/>
          <w:sz w:val="28"/>
          <w:szCs w:val="28"/>
          <w:lang w:val="en-US" w:eastAsia="zh-CN"/>
        </w:rPr>
        <w:t>9</w:t>
      </w:r>
      <w:r>
        <w:rPr>
          <w:rFonts w:hint="eastAsia" w:ascii="宋体" w:hAnsi="宋体"/>
          <w:color w:val="000000"/>
          <w:sz w:val="28"/>
          <w:szCs w:val="28"/>
        </w:rPr>
        <w:t>月</w:t>
      </w:r>
      <w:r>
        <w:rPr>
          <w:rFonts w:hint="eastAsia" w:ascii="宋体" w:hAnsi="宋体"/>
          <w:color w:val="000000"/>
          <w:sz w:val="28"/>
          <w:szCs w:val="28"/>
          <w:lang w:val="en-US" w:eastAsia="zh-CN"/>
        </w:rPr>
        <w:t>进行专家审核</w:t>
      </w:r>
      <w:r>
        <w:rPr>
          <w:rFonts w:hint="eastAsia" w:ascii="宋体" w:hAnsi="宋体"/>
          <w:color w:val="000000"/>
          <w:sz w:val="28"/>
          <w:szCs w:val="28"/>
        </w:rPr>
        <w:t>。</w:t>
      </w:r>
    </w:p>
    <w:p w14:paraId="1B5D1A4A">
      <w:pPr>
        <w:topLinePunct/>
        <w:spacing w:line="360" w:lineRule="auto"/>
        <w:ind w:firstLine="562" w:firstLineChars="200"/>
        <w:jc w:val="left"/>
        <w:rPr>
          <w:rFonts w:hint="eastAsia" w:ascii="宋体" w:hAnsi="宋体"/>
          <w:b/>
          <w:bCs/>
          <w:color w:val="000000"/>
          <w:sz w:val="28"/>
          <w:szCs w:val="28"/>
        </w:rPr>
      </w:pPr>
      <w:r>
        <w:rPr>
          <w:rFonts w:hint="eastAsia" w:ascii="宋体" w:hAnsi="宋体"/>
          <w:b/>
          <w:bCs/>
          <w:color w:val="000000"/>
          <w:sz w:val="28"/>
          <w:szCs w:val="28"/>
        </w:rPr>
        <w:t>6、发布</w:t>
      </w:r>
    </w:p>
    <w:p w14:paraId="5DC646FF">
      <w:pPr>
        <w:topLinePunct/>
        <w:spacing w:line="360" w:lineRule="auto"/>
        <w:ind w:firstLine="560" w:firstLineChars="200"/>
        <w:jc w:val="left"/>
        <w:rPr>
          <w:rFonts w:hint="eastAsia" w:ascii="宋体" w:hAnsi="宋体"/>
          <w:color w:val="FF0000"/>
          <w:sz w:val="28"/>
          <w:szCs w:val="28"/>
        </w:rPr>
      </w:pPr>
      <w:r>
        <w:rPr>
          <w:rFonts w:hint="eastAsia" w:ascii="宋体" w:hAnsi="宋体"/>
          <w:color w:val="000000"/>
          <w:sz w:val="28"/>
          <w:szCs w:val="28"/>
        </w:rPr>
        <w:t>本标准拟定于</w:t>
      </w:r>
      <w:r>
        <w:rPr>
          <w:rFonts w:ascii="宋体" w:hAnsi="宋体"/>
          <w:color w:val="000000"/>
          <w:sz w:val="28"/>
          <w:szCs w:val="28"/>
        </w:rPr>
        <w:t>202</w:t>
      </w:r>
      <w:r>
        <w:rPr>
          <w:rFonts w:hint="eastAsia" w:ascii="宋体" w:hAnsi="宋体"/>
          <w:color w:val="000000"/>
          <w:sz w:val="28"/>
          <w:szCs w:val="28"/>
        </w:rPr>
        <w:t>5年9月发布并实施</w:t>
      </w:r>
      <w:r>
        <w:rPr>
          <w:rFonts w:hint="eastAsia" w:ascii="宋体" w:hAnsi="宋体"/>
          <w:sz w:val="28"/>
          <w:szCs w:val="28"/>
        </w:rPr>
        <w:t>。</w:t>
      </w:r>
    </w:p>
    <w:p w14:paraId="1A9E94BB">
      <w:pPr>
        <w:ind w:left="420"/>
        <w:rPr>
          <w:rFonts w:hint="eastAsia" w:ascii="宋体" w:hAnsi="宋体" w:cs="宋体"/>
          <w:b/>
          <w:bCs/>
          <w:sz w:val="28"/>
          <w:szCs w:val="28"/>
        </w:rPr>
      </w:pPr>
      <w:r>
        <w:rPr>
          <w:rFonts w:hint="eastAsia" w:ascii="宋体" w:hAnsi="宋体" w:cs="宋体"/>
          <w:b/>
          <w:bCs/>
          <w:sz w:val="28"/>
          <w:szCs w:val="28"/>
        </w:rPr>
        <w:t>（五）主要起草单位及起草人所做的工作</w:t>
      </w:r>
    </w:p>
    <w:p w14:paraId="50BC9995">
      <w:pPr>
        <w:topLinePunct/>
        <w:spacing w:line="360" w:lineRule="auto"/>
        <w:ind w:firstLine="562" w:firstLineChars="200"/>
        <w:jc w:val="left"/>
        <w:rPr>
          <w:rFonts w:hint="eastAsia" w:ascii="宋体" w:hAnsi="宋体"/>
          <w:b/>
          <w:bCs/>
          <w:sz w:val="28"/>
          <w:szCs w:val="28"/>
        </w:rPr>
      </w:pPr>
      <w:r>
        <w:rPr>
          <w:rFonts w:hint="eastAsia" w:ascii="宋体" w:hAnsi="宋体"/>
          <w:b/>
          <w:bCs/>
          <w:sz w:val="28"/>
          <w:szCs w:val="28"/>
        </w:rPr>
        <w:t>1、主要起草单位</w:t>
      </w:r>
    </w:p>
    <w:p w14:paraId="6E5CC630">
      <w:pPr>
        <w:topLinePunct/>
        <w:spacing w:line="360" w:lineRule="auto"/>
        <w:ind w:firstLine="560" w:firstLineChars="200"/>
        <w:jc w:val="left"/>
        <w:rPr>
          <w:rFonts w:hint="eastAsia" w:ascii="宋体" w:hAnsi="宋体" w:cs="宋体"/>
          <w:sz w:val="28"/>
          <w:szCs w:val="28"/>
        </w:rPr>
      </w:pPr>
      <w:r>
        <w:rPr>
          <w:rFonts w:hint="eastAsia" w:ascii="宋体" w:hAnsi="宋体"/>
          <w:color w:val="000000"/>
          <w:sz w:val="28"/>
          <w:szCs w:val="28"/>
        </w:rPr>
        <w:t>江苏传艺科技股份有限公司、纵坐标（江苏）标准技术服务有限公司</w:t>
      </w:r>
      <w:r>
        <w:rPr>
          <w:rFonts w:hint="eastAsia" w:ascii="宋体" w:hAnsi="宋体"/>
          <w:color w:val="000000"/>
          <w:sz w:val="28"/>
          <w:szCs w:val="28"/>
          <w:lang w:eastAsia="zh-CN"/>
        </w:rPr>
        <w:t>、扬州弘思百佳科技有限公司</w:t>
      </w:r>
      <w:r>
        <w:rPr>
          <w:rFonts w:hint="eastAsia" w:ascii="宋体" w:hAnsi="宋体"/>
          <w:sz w:val="28"/>
          <w:szCs w:val="28"/>
        </w:rPr>
        <w:t>。</w:t>
      </w:r>
    </w:p>
    <w:p w14:paraId="782C1034">
      <w:pPr>
        <w:topLinePunct/>
        <w:spacing w:line="360" w:lineRule="auto"/>
        <w:ind w:firstLine="562" w:firstLineChars="200"/>
        <w:jc w:val="left"/>
        <w:rPr>
          <w:rFonts w:hint="eastAsia" w:ascii="宋体" w:hAnsi="宋体"/>
          <w:b/>
          <w:bCs/>
          <w:sz w:val="28"/>
          <w:szCs w:val="28"/>
        </w:rPr>
      </w:pPr>
      <w:r>
        <w:rPr>
          <w:rFonts w:ascii="宋体" w:hAnsi="宋体"/>
          <w:b/>
          <w:bCs/>
          <w:sz w:val="28"/>
          <w:szCs w:val="28"/>
        </w:rPr>
        <w:t>2</w:t>
      </w:r>
      <w:r>
        <w:rPr>
          <w:rFonts w:hint="eastAsia" w:ascii="宋体" w:hAnsi="宋体"/>
          <w:b/>
          <w:bCs/>
          <w:sz w:val="28"/>
          <w:szCs w:val="28"/>
        </w:rPr>
        <w:t>、工作内容</w:t>
      </w:r>
    </w:p>
    <w:p w14:paraId="4D7682F7">
      <w:pPr>
        <w:topLinePunct/>
        <w:spacing w:line="360" w:lineRule="auto"/>
        <w:ind w:firstLine="560" w:firstLineChars="200"/>
        <w:jc w:val="left"/>
        <w:rPr>
          <w:rFonts w:hint="eastAsia" w:ascii="宋体" w:hAnsi="宋体"/>
          <w:sz w:val="28"/>
          <w:szCs w:val="28"/>
        </w:rPr>
      </w:pPr>
      <w:r>
        <w:rPr>
          <w:rFonts w:hint="eastAsia" w:ascii="宋体" w:hAnsi="宋体"/>
          <w:sz w:val="28"/>
          <w:szCs w:val="28"/>
        </w:rPr>
        <w:t>（1）</w:t>
      </w:r>
      <w:r>
        <w:rPr>
          <w:rFonts w:hint="eastAsia" w:ascii="宋体" w:hAnsi="宋体"/>
          <w:color w:val="000000"/>
          <w:sz w:val="28"/>
          <w:szCs w:val="28"/>
        </w:rPr>
        <w:t>江苏传艺科技股份有限公司</w:t>
      </w:r>
      <w:r>
        <w:rPr>
          <w:rFonts w:hint="eastAsia" w:ascii="宋体" w:hAnsi="宋体"/>
          <w:sz w:val="28"/>
          <w:szCs w:val="28"/>
        </w:rPr>
        <w:t>主要负责标准制定过程的协调工作；负责标准制定工作，资料查询、标准正文及编制说明、标准草案起草、方法验证等工作。</w:t>
      </w:r>
    </w:p>
    <w:p w14:paraId="568B231B">
      <w:pPr>
        <w:topLinePunct/>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（2）</w:t>
      </w:r>
      <w:r>
        <w:rPr>
          <w:rFonts w:hint="eastAsia" w:ascii="宋体" w:hAnsi="宋体"/>
          <w:color w:val="000000"/>
          <w:sz w:val="28"/>
          <w:szCs w:val="28"/>
          <w:highlight w:val="none"/>
        </w:rPr>
        <w:t>纵坐标（江苏）标准技术服务有限公司、扬州弘思百佳科技有限公司</w:t>
      </w:r>
      <w:r>
        <w:rPr>
          <w:rFonts w:hint="eastAsia" w:ascii="宋体" w:hAnsi="宋体"/>
          <w:sz w:val="28"/>
          <w:szCs w:val="28"/>
          <w:highlight w:val="none"/>
        </w:rPr>
        <w:t>主要参与资料查询、标准正文草案修改、方法验证等。</w:t>
      </w:r>
    </w:p>
    <w:p w14:paraId="32CEB9CC">
      <w:pPr>
        <w:numPr>
          <w:ilvl w:val="0"/>
          <w:numId w:val="1"/>
        </w:numPr>
        <w:ind w:firstLine="0"/>
        <w:rPr>
          <w:rFonts w:hint="eastAsia" w:ascii="宋体" w:hAnsi="宋体" w:cs="宋体"/>
          <w:b/>
          <w:bCs/>
          <w:sz w:val="28"/>
          <w:szCs w:val="28"/>
        </w:rPr>
      </w:pPr>
      <w:r>
        <w:rPr>
          <w:rFonts w:hint="eastAsia" w:ascii="宋体" w:hAnsi="宋体" w:cs="宋体"/>
          <w:b/>
          <w:bCs/>
          <w:sz w:val="28"/>
          <w:szCs w:val="28"/>
        </w:rPr>
        <w:t>标准编制原则</w:t>
      </w:r>
    </w:p>
    <w:p w14:paraId="3FBA8BAB">
      <w:pPr>
        <w:ind w:left="420"/>
        <w:rPr>
          <w:rFonts w:hint="eastAsia" w:ascii="宋体" w:hAnsi="宋体" w:cs="宋体"/>
          <w:b/>
          <w:bCs/>
          <w:sz w:val="28"/>
          <w:szCs w:val="28"/>
        </w:rPr>
      </w:pPr>
      <w:r>
        <w:rPr>
          <w:rFonts w:hint="eastAsia" w:ascii="宋体" w:hAnsi="宋体" w:cs="宋体"/>
          <w:b/>
          <w:bCs/>
          <w:sz w:val="28"/>
          <w:szCs w:val="28"/>
        </w:rPr>
        <w:t>（一）标准编制原则</w:t>
      </w:r>
    </w:p>
    <w:p w14:paraId="728D00AD">
      <w:pPr>
        <w:ind w:firstLine="560" w:firstLineChars="200"/>
        <w:rPr>
          <w:rFonts w:hint="eastAsia" w:ascii="宋体" w:hAnsi="宋体" w:cs="宋体"/>
          <w:sz w:val="28"/>
          <w:szCs w:val="28"/>
        </w:rPr>
      </w:pPr>
      <w:r>
        <w:rPr>
          <w:rFonts w:hint="eastAsia" w:ascii="宋体" w:hAnsi="宋体" w:cs="宋体"/>
          <w:sz w:val="28"/>
          <w:szCs w:val="28"/>
        </w:rPr>
        <w:t>本标准按照 GB/T 1.1《标准化工作导则 第1部分：标准化文件的结构和起草规则》的规定编写。为使本标准具有先进性、适时性和实用性，且同时满足公开、透明、公平和公正要求，标准起草组严格按照以下原则进行工作：</w:t>
      </w:r>
    </w:p>
    <w:p w14:paraId="265FD9B8">
      <w:pPr>
        <w:ind w:firstLine="560" w:firstLineChars="200"/>
        <w:rPr>
          <w:rFonts w:hint="eastAsia" w:ascii="宋体" w:hAnsi="宋体" w:cs="宋体"/>
          <w:sz w:val="28"/>
          <w:szCs w:val="28"/>
        </w:rPr>
      </w:pPr>
      <w:r>
        <w:rPr>
          <w:rFonts w:hint="eastAsia" w:ascii="宋体" w:hAnsi="宋体" w:cs="宋体"/>
          <w:sz w:val="28"/>
          <w:szCs w:val="28"/>
        </w:rPr>
        <w:t>1、标准的科学性、协调性和一致性；</w:t>
      </w:r>
    </w:p>
    <w:p w14:paraId="46303ED6">
      <w:pPr>
        <w:ind w:firstLine="560" w:firstLineChars="200"/>
        <w:rPr>
          <w:rFonts w:hint="eastAsia" w:ascii="宋体" w:hAnsi="宋体" w:cs="宋体"/>
          <w:sz w:val="28"/>
          <w:szCs w:val="28"/>
        </w:rPr>
      </w:pPr>
      <w:r>
        <w:rPr>
          <w:rFonts w:hint="eastAsia" w:ascii="宋体" w:hAnsi="宋体" w:cs="宋体"/>
          <w:sz w:val="28"/>
          <w:szCs w:val="28"/>
        </w:rPr>
        <w:t>2、标准实施中的适用性、规范性和可操作性。</w:t>
      </w:r>
    </w:p>
    <w:p w14:paraId="43E76D29">
      <w:pPr>
        <w:ind w:left="420"/>
        <w:rPr>
          <w:rFonts w:hint="eastAsia" w:ascii="宋体" w:hAnsi="宋体" w:cs="宋体"/>
          <w:b/>
          <w:bCs/>
          <w:sz w:val="28"/>
          <w:szCs w:val="28"/>
        </w:rPr>
      </w:pPr>
      <w:r>
        <w:rPr>
          <w:rFonts w:hint="eastAsia" w:ascii="宋体" w:hAnsi="宋体" w:cs="宋体"/>
          <w:b/>
          <w:bCs/>
          <w:sz w:val="28"/>
          <w:szCs w:val="28"/>
        </w:rPr>
        <w:t xml:space="preserve">（二）标准主要技术内容 </w:t>
      </w:r>
    </w:p>
    <w:p w14:paraId="20539A6F">
      <w:pPr>
        <w:ind w:firstLine="560" w:firstLineChars="200"/>
        <w:rPr>
          <w:rFonts w:hint="eastAsia" w:ascii="宋体" w:hAnsi="宋体" w:cs="宋体"/>
          <w:b/>
          <w:bCs/>
          <w:sz w:val="28"/>
          <w:szCs w:val="28"/>
        </w:rPr>
      </w:pPr>
      <w:r>
        <w:rPr>
          <w:rFonts w:hint="eastAsia" w:ascii="宋体" w:hAnsi="宋体" w:cs="宋体"/>
          <w:sz w:val="28"/>
          <w:szCs w:val="28"/>
        </w:rPr>
        <w:t>本标准征求意见稿包括7个章节，主要内容如下：</w:t>
      </w:r>
    </w:p>
    <w:p w14:paraId="42585450">
      <w:pPr>
        <w:ind w:firstLine="562" w:firstLineChars="200"/>
        <w:rPr>
          <w:rFonts w:ascii="宋体" w:hAnsi="宋体" w:cs="宋体"/>
          <w:b/>
          <w:bCs/>
          <w:sz w:val="28"/>
          <w:szCs w:val="28"/>
        </w:rPr>
      </w:pPr>
      <w:r>
        <w:rPr>
          <w:rFonts w:hint="eastAsia" w:ascii="宋体" w:hAnsi="宋体" w:cs="宋体"/>
          <w:b/>
          <w:bCs/>
          <w:sz w:val="28"/>
          <w:szCs w:val="28"/>
        </w:rPr>
        <w:t>1、范围</w:t>
      </w:r>
    </w:p>
    <w:p w14:paraId="03F5F590">
      <w:pPr>
        <w:ind w:firstLine="560" w:firstLineChars="200"/>
        <w:rPr>
          <w:rFonts w:hint="eastAsia" w:ascii="宋体" w:hAnsi="宋体" w:cs="宋体"/>
          <w:sz w:val="28"/>
          <w:szCs w:val="28"/>
        </w:rPr>
      </w:pPr>
      <w:r>
        <w:rPr>
          <w:rFonts w:hint="eastAsia" w:ascii="宋体" w:hAnsi="宋体" w:cs="宋体"/>
          <w:sz w:val="28"/>
          <w:szCs w:val="28"/>
        </w:rPr>
        <w:t>本文件规定了笔记本电脑键盘薄膜开关线路板的技术要求、试验方法、检验规则、标志、包装、运输和贮存。</w:t>
      </w:r>
    </w:p>
    <w:p w14:paraId="1D095993">
      <w:pPr>
        <w:ind w:firstLine="560" w:firstLineChars="200"/>
        <w:rPr>
          <w:rFonts w:hint="eastAsia" w:ascii="宋体" w:hAnsi="宋体" w:cs="宋体"/>
          <w:sz w:val="28"/>
          <w:szCs w:val="28"/>
        </w:rPr>
      </w:pPr>
      <w:r>
        <w:rPr>
          <w:rFonts w:hint="eastAsia" w:ascii="宋体" w:hAnsi="宋体" w:cs="宋体"/>
          <w:sz w:val="28"/>
          <w:szCs w:val="28"/>
        </w:rPr>
        <w:t>本文件适用笔记本电脑键盘薄膜开关线路板的设计、生产和检验。</w:t>
      </w:r>
    </w:p>
    <w:p w14:paraId="3A56E6AF">
      <w:pPr>
        <w:ind w:firstLine="562" w:firstLineChars="200"/>
        <w:rPr>
          <w:rFonts w:hint="eastAsia" w:ascii="宋体" w:hAnsi="宋体" w:cs="宋体"/>
          <w:b/>
          <w:bCs/>
          <w:sz w:val="28"/>
          <w:szCs w:val="28"/>
        </w:rPr>
      </w:pPr>
      <w:r>
        <w:rPr>
          <w:rFonts w:hint="eastAsia" w:ascii="宋体" w:hAnsi="宋体" w:cs="宋体"/>
          <w:b/>
          <w:bCs/>
          <w:sz w:val="28"/>
          <w:szCs w:val="28"/>
        </w:rPr>
        <w:t>2、规范性引用文件</w:t>
      </w:r>
    </w:p>
    <w:p w14:paraId="48257C96">
      <w:pPr>
        <w:ind w:firstLine="560" w:firstLineChars="200"/>
        <w:rPr>
          <w:rFonts w:hint="eastAsia" w:ascii="宋体" w:hAnsi="宋体" w:cs="宋体"/>
          <w:sz w:val="28"/>
          <w:szCs w:val="28"/>
        </w:rPr>
      </w:pPr>
      <w:r>
        <w:rPr>
          <w:rFonts w:hint="eastAsia" w:ascii="宋体" w:hAnsi="宋体" w:cs="宋体"/>
          <w:sz w:val="28"/>
          <w:szCs w:val="28"/>
        </w:rPr>
        <w:t>GB/T 191 包装储运图示标志</w:t>
      </w:r>
    </w:p>
    <w:p w14:paraId="61297024">
      <w:pPr>
        <w:ind w:firstLine="560" w:firstLineChars="200"/>
        <w:rPr>
          <w:rFonts w:hint="eastAsia" w:ascii="宋体" w:hAnsi="宋体" w:cs="宋体"/>
          <w:sz w:val="28"/>
          <w:szCs w:val="28"/>
        </w:rPr>
      </w:pPr>
      <w:r>
        <w:rPr>
          <w:rFonts w:hint="eastAsia" w:ascii="宋体" w:hAnsi="宋体" w:cs="宋体"/>
          <w:sz w:val="28"/>
          <w:szCs w:val="28"/>
        </w:rPr>
        <w:t>GB/T 2036 印制电路术语</w:t>
      </w:r>
    </w:p>
    <w:p w14:paraId="0DBFF344">
      <w:pPr>
        <w:ind w:firstLine="560" w:firstLineChars="200"/>
        <w:rPr>
          <w:rFonts w:hint="eastAsia" w:ascii="宋体" w:hAnsi="宋体" w:cs="宋体"/>
          <w:sz w:val="28"/>
          <w:szCs w:val="28"/>
        </w:rPr>
      </w:pPr>
      <w:r>
        <w:rPr>
          <w:rFonts w:hint="eastAsia" w:ascii="宋体" w:hAnsi="宋体" w:cs="宋体"/>
          <w:sz w:val="28"/>
          <w:szCs w:val="28"/>
        </w:rPr>
        <w:t>GB/T 2423.17 环境试验 第2部分：试验方法 试验Ka：盐雾</w:t>
      </w:r>
    </w:p>
    <w:p w14:paraId="17E4378B">
      <w:pPr>
        <w:ind w:firstLine="560" w:firstLineChars="200"/>
        <w:rPr>
          <w:rFonts w:hint="eastAsia" w:ascii="宋体" w:hAnsi="宋体" w:cs="宋体"/>
          <w:sz w:val="28"/>
          <w:szCs w:val="28"/>
        </w:rPr>
      </w:pPr>
      <w:r>
        <w:rPr>
          <w:rFonts w:hint="eastAsia" w:ascii="宋体" w:hAnsi="宋体" w:cs="宋体"/>
          <w:sz w:val="28"/>
          <w:szCs w:val="28"/>
        </w:rPr>
        <w:t>GB/T 2828.1-2012 计数抽样检验程序 第1部分：按接收质量限（AQL）检索的逐批检验抽样计划</w:t>
      </w:r>
    </w:p>
    <w:p w14:paraId="2933A00C">
      <w:pPr>
        <w:ind w:firstLine="560" w:firstLineChars="200"/>
        <w:rPr>
          <w:rFonts w:hint="eastAsia" w:ascii="宋体" w:hAnsi="宋体" w:cs="宋体"/>
          <w:sz w:val="28"/>
          <w:szCs w:val="28"/>
        </w:rPr>
      </w:pPr>
      <w:r>
        <w:rPr>
          <w:rFonts w:hint="eastAsia" w:ascii="宋体" w:hAnsi="宋体" w:cs="宋体"/>
          <w:sz w:val="28"/>
          <w:szCs w:val="28"/>
        </w:rPr>
        <w:t>GB/T 4588.3 印制板的设计和使用</w:t>
      </w:r>
    </w:p>
    <w:p w14:paraId="3C8FA9F3">
      <w:pPr>
        <w:ind w:firstLine="560" w:firstLineChars="200"/>
        <w:rPr>
          <w:rFonts w:hint="eastAsia" w:ascii="宋体" w:hAnsi="宋体" w:cs="宋体"/>
          <w:sz w:val="28"/>
          <w:szCs w:val="28"/>
        </w:rPr>
      </w:pPr>
      <w:r>
        <w:rPr>
          <w:rFonts w:hint="eastAsia" w:ascii="宋体" w:hAnsi="宋体" w:cs="宋体"/>
          <w:sz w:val="28"/>
          <w:szCs w:val="28"/>
        </w:rPr>
        <w:t>GB/T 4677-2002 印制板测试方法</w:t>
      </w:r>
    </w:p>
    <w:p w14:paraId="6E77B4F4">
      <w:pPr>
        <w:ind w:firstLine="560" w:firstLineChars="200"/>
        <w:rPr>
          <w:rFonts w:hint="eastAsia" w:ascii="宋体" w:hAnsi="宋体" w:cs="宋体"/>
          <w:sz w:val="28"/>
          <w:szCs w:val="28"/>
        </w:rPr>
      </w:pPr>
      <w:r>
        <w:rPr>
          <w:rFonts w:hint="eastAsia" w:ascii="宋体" w:hAnsi="宋体" w:cs="宋体"/>
          <w:sz w:val="28"/>
          <w:szCs w:val="28"/>
        </w:rPr>
        <w:t>GB/T 13557-2017 印制电路用挠性覆铜箔材料试验方法</w:t>
      </w:r>
    </w:p>
    <w:p w14:paraId="0165E124">
      <w:pPr>
        <w:ind w:firstLine="560" w:firstLineChars="200"/>
        <w:rPr>
          <w:rFonts w:hint="eastAsia" w:ascii="宋体" w:hAnsi="宋体" w:cs="宋体"/>
          <w:sz w:val="28"/>
          <w:szCs w:val="28"/>
        </w:rPr>
      </w:pPr>
      <w:r>
        <w:rPr>
          <w:rFonts w:hint="eastAsia" w:ascii="宋体" w:hAnsi="宋体" w:cs="宋体"/>
          <w:sz w:val="28"/>
          <w:szCs w:val="28"/>
        </w:rPr>
        <w:t>GB/T 14515-2019 单、双面挠性印制板分规范</w:t>
      </w:r>
    </w:p>
    <w:p w14:paraId="3C7AD627">
      <w:pPr>
        <w:ind w:firstLine="560" w:firstLineChars="200"/>
        <w:rPr>
          <w:rFonts w:hint="eastAsia" w:ascii="宋体" w:hAnsi="宋体" w:cs="宋体"/>
          <w:sz w:val="28"/>
          <w:szCs w:val="28"/>
        </w:rPr>
      </w:pPr>
      <w:r>
        <w:rPr>
          <w:rFonts w:hint="eastAsia" w:ascii="宋体" w:hAnsi="宋体" w:cs="宋体"/>
          <w:sz w:val="28"/>
          <w:szCs w:val="28"/>
        </w:rPr>
        <w:t>GB/T 16261 印制板总规范</w:t>
      </w:r>
    </w:p>
    <w:p w14:paraId="4F767939">
      <w:pPr>
        <w:ind w:firstLine="560" w:firstLineChars="200"/>
        <w:rPr>
          <w:rFonts w:hint="eastAsia" w:ascii="宋体" w:hAnsi="宋体" w:cs="宋体"/>
          <w:sz w:val="28"/>
          <w:szCs w:val="28"/>
        </w:rPr>
      </w:pPr>
      <w:r>
        <w:rPr>
          <w:rFonts w:hint="eastAsia" w:ascii="宋体" w:hAnsi="宋体" w:cs="宋体"/>
          <w:sz w:val="28"/>
          <w:szCs w:val="28"/>
        </w:rPr>
        <w:t>GB/T 26572 电子电气产品中限用物质的限量要求</w:t>
      </w:r>
    </w:p>
    <w:p w14:paraId="0F1569F5">
      <w:pPr>
        <w:ind w:firstLine="560" w:firstLineChars="200"/>
        <w:rPr>
          <w:rFonts w:hint="eastAsia" w:ascii="宋体" w:hAnsi="宋体" w:cs="宋体"/>
          <w:sz w:val="28"/>
          <w:szCs w:val="28"/>
        </w:rPr>
      </w:pPr>
      <w:r>
        <w:rPr>
          <w:rFonts w:hint="eastAsia" w:ascii="宋体" w:hAnsi="宋体" w:cs="宋体"/>
          <w:sz w:val="28"/>
          <w:szCs w:val="28"/>
        </w:rPr>
        <w:t>GB/T 37876 电子电气产品有害物质限制使用符合性评价通则</w:t>
      </w:r>
    </w:p>
    <w:p w14:paraId="438EA535">
      <w:pPr>
        <w:ind w:firstLine="560" w:firstLineChars="200"/>
        <w:rPr>
          <w:rFonts w:hint="eastAsia" w:ascii="宋体" w:hAnsi="宋体" w:cs="宋体"/>
          <w:sz w:val="28"/>
          <w:szCs w:val="28"/>
        </w:rPr>
      </w:pPr>
      <w:r>
        <w:rPr>
          <w:rFonts w:hint="eastAsia" w:ascii="宋体" w:hAnsi="宋体" w:cs="宋体"/>
          <w:sz w:val="28"/>
          <w:szCs w:val="28"/>
        </w:rPr>
        <w:t>SJ 20828A 印制板合格鉴定用测试图形和布设总图</w:t>
      </w:r>
    </w:p>
    <w:p w14:paraId="5203CC96">
      <w:pPr>
        <w:ind w:firstLine="560" w:firstLineChars="200"/>
        <w:rPr>
          <w:rFonts w:hint="eastAsia" w:ascii="宋体" w:hAnsi="宋体" w:cs="宋体"/>
          <w:sz w:val="28"/>
          <w:szCs w:val="28"/>
        </w:rPr>
      </w:pPr>
      <w:r>
        <w:rPr>
          <w:rFonts w:hint="eastAsia" w:ascii="宋体" w:hAnsi="宋体" w:cs="宋体"/>
          <w:sz w:val="28"/>
          <w:szCs w:val="28"/>
        </w:rPr>
        <w:t>QJ 519A 印制电路板试验方法</w:t>
      </w:r>
      <w:r>
        <w:rPr>
          <w:rFonts w:hint="eastAsia" w:ascii="宋体" w:hAnsi="宋体" w:cs="宋体"/>
          <w:sz w:val="28"/>
          <w:szCs w:val="28"/>
        </w:rPr>
        <w:tab/>
      </w:r>
    </w:p>
    <w:p w14:paraId="76CC7F2A">
      <w:pPr>
        <w:ind w:firstLine="562" w:firstLineChars="200"/>
        <w:rPr>
          <w:rFonts w:hint="eastAsia" w:ascii="宋体" w:hAnsi="宋体" w:cs="宋体"/>
          <w:b/>
          <w:bCs/>
          <w:sz w:val="28"/>
          <w:szCs w:val="28"/>
        </w:rPr>
      </w:pPr>
      <w:r>
        <w:rPr>
          <w:rFonts w:hint="eastAsia" w:ascii="宋体" w:hAnsi="宋体" w:cs="宋体"/>
          <w:b/>
          <w:bCs/>
          <w:sz w:val="28"/>
          <w:szCs w:val="28"/>
        </w:rPr>
        <w:t>3、术语和定义</w:t>
      </w:r>
    </w:p>
    <w:p w14:paraId="1E3764F2">
      <w:pPr>
        <w:ind w:firstLine="560" w:firstLineChars="200"/>
        <w:rPr>
          <w:rFonts w:hint="eastAsia" w:ascii="宋体" w:hAnsi="宋体" w:cs="宋体"/>
          <w:sz w:val="28"/>
          <w:szCs w:val="28"/>
        </w:rPr>
      </w:pPr>
      <w:r>
        <w:rPr>
          <w:rFonts w:hint="eastAsia" w:ascii="宋体" w:hAnsi="宋体" w:cs="宋体"/>
          <w:sz w:val="28"/>
          <w:szCs w:val="28"/>
        </w:rPr>
        <w:t>对“笔记本电脑键薄膜开关线路板”进行了界定。</w:t>
      </w:r>
    </w:p>
    <w:p w14:paraId="4E2866F6">
      <w:pPr>
        <w:ind w:firstLine="562" w:firstLineChars="200"/>
        <w:rPr>
          <w:rFonts w:ascii="宋体" w:hAnsi="宋体" w:cs="宋体"/>
          <w:b/>
          <w:bCs/>
          <w:sz w:val="28"/>
          <w:szCs w:val="28"/>
        </w:rPr>
      </w:pPr>
      <w:r>
        <w:rPr>
          <w:rFonts w:hint="eastAsia" w:ascii="宋体" w:hAnsi="宋体" w:cs="宋体"/>
          <w:b/>
          <w:bCs/>
          <w:sz w:val="28"/>
          <w:szCs w:val="28"/>
        </w:rPr>
        <w:t>4、技术要求</w:t>
      </w:r>
    </w:p>
    <w:p w14:paraId="7F02DD68">
      <w:pPr>
        <w:ind w:firstLine="560" w:firstLineChars="200"/>
        <w:rPr>
          <w:rFonts w:ascii="宋体" w:hAnsi="宋体" w:cs="宋体"/>
          <w:sz w:val="28"/>
          <w:szCs w:val="28"/>
        </w:rPr>
      </w:pPr>
      <w:r>
        <w:rPr>
          <w:rFonts w:hint="eastAsia" w:ascii="宋体" w:hAnsi="宋体" w:cs="宋体"/>
          <w:sz w:val="28"/>
          <w:szCs w:val="28"/>
        </w:rPr>
        <w:t>主要对笔记本电脑键</w:t>
      </w:r>
      <w:r>
        <w:rPr>
          <w:rFonts w:hint="eastAsia" w:ascii="宋体" w:hAnsi="宋体" w:cs="宋体"/>
          <w:sz w:val="28"/>
          <w:szCs w:val="28"/>
          <w:lang w:val="en-US" w:eastAsia="zh-CN"/>
        </w:rPr>
        <w:t>盘</w:t>
      </w:r>
      <w:r>
        <w:rPr>
          <w:rFonts w:hint="eastAsia" w:ascii="宋体" w:hAnsi="宋体" w:cs="宋体"/>
          <w:sz w:val="28"/>
          <w:szCs w:val="28"/>
        </w:rPr>
        <w:t>薄膜开关线路板的</w:t>
      </w:r>
      <w:r>
        <w:rPr>
          <w:rFonts w:hint="eastAsia" w:ascii="宋体" w:hAnsi="宋体"/>
          <w:sz w:val="28"/>
          <w:szCs w:val="28"/>
        </w:rPr>
        <w:t>一般要求、外观、尺寸、物理性能、电性能、环境性能、清洁度、阻燃性和限用物质</w:t>
      </w:r>
      <w:r>
        <w:rPr>
          <w:rFonts w:hint="eastAsia" w:ascii="宋体" w:hAnsi="宋体" w:cs="宋体"/>
          <w:sz w:val="28"/>
          <w:szCs w:val="28"/>
        </w:rPr>
        <w:t>进行了规定。</w:t>
      </w:r>
    </w:p>
    <w:p w14:paraId="2BF4CA28">
      <w:pPr>
        <w:ind w:firstLine="562" w:firstLineChars="200"/>
        <w:rPr>
          <w:rFonts w:hint="eastAsia" w:ascii="宋体" w:hAnsi="宋体" w:cs="宋体"/>
          <w:b/>
          <w:bCs/>
          <w:sz w:val="28"/>
          <w:szCs w:val="28"/>
        </w:rPr>
      </w:pPr>
      <w:r>
        <w:rPr>
          <w:rFonts w:hint="eastAsia" w:ascii="宋体" w:hAnsi="宋体" w:cs="宋体"/>
          <w:b/>
          <w:bCs/>
          <w:sz w:val="28"/>
          <w:szCs w:val="28"/>
        </w:rPr>
        <w:t>5、试验方法</w:t>
      </w:r>
    </w:p>
    <w:p w14:paraId="68FC1F3E">
      <w:pPr>
        <w:ind w:firstLine="560" w:firstLineChars="200"/>
        <w:rPr>
          <w:rFonts w:ascii="宋体" w:hAnsi="宋体" w:cs="宋体"/>
          <w:sz w:val="28"/>
          <w:szCs w:val="28"/>
        </w:rPr>
      </w:pPr>
      <w:r>
        <w:rPr>
          <w:rFonts w:hint="eastAsia" w:ascii="宋体" w:hAnsi="宋体" w:cs="宋体"/>
          <w:sz w:val="28"/>
          <w:szCs w:val="28"/>
        </w:rPr>
        <w:t>主要对笔记本电脑键盘薄膜开关线路板的技术要求中各项目对应的试验方法进行了规定。</w:t>
      </w:r>
    </w:p>
    <w:p w14:paraId="2B478F00">
      <w:pPr>
        <w:ind w:firstLine="562" w:firstLineChars="200"/>
        <w:rPr>
          <w:rFonts w:ascii="宋体" w:hAnsi="宋体" w:cs="宋体"/>
          <w:b/>
          <w:bCs/>
          <w:sz w:val="28"/>
          <w:szCs w:val="28"/>
        </w:rPr>
      </w:pPr>
      <w:r>
        <w:rPr>
          <w:rFonts w:hint="eastAsia" w:ascii="宋体" w:hAnsi="宋体" w:cs="宋体"/>
          <w:b/>
          <w:bCs/>
          <w:sz w:val="28"/>
          <w:szCs w:val="28"/>
        </w:rPr>
        <w:t>6、检验规则</w:t>
      </w:r>
    </w:p>
    <w:p w14:paraId="7345C80A">
      <w:pPr>
        <w:ind w:firstLine="560" w:firstLineChars="200"/>
        <w:rPr>
          <w:rFonts w:hint="eastAsia" w:ascii="宋体" w:hAnsi="宋体" w:cs="宋体"/>
          <w:sz w:val="28"/>
          <w:szCs w:val="28"/>
        </w:rPr>
      </w:pPr>
      <w:r>
        <w:rPr>
          <w:rFonts w:hint="eastAsia" w:ascii="宋体" w:hAnsi="宋体" w:cs="宋体"/>
          <w:sz w:val="28"/>
          <w:szCs w:val="28"/>
        </w:rPr>
        <w:t>主要对笔记本电脑键盘薄膜开关线路板的检验规则进行了规定。包括出厂检验和型式检验。</w:t>
      </w:r>
    </w:p>
    <w:p w14:paraId="57182E0E">
      <w:pPr>
        <w:ind w:firstLine="562" w:firstLineChars="200"/>
        <w:rPr>
          <w:rFonts w:ascii="宋体" w:hAnsi="宋体" w:cs="宋体"/>
          <w:b/>
          <w:bCs/>
          <w:sz w:val="28"/>
          <w:szCs w:val="28"/>
        </w:rPr>
      </w:pPr>
      <w:r>
        <w:rPr>
          <w:rFonts w:hint="eastAsia" w:ascii="宋体" w:hAnsi="宋体" w:cs="宋体"/>
          <w:b/>
          <w:bCs/>
          <w:sz w:val="28"/>
          <w:szCs w:val="28"/>
        </w:rPr>
        <w:t>7、标志、包装、运输和贮存</w:t>
      </w:r>
    </w:p>
    <w:p w14:paraId="55ABA3D4">
      <w:pPr>
        <w:ind w:firstLine="560" w:firstLineChars="200"/>
        <w:rPr>
          <w:rFonts w:hint="eastAsia" w:ascii="宋体" w:hAnsi="宋体" w:cs="宋体"/>
          <w:sz w:val="28"/>
          <w:szCs w:val="28"/>
        </w:rPr>
      </w:pPr>
      <w:r>
        <w:rPr>
          <w:rFonts w:hint="eastAsia" w:ascii="宋体" w:hAnsi="宋体" w:cs="宋体"/>
          <w:sz w:val="28"/>
          <w:szCs w:val="28"/>
        </w:rPr>
        <w:t>主要对笔记本电脑键薄膜开关线路板的标志、包装、运输和贮存进行了规定。</w:t>
      </w:r>
    </w:p>
    <w:p w14:paraId="34B8E691">
      <w:pPr>
        <w:numPr>
          <w:ilvl w:val="0"/>
          <w:numId w:val="1"/>
        </w:numPr>
        <w:ind w:firstLine="0"/>
        <w:rPr>
          <w:rFonts w:ascii="宋体" w:hAnsi="宋体" w:cs="宋体"/>
          <w:sz w:val="28"/>
          <w:szCs w:val="28"/>
        </w:rPr>
      </w:pPr>
      <w:r>
        <w:rPr>
          <w:rFonts w:hint="eastAsia" w:ascii="宋体" w:hAnsi="宋体" w:cs="宋体"/>
          <w:b/>
          <w:bCs/>
          <w:sz w:val="28"/>
          <w:szCs w:val="28"/>
        </w:rPr>
        <w:t>主要试验（或验证）情况分析</w:t>
      </w:r>
    </w:p>
    <w:p w14:paraId="34720764">
      <w:pPr>
        <w:ind w:firstLine="560" w:firstLineChars="200"/>
        <w:rPr>
          <w:rFonts w:hint="eastAsia" w:ascii="宋体" w:hAnsi="宋体" w:cs="宋体"/>
          <w:sz w:val="28"/>
          <w:szCs w:val="28"/>
        </w:rPr>
      </w:pPr>
      <w:r>
        <w:rPr>
          <w:rFonts w:hint="eastAsia" w:ascii="宋体" w:hAnsi="宋体" w:cs="宋体"/>
          <w:sz w:val="28"/>
          <w:szCs w:val="28"/>
        </w:rPr>
        <w:t>在《消费电子 笔记本电脑键盘薄膜开关线路板 通用技术条件》的编制过程中，主要围绕技术要求的合理性、适应性和试验方法的可操作性开展了系统性验证工作。通过查阅相关文献资料和相关标准，收集整理了不同生产企业的笔记本电脑键盘薄膜开关线路板生产和检验过程、方法资料，并结合行业调研和专家论证，对技术要求和试验方法进行实践检验，确保技术要求和试验方法的科学、合理，有效提升笔记本电脑键盘薄膜开关线路板生产和检验过程中的规范性和统一性。</w:t>
      </w:r>
    </w:p>
    <w:p w14:paraId="15926272">
      <w:pPr>
        <w:numPr>
          <w:ilvl w:val="0"/>
          <w:numId w:val="1"/>
        </w:numPr>
        <w:ind w:firstLine="0"/>
        <w:rPr>
          <w:rFonts w:ascii="宋体" w:hAnsi="宋体" w:cs="宋体"/>
          <w:b/>
          <w:bCs/>
          <w:sz w:val="28"/>
          <w:szCs w:val="28"/>
        </w:rPr>
      </w:pPr>
      <w:r>
        <w:rPr>
          <w:rFonts w:hint="eastAsia" w:ascii="宋体" w:hAnsi="宋体" w:cs="宋体"/>
          <w:b/>
          <w:bCs/>
          <w:sz w:val="28"/>
          <w:szCs w:val="28"/>
        </w:rPr>
        <w:t>标准中涉及专利情况</w:t>
      </w:r>
    </w:p>
    <w:p w14:paraId="2BD75E19">
      <w:pPr>
        <w:ind w:firstLine="560" w:firstLineChars="200"/>
        <w:rPr>
          <w:rFonts w:hint="eastAsia" w:ascii="宋体" w:hAnsi="宋体" w:cs="宋体"/>
          <w:sz w:val="28"/>
          <w:szCs w:val="28"/>
        </w:rPr>
      </w:pPr>
      <w:r>
        <w:rPr>
          <w:rFonts w:hint="eastAsia" w:ascii="宋体" w:hAnsi="宋体" w:cs="宋体"/>
          <w:sz w:val="28"/>
          <w:szCs w:val="28"/>
        </w:rPr>
        <w:t>本标准不涉及专利。</w:t>
      </w:r>
    </w:p>
    <w:p w14:paraId="00419EC8">
      <w:pPr>
        <w:numPr>
          <w:ilvl w:val="0"/>
          <w:numId w:val="1"/>
        </w:numPr>
        <w:ind w:firstLine="0"/>
        <w:rPr>
          <w:rFonts w:ascii="宋体" w:hAnsi="宋体" w:cs="宋体"/>
          <w:b/>
          <w:bCs/>
          <w:sz w:val="28"/>
          <w:szCs w:val="28"/>
        </w:rPr>
      </w:pPr>
      <w:r>
        <w:rPr>
          <w:rFonts w:hint="eastAsia" w:ascii="宋体" w:hAnsi="宋体" w:cs="宋体"/>
          <w:b/>
          <w:bCs/>
          <w:sz w:val="28"/>
          <w:szCs w:val="28"/>
        </w:rPr>
        <w:t>预期达到的效益（经济、效益、生态等），对产业发展的作用的情况</w:t>
      </w:r>
    </w:p>
    <w:p w14:paraId="70750CE2">
      <w:pPr>
        <w:ind w:firstLine="560" w:firstLineChars="200"/>
        <w:rPr>
          <w:rFonts w:hint="eastAsia" w:ascii="宋体" w:hAnsi="宋体" w:cs="宋体"/>
          <w:sz w:val="28"/>
          <w:szCs w:val="28"/>
        </w:rPr>
      </w:pPr>
      <w:r>
        <w:rPr>
          <w:rFonts w:hint="eastAsia" w:ascii="宋体" w:hAnsi="宋体" w:cs="宋体"/>
          <w:sz w:val="28"/>
          <w:szCs w:val="28"/>
        </w:rPr>
        <w:t>通过本标准为规范笔记本电脑键盘薄膜开关线路板的生产和检验提供了科学的指导，可以有效提升笔记本电脑键盘薄膜开关线路板的生产质量，减少产品在使用过程中发生的质量问题，并提高生产过程中笔记本电脑键盘薄膜开关线路板的性能和可靠性，满足生产企业对产品的质量需求，有利于推动相关企业加大对消费电子中笔记本电脑键薄膜开关线路板产业的研发投入、加速对笔记本电脑键薄膜开关线路板的技术创新。</w:t>
      </w:r>
    </w:p>
    <w:p w14:paraId="557C3D14">
      <w:pPr>
        <w:numPr>
          <w:ilvl w:val="0"/>
          <w:numId w:val="1"/>
        </w:numPr>
        <w:rPr>
          <w:rFonts w:hint="eastAsia" w:ascii="宋体" w:hAnsi="宋体" w:cs="宋体"/>
          <w:b/>
          <w:bCs/>
          <w:sz w:val="28"/>
          <w:szCs w:val="28"/>
        </w:rPr>
      </w:pPr>
      <w:r>
        <w:rPr>
          <w:rFonts w:hint="eastAsia" w:ascii="宋体" w:hAnsi="宋体" w:cs="宋体"/>
          <w:b/>
          <w:bCs/>
          <w:sz w:val="28"/>
          <w:szCs w:val="28"/>
        </w:rPr>
        <w:t>在标准体系中的位置，与现行相关法律法规、规章及相关标准，特别是强制性标准的协调性</w:t>
      </w:r>
    </w:p>
    <w:p w14:paraId="1A3FFD9D">
      <w:pPr>
        <w:ind w:firstLine="560" w:firstLineChars="200"/>
        <w:rPr>
          <w:rFonts w:hint="eastAsia" w:ascii="宋体" w:hAnsi="宋体" w:cs="宋体"/>
          <w:sz w:val="28"/>
          <w:szCs w:val="28"/>
        </w:rPr>
      </w:pPr>
      <w:r>
        <w:rPr>
          <w:rFonts w:hint="eastAsia" w:ascii="宋体" w:hAnsi="宋体" w:cs="宋体"/>
          <w:sz w:val="28"/>
          <w:szCs w:val="28"/>
        </w:rPr>
        <w:t>符合现行相关法律法规、规章及相关标准，与强制性标准协调一致。</w:t>
      </w:r>
    </w:p>
    <w:p w14:paraId="23F11F3E">
      <w:pPr>
        <w:numPr>
          <w:ilvl w:val="0"/>
          <w:numId w:val="1"/>
        </w:numPr>
        <w:rPr>
          <w:rFonts w:hint="eastAsia" w:ascii="宋体" w:hAnsi="宋体" w:cs="宋体"/>
          <w:b/>
          <w:bCs/>
          <w:sz w:val="28"/>
          <w:szCs w:val="28"/>
        </w:rPr>
      </w:pPr>
      <w:r>
        <w:rPr>
          <w:rFonts w:hint="eastAsia" w:ascii="宋体" w:hAnsi="宋体" w:cs="宋体"/>
          <w:b/>
          <w:bCs/>
          <w:sz w:val="28"/>
          <w:szCs w:val="28"/>
        </w:rPr>
        <w:t>重大分歧意见的处理经过和依据</w:t>
      </w:r>
    </w:p>
    <w:p w14:paraId="744851A1">
      <w:pPr>
        <w:ind w:firstLine="560" w:firstLineChars="200"/>
        <w:rPr>
          <w:rFonts w:hint="eastAsia" w:ascii="宋体" w:hAnsi="宋体" w:cs="宋体"/>
          <w:sz w:val="28"/>
          <w:szCs w:val="28"/>
        </w:rPr>
      </w:pPr>
      <w:r>
        <w:rPr>
          <w:rFonts w:hint="eastAsia" w:ascii="宋体" w:hAnsi="宋体" w:cs="宋体"/>
          <w:sz w:val="28"/>
          <w:szCs w:val="28"/>
        </w:rPr>
        <w:t>无。</w:t>
      </w:r>
    </w:p>
    <w:p w14:paraId="157091F7">
      <w:pPr>
        <w:numPr>
          <w:ilvl w:val="0"/>
          <w:numId w:val="1"/>
        </w:numPr>
        <w:rPr>
          <w:rFonts w:hint="eastAsia" w:ascii="宋体" w:hAnsi="宋体" w:cs="宋体"/>
          <w:b/>
          <w:bCs/>
          <w:sz w:val="28"/>
          <w:szCs w:val="28"/>
        </w:rPr>
      </w:pPr>
      <w:r>
        <w:rPr>
          <w:rFonts w:hint="eastAsia" w:ascii="宋体" w:hAnsi="宋体" w:cs="宋体"/>
          <w:b/>
          <w:bCs/>
          <w:sz w:val="28"/>
          <w:szCs w:val="28"/>
        </w:rPr>
        <w:t>标准性质的建议说明</w:t>
      </w:r>
    </w:p>
    <w:p w14:paraId="1A9C699B">
      <w:pPr>
        <w:ind w:firstLine="560" w:firstLineChars="200"/>
        <w:rPr>
          <w:rFonts w:hint="eastAsia" w:ascii="宋体" w:hAnsi="宋体" w:cs="宋体"/>
          <w:sz w:val="28"/>
          <w:szCs w:val="28"/>
        </w:rPr>
      </w:pPr>
      <w:r>
        <w:rPr>
          <w:rFonts w:hint="eastAsia" w:ascii="宋体" w:hAnsi="宋体" w:cs="宋体"/>
          <w:sz w:val="28"/>
          <w:szCs w:val="28"/>
        </w:rPr>
        <w:t>本标准为团体标准，供社会各界自愿使用。</w:t>
      </w:r>
    </w:p>
    <w:p w14:paraId="7D8C0D9C">
      <w:pPr>
        <w:numPr>
          <w:ilvl w:val="0"/>
          <w:numId w:val="1"/>
        </w:numPr>
        <w:rPr>
          <w:rFonts w:hint="eastAsia" w:ascii="宋体" w:hAnsi="宋体" w:cs="宋体"/>
          <w:b/>
          <w:bCs/>
          <w:sz w:val="28"/>
          <w:szCs w:val="28"/>
        </w:rPr>
      </w:pPr>
      <w:r>
        <w:rPr>
          <w:rFonts w:hint="eastAsia" w:ascii="宋体" w:hAnsi="宋体" w:cs="宋体"/>
          <w:b/>
          <w:bCs/>
          <w:sz w:val="28"/>
          <w:szCs w:val="28"/>
        </w:rPr>
        <w:t>贯彻标准的要求和措施建议</w:t>
      </w:r>
    </w:p>
    <w:p w14:paraId="00F3239E">
      <w:pPr>
        <w:ind w:firstLine="560" w:firstLineChars="200"/>
        <w:rPr>
          <w:rFonts w:hint="eastAsia" w:ascii="宋体" w:hAnsi="宋体" w:cs="宋体"/>
          <w:sz w:val="28"/>
          <w:szCs w:val="28"/>
        </w:rPr>
      </w:pPr>
      <w:r>
        <w:rPr>
          <w:rFonts w:hint="eastAsia" w:ascii="宋体" w:hAnsi="宋体" w:cs="宋体"/>
          <w:sz w:val="28"/>
          <w:szCs w:val="28"/>
        </w:rPr>
        <w:t>标准发布后，应向相关企业进行宣传、贯彻，推荐此标准。标准编制小组定期与相关企业进行交流和征求意见，关注标准的实施效果，注重实施信息和反馈意见的收集、梳理、研究，以此促进标准的有效实施，确保标准的适宜性和有效性。</w:t>
      </w:r>
    </w:p>
    <w:p w14:paraId="0AAA2750">
      <w:pPr>
        <w:numPr>
          <w:ilvl w:val="0"/>
          <w:numId w:val="1"/>
        </w:numPr>
        <w:rPr>
          <w:rFonts w:hint="eastAsia" w:ascii="宋体" w:hAnsi="宋体" w:cs="宋体"/>
          <w:b/>
          <w:bCs/>
          <w:sz w:val="28"/>
          <w:szCs w:val="28"/>
        </w:rPr>
      </w:pPr>
      <w:r>
        <w:rPr>
          <w:rFonts w:hint="eastAsia" w:ascii="宋体" w:hAnsi="宋体" w:cs="宋体"/>
          <w:b/>
          <w:bCs/>
          <w:sz w:val="28"/>
          <w:szCs w:val="28"/>
        </w:rPr>
        <w:t>废止现行相关标准的建议</w:t>
      </w:r>
      <w:bookmarkStart w:id="0" w:name="_GoBack"/>
      <w:bookmarkEnd w:id="0"/>
    </w:p>
    <w:p w14:paraId="3CB2E368">
      <w:pPr>
        <w:ind w:firstLine="560" w:firstLineChars="200"/>
        <w:rPr>
          <w:rFonts w:hint="eastAsia" w:ascii="宋体" w:hAnsi="宋体" w:cs="宋体"/>
          <w:sz w:val="28"/>
          <w:szCs w:val="28"/>
        </w:rPr>
      </w:pPr>
      <w:r>
        <w:rPr>
          <w:rFonts w:hint="eastAsia" w:ascii="宋体" w:hAnsi="宋体" w:cs="宋体"/>
          <w:sz w:val="28"/>
          <w:szCs w:val="28"/>
        </w:rPr>
        <w:t>本标准首次发布。</w:t>
      </w:r>
    </w:p>
    <w:p w14:paraId="35CAECBA">
      <w:pPr>
        <w:numPr>
          <w:ilvl w:val="0"/>
          <w:numId w:val="1"/>
        </w:numPr>
        <w:rPr>
          <w:rFonts w:hint="eastAsia" w:ascii="宋体" w:hAnsi="宋体" w:cs="宋体"/>
          <w:b/>
          <w:bCs/>
          <w:sz w:val="28"/>
          <w:szCs w:val="28"/>
        </w:rPr>
      </w:pPr>
      <w:r>
        <w:rPr>
          <w:rFonts w:hint="eastAsia" w:ascii="宋体" w:hAnsi="宋体" w:cs="宋体"/>
          <w:b/>
          <w:bCs/>
          <w:sz w:val="28"/>
          <w:szCs w:val="28"/>
        </w:rPr>
        <w:t>其他应予说明的事项</w:t>
      </w:r>
    </w:p>
    <w:p w14:paraId="44E878EE">
      <w:pPr>
        <w:ind w:firstLine="560" w:firstLineChars="200"/>
        <w:rPr>
          <w:rFonts w:hint="eastAsia" w:ascii="宋体" w:hAnsi="宋体" w:cs="宋体"/>
          <w:sz w:val="28"/>
          <w:szCs w:val="28"/>
        </w:rPr>
      </w:pPr>
      <w:r>
        <w:rPr>
          <w:rFonts w:hint="eastAsia" w:ascii="宋体" w:hAnsi="宋体" w:cs="宋体"/>
          <w:sz w:val="28"/>
          <w:szCs w:val="28"/>
        </w:rPr>
        <w:t>无。</w:t>
      </w:r>
    </w:p>
    <w:p w14:paraId="257428BD">
      <w:pPr>
        <w:jc w:val="right"/>
        <w:rPr>
          <w:rFonts w:hint="eastAsia" w:ascii="宋体" w:hAnsi="宋体" w:cs="宋体"/>
          <w:color w:val="333333"/>
          <w:sz w:val="28"/>
          <w:szCs w:val="28"/>
          <w:shd w:val="clear" w:color="auto" w:fill="FFFFFF"/>
        </w:rPr>
      </w:pPr>
      <w:r>
        <w:rPr>
          <w:rFonts w:hint="eastAsia" w:ascii="宋体" w:hAnsi="宋体" w:cs="宋体"/>
          <w:sz w:val="28"/>
          <w:szCs w:val="28"/>
        </w:rPr>
        <w:t>《消费电子 笔记本电脑键盘薄膜开关线路板 通用技术条件》团体标准</w:t>
      </w:r>
      <w:r>
        <w:rPr>
          <w:rFonts w:hint="eastAsia" w:ascii="宋体" w:hAnsi="宋体" w:cs="宋体"/>
          <w:color w:val="333333"/>
          <w:sz w:val="28"/>
          <w:szCs w:val="28"/>
          <w:shd w:val="clear" w:color="auto" w:fill="FFFFFF"/>
        </w:rPr>
        <w:t>起草组</w:t>
      </w:r>
    </w:p>
    <w:p w14:paraId="744BB22C">
      <w:pPr>
        <w:jc w:val="right"/>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二零二五年</w:t>
      </w:r>
      <w:r>
        <w:rPr>
          <w:rFonts w:hint="eastAsia" w:ascii="宋体" w:hAnsi="宋体" w:cs="宋体"/>
          <w:color w:val="333333"/>
          <w:sz w:val="28"/>
          <w:szCs w:val="28"/>
          <w:shd w:val="clear" w:color="auto" w:fill="FFFFFF"/>
          <w:lang w:val="en-US" w:eastAsia="zh-CN"/>
        </w:rPr>
        <w:t>八</w:t>
      </w:r>
      <w:r>
        <w:rPr>
          <w:rFonts w:hint="eastAsia" w:ascii="宋体" w:hAnsi="宋体" w:cs="宋体"/>
          <w:color w:val="333333"/>
          <w:sz w:val="28"/>
          <w:szCs w:val="28"/>
          <w:shd w:val="clear" w:color="auto" w:fill="FFFFFF"/>
        </w:rPr>
        <w:t>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6E200"/>
    <w:multiLevelType w:val="singleLevel"/>
    <w:tmpl w:val="8A66E200"/>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zM4ZWM2YWJkMjFhM2M1YmVmNzk0ZDM4M2ExMWQifQ=="/>
  </w:docVars>
  <w:rsids>
    <w:rsidRoot w:val="00316F48"/>
    <w:rsid w:val="000052F8"/>
    <w:rsid w:val="000171C1"/>
    <w:rsid w:val="00057272"/>
    <w:rsid w:val="000740C9"/>
    <w:rsid w:val="00076FCE"/>
    <w:rsid w:val="000B6FD1"/>
    <w:rsid w:val="000B7FE6"/>
    <w:rsid w:val="000E418A"/>
    <w:rsid w:val="00124BC2"/>
    <w:rsid w:val="00133A79"/>
    <w:rsid w:val="00153CD8"/>
    <w:rsid w:val="0016191F"/>
    <w:rsid w:val="001658BE"/>
    <w:rsid w:val="0019430A"/>
    <w:rsid w:val="001B0CEC"/>
    <w:rsid w:val="001C26D9"/>
    <w:rsid w:val="001C59FF"/>
    <w:rsid w:val="001E4604"/>
    <w:rsid w:val="00214473"/>
    <w:rsid w:val="00217843"/>
    <w:rsid w:val="002C56B8"/>
    <w:rsid w:val="002F6A98"/>
    <w:rsid w:val="00316F48"/>
    <w:rsid w:val="003231ED"/>
    <w:rsid w:val="00362D0F"/>
    <w:rsid w:val="00377076"/>
    <w:rsid w:val="00384DBA"/>
    <w:rsid w:val="003A06B4"/>
    <w:rsid w:val="003A2ABB"/>
    <w:rsid w:val="003B7DA9"/>
    <w:rsid w:val="003C3221"/>
    <w:rsid w:val="003F598F"/>
    <w:rsid w:val="0040665B"/>
    <w:rsid w:val="00421690"/>
    <w:rsid w:val="00443771"/>
    <w:rsid w:val="00443A75"/>
    <w:rsid w:val="00475B7B"/>
    <w:rsid w:val="004A4176"/>
    <w:rsid w:val="004A77F3"/>
    <w:rsid w:val="004D47BD"/>
    <w:rsid w:val="004E3B5B"/>
    <w:rsid w:val="004F33E3"/>
    <w:rsid w:val="005308BD"/>
    <w:rsid w:val="005345F3"/>
    <w:rsid w:val="00534DF4"/>
    <w:rsid w:val="00542FD6"/>
    <w:rsid w:val="00544A6A"/>
    <w:rsid w:val="005D5A7D"/>
    <w:rsid w:val="005F58A5"/>
    <w:rsid w:val="005F7454"/>
    <w:rsid w:val="006054CA"/>
    <w:rsid w:val="00641D5E"/>
    <w:rsid w:val="00643380"/>
    <w:rsid w:val="0066763D"/>
    <w:rsid w:val="006700F8"/>
    <w:rsid w:val="006B1B6D"/>
    <w:rsid w:val="006B6EC1"/>
    <w:rsid w:val="006B76F3"/>
    <w:rsid w:val="006C5CAE"/>
    <w:rsid w:val="006D3234"/>
    <w:rsid w:val="006E285D"/>
    <w:rsid w:val="006E7DDF"/>
    <w:rsid w:val="006F73FC"/>
    <w:rsid w:val="007156DC"/>
    <w:rsid w:val="00716173"/>
    <w:rsid w:val="00734B2C"/>
    <w:rsid w:val="007357AA"/>
    <w:rsid w:val="00736800"/>
    <w:rsid w:val="00752224"/>
    <w:rsid w:val="007A3918"/>
    <w:rsid w:val="00813276"/>
    <w:rsid w:val="00835444"/>
    <w:rsid w:val="00845118"/>
    <w:rsid w:val="00853843"/>
    <w:rsid w:val="00857C36"/>
    <w:rsid w:val="00865DED"/>
    <w:rsid w:val="008A5945"/>
    <w:rsid w:val="009131D4"/>
    <w:rsid w:val="00913538"/>
    <w:rsid w:val="009142DE"/>
    <w:rsid w:val="00927691"/>
    <w:rsid w:val="00942F97"/>
    <w:rsid w:val="00955469"/>
    <w:rsid w:val="00957450"/>
    <w:rsid w:val="00995F0D"/>
    <w:rsid w:val="009B022A"/>
    <w:rsid w:val="009C064D"/>
    <w:rsid w:val="009D7380"/>
    <w:rsid w:val="00A04880"/>
    <w:rsid w:val="00A11630"/>
    <w:rsid w:val="00A842EB"/>
    <w:rsid w:val="00A96B00"/>
    <w:rsid w:val="00B0755F"/>
    <w:rsid w:val="00B13FF5"/>
    <w:rsid w:val="00B92AA0"/>
    <w:rsid w:val="00BF72AA"/>
    <w:rsid w:val="00C16D87"/>
    <w:rsid w:val="00C40ADD"/>
    <w:rsid w:val="00C70167"/>
    <w:rsid w:val="00CB0B2E"/>
    <w:rsid w:val="00CD307E"/>
    <w:rsid w:val="00CE7EB1"/>
    <w:rsid w:val="00CF7C7E"/>
    <w:rsid w:val="00D2076E"/>
    <w:rsid w:val="00D33118"/>
    <w:rsid w:val="00D43B43"/>
    <w:rsid w:val="00D451F7"/>
    <w:rsid w:val="00D514DC"/>
    <w:rsid w:val="00D54DD7"/>
    <w:rsid w:val="00DB3ACC"/>
    <w:rsid w:val="00DB3DBD"/>
    <w:rsid w:val="00DF22AE"/>
    <w:rsid w:val="00E32F32"/>
    <w:rsid w:val="00E40D1C"/>
    <w:rsid w:val="00E72FF4"/>
    <w:rsid w:val="00E86C1D"/>
    <w:rsid w:val="00EB664A"/>
    <w:rsid w:val="00EB6B96"/>
    <w:rsid w:val="00F346E3"/>
    <w:rsid w:val="00F34884"/>
    <w:rsid w:val="00F534F6"/>
    <w:rsid w:val="00F80254"/>
    <w:rsid w:val="018A58CB"/>
    <w:rsid w:val="036F2FCB"/>
    <w:rsid w:val="03A569EC"/>
    <w:rsid w:val="03EC461B"/>
    <w:rsid w:val="056A7B4C"/>
    <w:rsid w:val="056F72B2"/>
    <w:rsid w:val="068428E9"/>
    <w:rsid w:val="072C0B3B"/>
    <w:rsid w:val="0870581B"/>
    <w:rsid w:val="08732C15"/>
    <w:rsid w:val="08E6788B"/>
    <w:rsid w:val="090B5543"/>
    <w:rsid w:val="091B2577"/>
    <w:rsid w:val="09442803"/>
    <w:rsid w:val="0AB10AB1"/>
    <w:rsid w:val="0C587DE0"/>
    <w:rsid w:val="0CB87790"/>
    <w:rsid w:val="0D5D3E94"/>
    <w:rsid w:val="0D9F625A"/>
    <w:rsid w:val="0E101500"/>
    <w:rsid w:val="0E372937"/>
    <w:rsid w:val="10160593"/>
    <w:rsid w:val="11B60016"/>
    <w:rsid w:val="11F719E4"/>
    <w:rsid w:val="11FB7AA1"/>
    <w:rsid w:val="124B69B1"/>
    <w:rsid w:val="12A83E03"/>
    <w:rsid w:val="12CF1390"/>
    <w:rsid w:val="13A22600"/>
    <w:rsid w:val="16557ACD"/>
    <w:rsid w:val="198F1699"/>
    <w:rsid w:val="19A215AC"/>
    <w:rsid w:val="1A676352"/>
    <w:rsid w:val="1B8617B7"/>
    <w:rsid w:val="1C4050AC"/>
    <w:rsid w:val="1D1E3640"/>
    <w:rsid w:val="1ED8781E"/>
    <w:rsid w:val="20344F28"/>
    <w:rsid w:val="20831A0C"/>
    <w:rsid w:val="20AD693D"/>
    <w:rsid w:val="20D109C9"/>
    <w:rsid w:val="213F052D"/>
    <w:rsid w:val="217E28FF"/>
    <w:rsid w:val="21DA519B"/>
    <w:rsid w:val="2389558B"/>
    <w:rsid w:val="246E7F5E"/>
    <w:rsid w:val="28500425"/>
    <w:rsid w:val="295C2DFA"/>
    <w:rsid w:val="29922F91"/>
    <w:rsid w:val="2A187669"/>
    <w:rsid w:val="2A573FB2"/>
    <w:rsid w:val="2BD61320"/>
    <w:rsid w:val="2D144117"/>
    <w:rsid w:val="2F5E3E9B"/>
    <w:rsid w:val="302B360A"/>
    <w:rsid w:val="309D61D2"/>
    <w:rsid w:val="30D36097"/>
    <w:rsid w:val="311566B0"/>
    <w:rsid w:val="315216B2"/>
    <w:rsid w:val="3333106F"/>
    <w:rsid w:val="34CA155F"/>
    <w:rsid w:val="37704A11"/>
    <w:rsid w:val="38E452E6"/>
    <w:rsid w:val="3A1F234D"/>
    <w:rsid w:val="3DDF7E2A"/>
    <w:rsid w:val="3E323C50"/>
    <w:rsid w:val="3EAD43CC"/>
    <w:rsid w:val="3EB733BF"/>
    <w:rsid w:val="3EBF1A09"/>
    <w:rsid w:val="3FAA4467"/>
    <w:rsid w:val="40D45C40"/>
    <w:rsid w:val="41410A00"/>
    <w:rsid w:val="42A33B1C"/>
    <w:rsid w:val="43540C3F"/>
    <w:rsid w:val="4417258F"/>
    <w:rsid w:val="44625310"/>
    <w:rsid w:val="47242D51"/>
    <w:rsid w:val="486C2C02"/>
    <w:rsid w:val="4981092F"/>
    <w:rsid w:val="4A3A1087"/>
    <w:rsid w:val="4BC759E5"/>
    <w:rsid w:val="4C0B2731"/>
    <w:rsid w:val="4F8B6063"/>
    <w:rsid w:val="4FD74E04"/>
    <w:rsid w:val="501167A6"/>
    <w:rsid w:val="531B7AA5"/>
    <w:rsid w:val="538E7ED0"/>
    <w:rsid w:val="561A0193"/>
    <w:rsid w:val="588C0756"/>
    <w:rsid w:val="58FF717A"/>
    <w:rsid w:val="5C62639E"/>
    <w:rsid w:val="5D177188"/>
    <w:rsid w:val="5DC80482"/>
    <w:rsid w:val="5EAB6030"/>
    <w:rsid w:val="60805044"/>
    <w:rsid w:val="608D150F"/>
    <w:rsid w:val="631F543D"/>
    <w:rsid w:val="637B1AF3"/>
    <w:rsid w:val="64A137DB"/>
    <w:rsid w:val="650C50F9"/>
    <w:rsid w:val="65796C9C"/>
    <w:rsid w:val="66E5011A"/>
    <w:rsid w:val="672A3F5C"/>
    <w:rsid w:val="6A4E61B3"/>
    <w:rsid w:val="6BAA11C7"/>
    <w:rsid w:val="6C0E1756"/>
    <w:rsid w:val="6E0321B1"/>
    <w:rsid w:val="6E6B10E2"/>
    <w:rsid w:val="6F1654F2"/>
    <w:rsid w:val="6F63625D"/>
    <w:rsid w:val="700510C2"/>
    <w:rsid w:val="70FA499F"/>
    <w:rsid w:val="711C2B67"/>
    <w:rsid w:val="715E0A8A"/>
    <w:rsid w:val="7434641A"/>
    <w:rsid w:val="77660698"/>
    <w:rsid w:val="7ACF0C4A"/>
    <w:rsid w:val="7ACF1B30"/>
    <w:rsid w:val="7B5A6766"/>
    <w:rsid w:val="7E6E2528"/>
    <w:rsid w:val="7E8D29AE"/>
    <w:rsid w:val="7EE8052D"/>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rPr>
      <w:rFonts w:ascii="Calibri" w:hAnsi="Calibri"/>
    </w:rPr>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3936</Words>
  <Characters>4186</Characters>
  <Lines>164</Lines>
  <Paragraphs>244</Paragraphs>
  <TotalTime>11</TotalTime>
  <ScaleCrop>false</ScaleCrop>
  <LinksUpToDate>false</LinksUpToDate>
  <CharactersWithSpaces>4269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2025-08-07T03:32:00Z</dcterms:created>
  <dc:creator>Lenovo</dc:creator>
  <cp:lastModifiedBy>阿北</cp:lastModifiedBy>
  <dcterms:modified xsi:type="dcterms:W3CDTF">2025-08-07T07:06:48Z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81AB58A823D14B79A02F3EEEE2933383_12</vt:lpwstr>
  </property>
  <property fmtid="{D5CDD505-2E9C-101B-9397-08002B2CF9AE}" pid="4" name="KSOTemplateDocerSaveRecord">
    <vt:lpwstr>eyJoZGlkIjoiODk4MzM4ZWM2YWJkMjFhM2M1YmVmNzk0ZDM4M2ExMWQiLCJ1c2VySWQiOiI0NDY1NjM4NjAifQ==</vt:lpwstr>
  </property>
</Properties>
</file>