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13.02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13.020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N 56"/>
                  </w:textInput>
                </w:ffData>
              </w:fldChar>
            </w:r>
            <w:bookmarkStart w:id="2" w:name="CSDN"/>
            <w:r>
              <w:rPr>
                <w:rFonts w:ascii="黑体" w:hAnsi="黑体" w:eastAsia="黑体"/>
                <w:sz w:val="21"/>
                <w:szCs w:val="21"/>
              </w:rPr>
              <w:instrText xml:space="preserve"> </w:instrText>
            </w:r>
            <w:r>
              <w:rPr>
                <w:rFonts w:hint="eastAsia" w:ascii="黑体" w:hAnsi="黑体" w:eastAsia="黑体"/>
                <w:sz w:val="21"/>
                <w:szCs w:val="21"/>
              </w:rPr>
              <w:instrText xml:space="preserve">FORMTEXT</w:instrText>
            </w:r>
            <w:r>
              <w:rPr>
                <w:rFonts w:ascii="黑体" w:hAnsi="黑体" w:eastAsia="黑体"/>
                <w:sz w:val="21"/>
                <w:szCs w:val="21"/>
              </w:rPr>
              <w:instrText xml:space="preserve"> </w:instrText>
            </w:r>
            <w:r>
              <w:rPr>
                <w:rFonts w:ascii="黑体" w:hAnsi="黑体" w:eastAsia="黑体"/>
                <w:sz w:val="21"/>
                <w:szCs w:val="21"/>
              </w:rPr>
              <w:fldChar w:fldCharType="separate"/>
            </w:r>
            <w:r>
              <w:rPr>
                <w:rFonts w:ascii="黑体" w:hAnsi="黑体" w:eastAsia="黑体"/>
                <w:sz w:val="21"/>
                <w:szCs w:val="21"/>
              </w:rPr>
              <w:t>N 56</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77"/>
            </w:textInput>
          </w:ffData>
        </w:fldChar>
      </w:r>
      <w:bookmarkStart w:id="6" w:name="NSTD_CODE_F"/>
      <w:r>
        <w:instrText xml:space="preserve"> FORMTEXT </w:instrText>
      </w:r>
      <w:r>
        <w:fldChar w:fldCharType="separate"/>
      </w:r>
      <w:r>
        <w:t>0077</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企业碳排放量核算方法与流程指引"/>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企业碳排放量核算方法与流程指引</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Guidelines for enterprise carbon emissions accounting methods and processes"/>
            </w:textInput>
          </w:ffData>
        </w:fldChar>
      </w:r>
      <w:bookmarkStart w:id="10" w:name="ESTD_NAME"/>
      <w:r>
        <w:rPr>
          <w:rFonts w:hint="eastAsia" w:ascii="黑体" w:hAnsi="黑体" w:eastAsia="黑体"/>
          <w:szCs w:val="28"/>
        </w:rPr>
        <w:instrText xml:space="preserve"> </w:instrText>
      </w:r>
      <w:r>
        <w:rPr>
          <w:rFonts w:ascii="黑体" w:hAnsi="黑体" w:eastAsia="黑体"/>
          <w:szCs w:val="28"/>
        </w:rPr>
        <w:instrText xml:space="preserve">FORMTEXT</w:instrText>
      </w:r>
      <w:r>
        <w:rPr>
          <w:rFonts w:hint="eastAsia" w:ascii="黑体" w:hAnsi="黑体" w:eastAsia="黑体"/>
          <w:szCs w:val="28"/>
        </w:rPr>
        <w:instrText xml:space="preserve"> </w:instrText>
      </w:r>
      <w:r>
        <w:rPr>
          <w:rFonts w:hint="eastAsia" w:ascii="黑体" w:hAnsi="黑体" w:eastAsia="黑体"/>
          <w:szCs w:val="28"/>
        </w:rPr>
        <w:fldChar w:fldCharType="separate"/>
      </w:r>
      <w:r>
        <w:rPr>
          <w:rFonts w:hint="eastAsia" w:ascii="黑体" w:hAnsi="黑体" w:eastAsia="黑体"/>
          <w:szCs w:val="28"/>
        </w:rPr>
        <w:t>Guidelines for enterprise carbon emissions accounting methods and processes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EC4842A">
      <w:pPr>
        <w:pStyle w:val="91"/>
        <w:spacing w:after="360"/>
      </w:pPr>
      <w:bookmarkStart w:id="21" w:name="BookMark1"/>
      <w:r>
        <w:rPr>
          <w:rFonts w:hint="eastAsia"/>
          <w:spacing w:val="320"/>
        </w:rPr>
        <w:t>目</w:t>
      </w:r>
      <w:r>
        <w:rPr>
          <w:rFonts w:hint="eastAsia"/>
        </w:rPr>
        <w:t>次</w:t>
      </w:r>
    </w:p>
    <w:p w14:paraId="2150BCB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"_Toc205664438"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_Toc205664438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3165A1D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"_Toc205664439"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_Toc205664439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22FF50C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"_Toc205664440"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_Toc205664440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7CAFD0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"_Toc205664441"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_Toc205664441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159860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"_Toc205664442"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_Toc205664442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27792E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"_Toc205664443"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_Toc205664443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04AC7D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"_Toc205664444" </w:instrText>
      </w:r>
      <w:r>
        <w:fldChar w:fldCharType="separate"/>
      </w:r>
      <w:r>
        <w:rPr>
          <w:rStyle w:val="32"/>
          <w:rFonts w:hint="eastAsia"/>
        </w:rPr>
        <w:t>5</w:t>
      </w:r>
      <w:r>
        <w:rPr>
          <w:rStyle w:val="32"/>
        </w:rPr>
        <w:t xml:space="preserve"> </w:t>
      </w:r>
      <w:r>
        <w:rPr>
          <w:rStyle w:val="32"/>
          <w:rFonts w:hint="eastAsia"/>
        </w:rPr>
        <w:t xml:space="preserve"> 核算方法</w:t>
      </w:r>
      <w:r>
        <w:rPr>
          <w:rFonts w:hint="eastAsia"/>
        </w:rPr>
        <w:tab/>
      </w:r>
      <w:r>
        <w:rPr>
          <w:rFonts w:hint="eastAsia"/>
        </w:rPr>
        <w:fldChar w:fldCharType="begin"/>
      </w:r>
      <w:r>
        <w:rPr>
          <w:rFonts w:hint="eastAsia"/>
        </w:rPr>
        <w:instrText xml:space="preserve"> </w:instrText>
      </w:r>
      <w:r>
        <w:instrText xml:space="preserve">PAGEREF _Toc205664444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FE22D7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"_Toc205664445" </w:instrText>
      </w:r>
      <w:r>
        <w:fldChar w:fldCharType="separate"/>
      </w:r>
      <w:r>
        <w:rPr>
          <w:rStyle w:val="32"/>
          <w:rFonts w:hint="eastAsia"/>
        </w:rPr>
        <w:t>6</w:t>
      </w:r>
      <w:r>
        <w:rPr>
          <w:rStyle w:val="32"/>
        </w:rPr>
        <w:t xml:space="preserve"> </w:t>
      </w:r>
      <w:r>
        <w:rPr>
          <w:rStyle w:val="32"/>
          <w:rFonts w:hint="eastAsia"/>
        </w:rPr>
        <w:t xml:space="preserve"> 核算流程</w:t>
      </w:r>
      <w:r>
        <w:rPr>
          <w:rFonts w:hint="eastAsia"/>
        </w:rPr>
        <w:tab/>
      </w:r>
      <w:r>
        <w:rPr>
          <w:rFonts w:hint="eastAsia"/>
        </w:rPr>
        <w:fldChar w:fldCharType="begin"/>
      </w:r>
      <w:r>
        <w:rPr>
          <w:rFonts w:hint="eastAsia"/>
        </w:rPr>
        <w:instrText xml:space="preserve"> </w:instrText>
      </w:r>
      <w:r>
        <w:instrText xml:space="preserve">PAGEREF _Toc205664445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2F739A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"_Toc205664446" </w:instrText>
      </w:r>
      <w:r>
        <w:fldChar w:fldCharType="separate"/>
      </w:r>
      <w:r>
        <w:rPr>
          <w:rStyle w:val="32"/>
          <w:rFonts w:hint="eastAsia"/>
        </w:rPr>
        <w:t>7</w:t>
      </w:r>
      <w:r>
        <w:rPr>
          <w:rStyle w:val="32"/>
        </w:rPr>
        <w:t xml:space="preserve"> </w:t>
      </w:r>
      <w:r>
        <w:rPr>
          <w:rStyle w:val="32"/>
          <w:rFonts w:hint="eastAsia"/>
        </w:rPr>
        <w:t xml:space="preserve"> 数据质量管理</w:t>
      </w:r>
      <w:r>
        <w:rPr>
          <w:rFonts w:hint="eastAsia"/>
        </w:rPr>
        <w:tab/>
      </w:r>
      <w:r>
        <w:rPr>
          <w:rFonts w:hint="eastAsia"/>
        </w:rPr>
        <w:fldChar w:fldCharType="begin"/>
      </w:r>
      <w:r>
        <w:rPr>
          <w:rFonts w:hint="eastAsia"/>
        </w:rPr>
        <w:instrText xml:space="preserve"> </w:instrText>
      </w:r>
      <w:r>
        <w:instrText xml:space="preserve">PAGEREF _Toc205664446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16C56A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"_Toc205664447" </w:instrText>
      </w:r>
      <w:r>
        <w:fldChar w:fldCharType="separate"/>
      </w:r>
      <w:r>
        <w:rPr>
          <w:rStyle w:val="32"/>
          <w:rFonts w:hint="eastAsia"/>
        </w:rPr>
        <w:t>8</w:t>
      </w:r>
      <w:r>
        <w:rPr>
          <w:rStyle w:val="32"/>
        </w:rPr>
        <w:t xml:space="preserve"> </w:t>
      </w:r>
      <w:r>
        <w:rPr>
          <w:rStyle w:val="32"/>
          <w:rFonts w:hint="eastAsia"/>
        </w:rPr>
        <w:t xml:space="preserve"> 不确定性分析</w:t>
      </w:r>
      <w:r>
        <w:rPr>
          <w:rFonts w:hint="eastAsia"/>
        </w:rPr>
        <w:tab/>
      </w:r>
      <w:r>
        <w:rPr>
          <w:rFonts w:hint="eastAsia"/>
        </w:rPr>
        <w:fldChar w:fldCharType="begin"/>
      </w:r>
      <w:r>
        <w:rPr>
          <w:rFonts w:hint="eastAsia"/>
        </w:rPr>
        <w:instrText xml:space="preserve"> </w:instrText>
      </w:r>
      <w:r>
        <w:instrText xml:space="preserve">PAGEREF _Toc205664447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445E07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"_Toc205664448" </w:instrText>
      </w:r>
      <w:r>
        <w:fldChar w:fldCharType="separate"/>
      </w:r>
      <w:r>
        <w:rPr>
          <w:rStyle w:val="32"/>
          <w:rFonts w:hint="eastAsia"/>
        </w:rPr>
        <w:t>9</w:t>
      </w:r>
      <w:r>
        <w:rPr>
          <w:rStyle w:val="32"/>
        </w:rPr>
        <w:t xml:space="preserve"> </w:t>
      </w:r>
      <w:r>
        <w:rPr>
          <w:rStyle w:val="32"/>
          <w:rFonts w:hint="eastAsia"/>
        </w:rPr>
        <w:t xml:space="preserve"> 持续改进</w:t>
      </w:r>
      <w:r>
        <w:rPr>
          <w:rFonts w:hint="eastAsia"/>
        </w:rPr>
        <w:tab/>
      </w:r>
      <w:r>
        <w:rPr>
          <w:rFonts w:hint="eastAsia"/>
        </w:rPr>
        <w:fldChar w:fldCharType="begin"/>
      </w:r>
      <w:r>
        <w:rPr>
          <w:rFonts w:hint="eastAsia"/>
        </w:rPr>
        <w:instrText xml:space="preserve"> </w:instrText>
      </w:r>
      <w:r>
        <w:instrText xml:space="preserve">PAGEREF _Toc205664448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230E9BD">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64438"/>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本文件起草单位：天津津环环境工程咨询有限公司。</w:t>
      </w:r>
    </w:p>
    <w:p w14:paraId="1B3EB912">
      <w:pPr>
        <w:pStyle w:val="56"/>
        <w:spacing w:line="360" w:lineRule="auto"/>
        <w:ind w:firstLine="420"/>
      </w:pPr>
      <w:r>
        <w:rPr>
          <w:rFonts w:hint="eastAsia"/>
        </w:rPr>
        <w:t>本文件主要起草人：田瑶。</w:t>
      </w: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5664439"/>
      <w:bookmarkStart w:id="25" w:name="BookMark3"/>
      <w:r>
        <w:rPr>
          <w:spacing w:val="320"/>
        </w:rPr>
        <w:t>引</w:t>
      </w:r>
      <w:r>
        <w:t>言</w:t>
      </w:r>
      <w:bookmarkEnd w:id="24"/>
    </w:p>
    <w:p w14:paraId="4904D8BE">
      <w:pPr>
        <w:pStyle w:val="56"/>
        <w:spacing w:line="360" w:lineRule="auto"/>
        <w:ind w:firstLine="420"/>
      </w:pPr>
      <w:r>
        <w:rPr>
          <w:rFonts w:hint="eastAsia"/>
        </w:rPr>
        <w:t>随着全球气候变化问题的日益严峻，碳排放控制与管理已成为国际社会的共同关注焦点。碳排放总量的科学核算不仅是企业履行环境责任、实现可持续发展的重要基础，也是政府制定减排政策、推进碳市场交易、实施碳达峰与碳中和战略的重要支撑。</w:t>
      </w:r>
    </w:p>
    <w:p w14:paraId="2C268C02">
      <w:pPr>
        <w:pStyle w:val="56"/>
        <w:spacing w:line="360" w:lineRule="auto"/>
        <w:ind w:firstLine="420"/>
      </w:pPr>
      <w:r>
        <w:rPr>
          <w:rFonts w:hint="eastAsia"/>
        </w:rPr>
        <w:t>在企业生产经营过程中，能源使用、原材料消耗、工艺排放、废弃物处理等环节均会产生温室气体排放，其中二氧化碳排放量占比最高。建立统一、科学、可操作的企业碳排放核算方法与流程，有助于企业准确掌握自身碳排放状况，识别主要排放源，制定有效的减排措施，并为参与碳交易和履行碳信息披露义务提供可靠数据。</w:t>
      </w:r>
    </w:p>
    <w:p w14:paraId="7672433E">
      <w:pPr>
        <w:pStyle w:val="56"/>
        <w:spacing w:line="360" w:lineRule="auto"/>
        <w:ind w:firstLine="420"/>
      </w:pPr>
      <w:r>
        <w:rPr>
          <w:rFonts w:hint="eastAsia"/>
        </w:rPr>
        <w:t>本文件旨在为各类企业提供系统化、标准化的碳排放量核算技术路径，从核算边界、数据收集、计算方法、结果校核到信息报告，形成全流程的指导框架，确保核算结果的准确性、可比性和透明性。</w:t>
      </w: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企业碳排放量核算方法与流程指引</w:t>
          </w:r>
        </w:p>
      </w:sdtContent>
    </w:sdt>
    <w:bookmarkEnd w:id="27"/>
    <w:p w14:paraId="3DB22445">
      <w:pPr>
        <w:pStyle w:val="104"/>
        <w:spacing w:before="240" w:after="240"/>
      </w:pPr>
      <w:bookmarkStart w:id="28" w:name="_Toc97192964"/>
      <w:bookmarkStart w:id="29" w:name="_Toc24884218"/>
      <w:bookmarkStart w:id="30" w:name="_Toc205664440"/>
      <w:bookmarkStart w:id="31" w:name="_Toc17233325"/>
      <w:bookmarkStart w:id="32" w:name="_Toc17233333"/>
      <w:bookmarkStart w:id="33" w:name="_Toc26648465"/>
      <w:bookmarkStart w:id="34" w:name="_Toc26986771"/>
      <w:bookmarkStart w:id="35" w:name="_Toc26718930"/>
      <w:bookmarkStart w:id="36" w:name="_Toc26986530"/>
      <w:bookmarkStart w:id="37" w:name="_Toc24884211"/>
      <w:r>
        <w:rPr>
          <w:rFonts w:hint="eastAsia"/>
        </w:rPr>
        <w:t>范围</w:t>
      </w:r>
      <w:bookmarkEnd w:id="28"/>
      <w:bookmarkEnd w:id="29"/>
      <w:bookmarkEnd w:id="30"/>
      <w:bookmarkEnd w:id="31"/>
      <w:bookmarkEnd w:id="32"/>
      <w:bookmarkEnd w:id="33"/>
      <w:bookmarkEnd w:id="34"/>
      <w:bookmarkEnd w:id="35"/>
      <w:bookmarkEnd w:id="36"/>
      <w:bookmarkEnd w:id="37"/>
    </w:p>
    <w:p w14:paraId="0FD42249">
      <w:pPr>
        <w:pStyle w:val="56"/>
        <w:spacing w:line="360" w:lineRule="auto"/>
        <w:ind w:firstLine="420"/>
      </w:pPr>
      <w:bookmarkStart w:id="38" w:name="_Toc24884212"/>
      <w:bookmarkStart w:id="39" w:name="_Toc17233326"/>
      <w:bookmarkStart w:id="40" w:name="_Toc17233334"/>
      <w:bookmarkStart w:id="41" w:name="_Toc24884219"/>
      <w:bookmarkStart w:id="42" w:name="_Toc26648466"/>
      <w:r>
        <w:rPr>
          <w:rFonts w:hint="eastAsia"/>
        </w:rPr>
        <w:t>本文件规定了企业碳排放量核算的总体原则、总体原则、核算方法、核算流程、数据质量管理、不确定性分析、持续改进等内容，适用于各类生产性、服务性和综合性企业的温室气体排放核算工作。</w:t>
      </w:r>
    </w:p>
    <w:p w14:paraId="76265264">
      <w:pPr>
        <w:pStyle w:val="56"/>
        <w:spacing w:line="360" w:lineRule="auto"/>
        <w:ind w:firstLine="420"/>
      </w:pPr>
      <w:r>
        <w:rPr>
          <w:rFonts w:hint="eastAsia"/>
        </w:rPr>
        <w:t>本文件适用于企业自愿开展碳排放核算、履行碳信息披露义务、参与碳交易市场、制定节能减排方案及接受政府或第三方核查等情形。对特定行业的碳排放核算，本文件未作细化规定的，企业可参照相关行业标准执行。</w:t>
      </w:r>
    </w:p>
    <w:p w14:paraId="3733B2AD">
      <w:pPr>
        <w:pStyle w:val="104"/>
        <w:spacing w:before="240" w:after="240" w:line="360" w:lineRule="auto"/>
      </w:pPr>
      <w:bookmarkStart w:id="43" w:name="_Toc26718931"/>
      <w:bookmarkStart w:id="44" w:name="_Toc26986531"/>
      <w:bookmarkStart w:id="45" w:name="_Toc26986772"/>
      <w:bookmarkStart w:id="46" w:name="_Toc97192965"/>
      <w:bookmarkStart w:id="47" w:name="_Toc20566444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7F860">
      <w:pPr>
        <w:pStyle w:val="56"/>
        <w:spacing w:line="360" w:lineRule="auto"/>
        <w:ind w:firstLine="420"/>
      </w:pPr>
      <w:r>
        <w:t>GB/T 32150</w:t>
      </w:r>
      <w:r>
        <w:rPr>
          <w:rFonts w:hint="eastAsia"/>
        </w:rPr>
        <w:t>—</w:t>
      </w:r>
      <w:r>
        <w:t>2015</w:t>
      </w:r>
      <w:r>
        <w:rPr>
          <w:rFonts w:hint="eastAsia"/>
        </w:rPr>
        <w:t xml:space="preserve"> 工业企业温室气体排放核算和报告通则</w:t>
      </w:r>
    </w:p>
    <w:p w14:paraId="5630E453">
      <w:pPr>
        <w:pStyle w:val="56"/>
        <w:spacing w:line="360" w:lineRule="auto"/>
        <w:ind w:firstLine="420"/>
      </w:pPr>
      <w:r>
        <w:t>GB/T 32151.1</w:t>
      </w:r>
      <w:r>
        <w:rPr>
          <w:rFonts w:hint="eastAsia"/>
        </w:rPr>
        <w:t>—</w:t>
      </w:r>
      <w:r>
        <w:t>2015</w:t>
      </w:r>
      <w:r>
        <w:rPr>
          <w:rFonts w:hint="eastAsia"/>
        </w:rPr>
        <w:t xml:space="preserve"> 温室气体排放核算与报告要求  第1部分：发电企业</w:t>
      </w:r>
    </w:p>
    <w:p w14:paraId="4D11EF1E">
      <w:pPr>
        <w:pStyle w:val="56"/>
        <w:spacing w:line="360" w:lineRule="auto"/>
        <w:ind w:firstLine="420"/>
      </w:pPr>
      <w:r>
        <w:t>GB/T 32151.2</w:t>
      </w:r>
      <w:r>
        <w:rPr>
          <w:rFonts w:hint="eastAsia"/>
        </w:rPr>
        <w:t>—</w:t>
      </w:r>
      <w:r>
        <w:t>2015</w:t>
      </w:r>
      <w:r>
        <w:rPr>
          <w:rFonts w:hint="eastAsia"/>
        </w:rPr>
        <w:t xml:space="preserve"> 温室气体排放核算与报告要求  第2部分：电网企业</w:t>
      </w:r>
    </w:p>
    <w:p w14:paraId="26530214">
      <w:pPr>
        <w:pStyle w:val="56"/>
        <w:spacing w:line="360" w:lineRule="auto"/>
        <w:ind w:firstLine="420"/>
      </w:pPr>
      <w:r>
        <w:rPr>
          <w:rFonts w:hint="eastAsia"/>
        </w:rPr>
        <w:t>GB/T 32151.3—2015 温室气体排放核算与报告要求  第3部分：镁冶炼企业</w:t>
      </w:r>
    </w:p>
    <w:p w14:paraId="51F02A4E">
      <w:pPr>
        <w:pStyle w:val="104"/>
        <w:spacing w:before="240" w:after="240" w:line="360" w:lineRule="auto"/>
      </w:pPr>
      <w:bookmarkStart w:id="48" w:name="_Toc97192966"/>
      <w:bookmarkStart w:id="49" w:name="_Toc205664442"/>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47E50D1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碳排放 </w:t>
      </w:r>
      <w:r>
        <w:rPr>
          <w:rFonts w:ascii="黑体" w:hAnsi="黑体" w:eastAsia="黑体"/>
        </w:rPr>
        <w:t>carbon emission</w:t>
      </w:r>
    </w:p>
    <w:p w14:paraId="3934E42F">
      <w:pPr>
        <w:pStyle w:val="56"/>
        <w:spacing w:line="360" w:lineRule="auto"/>
        <w:ind w:firstLine="420"/>
      </w:pPr>
      <w:r>
        <w:rPr>
          <w:rFonts w:hint="eastAsia"/>
        </w:rPr>
        <w:t>企业在生产、经营及其他活动中因能源消耗、化学反应等产生的温室气体，以二氧化碳当量表示。</w:t>
      </w:r>
    </w:p>
    <w:p w14:paraId="0F9AC10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排放源 </w:t>
      </w:r>
      <w:r>
        <w:rPr>
          <w:rFonts w:ascii="黑体" w:hAnsi="黑体" w:eastAsia="黑体"/>
        </w:rPr>
        <w:t>emission source</w:t>
      </w:r>
    </w:p>
    <w:p w14:paraId="3EEB54A6">
      <w:pPr>
        <w:pStyle w:val="56"/>
        <w:spacing w:line="360" w:lineRule="auto"/>
        <w:ind w:firstLine="420"/>
      </w:pPr>
      <w:r>
        <w:rPr>
          <w:rFonts w:hint="eastAsia"/>
        </w:rPr>
        <w:t>在核算边界内向大气排放温室气体的物理单元或过程。</w:t>
      </w:r>
    </w:p>
    <w:p w14:paraId="4A0943A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直接排放 </w:t>
      </w:r>
      <w:r>
        <w:rPr>
          <w:rFonts w:ascii="黑体" w:hAnsi="黑体" w:eastAsia="黑体"/>
        </w:rPr>
        <w:t>direct emission</w:t>
      </w:r>
    </w:p>
    <w:p w14:paraId="60759F35">
      <w:pPr>
        <w:pStyle w:val="56"/>
        <w:spacing w:line="360" w:lineRule="auto"/>
        <w:ind w:firstLine="420"/>
      </w:pPr>
      <w:r>
        <w:rPr>
          <w:rFonts w:hint="eastAsia"/>
        </w:rPr>
        <w:t>企业在核算边界内直接燃烧化石燃料、进行化学反应或其他生产活动所产生的温室气体排放。</w:t>
      </w:r>
    </w:p>
    <w:p w14:paraId="788C79C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间接排放 </w:t>
      </w:r>
      <w:r>
        <w:rPr>
          <w:rFonts w:ascii="黑体" w:hAnsi="黑体" w:eastAsia="黑体"/>
        </w:rPr>
        <w:t>indirect emission</w:t>
      </w:r>
    </w:p>
    <w:p w14:paraId="40284485">
      <w:pPr>
        <w:pStyle w:val="56"/>
        <w:spacing w:line="360" w:lineRule="auto"/>
        <w:ind w:firstLine="420"/>
      </w:pPr>
      <w:r>
        <w:rPr>
          <w:rFonts w:hint="eastAsia"/>
        </w:rPr>
        <w:t>因企业使用外购电力、热力、蒸汽等间接引起的温室气体排放。</w:t>
      </w:r>
    </w:p>
    <w:p w14:paraId="3DB4208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排放因子 </w:t>
      </w:r>
      <w:r>
        <w:rPr>
          <w:rFonts w:ascii="黑体" w:hAnsi="黑体" w:eastAsia="黑体"/>
        </w:rPr>
        <w:t>emission factor</w:t>
      </w:r>
    </w:p>
    <w:p w14:paraId="11ED0D72">
      <w:pPr>
        <w:pStyle w:val="56"/>
        <w:spacing w:line="360" w:lineRule="auto"/>
        <w:ind w:firstLine="420"/>
      </w:pPr>
      <w:r>
        <w:rPr>
          <w:rFonts w:hint="eastAsia"/>
        </w:rPr>
        <w:t>将活动数据转换为温室气体排放量的系数，通常由统计或实验数据获得。</w:t>
      </w:r>
    </w:p>
    <w:p w14:paraId="376E6DD5">
      <w:pPr>
        <w:pStyle w:val="104"/>
        <w:spacing w:before="240" w:after="240" w:line="360" w:lineRule="auto"/>
      </w:pPr>
      <w:bookmarkStart w:id="51" w:name="_Toc205664443"/>
      <w:r>
        <w:rPr>
          <w:rFonts w:hint="eastAsia"/>
        </w:rPr>
        <w:t>总体原则</w:t>
      </w:r>
      <w:bookmarkEnd w:id="51"/>
    </w:p>
    <w:p w14:paraId="2278626B">
      <w:pPr>
        <w:pStyle w:val="105"/>
        <w:spacing w:before="120" w:after="120" w:line="360" w:lineRule="auto"/>
      </w:pPr>
      <w:r>
        <w:rPr>
          <w:rFonts w:hint="eastAsia"/>
        </w:rPr>
        <w:t>全面性原则</w:t>
      </w:r>
    </w:p>
    <w:p w14:paraId="7F6454C5">
      <w:pPr>
        <w:pStyle w:val="56"/>
        <w:spacing w:line="360" w:lineRule="auto"/>
        <w:ind w:firstLine="420"/>
      </w:pPr>
      <w:r>
        <w:rPr>
          <w:rFonts w:hint="eastAsia"/>
        </w:rPr>
        <w:t>碳排放核算应覆盖核算边界内所有显著的温室气体排放源，包括直接排放和间接排放，确保核算结果完整反映企业排放情况。核算应涵盖能源活动排放、工艺过程排放、废弃物处理排放及其他特殊排放，避免因遗漏某类排放源而导致结果失真。在设定核算范围时，应根据企业实际运营情况和相关法规要求，确保所有重要排放环节均被纳入核算体系。</w:t>
      </w:r>
    </w:p>
    <w:p w14:paraId="0CFC5E21">
      <w:pPr>
        <w:pStyle w:val="105"/>
        <w:spacing w:before="120" w:after="120" w:line="360" w:lineRule="auto"/>
      </w:pPr>
      <w:r>
        <w:rPr>
          <w:rFonts w:hint="eastAsia"/>
        </w:rPr>
        <w:t>一致性原则</w:t>
      </w:r>
    </w:p>
    <w:p w14:paraId="48B3BEF3">
      <w:pPr>
        <w:pStyle w:val="56"/>
        <w:spacing w:line="360" w:lineRule="auto"/>
        <w:ind w:firstLine="420"/>
      </w:pPr>
      <w:r>
        <w:rPr>
          <w:rFonts w:hint="eastAsia"/>
        </w:rPr>
        <w:t>核算方法、数据来源、计算公式及报告格式应保持一致，以便不同核算期间或不同企业之间的结果具有可比性。对于需变更核算方法或调整数据来源的，应说明原因、影响范围及调整前后结果的差异，以保持数据连续性和可比性。企业内部不同部门在开展数据收集与计算时，应统一使用经过验证的计算工具和数据模板，避免因方法差异造成核算偏差。</w:t>
      </w:r>
    </w:p>
    <w:p w14:paraId="59101491">
      <w:pPr>
        <w:pStyle w:val="105"/>
        <w:spacing w:before="120" w:after="120" w:line="360" w:lineRule="auto"/>
      </w:pPr>
      <w:r>
        <w:rPr>
          <w:rFonts w:hint="eastAsia"/>
        </w:rPr>
        <w:t>透明性原则</w:t>
      </w:r>
    </w:p>
    <w:p w14:paraId="58F1DB10">
      <w:pPr>
        <w:pStyle w:val="56"/>
        <w:spacing w:line="360" w:lineRule="auto"/>
        <w:ind w:firstLine="420"/>
      </w:pPr>
      <w:r>
        <w:rPr>
          <w:rFonts w:hint="eastAsia"/>
        </w:rPr>
        <w:t>核算过程中所采用的方法、数据来源、假设条件及计算过程应详细记录并可供核查，确保结果可追溯。企业应在碳排放核算报告中完整披露关键假设、数据处理步骤及计算依据，并建立完善的档案管理制度，确保历史核算记录可随时调阅和复查。对于涉及外部数据或行业平均值的，应明确其来源及适用性说明。</w:t>
      </w:r>
    </w:p>
    <w:p w14:paraId="7C6710CB">
      <w:pPr>
        <w:pStyle w:val="105"/>
        <w:spacing w:before="120" w:after="120" w:line="360" w:lineRule="auto"/>
      </w:pPr>
      <w:r>
        <w:rPr>
          <w:rFonts w:hint="eastAsia"/>
        </w:rPr>
        <w:t>准确性原则</w:t>
      </w:r>
    </w:p>
    <w:p w14:paraId="18FC3D13">
      <w:pPr>
        <w:pStyle w:val="56"/>
        <w:spacing w:line="360" w:lineRule="auto"/>
        <w:ind w:firstLine="420"/>
      </w:pPr>
      <w:r>
        <w:rPr>
          <w:rFonts w:hint="eastAsia"/>
        </w:rPr>
        <w:t>应尽量减少系统误差和随机误差，优先采用高质量、直接测量或权威发布的数据，提高核算结果的精确度。对于难以直接测量的排放源，应选择精度较高的排放因子或活动数据，必要时可通过设备改造、增加监测点等方式提升数据精度。同时，应对关键计算环节进行复核，防止出现人为计算错误。</w:t>
      </w:r>
    </w:p>
    <w:p w14:paraId="1B94F9C5">
      <w:pPr>
        <w:pStyle w:val="105"/>
        <w:spacing w:before="120" w:after="120" w:line="360" w:lineRule="auto"/>
      </w:pPr>
      <w:r>
        <w:rPr>
          <w:rFonts w:hint="eastAsia"/>
        </w:rPr>
        <w:t>保守性原则</w:t>
      </w:r>
    </w:p>
    <w:p w14:paraId="3D3EC62B">
      <w:pPr>
        <w:pStyle w:val="56"/>
        <w:spacing w:line="360" w:lineRule="auto"/>
        <w:ind w:firstLine="420"/>
      </w:pPr>
      <w:r>
        <w:rPr>
          <w:rFonts w:hint="eastAsia"/>
        </w:rPr>
        <w:t>在存在不确定性时，应采用有利于避免低估排放量的参数和方法，以防出现排放量低报的情况。对于缺失或难以获取的活动数据，应选择偏向高估的合理假设值，并在报告中说明假设依据和保守程度。这一原则有助于在数据不完备的情况下，确保核算结果对管理和决策保持足够的安全裕度。</w:t>
      </w:r>
    </w:p>
    <w:p w14:paraId="784F834D">
      <w:pPr>
        <w:pStyle w:val="105"/>
        <w:spacing w:before="120" w:after="120" w:line="360" w:lineRule="auto"/>
      </w:pPr>
      <w:r>
        <w:rPr>
          <w:rFonts w:hint="eastAsia"/>
        </w:rPr>
        <w:t>持续改进原则</w:t>
      </w:r>
    </w:p>
    <w:p w14:paraId="4E298868">
      <w:pPr>
        <w:pStyle w:val="56"/>
        <w:spacing w:line="360" w:lineRule="auto"/>
        <w:ind w:firstLine="420"/>
      </w:pPr>
      <w:r>
        <w:rPr>
          <w:rFonts w:hint="eastAsia"/>
        </w:rPr>
        <w:t>企业应根据技术进步、数据条件改善及相关标准更新，不断优化核算方法与流程，提高核算工作的科学性和实用性。建议定期对核算体系进行内部审查或委托第三方评估，发现不足后及时修订核算边界、数据收集流程及计算工具。同时，应将改进成果应用于后续核算工作，实现碳排放核算水平的持续提升。</w:t>
      </w:r>
    </w:p>
    <w:p w14:paraId="06BB15FE">
      <w:pPr>
        <w:pStyle w:val="104"/>
        <w:spacing w:before="240" w:after="240" w:line="360" w:lineRule="auto"/>
      </w:pPr>
      <w:bookmarkStart w:id="52" w:name="_Toc205664444"/>
      <w:r>
        <w:rPr>
          <w:rFonts w:hint="eastAsia"/>
        </w:rPr>
        <w:t>核算方法</w:t>
      </w:r>
      <w:bookmarkEnd w:id="52"/>
    </w:p>
    <w:p w14:paraId="1E70359C">
      <w:pPr>
        <w:pStyle w:val="105"/>
        <w:spacing w:before="120" w:after="120" w:line="360" w:lineRule="auto"/>
      </w:pPr>
      <w:r>
        <w:rPr>
          <w:rFonts w:hint="eastAsia"/>
        </w:rPr>
        <w:t>基本计算方法</w:t>
      </w:r>
    </w:p>
    <w:p w14:paraId="4225191B">
      <w:pPr>
        <w:pStyle w:val="56"/>
        <w:spacing w:line="360" w:lineRule="auto"/>
        <w:ind w:firstLine="420"/>
        <w:rPr>
          <w:rFonts w:hint="eastAsia"/>
        </w:rPr>
      </w:pPr>
      <w:r>
        <w:rPr>
          <w:rFonts w:hint="eastAsia"/>
        </w:rPr>
        <w:t>企业碳排放量核算应依据核算边界内的排放源类别，选择适当的计算方法和排放因子。核算方法主要分为基于活动数据和排放因子的计算法、基于直接监测数据的测量法，以及两者结合的混合法。</w:t>
      </w:r>
    </w:p>
    <w:p w14:paraId="51C5548C">
      <w:pPr>
        <w:pStyle w:val="56"/>
        <w:spacing w:line="360" w:lineRule="auto"/>
        <w:ind w:firstLine="420"/>
      </w:pPr>
      <w:r>
        <w:rPr>
          <w:rFonts w:hint="eastAsia"/>
        </w:rPr>
        <w:t>核算应优先使用直接测量数据，如烟气流量、浓度等；在无法直接测量时，可采用基于活动数据（如燃料消耗量、用电量、生产量等）与排放因子的计算公式。</w:t>
      </w:r>
    </w:p>
    <w:p w14:paraId="2A62EE40">
      <w:pPr>
        <w:pStyle w:val="56"/>
        <w:spacing w:line="360" w:lineRule="auto"/>
        <w:ind w:firstLine="420"/>
      </w:pPr>
      <w:r>
        <w:rPr>
          <w:rFonts w:hint="eastAsia"/>
        </w:rPr>
        <w:t>碳排放量的基本计算公式如下：</w:t>
      </w:r>
    </w:p>
    <w:p w14:paraId="5A8448CD">
      <w:pPr>
        <w:pStyle w:val="113"/>
        <w:spacing w:line="360" w:lineRule="auto"/>
      </w:pPr>
      <w:r>
        <w:tab/>
      </w:r>
      <m:oMath>
        <m:r>
          <m:rPr/>
          <w:rPr>
            <w:rFonts w:ascii="Cambria Math" w:hAnsi="Cambria Math"/>
          </w:rPr>
          <m:t>E=AD×EF×(1−</m:t>
        </m:r>
        <m:r>
          <m:rPr/>
          <w:rPr>
            <w:rFonts w:hint="eastAsia" w:ascii="Cambria Math" w:hAnsi="Cambria Math"/>
          </w:rPr>
          <m:t>η</m:t>
        </m:r>
        <m:r>
          <m:rPr/>
          <w:rPr>
            <w:rFonts w:ascii="Cambria Math" w:hAnsi="Cambria Math"/>
          </w:rPr>
          <m:t>)</m:t>
        </m:r>
      </m:oMath>
      <w:r>
        <w:rPr>
          <w:rFonts w:ascii="微软雅黑" w:hAnsi="微软雅黑" w:eastAsia="微软雅黑"/>
        </w:rPr>
        <w:tab/>
      </w:r>
      <w:r>
        <w:t>(</w:t>
      </w:r>
      <w:r>
        <w:fldChar w:fldCharType="begin"/>
      </w:r>
      <w:r>
        <w:instrText xml:space="preserve"> AUTONUM </w:instrText>
      </w:r>
      <w:r>
        <w:fldChar w:fldCharType="end"/>
      </w:r>
      <w:r>
        <w:t>)</w:t>
      </w:r>
    </w:p>
    <w:p w14:paraId="077630E9">
      <w:pPr>
        <w:pStyle w:val="55"/>
        <w:spacing w:line="360" w:lineRule="auto"/>
        <w:ind w:firstLine="420"/>
        <w:rPr>
          <w:rFonts w:hint="eastAsia"/>
        </w:rPr>
      </w:pPr>
      <w:r>
        <w:rPr>
          <w:rFonts w:hint="eastAsia"/>
        </w:rPr>
        <w:t>式中：</w:t>
      </w:r>
    </w:p>
    <w:tbl>
      <w:tblPr>
        <w:tblStyle w:val="27"/>
        <w:tblW w:w="4775"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
        <w:gridCol w:w="423"/>
        <w:gridCol w:w="8083"/>
      </w:tblGrid>
      <w:tr w14:paraId="6E25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239" w:type="pct"/>
            <w:vAlign w:val="center"/>
          </w:tcPr>
          <w:p w14:paraId="1F17B235">
            <w:pPr>
              <w:pStyle w:val="56"/>
              <w:spacing w:line="360" w:lineRule="auto"/>
              <w:ind w:firstLine="0" w:firstLineChars="0"/>
            </w:pPr>
            <m:oMathPara>
              <m:oMath>
                <m:r>
                  <m:rPr/>
                  <w:rPr>
                    <w:rFonts w:ascii="Cambria Math" w:hAnsi="Cambria Math"/>
                  </w:rPr>
                  <m:t>E</m:t>
                </m:r>
              </m:oMath>
            </m:oMathPara>
          </w:p>
        </w:tc>
        <w:tc>
          <w:tcPr>
            <w:tcW w:w="237" w:type="pct"/>
            <w:vAlign w:val="center"/>
          </w:tcPr>
          <w:p w14:paraId="6B1C6BB9">
            <w:pPr>
              <w:pStyle w:val="56"/>
              <w:spacing w:line="360" w:lineRule="auto"/>
              <w:ind w:firstLine="0" w:firstLineChars="0"/>
              <w:jc w:val="center"/>
            </w:pPr>
            <w:r>
              <w:t>——</w:t>
            </w:r>
          </w:p>
        </w:tc>
        <w:tc>
          <w:tcPr>
            <w:tcW w:w="4524" w:type="pct"/>
          </w:tcPr>
          <w:p w14:paraId="3C5D9B8F">
            <w:pPr>
              <w:pStyle w:val="56"/>
              <w:spacing w:line="360" w:lineRule="auto"/>
              <w:ind w:firstLine="0" w:firstLineChars="0"/>
            </w:pPr>
            <w:r>
              <w:rPr>
                <w:rFonts w:hint="eastAsia"/>
              </w:rPr>
              <w:t>温室气体排放量，单位为吨二氧化碳当量（</w:t>
            </w:r>
            <w:r>
              <w:t>t CO₂e</w:t>
            </w:r>
            <w:r>
              <w:rPr>
                <w:rFonts w:hint="eastAsia"/>
              </w:rPr>
              <w:t>）；</w:t>
            </w:r>
          </w:p>
        </w:tc>
      </w:tr>
      <w:tr w14:paraId="23B4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239" w:type="pct"/>
          </w:tcPr>
          <w:p w14:paraId="2FBDFB98">
            <w:pPr>
              <w:pStyle w:val="56"/>
              <w:spacing w:line="360" w:lineRule="auto"/>
              <w:ind w:firstLine="0" w:firstLineChars="0"/>
              <w:jc w:val="center"/>
            </w:pPr>
            <m:oMathPara>
              <m:oMath>
                <m:r>
                  <m:rPr/>
                  <w:rPr>
                    <w:rFonts w:ascii="Cambria Math" w:hAnsi="Cambria Math"/>
                  </w:rPr>
                  <m:t>AD</m:t>
                </m:r>
              </m:oMath>
            </m:oMathPara>
          </w:p>
        </w:tc>
        <w:tc>
          <w:tcPr>
            <w:tcW w:w="237" w:type="pct"/>
          </w:tcPr>
          <w:p w14:paraId="2669D00F">
            <w:pPr>
              <w:pStyle w:val="56"/>
              <w:spacing w:line="360" w:lineRule="auto"/>
              <w:ind w:firstLine="0" w:firstLineChars="0"/>
              <w:jc w:val="center"/>
            </w:pPr>
            <w:r>
              <w:t>——</w:t>
            </w:r>
          </w:p>
        </w:tc>
        <w:tc>
          <w:tcPr>
            <w:tcW w:w="4524" w:type="pct"/>
            <w:vAlign w:val="center"/>
          </w:tcPr>
          <w:p w14:paraId="445FA11F">
            <w:pPr>
              <w:pStyle w:val="56"/>
              <w:spacing w:line="360" w:lineRule="auto"/>
              <w:ind w:firstLine="0" w:firstLineChars="0"/>
            </w:pPr>
            <w:r>
              <w:rPr>
                <w:rFonts w:hint="eastAsia"/>
              </w:rPr>
              <w:t>活动数据，根据不同类型活动选择相应单位，燃料消耗量可用吨（t）、电力使用量可用千瓦时（kWh）、产量可用吨（t）等；</w:t>
            </w:r>
          </w:p>
        </w:tc>
      </w:tr>
      <w:tr w14:paraId="7102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239" w:type="pct"/>
          </w:tcPr>
          <w:p w14:paraId="712703E4">
            <w:pPr>
              <w:pStyle w:val="56"/>
              <w:spacing w:line="360" w:lineRule="auto"/>
              <w:ind w:firstLine="0" w:firstLineChars="0"/>
              <w:jc w:val="center"/>
            </w:pPr>
            <m:oMathPara>
              <m:oMath>
                <m:r>
                  <m:rPr/>
                  <w:rPr>
                    <w:rFonts w:ascii="Cambria Math" w:hAnsi="Cambria Math"/>
                  </w:rPr>
                  <m:t>EF</m:t>
                </m:r>
              </m:oMath>
            </m:oMathPara>
          </w:p>
        </w:tc>
        <w:tc>
          <w:tcPr>
            <w:tcW w:w="237" w:type="pct"/>
          </w:tcPr>
          <w:p w14:paraId="00CD33F3">
            <w:pPr>
              <w:pStyle w:val="56"/>
              <w:spacing w:line="360" w:lineRule="auto"/>
              <w:ind w:firstLine="0" w:firstLineChars="0"/>
              <w:jc w:val="center"/>
            </w:pPr>
            <w:r>
              <w:t>——</w:t>
            </w:r>
          </w:p>
        </w:tc>
        <w:tc>
          <w:tcPr>
            <w:tcW w:w="4524" w:type="pct"/>
          </w:tcPr>
          <w:p w14:paraId="5B4E96F7">
            <w:pPr>
              <w:pStyle w:val="56"/>
              <w:spacing w:line="360" w:lineRule="auto"/>
              <w:ind w:firstLine="0" w:firstLineChars="0"/>
              <w:rPr>
                <w:rFonts w:hint="eastAsia"/>
              </w:rPr>
            </w:pPr>
            <w:r>
              <w:rPr>
                <w:rFonts w:hint="eastAsia"/>
              </w:rPr>
              <w:t>排放因子，单位为吨二氧化碳当量</w:t>
            </w:r>
            <w:r>
              <w:t>/</w:t>
            </w:r>
            <w:r>
              <w:rPr>
                <w:rFonts w:hint="eastAsia"/>
              </w:rPr>
              <w:t>单位活动数据（</w:t>
            </w:r>
            <w:r>
              <w:t>t CO₂e/</w:t>
            </w:r>
            <w:r>
              <w:rPr>
                <w:rFonts w:hint="eastAsia"/>
              </w:rPr>
              <w:t>单位），其中“单位”需与</w:t>
            </w:r>
            <w:r>
              <w:t>AD</w:t>
            </w:r>
            <w:r>
              <w:rPr>
                <w:rFonts w:hint="eastAsia"/>
              </w:rPr>
              <w:t>对应，例如</w:t>
            </w:r>
            <w:r>
              <w:t>t CO₂e/t</w:t>
            </w:r>
            <w:r>
              <w:rPr>
                <w:rFonts w:hint="eastAsia"/>
              </w:rPr>
              <w:t>燃料、</w:t>
            </w:r>
            <w:r>
              <w:t>t CO₂e/kWh</w:t>
            </w:r>
            <w:r>
              <w:rPr>
                <w:rFonts w:hint="eastAsia"/>
              </w:rPr>
              <w:t>电力等；</w:t>
            </w:r>
          </w:p>
        </w:tc>
      </w:tr>
      <w:tr w14:paraId="388B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right"/>
        </w:trPr>
        <w:tc>
          <w:tcPr>
            <w:tcW w:w="239" w:type="pct"/>
            <w:vAlign w:val="center"/>
          </w:tcPr>
          <w:p w14:paraId="7FB3EBA2">
            <w:pPr>
              <w:pStyle w:val="56"/>
              <w:spacing w:line="360" w:lineRule="auto"/>
              <w:ind w:firstLine="0" w:firstLineChars="0"/>
              <w:rPr>
                <w:rFonts w:ascii="Calibri" w:hAnsi="Calibri"/>
              </w:rPr>
            </w:pPr>
            <m:oMathPara>
              <m:oMath>
                <m:r>
                  <m:rPr/>
                  <w:rPr>
                    <w:rFonts w:hint="eastAsia" w:ascii="Cambria Math" w:hAnsi="Cambria Math"/>
                  </w:rPr>
                  <m:t>η</m:t>
                </m:r>
              </m:oMath>
            </m:oMathPara>
          </w:p>
        </w:tc>
        <w:tc>
          <w:tcPr>
            <w:tcW w:w="237" w:type="pct"/>
            <w:vAlign w:val="center"/>
          </w:tcPr>
          <w:p w14:paraId="34639319">
            <w:pPr>
              <w:pStyle w:val="56"/>
              <w:spacing w:line="360" w:lineRule="auto"/>
              <w:ind w:firstLine="0" w:firstLineChars="0"/>
              <w:jc w:val="center"/>
            </w:pPr>
            <w:r>
              <w:t>——</w:t>
            </w:r>
          </w:p>
        </w:tc>
        <w:tc>
          <w:tcPr>
            <w:tcW w:w="4524" w:type="pct"/>
          </w:tcPr>
          <w:p w14:paraId="6B0EF9A0">
            <w:pPr>
              <w:pStyle w:val="56"/>
              <w:spacing w:line="360" w:lineRule="auto"/>
              <w:ind w:firstLine="0" w:firstLineChars="0"/>
              <w:rPr>
                <w:rFonts w:hint="eastAsia"/>
              </w:rPr>
            </w:pPr>
            <w:r>
              <w:rPr>
                <w:rFonts w:hint="eastAsia"/>
              </w:rPr>
              <w:t>减排率或回收利用率，无量纲（如有则以小数形式填写，无则为0）。</w:t>
            </w:r>
          </w:p>
        </w:tc>
      </w:tr>
    </w:tbl>
    <w:p w14:paraId="0DAD8C7A">
      <w:pPr>
        <w:pStyle w:val="105"/>
        <w:spacing w:before="120" w:after="120" w:line="360" w:lineRule="auto"/>
      </w:pPr>
      <w:r>
        <w:rPr>
          <w:rFonts w:hint="eastAsia"/>
        </w:rPr>
        <w:t>直接排放核算方法</w:t>
      </w:r>
    </w:p>
    <w:p w14:paraId="55F2EC53">
      <w:pPr>
        <w:pStyle w:val="56"/>
        <w:spacing w:line="360" w:lineRule="auto"/>
        <w:ind w:firstLine="420"/>
      </w:pPr>
      <w:r>
        <w:rPr>
          <w:rFonts w:hint="eastAsia"/>
        </w:rPr>
        <w:t>直接排放包括化石燃料燃烧、工艺过程和固定排放源排放等。</w:t>
      </w:r>
    </w:p>
    <w:p w14:paraId="3154AA25">
      <w:pPr>
        <w:pStyle w:val="56"/>
        <w:spacing w:line="360" w:lineRule="auto"/>
        <w:ind w:firstLine="420"/>
      </w:pPr>
      <w:r>
        <w:rPr>
          <w:rFonts w:hint="eastAsia"/>
        </w:rPr>
        <w:t>在核算直接排放时，应优先采用企业自有监测设备的实测数据，如烟气在线监测系统（CEMS）数据；在无条件的情况下，可使用国家或国际认可的排放因子。</w:t>
      </w:r>
    </w:p>
    <w:p w14:paraId="1810135A">
      <w:pPr>
        <w:pStyle w:val="56"/>
        <w:spacing w:line="360" w:lineRule="auto"/>
        <w:ind w:firstLine="420"/>
      </w:pPr>
      <w:r>
        <w:rPr>
          <w:rFonts w:hint="eastAsia"/>
        </w:rPr>
        <w:t>常见直接排放源活动数据示例见表1。</w:t>
      </w:r>
    </w:p>
    <w:p w14:paraId="7DA80DCE">
      <w:pPr>
        <w:pStyle w:val="112"/>
        <w:spacing w:before="120" w:after="120" w:line="360" w:lineRule="auto"/>
      </w:pPr>
      <w:r>
        <w:rPr>
          <w:rFonts w:hint="eastAsia"/>
        </w:rPr>
        <w:t>常见直接排放源活动数据示例</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94"/>
        <w:gridCol w:w="3062"/>
        <w:gridCol w:w="3918"/>
      </w:tblGrid>
      <w:tr w14:paraId="1DA51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77" w:type="pct"/>
            <w:tcBorders>
              <w:top w:val="single" w:color="auto" w:sz="8" w:space="0"/>
              <w:bottom w:val="single" w:color="auto" w:sz="8" w:space="0"/>
            </w:tcBorders>
          </w:tcPr>
          <w:p w14:paraId="32765628">
            <w:pPr>
              <w:pStyle w:val="178"/>
            </w:pPr>
            <w:r>
              <w:rPr>
                <w:rFonts w:hint="eastAsia"/>
              </w:rPr>
              <w:t>排放源类别</w:t>
            </w:r>
          </w:p>
        </w:tc>
        <w:tc>
          <w:tcPr>
            <w:tcW w:w="1633" w:type="pct"/>
            <w:tcBorders>
              <w:top w:val="single" w:color="auto" w:sz="8" w:space="0"/>
              <w:bottom w:val="single" w:color="auto" w:sz="8" w:space="0"/>
            </w:tcBorders>
          </w:tcPr>
          <w:p w14:paraId="00D41480">
            <w:pPr>
              <w:pStyle w:val="178"/>
            </w:pPr>
            <w:r>
              <w:rPr>
                <w:rFonts w:hint="eastAsia"/>
              </w:rPr>
              <w:t>活动数据示例</w:t>
            </w:r>
          </w:p>
        </w:tc>
        <w:tc>
          <w:tcPr>
            <w:tcW w:w="2091" w:type="pct"/>
            <w:tcBorders>
              <w:top w:val="single" w:color="auto" w:sz="8" w:space="0"/>
              <w:bottom w:val="single" w:color="auto" w:sz="8" w:space="0"/>
            </w:tcBorders>
          </w:tcPr>
          <w:p w14:paraId="57DEE932">
            <w:pPr>
              <w:pStyle w:val="178"/>
            </w:pPr>
            <w:r>
              <w:rPr>
                <w:rFonts w:hint="eastAsia"/>
              </w:rPr>
              <w:t>备注</w:t>
            </w:r>
          </w:p>
        </w:tc>
      </w:tr>
      <w:tr w14:paraId="125F8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77" w:type="pct"/>
            <w:tcBorders>
              <w:top w:val="single" w:color="auto" w:sz="8" w:space="0"/>
            </w:tcBorders>
          </w:tcPr>
          <w:p w14:paraId="61DD8F3E">
            <w:pPr>
              <w:pStyle w:val="178"/>
            </w:pPr>
            <w:r>
              <w:rPr>
                <w:rFonts w:hint="eastAsia"/>
              </w:rPr>
              <w:t>煤炭燃烧</w:t>
            </w:r>
          </w:p>
        </w:tc>
        <w:tc>
          <w:tcPr>
            <w:tcW w:w="1633" w:type="pct"/>
            <w:tcBorders>
              <w:top w:val="single" w:color="auto" w:sz="8" w:space="0"/>
            </w:tcBorders>
          </w:tcPr>
          <w:p w14:paraId="0BCD2F91">
            <w:pPr>
              <w:pStyle w:val="178"/>
            </w:pPr>
            <w:r>
              <w:rPr>
                <w:rFonts w:hint="eastAsia"/>
              </w:rPr>
              <w:t>消耗量（t）</w:t>
            </w:r>
          </w:p>
        </w:tc>
        <w:tc>
          <w:tcPr>
            <w:tcW w:w="2091" w:type="pct"/>
            <w:tcBorders>
              <w:top w:val="single" w:color="auto" w:sz="8" w:space="0"/>
            </w:tcBorders>
          </w:tcPr>
          <w:p w14:paraId="66562893">
            <w:pPr>
              <w:pStyle w:val="178"/>
            </w:pPr>
            <w:r>
              <w:rPr>
                <w:rFonts w:hint="eastAsia"/>
              </w:rPr>
              <w:t>根据煤种调整</w:t>
            </w:r>
          </w:p>
        </w:tc>
      </w:tr>
      <w:tr w14:paraId="738E4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77" w:type="pct"/>
          </w:tcPr>
          <w:p w14:paraId="763A88CE">
            <w:pPr>
              <w:pStyle w:val="178"/>
            </w:pPr>
            <w:r>
              <w:rPr>
                <w:rFonts w:hint="eastAsia"/>
              </w:rPr>
              <w:t>天然气燃烧</w:t>
            </w:r>
          </w:p>
        </w:tc>
        <w:tc>
          <w:tcPr>
            <w:tcW w:w="1633" w:type="pct"/>
          </w:tcPr>
          <w:p w14:paraId="3E9F4CE2">
            <w:pPr>
              <w:pStyle w:val="178"/>
            </w:pPr>
            <w:r>
              <w:rPr>
                <w:rFonts w:hint="eastAsia"/>
              </w:rPr>
              <w:t>消耗量（m³）</w:t>
            </w:r>
          </w:p>
        </w:tc>
        <w:tc>
          <w:tcPr>
            <w:tcW w:w="2091" w:type="pct"/>
          </w:tcPr>
          <w:p w14:paraId="6442D911">
            <w:pPr>
              <w:pStyle w:val="178"/>
            </w:pPr>
            <w:r>
              <w:rPr>
                <w:rFonts w:hint="eastAsia"/>
              </w:rPr>
              <w:t>考虑气质差异</w:t>
            </w:r>
          </w:p>
        </w:tc>
      </w:tr>
    </w:tbl>
    <w:p w14:paraId="4AE88514">
      <w:pPr>
        <w:pStyle w:val="56"/>
        <w:spacing w:before="120" w:beforeLines="50" w:after="120" w:afterLines="50"/>
        <w:ind w:firstLine="0" w:firstLineChars="0"/>
        <w:jc w:val="center"/>
        <w:rPr>
          <w:rFonts w:ascii="黑体" w:hAnsi="黑体" w:eastAsia="黑体"/>
        </w:rPr>
      </w:pPr>
      <w:r>
        <w:rPr>
          <w:rFonts w:hint="eastAsia" w:ascii="黑体" w:hAnsi="黑体" w:eastAsia="黑体"/>
        </w:rPr>
        <w:t>表1  常见直接排放源及核算参数</w:t>
      </w:r>
      <w:r>
        <w:rPr>
          <w:rFonts w:hint="eastAsia" w:hAnsi="宋体"/>
        </w:rPr>
        <w:t>（续）</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94"/>
        <w:gridCol w:w="3062"/>
        <w:gridCol w:w="3918"/>
      </w:tblGrid>
      <w:tr w14:paraId="126C4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77" w:type="pct"/>
            <w:tcBorders>
              <w:top w:val="single" w:color="auto" w:sz="8" w:space="0"/>
              <w:bottom w:val="single" w:color="auto" w:sz="8" w:space="0"/>
            </w:tcBorders>
          </w:tcPr>
          <w:p w14:paraId="55461D37">
            <w:pPr>
              <w:pStyle w:val="178"/>
            </w:pPr>
            <w:r>
              <w:rPr>
                <w:rFonts w:hint="eastAsia"/>
              </w:rPr>
              <w:t>排放源类别</w:t>
            </w:r>
          </w:p>
        </w:tc>
        <w:tc>
          <w:tcPr>
            <w:tcW w:w="1633" w:type="pct"/>
            <w:tcBorders>
              <w:top w:val="single" w:color="auto" w:sz="8" w:space="0"/>
              <w:bottom w:val="single" w:color="auto" w:sz="8" w:space="0"/>
            </w:tcBorders>
          </w:tcPr>
          <w:p w14:paraId="7DDBB5B9">
            <w:pPr>
              <w:pStyle w:val="178"/>
            </w:pPr>
            <w:r>
              <w:rPr>
                <w:rFonts w:hint="eastAsia"/>
              </w:rPr>
              <w:t>活动数据示例</w:t>
            </w:r>
          </w:p>
        </w:tc>
        <w:tc>
          <w:tcPr>
            <w:tcW w:w="2091" w:type="pct"/>
            <w:tcBorders>
              <w:top w:val="single" w:color="auto" w:sz="8" w:space="0"/>
              <w:bottom w:val="single" w:color="auto" w:sz="8" w:space="0"/>
            </w:tcBorders>
          </w:tcPr>
          <w:p w14:paraId="70D765E0">
            <w:pPr>
              <w:pStyle w:val="178"/>
            </w:pPr>
            <w:r>
              <w:rPr>
                <w:rFonts w:hint="eastAsia"/>
              </w:rPr>
              <w:t>备注</w:t>
            </w:r>
          </w:p>
        </w:tc>
      </w:tr>
      <w:tr w14:paraId="562EC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77" w:type="pct"/>
            <w:tcBorders>
              <w:bottom w:val="single" w:color="auto" w:sz="2" w:space="0"/>
            </w:tcBorders>
          </w:tcPr>
          <w:p w14:paraId="361DE9B2">
            <w:pPr>
              <w:pStyle w:val="178"/>
            </w:pPr>
            <w:r>
              <w:rPr>
                <w:rFonts w:hint="eastAsia"/>
              </w:rPr>
              <w:t>石油产品燃烧</w:t>
            </w:r>
          </w:p>
        </w:tc>
        <w:tc>
          <w:tcPr>
            <w:tcW w:w="1633" w:type="pct"/>
            <w:tcBorders>
              <w:bottom w:val="single" w:color="auto" w:sz="2" w:space="0"/>
            </w:tcBorders>
          </w:tcPr>
          <w:p w14:paraId="349B3372">
            <w:pPr>
              <w:pStyle w:val="178"/>
            </w:pPr>
            <w:r>
              <w:rPr>
                <w:rFonts w:hint="eastAsia"/>
              </w:rPr>
              <w:t>消耗量（t）</w:t>
            </w:r>
          </w:p>
        </w:tc>
        <w:tc>
          <w:tcPr>
            <w:tcW w:w="2091" w:type="pct"/>
            <w:tcBorders>
              <w:bottom w:val="single" w:color="auto" w:sz="2" w:space="0"/>
            </w:tcBorders>
          </w:tcPr>
          <w:p w14:paraId="411177D4">
            <w:pPr>
              <w:pStyle w:val="178"/>
            </w:pPr>
            <w:r>
              <w:rPr>
                <w:rFonts w:hint="eastAsia"/>
              </w:rPr>
              <w:t>包括柴油、汽油、重油等</w:t>
            </w:r>
          </w:p>
        </w:tc>
      </w:tr>
      <w:tr w14:paraId="3EEFA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77" w:type="pct"/>
            <w:tcBorders>
              <w:top w:val="single" w:color="auto" w:sz="2" w:space="0"/>
              <w:bottom w:val="single" w:color="auto" w:sz="4" w:space="0"/>
            </w:tcBorders>
            <w:shd w:val="clear" w:color="auto" w:fill="auto"/>
          </w:tcPr>
          <w:p w14:paraId="5C1E129D">
            <w:pPr>
              <w:pStyle w:val="178"/>
            </w:pPr>
            <w:r>
              <w:rPr>
                <w:rFonts w:hint="eastAsia"/>
              </w:rPr>
              <w:t>工艺反应</w:t>
            </w:r>
          </w:p>
        </w:tc>
        <w:tc>
          <w:tcPr>
            <w:tcW w:w="1633" w:type="pct"/>
            <w:tcBorders>
              <w:top w:val="single" w:color="auto" w:sz="2" w:space="0"/>
              <w:bottom w:val="single" w:color="auto" w:sz="4" w:space="0"/>
            </w:tcBorders>
            <w:shd w:val="clear" w:color="auto" w:fill="auto"/>
          </w:tcPr>
          <w:p w14:paraId="08BCE722">
            <w:pPr>
              <w:pStyle w:val="178"/>
            </w:pPr>
            <w:r>
              <w:rPr>
                <w:rFonts w:hint="eastAsia"/>
              </w:rPr>
              <w:t>产品产量（t）</w:t>
            </w:r>
          </w:p>
        </w:tc>
        <w:tc>
          <w:tcPr>
            <w:tcW w:w="2091" w:type="pct"/>
            <w:tcBorders>
              <w:top w:val="single" w:color="auto" w:sz="2" w:space="0"/>
              <w:bottom w:val="single" w:color="auto" w:sz="4" w:space="0"/>
            </w:tcBorders>
            <w:shd w:val="clear" w:color="auto" w:fill="auto"/>
          </w:tcPr>
          <w:p w14:paraId="51FBAB83">
            <w:pPr>
              <w:pStyle w:val="178"/>
            </w:pPr>
            <w:r>
              <w:rPr>
                <w:rFonts w:hint="eastAsia"/>
              </w:rPr>
              <w:t>如水泥熟料生产、钢铁冶炼</w:t>
            </w:r>
          </w:p>
        </w:tc>
      </w:tr>
      <w:tr w14:paraId="016E7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77" w:type="pct"/>
            <w:tcBorders>
              <w:top w:val="single" w:color="auto" w:sz="4" w:space="0"/>
            </w:tcBorders>
          </w:tcPr>
          <w:p w14:paraId="0B1527D7">
            <w:pPr>
              <w:pStyle w:val="178"/>
            </w:pPr>
            <w:r>
              <w:rPr>
                <w:rFonts w:hint="eastAsia"/>
              </w:rPr>
              <w:t>固定排放源</w:t>
            </w:r>
          </w:p>
        </w:tc>
        <w:tc>
          <w:tcPr>
            <w:tcW w:w="1633" w:type="pct"/>
            <w:tcBorders>
              <w:top w:val="single" w:color="auto" w:sz="4" w:space="0"/>
            </w:tcBorders>
          </w:tcPr>
          <w:p w14:paraId="45A61F1F">
            <w:pPr>
              <w:pStyle w:val="178"/>
            </w:pPr>
            <w:r>
              <w:rPr>
                <w:rFonts w:hint="eastAsia"/>
              </w:rPr>
              <w:t>烟气流量、</w:t>
            </w:r>
            <w:r>
              <w:t>CO</w:t>
            </w:r>
            <w:r>
              <w:rPr>
                <w:rFonts w:ascii="Cambria Math" w:hAnsi="Cambria Math" w:cs="Cambria Math"/>
              </w:rPr>
              <w:t>₂</w:t>
            </w:r>
            <w:r>
              <w:rPr>
                <w:rFonts w:hint="eastAsia"/>
              </w:rPr>
              <w:t>浓度</w:t>
            </w:r>
          </w:p>
        </w:tc>
        <w:tc>
          <w:tcPr>
            <w:tcW w:w="2091" w:type="pct"/>
            <w:tcBorders>
              <w:top w:val="single" w:color="auto" w:sz="4" w:space="0"/>
            </w:tcBorders>
          </w:tcPr>
          <w:p w14:paraId="1104D510">
            <w:pPr>
              <w:pStyle w:val="178"/>
            </w:pPr>
            <w:r>
              <w:t>CEMS</w:t>
            </w:r>
            <w:r>
              <w:rPr>
                <w:rFonts w:hint="eastAsia"/>
              </w:rPr>
              <w:t>数据优先</w:t>
            </w:r>
          </w:p>
        </w:tc>
      </w:tr>
    </w:tbl>
    <w:p w14:paraId="49B5FCDF">
      <w:pPr>
        <w:pStyle w:val="105"/>
        <w:spacing w:before="120" w:after="120" w:line="360" w:lineRule="auto"/>
      </w:pPr>
      <w:r>
        <w:rPr>
          <w:rFonts w:hint="eastAsia"/>
        </w:rPr>
        <w:t>间接排放核算方法</w:t>
      </w:r>
    </w:p>
    <w:p w14:paraId="65B2DB90">
      <w:pPr>
        <w:pStyle w:val="56"/>
        <w:spacing w:line="360" w:lineRule="auto"/>
        <w:ind w:firstLine="420"/>
      </w:pPr>
      <w:r>
        <w:rPr>
          <w:rFonts w:hint="eastAsia"/>
        </w:rPr>
        <w:t>间接排放主要来源于企业外购电力、热力、蒸汽等的使用。核算应基于实际用量，并采用所在地电网或供应方提供的排放因子。</w:t>
      </w:r>
    </w:p>
    <w:p w14:paraId="6166A067">
      <w:pPr>
        <w:pStyle w:val="56"/>
        <w:spacing w:line="360" w:lineRule="auto"/>
        <w:ind w:firstLine="420"/>
      </w:pPr>
      <w:r>
        <w:rPr>
          <w:rFonts w:hint="eastAsia"/>
        </w:rPr>
        <w:t>常见间接排放类型及其核算方法见表2。</w:t>
      </w:r>
    </w:p>
    <w:p w14:paraId="491B786C">
      <w:pPr>
        <w:pStyle w:val="112"/>
        <w:spacing w:before="120" w:after="120" w:line="360" w:lineRule="auto"/>
      </w:pPr>
      <w:r>
        <w:rPr>
          <w:rFonts w:hint="eastAsia"/>
        </w:rPr>
        <w:t>常见间接排放类型及核算方法参考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843"/>
        <w:gridCol w:w="3324"/>
        <w:gridCol w:w="2334"/>
      </w:tblGrid>
      <w:tr w14:paraId="66F15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56F74F5B">
            <w:pPr>
              <w:pStyle w:val="178"/>
            </w:pPr>
            <w:r>
              <w:rPr>
                <w:rFonts w:hint="eastAsia"/>
              </w:rPr>
              <w:t>排放类型</w:t>
            </w:r>
          </w:p>
        </w:tc>
        <w:tc>
          <w:tcPr>
            <w:tcW w:w="1843" w:type="dxa"/>
            <w:tcBorders>
              <w:top w:val="single" w:color="auto" w:sz="8" w:space="0"/>
              <w:bottom w:val="single" w:color="auto" w:sz="8" w:space="0"/>
            </w:tcBorders>
          </w:tcPr>
          <w:p w14:paraId="68AC2B7A">
            <w:pPr>
              <w:pStyle w:val="178"/>
            </w:pPr>
            <w:r>
              <w:rPr>
                <w:rFonts w:hint="eastAsia"/>
              </w:rPr>
              <w:t>活动数据</w:t>
            </w:r>
          </w:p>
        </w:tc>
        <w:tc>
          <w:tcPr>
            <w:tcW w:w="3324" w:type="dxa"/>
            <w:tcBorders>
              <w:top w:val="single" w:color="auto" w:sz="8" w:space="0"/>
              <w:bottom w:val="single" w:color="auto" w:sz="8" w:space="0"/>
            </w:tcBorders>
          </w:tcPr>
          <w:p w14:paraId="300CC3DC">
            <w:pPr>
              <w:pStyle w:val="178"/>
            </w:pPr>
            <w:r>
              <w:rPr>
                <w:rFonts w:hint="eastAsia"/>
              </w:rPr>
              <w:t>排放因子参考来源</w:t>
            </w:r>
          </w:p>
        </w:tc>
        <w:tc>
          <w:tcPr>
            <w:tcW w:w="2334" w:type="dxa"/>
            <w:tcBorders>
              <w:top w:val="single" w:color="auto" w:sz="8" w:space="0"/>
              <w:bottom w:val="single" w:color="auto" w:sz="8" w:space="0"/>
            </w:tcBorders>
          </w:tcPr>
          <w:p w14:paraId="74C28EE8">
            <w:pPr>
              <w:pStyle w:val="178"/>
            </w:pPr>
            <w:r>
              <w:rPr>
                <w:rFonts w:hint="eastAsia"/>
              </w:rPr>
              <w:t>备注</w:t>
            </w:r>
          </w:p>
        </w:tc>
      </w:tr>
      <w:tr w14:paraId="74EFB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54DB50C6">
            <w:pPr>
              <w:pStyle w:val="178"/>
            </w:pPr>
            <w:r>
              <w:rPr>
                <w:rFonts w:hint="eastAsia"/>
              </w:rPr>
              <w:t>外购电力</w:t>
            </w:r>
          </w:p>
        </w:tc>
        <w:tc>
          <w:tcPr>
            <w:tcW w:w="1843" w:type="dxa"/>
            <w:tcBorders>
              <w:top w:val="single" w:color="auto" w:sz="8" w:space="0"/>
            </w:tcBorders>
          </w:tcPr>
          <w:p w14:paraId="7CB6A952">
            <w:pPr>
              <w:pStyle w:val="178"/>
            </w:pPr>
            <w:r>
              <w:rPr>
                <w:rFonts w:hint="eastAsia"/>
              </w:rPr>
              <w:t>用电量（kWh）</w:t>
            </w:r>
          </w:p>
        </w:tc>
        <w:tc>
          <w:tcPr>
            <w:tcW w:w="3324" w:type="dxa"/>
            <w:tcBorders>
              <w:top w:val="single" w:color="auto" w:sz="8" w:space="0"/>
            </w:tcBorders>
          </w:tcPr>
          <w:p w14:paraId="068AB67D">
            <w:pPr>
              <w:pStyle w:val="178"/>
            </w:pPr>
            <w:r>
              <w:rPr>
                <w:rFonts w:hint="eastAsia"/>
              </w:rPr>
              <w:t>国家电网年度排放因子</w:t>
            </w:r>
          </w:p>
        </w:tc>
        <w:tc>
          <w:tcPr>
            <w:tcW w:w="2334" w:type="dxa"/>
            <w:tcBorders>
              <w:top w:val="single" w:color="auto" w:sz="8" w:space="0"/>
            </w:tcBorders>
          </w:tcPr>
          <w:p w14:paraId="12878B17">
            <w:pPr>
              <w:pStyle w:val="178"/>
            </w:pPr>
            <w:r>
              <w:rPr>
                <w:rFonts w:hint="eastAsia"/>
              </w:rPr>
              <w:t>不含自备电厂电量</w:t>
            </w:r>
          </w:p>
        </w:tc>
      </w:tr>
      <w:tr w14:paraId="2CD18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2B08D4BB">
            <w:pPr>
              <w:pStyle w:val="178"/>
            </w:pPr>
            <w:r>
              <w:rPr>
                <w:rFonts w:hint="eastAsia"/>
              </w:rPr>
              <w:t>外购热力</w:t>
            </w:r>
          </w:p>
        </w:tc>
        <w:tc>
          <w:tcPr>
            <w:tcW w:w="1843" w:type="dxa"/>
          </w:tcPr>
          <w:p w14:paraId="0CD5CF3F">
            <w:pPr>
              <w:pStyle w:val="178"/>
            </w:pPr>
            <w:r>
              <w:rPr>
                <w:rFonts w:hint="eastAsia"/>
              </w:rPr>
              <w:t>热量（GJ）</w:t>
            </w:r>
          </w:p>
        </w:tc>
        <w:tc>
          <w:tcPr>
            <w:tcW w:w="3324" w:type="dxa"/>
          </w:tcPr>
          <w:p w14:paraId="017C580A">
            <w:pPr>
              <w:pStyle w:val="178"/>
            </w:pPr>
            <w:r>
              <w:rPr>
                <w:rFonts w:hint="eastAsia"/>
              </w:rPr>
              <w:t>热力供应方数据或行业平均值</w:t>
            </w:r>
          </w:p>
        </w:tc>
        <w:tc>
          <w:tcPr>
            <w:tcW w:w="2334" w:type="dxa"/>
          </w:tcPr>
          <w:p w14:paraId="1A4A3B4C">
            <w:pPr>
              <w:pStyle w:val="178"/>
            </w:pPr>
            <w:r>
              <w:rPr>
                <w:rFonts w:hint="eastAsia"/>
              </w:rPr>
              <w:t>—</w:t>
            </w:r>
          </w:p>
        </w:tc>
      </w:tr>
      <w:tr w14:paraId="3FBD5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7D3175BD">
            <w:pPr>
              <w:pStyle w:val="178"/>
            </w:pPr>
            <w:r>
              <w:rPr>
                <w:rFonts w:hint="eastAsia"/>
              </w:rPr>
              <w:t>外购蒸汽</w:t>
            </w:r>
          </w:p>
        </w:tc>
        <w:tc>
          <w:tcPr>
            <w:tcW w:w="1843" w:type="dxa"/>
          </w:tcPr>
          <w:p w14:paraId="6D7EDB17">
            <w:pPr>
              <w:pStyle w:val="178"/>
            </w:pPr>
            <w:r>
              <w:rPr>
                <w:rFonts w:hint="eastAsia"/>
              </w:rPr>
              <w:t>蒸汽量（t）</w:t>
            </w:r>
          </w:p>
        </w:tc>
        <w:tc>
          <w:tcPr>
            <w:tcW w:w="3324" w:type="dxa"/>
          </w:tcPr>
          <w:p w14:paraId="36A7FA84">
            <w:pPr>
              <w:pStyle w:val="178"/>
            </w:pPr>
            <w:r>
              <w:rPr>
                <w:rFonts w:hint="eastAsia"/>
              </w:rPr>
              <w:t>热力供应方数据或行业平均值</w:t>
            </w:r>
          </w:p>
        </w:tc>
        <w:tc>
          <w:tcPr>
            <w:tcW w:w="2334" w:type="dxa"/>
          </w:tcPr>
          <w:p w14:paraId="654268DA">
            <w:pPr>
              <w:pStyle w:val="178"/>
            </w:pPr>
            <w:r>
              <w:rPr>
                <w:rFonts w:hint="eastAsia"/>
              </w:rPr>
              <w:t>需考虑蒸汽参数差异</w:t>
            </w:r>
          </w:p>
        </w:tc>
      </w:tr>
    </w:tbl>
    <w:p w14:paraId="16D458CF">
      <w:pPr>
        <w:pStyle w:val="105"/>
        <w:spacing w:before="120" w:after="120" w:line="360" w:lineRule="auto"/>
      </w:pPr>
      <w:r>
        <w:rPr>
          <w:rFonts w:hint="eastAsia"/>
        </w:rPr>
        <w:t>其他排放核算</w:t>
      </w:r>
    </w:p>
    <w:p w14:paraId="6B5FA895">
      <w:pPr>
        <w:pStyle w:val="56"/>
        <w:spacing w:line="360" w:lineRule="auto"/>
        <w:ind w:firstLine="420"/>
      </w:pPr>
      <w:r>
        <w:rPr>
          <w:rFonts w:hint="eastAsia"/>
        </w:rPr>
        <w:t>除直接和间接排放外，还应考虑废弃物处理、冷媒泄漏、生物质燃烧等特殊排放源的核算。企业应根据实际情况，参考相关行业指南补充核算。</w:t>
      </w:r>
    </w:p>
    <w:p w14:paraId="51574409">
      <w:pPr>
        <w:pStyle w:val="56"/>
        <w:spacing w:line="360" w:lineRule="auto"/>
        <w:ind w:firstLine="420"/>
      </w:pPr>
      <w:r>
        <w:rPr>
          <w:rFonts w:hint="eastAsia"/>
        </w:rPr>
        <w:t>在特定情况下，如温室气体回收利用可抵扣相应排放量，但必须提供完整的监测和记录。</w:t>
      </w:r>
    </w:p>
    <w:p w14:paraId="5D4A82B6">
      <w:pPr>
        <w:pStyle w:val="104"/>
        <w:spacing w:before="240" w:after="240" w:line="360" w:lineRule="auto"/>
      </w:pPr>
      <w:bookmarkStart w:id="53" w:name="_Toc205664445"/>
      <w:r>
        <w:rPr>
          <w:rFonts w:hint="eastAsia"/>
        </w:rPr>
        <w:t>核算流程</w:t>
      </w:r>
      <w:bookmarkEnd w:id="53"/>
    </w:p>
    <w:p w14:paraId="0467E799">
      <w:pPr>
        <w:pStyle w:val="105"/>
        <w:spacing w:before="120" w:after="120" w:line="360" w:lineRule="auto"/>
      </w:pPr>
      <w:r>
        <w:rPr>
          <w:rFonts w:hint="eastAsia"/>
        </w:rPr>
        <w:t>确定核算边界</w:t>
      </w:r>
    </w:p>
    <w:p w14:paraId="44569503">
      <w:pPr>
        <w:pStyle w:val="56"/>
        <w:spacing w:line="360" w:lineRule="auto"/>
        <w:ind w:firstLine="420"/>
      </w:pPr>
      <w:r>
        <w:rPr>
          <w:rFonts w:hint="eastAsia"/>
        </w:rPr>
        <w:t>核算边界分为组织边界和运营边界：</w:t>
      </w:r>
    </w:p>
    <w:p w14:paraId="489F5C52">
      <w:pPr>
        <w:pStyle w:val="132"/>
        <w:spacing w:line="360" w:lineRule="auto"/>
      </w:pPr>
      <w:r>
        <w:rPr>
          <w:rFonts w:hint="eastAsia"/>
        </w:rPr>
        <w:t>组织边界：明确核算所涵盖的组织范围，如全部法人实体、控股子公司或特定生产基地；</w:t>
      </w:r>
    </w:p>
    <w:p w14:paraId="7F195E6F">
      <w:pPr>
        <w:pStyle w:val="132"/>
        <w:spacing w:line="360" w:lineRule="auto"/>
      </w:pPr>
      <w:r>
        <w:rPr>
          <w:rFonts w:hint="eastAsia"/>
        </w:rPr>
        <w:t>运营边界：明确在组织边界内需核算的排放源类别，包括直接排放和间接排放。</w:t>
      </w:r>
    </w:p>
    <w:p w14:paraId="7ED21C5C">
      <w:pPr>
        <w:pStyle w:val="56"/>
        <w:spacing w:line="360" w:lineRule="auto"/>
        <w:ind w:firstLine="420"/>
      </w:pPr>
      <w:r>
        <w:rPr>
          <w:rFonts w:hint="eastAsia"/>
        </w:rPr>
        <w:t>在设定核算边界时，应参考相关要求，并记录边界确定的依据。</w:t>
      </w:r>
    </w:p>
    <w:p w14:paraId="03962A16">
      <w:pPr>
        <w:pStyle w:val="105"/>
        <w:spacing w:before="120" w:after="120" w:line="360" w:lineRule="auto"/>
      </w:pPr>
      <w:r>
        <w:rPr>
          <w:rFonts w:hint="eastAsia"/>
        </w:rPr>
        <w:t>数据收集</w:t>
      </w:r>
    </w:p>
    <w:p w14:paraId="32D93734">
      <w:pPr>
        <w:pStyle w:val="56"/>
        <w:spacing w:line="360" w:lineRule="auto"/>
        <w:ind w:firstLine="420"/>
      </w:pPr>
      <w:r>
        <w:rPr>
          <w:rFonts w:hint="eastAsia"/>
        </w:rPr>
        <w:t>数据收集是核算的基础，应确保数据的准确性、完整性和可追溯性。数据应来源于企业的生产记录、能源计量表、财务凭证、监测系统及外部供应方数据。</w:t>
      </w:r>
    </w:p>
    <w:p w14:paraId="7196ADFA">
      <w:pPr>
        <w:pStyle w:val="56"/>
        <w:spacing w:line="360" w:lineRule="auto"/>
        <w:ind w:firstLine="420"/>
      </w:pPr>
      <w:r>
        <w:rPr>
          <w:rFonts w:hint="eastAsia"/>
        </w:rPr>
        <w:t>数据收集的主要类别及常见数据来源见表3。</w:t>
      </w:r>
    </w:p>
    <w:p w14:paraId="6BE5ADBE">
      <w:pPr>
        <w:pStyle w:val="112"/>
        <w:spacing w:before="120" w:after="120" w:line="360" w:lineRule="auto"/>
      </w:pPr>
      <w:r>
        <w:rPr>
          <w:rFonts w:hint="eastAsia"/>
        </w:rPr>
        <w:t>核算数据收集类别与来源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822"/>
        <w:gridCol w:w="3112"/>
      </w:tblGrid>
      <w:tr w14:paraId="4DD0A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tcPr>
          <w:p w14:paraId="55DFC0DA">
            <w:pPr>
              <w:pStyle w:val="178"/>
            </w:pPr>
            <w:r>
              <w:rPr>
                <w:rFonts w:hint="eastAsia"/>
              </w:rPr>
              <w:t>数据类别</w:t>
            </w:r>
          </w:p>
        </w:tc>
        <w:tc>
          <w:tcPr>
            <w:tcW w:w="3822" w:type="dxa"/>
            <w:tcBorders>
              <w:top w:val="single" w:color="auto" w:sz="8" w:space="0"/>
              <w:bottom w:val="single" w:color="auto" w:sz="8" w:space="0"/>
            </w:tcBorders>
          </w:tcPr>
          <w:p w14:paraId="03F65D8A">
            <w:pPr>
              <w:pStyle w:val="178"/>
            </w:pPr>
            <w:r>
              <w:rPr>
                <w:rFonts w:hint="eastAsia"/>
              </w:rPr>
              <w:t>数据示例</w:t>
            </w:r>
          </w:p>
        </w:tc>
        <w:tc>
          <w:tcPr>
            <w:tcW w:w="3112" w:type="dxa"/>
            <w:tcBorders>
              <w:top w:val="single" w:color="auto" w:sz="8" w:space="0"/>
              <w:bottom w:val="single" w:color="auto" w:sz="8" w:space="0"/>
            </w:tcBorders>
          </w:tcPr>
          <w:p w14:paraId="1D6F31A7">
            <w:pPr>
              <w:pStyle w:val="178"/>
            </w:pPr>
            <w:r>
              <w:rPr>
                <w:rFonts w:hint="eastAsia"/>
              </w:rPr>
              <w:t>常见来源</w:t>
            </w:r>
          </w:p>
        </w:tc>
      </w:tr>
      <w:tr w14:paraId="68258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tcPr>
          <w:p w14:paraId="58D10F14">
            <w:pPr>
              <w:pStyle w:val="178"/>
            </w:pPr>
            <w:r>
              <w:rPr>
                <w:rFonts w:hint="eastAsia"/>
              </w:rPr>
              <w:t>能源消耗数据</w:t>
            </w:r>
          </w:p>
        </w:tc>
        <w:tc>
          <w:tcPr>
            <w:tcW w:w="3822" w:type="dxa"/>
            <w:tcBorders>
              <w:top w:val="single" w:color="auto" w:sz="8" w:space="0"/>
            </w:tcBorders>
          </w:tcPr>
          <w:p w14:paraId="673C63B4">
            <w:pPr>
              <w:pStyle w:val="178"/>
            </w:pPr>
            <w:r>
              <w:rPr>
                <w:rFonts w:hint="eastAsia"/>
              </w:rPr>
              <w:t>煤炭用量、天然气用量、电力消耗</w:t>
            </w:r>
          </w:p>
        </w:tc>
        <w:tc>
          <w:tcPr>
            <w:tcW w:w="3112" w:type="dxa"/>
            <w:tcBorders>
              <w:top w:val="single" w:color="auto" w:sz="8" w:space="0"/>
            </w:tcBorders>
          </w:tcPr>
          <w:p w14:paraId="12C9F0BF">
            <w:pPr>
              <w:pStyle w:val="178"/>
            </w:pPr>
            <w:r>
              <w:rPr>
                <w:rFonts w:hint="eastAsia"/>
              </w:rPr>
              <w:t>能源计量表、采购发票、仓储记录</w:t>
            </w:r>
          </w:p>
        </w:tc>
      </w:tr>
      <w:tr w14:paraId="3F1BE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02F78001">
            <w:pPr>
              <w:pStyle w:val="178"/>
            </w:pPr>
            <w:r>
              <w:rPr>
                <w:rFonts w:hint="eastAsia"/>
              </w:rPr>
              <w:t>生产数据</w:t>
            </w:r>
          </w:p>
        </w:tc>
        <w:tc>
          <w:tcPr>
            <w:tcW w:w="3822" w:type="dxa"/>
          </w:tcPr>
          <w:p w14:paraId="6BF64EF9">
            <w:pPr>
              <w:pStyle w:val="178"/>
            </w:pPr>
            <w:r>
              <w:rPr>
                <w:rFonts w:hint="eastAsia"/>
              </w:rPr>
              <w:t>产品产量、原材料消耗量</w:t>
            </w:r>
          </w:p>
        </w:tc>
        <w:tc>
          <w:tcPr>
            <w:tcW w:w="3112" w:type="dxa"/>
          </w:tcPr>
          <w:p w14:paraId="63409188">
            <w:pPr>
              <w:pStyle w:val="178"/>
            </w:pPr>
            <w:r>
              <w:rPr>
                <w:rFonts w:hint="eastAsia"/>
              </w:rPr>
              <w:t>生产日报表、物料管理系统</w:t>
            </w:r>
          </w:p>
        </w:tc>
      </w:tr>
      <w:tr w14:paraId="1CB4E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2D9AFFB2">
            <w:pPr>
              <w:pStyle w:val="178"/>
            </w:pPr>
            <w:r>
              <w:rPr>
                <w:rFonts w:hint="eastAsia"/>
              </w:rPr>
              <w:t>监测数据</w:t>
            </w:r>
          </w:p>
        </w:tc>
        <w:tc>
          <w:tcPr>
            <w:tcW w:w="3822" w:type="dxa"/>
          </w:tcPr>
          <w:p w14:paraId="2E502828">
            <w:pPr>
              <w:pStyle w:val="178"/>
            </w:pPr>
            <w:r>
              <w:rPr>
                <w:rFonts w:hint="eastAsia"/>
              </w:rPr>
              <w:t>烟气流量、浓度、温度</w:t>
            </w:r>
          </w:p>
        </w:tc>
        <w:tc>
          <w:tcPr>
            <w:tcW w:w="3112" w:type="dxa"/>
          </w:tcPr>
          <w:p w14:paraId="54214DDD">
            <w:pPr>
              <w:pStyle w:val="178"/>
            </w:pPr>
            <w:r>
              <w:rPr>
                <w:rFonts w:hint="eastAsia"/>
              </w:rPr>
              <w:t>CEMS、现场检测报告</w:t>
            </w:r>
          </w:p>
        </w:tc>
      </w:tr>
    </w:tbl>
    <w:p w14:paraId="7CA96520">
      <w:pPr>
        <w:pStyle w:val="56"/>
        <w:spacing w:before="120" w:beforeLines="50" w:after="120" w:afterLines="50"/>
        <w:ind w:firstLine="0" w:firstLineChars="0"/>
        <w:jc w:val="center"/>
        <w:rPr>
          <w:rFonts w:ascii="黑体" w:hAnsi="黑体" w:eastAsia="黑体"/>
        </w:rPr>
      </w:pPr>
      <w:r>
        <w:rPr>
          <w:rFonts w:hint="eastAsia" w:ascii="黑体" w:hAnsi="黑体" w:eastAsia="黑体"/>
        </w:rPr>
        <w:t>表3  核算数据收集类别与来源</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822"/>
        <w:gridCol w:w="3112"/>
      </w:tblGrid>
      <w:tr w14:paraId="3A24A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tcPr>
          <w:p w14:paraId="09996B99">
            <w:pPr>
              <w:pStyle w:val="178"/>
            </w:pPr>
            <w:r>
              <w:rPr>
                <w:rFonts w:hint="eastAsia"/>
              </w:rPr>
              <w:t>数据类别</w:t>
            </w:r>
          </w:p>
        </w:tc>
        <w:tc>
          <w:tcPr>
            <w:tcW w:w="3822" w:type="dxa"/>
            <w:tcBorders>
              <w:top w:val="single" w:color="auto" w:sz="8" w:space="0"/>
              <w:bottom w:val="single" w:color="auto" w:sz="8" w:space="0"/>
            </w:tcBorders>
          </w:tcPr>
          <w:p w14:paraId="5DC18081">
            <w:pPr>
              <w:pStyle w:val="178"/>
            </w:pPr>
            <w:r>
              <w:rPr>
                <w:rFonts w:hint="eastAsia"/>
              </w:rPr>
              <w:t>数据示例</w:t>
            </w:r>
          </w:p>
        </w:tc>
        <w:tc>
          <w:tcPr>
            <w:tcW w:w="3112" w:type="dxa"/>
            <w:tcBorders>
              <w:top w:val="single" w:color="auto" w:sz="8" w:space="0"/>
              <w:bottom w:val="single" w:color="auto" w:sz="8" w:space="0"/>
            </w:tcBorders>
          </w:tcPr>
          <w:p w14:paraId="636BD058">
            <w:pPr>
              <w:pStyle w:val="178"/>
            </w:pPr>
            <w:r>
              <w:rPr>
                <w:rFonts w:hint="eastAsia"/>
              </w:rPr>
              <w:t>常见来源</w:t>
            </w:r>
          </w:p>
        </w:tc>
      </w:tr>
      <w:tr w14:paraId="2E14B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764D890B">
            <w:pPr>
              <w:pStyle w:val="178"/>
            </w:pPr>
            <w:r>
              <w:rPr>
                <w:rFonts w:hint="eastAsia"/>
              </w:rPr>
              <w:t>外购能源排放因子</w:t>
            </w:r>
          </w:p>
        </w:tc>
        <w:tc>
          <w:tcPr>
            <w:tcW w:w="3822" w:type="dxa"/>
          </w:tcPr>
          <w:p w14:paraId="178F5C11">
            <w:pPr>
              <w:pStyle w:val="178"/>
            </w:pPr>
            <w:r>
              <w:rPr>
                <w:rFonts w:hint="eastAsia"/>
              </w:rPr>
              <w:t>电网排放因子、热力排放因子</w:t>
            </w:r>
          </w:p>
        </w:tc>
        <w:tc>
          <w:tcPr>
            <w:tcW w:w="3112" w:type="dxa"/>
          </w:tcPr>
          <w:p w14:paraId="71CBAF65">
            <w:pPr>
              <w:pStyle w:val="178"/>
            </w:pPr>
            <w:r>
              <w:rPr>
                <w:rFonts w:hint="eastAsia"/>
              </w:rPr>
              <w:t>国家电网、热力公司年度报告</w:t>
            </w:r>
          </w:p>
        </w:tc>
      </w:tr>
    </w:tbl>
    <w:p w14:paraId="68F9E917">
      <w:pPr>
        <w:pStyle w:val="105"/>
        <w:spacing w:before="120" w:after="120" w:line="360" w:lineRule="auto"/>
      </w:pPr>
      <w:r>
        <w:rPr>
          <w:rFonts w:hint="eastAsia"/>
        </w:rPr>
        <w:t>计算与核查</w:t>
      </w:r>
    </w:p>
    <w:p w14:paraId="404C24FA">
      <w:pPr>
        <w:pStyle w:val="105"/>
        <w:spacing w:before="120" w:after="120" w:line="360" w:lineRule="auto"/>
      </w:pPr>
      <w:r>
        <w:rPr>
          <w:rFonts w:hint="eastAsia"/>
        </w:rPr>
        <w:t>结果汇总与报告</w:t>
      </w:r>
    </w:p>
    <w:p w14:paraId="1FA3BC42">
      <w:pPr>
        <w:pStyle w:val="56"/>
        <w:spacing w:line="360" w:lineRule="auto"/>
        <w:ind w:firstLine="420"/>
      </w:pPr>
      <w:r>
        <w:rPr>
          <w:rFonts w:hint="eastAsia"/>
        </w:rPr>
        <w:t>在数据收集完成后，应按照第五章的方法进行排放量计算。计算结果应经过内部复核，复核人员应与计算人员相对独立，以保证核算的客观性。对于重要排放源，建议采用双重计算或交叉验证的方法，例如将燃料采购量与库存变化量进行对比，以验证数据合理性。</w:t>
      </w:r>
    </w:p>
    <w:p w14:paraId="4433724C">
      <w:pPr>
        <w:pStyle w:val="56"/>
        <w:spacing w:line="360" w:lineRule="auto"/>
        <w:ind w:firstLine="420"/>
      </w:pPr>
      <w:r>
        <w:rPr>
          <w:rFonts w:hint="eastAsia"/>
        </w:rPr>
        <w:t>计算完成后，应按排放源类别和气体类型（如</w:t>
      </w:r>
      <w:r>
        <w:t xml:space="preserve"> CO₂</w:t>
      </w:r>
      <w:r>
        <w:rPr>
          <w:rFonts w:hint="eastAsia"/>
        </w:rPr>
        <w:t>、</w:t>
      </w:r>
      <w:r>
        <w:t>CH₄</w:t>
      </w:r>
      <w:r>
        <w:rPr>
          <w:rFonts w:hint="eastAsia"/>
        </w:rPr>
        <w:t>、</w:t>
      </w:r>
      <w:r>
        <w:t>N₂O</w:t>
      </w:r>
      <w:r>
        <w:rPr>
          <w:rFonts w:hint="eastAsia"/>
        </w:rPr>
        <w:t>）对结果进行汇总，并转换为二氧化碳当量（</w:t>
      </w:r>
      <w:r>
        <w:t>tCO₂e</w:t>
      </w:r>
      <w:r>
        <w:rPr>
          <w:rFonts w:hint="eastAsia"/>
        </w:rPr>
        <w:t>）。报告应包括核算边界、方法说明、活动数据、排放因子、计算结果、不确定性分析及改进建议等内容。</w:t>
      </w:r>
    </w:p>
    <w:p w14:paraId="20A5A2AB">
      <w:pPr>
        <w:pStyle w:val="56"/>
        <w:spacing w:line="360" w:lineRule="auto"/>
        <w:ind w:firstLine="420"/>
      </w:pPr>
      <w:r>
        <w:rPr>
          <w:rFonts w:hint="eastAsia"/>
        </w:rPr>
        <w:t>为便于统一格式，企业碳排放量核算报告的推荐结构见表4。</w:t>
      </w:r>
    </w:p>
    <w:p w14:paraId="3033A2B0">
      <w:pPr>
        <w:pStyle w:val="112"/>
        <w:spacing w:before="120" w:after="120" w:line="360" w:lineRule="auto"/>
      </w:pPr>
      <w:r>
        <w:rPr>
          <w:rFonts w:hint="eastAsia"/>
        </w:rPr>
        <w:t>企业碳排放量核算报告推荐结构</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8"/>
        <w:gridCol w:w="4666"/>
      </w:tblGrid>
      <w:tr w14:paraId="2895C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8" w:type="dxa"/>
            <w:tcBorders>
              <w:top w:val="single" w:color="auto" w:sz="8" w:space="0"/>
              <w:bottom w:val="single" w:color="auto" w:sz="8" w:space="0"/>
            </w:tcBorders>
          </w:tcPr>
          <w:p w14:paraId="62F7224F">
            <w:pPr>
              <w:pStyle w:val="178"/>
            </w:pPr>
            <w:r>
              <w:rPr>
                <w:rFonts w:hint="eastAsia"/>
              </w:rPr>
              <w:t>报告章节</w:t>
            </w:r>
          </w:p>
        </w:tc>
        <w:tc>
          <w:tcPr>
            <w:tcW w:w="4666" w:type="dxa"/>
            <w:tcBorders>
              <w:top w:val="single" w:color="auto" w:sz="8" w:space="0"/>
              <w:bottom w:val="single" w:color="auto" w:sz="8" w:space="0"/>
            </w:tcBorders>
          </w:tcPr>
          <w:p w14:paraId="3DEC2D61">
            <w:pPr>
              <w:pStyle w:val="178"/>
            </w:pPr>
            <w:r>
              <w:rPr>
                <w:rFonts w:hint="eastAsia"/>
              </w:rPr>
              <w:t>主要内容</w:t>
            </w:r>
          </w:p>
        </w:tc>
      </w:tr>
      <w:tr w14:paraId="36ADA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tcBorders>
              <w:top w:val="single" w:color="auto" w:sz="8" w:space="0"/>
            </w:tcBorders>
          </w:tcPr>
          <w:p w14:paraId="14CD0C63">
            <w:pPr>
              <w:pStyle w:val="178"/>
            </w:pPr>
            <w:r>
              <w:rPr>
                <w:rFonts w:hint="eastAsia"/>
              </w:rPr>
              <w:t>核算目的与适用范围</w:t>
            </w:r>
          </w:p>
        </w:tc>
        <w:tc>
          <w:tcPr>
            <w:tcW w:w="4666" w:type="dxa"/>
            <w:tcBorders>
              <w:top w:val="single" w:color="auto" w:sz="8" w:space="0"/>
            </w:tcBorders>
          </w:tcPr>
          <w:p w14:paraId="1960EE96">
            <w:pPr>
              <w:pStyle w:val="178"/>
            </w:pPr>
            <w:r>
              <w:rPr>
                <w:rFonts w:hint="eastAsia"/>
              </w:rPr>
              <w:t>核算背景、时间范围、适用场景</w:t>
            </w:r>
          </w:p>
        </w:tc>
      </w:tr>
      <w:tr w14:paraId="7C06B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tcPr>
          <w:p w14:paraId="3E2A9642">
            <w:pPr>
              <w:pStyle w:val="178"/>
            </w:pPr>
            <w:r>
              <w:rPr>
                <w:rFonts w:hint="eastAsia"/>
              </w:rPr>
              <w:t>核算边界</w:t>
            </w:r>
          </w:p>
        </w:tc>
        <w:tc>
          <w:tcPr>
            <w:tcW w:w="4666" w:type="dxa"/>
          </w:tcPr>
          <w:p w14:paraId="02D3378C">
            <w:pPr>
              <w:pStyle w:val="178"/>
            </w:pPr>
            <w:r>
              <w:rPr>
                <w:rFonts w:hint="eastAsia"/>
              </w:rPr>
              <w:t>组织边界与运营边界说明</w:t>
            </w:r>
          </w:p>
        </w:tc>
      </w:tr>
      <w:tr w14:paraId="701E9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tcPr>
          <w:p w14:paraId="29193D35">
            <w:pPr>
              <w:pStyle w:val="178"/>
            </w:pPr>
            <w:r>
              <w:rPr>
                <w:rFonts w:hint="eastAsia"/>
              </w:rPr>
              <w:t>核算方法</w:t>
            </w:r>
          </w:p>
        </w:tc>
        <w:tc>
          <w:tcPr>
            <w:tcW w:w="4666" w:type="dxa"/>
          </w:tcPr>
          <w:p w14:paraId="484DEA34">
            <w:pPr>
              <w:pStyle w:val="178"/>
            </w:pPr>
            <w:r>
              <w:rPr>
                <w:rFonts w:hint="eastAsia"/>
              </w:rPr>
              <w:t>计算方法、公式、排放因子来源</w:t>
            </w:r>
          </w:p>
        </w:tc>
      </w:tr>
      <w:tr w14:paraId="69421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tcPr>
          <w:p w14:paraId="61D85226">
            <w:pPr>
              <w:pStyle w:val="178"/>
            </w:pPr>
            <w:r>
              <w:rPr>
                <w:rFonts w:hint="eastAsia"/>
              </w:rPr>
              <w:t>核算数据</w:t>
            </w:r>
          </w:p>
        </w:tc>
        <w:tc>
          <w:tcPr>
            <w:tcW w:w="4666" w:type="dxa"/>
          </w:tcPr>
          <w:p w14:paraId="42D46561">
            <w:pPr>
              <w:pStyle w:val="178"/>
            </w:pPr>
            <w:r>
              <w:rPr>
                <w:rFonts w:hint="eastAsia"/>
              </w:rPr>
              <w:t>活动数据、监测数据、数据来源</w:t>
            </w:r>
          </w:p>
        </w:tc>
      </w:tr>
      <w:tr w14:paraId="0D344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tcPr>
          <w:p w14:paraId="26A47977">
            <w:pPr>
              <w:pStyle w:val="178"/>
            </w:pPr>
            <w:r>
              <w:rPr>
                <w:rFonts w:hint="eastAsia"/>
              </w:rPr>
              <w:t>核算结果</w:t>
            </w:r>
          </w:p>
        </w:tc>
        <w:tc>
          <w:tcPr>
            <w:tcW w:w="4666" w:type="dxa"/>
          </w:tcPr>
          <w:p w14:paraId="0ED49A68">
            <w:pPr>
              <w:pStyle w:val="178"/>
            </w:pPr>
            <w:r>
              <w:rPr>
                <w:rFonts w:hint="eastAsia"/>
              </w:rPr>
              <w:t>各排放源排放量、总排放量、</w:t>
            </w:r>
            <w:r>
              <w:t>CO</w:t>
            </w:r>
            <w:r>
              <w:rPr>
                <w:rFonts w:ascii="Cambria Math" w:hAnsi="Cambria Math" w:cs="Cambria Math"/>
              </w:rPr>
              <w:t>₂</w:t>
            </w:r>
            <w:r>
              <w:t>e</w:t>
            </w:r>
          </w:p>
        </w:tc>
      </w:tr>
      <w:tr w14:paraId="2E24F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tcPr>
          <w:p w14:paraId="29DD4D1D">
            <w:pPr>
              <w:pStyle w:val="178"/>
            </w:pPr>
            <w:r>
              <w:rPr>
                <w:rFonts w:hint="eastAsia"/>
              </w:rPr>
              <w:t>不确定性分析</w:t>
            </w:r>
          </w:p>
        </w:tc>
        <w:tc>
          <w:tcPr>
            <w:tcW w:w="4666" w:type="dxa"/>
          </w:tcPr>
          <w:p w14:paraId="29E415CC">
            <w:pPr>
              <w:pStyle w:val="178"/>
            </w:pPr>
            <w:r>
              <w:rPr>
                <w:rFonts w:hint="eastAsia"/>
              </w:rPr>
              <w:t>数据质量、假设条件、影响评估</w:t>
            </w:r>
          </w:p>
        </w:tc>
      </w:tr>
    </w:tbl>
    <w:p w14:paraId="3C09E0E0">
      <w:pPr>
        <w:pStyle w:val="104"/>
        <w:spacing w:before="240" w:after="240" w:line="360" w:lineRule="auto"/>
      </w:pPr>
      <w:bookmarkStart w:id="54" w:name="_Toc205664446"/>
      <w:r>
        <w:rPr>
          <w:rFonts w:hint="eastAsia"/>
        </w:rPr>
        <w:t>数据质量管理</w:t>
      </w:r>
      <w:bookmarkEnd w:id="54"/>
    </w:p>
    <w:p w14:paraId="0EFEF4F5">
      <w:pPr>
        <w:pStyle w:val="105"/>
        <w:spacing w:before="120" w:after="120" w:line="360" w:lineRule="auto"/>
      </w:pPr>
      <w:r>
        <w:rPr>
          <w:rFonts w:hint="eastAsia"/>
        </w:rPr>
        <w:t>数据质量原则</w:t>
      </w:r>
    </w:p>
    <w:p w14:paraId="62BBB670">
      <w:pPr>
        <w:pStyle w:val="56"/>
        <w:spacing w:line="360" w:lineRule="auto"/>
        <w:ind w:firstLine="420"/>
        <w:rPr>
          <w:rFonts w:hint="eastAsia"/>
        </w:rPr>
      </w:pPr>
      <w:r>
        <w:rPr>
          <w:rFonts w:hint="eastAsia"/>
        </w:rPr>
        <w:t>数据质量管理是确保碳排放核算结果科学性、完整性和可比性的核心环节。只有在数据真实、准确、稳定的前提下，核算结果才能反映企业真实的碳排放水平，为内部管理、外部披露和政策响应提供有效支撑。</w:t>
      </w:r>
    </w:p>
    <w:p w14:paraId="660819CB">
      <w:pPr>
        <w:pStyle w:val="56"/>
        <w:spacing w:line="360" w:lineRule="auto"/>
        <w:ind w:firstLine="420"/>
      </w:pPr>
      <w:r>
        <w:rPr>
          <w:rFonts w:hint="eastAsia"/>
        </w:rPr>
        <w:t>企业应按照“准确性、完整性、一致性、及时性、可追溯性”五大原则开展数据质量管理：</w:t>
      </w:r>
    </w:p>
    <w:p w14:paraId="25262FF1">
      <w:pPr>
        <w:pStyle w:val="132"/>
        <w:spacing w:line="360" w:lineRule="auto"/>
      </w:pPr>
      <w:r>
        <w:rPr>
          <w:rFonts w:hint="eastAsia"/>
        </w:rPr>
        <w:t>准确性：通过高精度计量设备和权威排放因子确保数据接近真实值；</w:t>
      </w:r>
    </w:p>
    <w:p w14:paraId="287AA6D6">
      <w:pPr>
        <w:pStyle w:val="132"/>
        <w:spacing w:line="360" w:lineRule="auto"/>
      </w:pPr>
      <w:r>
        <w:rPr>
          <w:rFonts w:hint="eastAsia"/>
        </w:rPr>
        <w:t>完整性：涵盖核算边界内所有排放源和关键活动数据，避免信息缺失；</w:t>
      </w:r>
    </w:p>
    <w:p w14:paraId="5184B994">
      <w:pPr>
        <w:pStyle w:val="132"/>
        <w:spacing w:line="360" w:lineRule="auto"/>
      </w:pPr>
      <w:r>
        <w:rPr>
          <w:rFonts w:hint="eastAsia"/>
        </w:rPr>
        <w:t>一致性：保持核算周期、计算方法、数据口径的一致性，保证纵向对比的可行性；</w:t>
      </w:r>
    </w:p>
    <w:p w14:paraId="31E23341">
      <w:pPr>
        <w:pStyle w:val="132"/>
        <w:spacing w:line="360" w:lineRule="auto"/>
      </w:pPr>
      <w:r>
        <w:rPr>
          <w:rFonts w:hint="eastAsia"/>
        </w:rPr>
        <w:t>及时性：在规定核算周期内收集和更新数据，减少延迟导致的偏差；</w:t>
      </w:r>
    </w:p>
    <w:p w14:paraId="01073BF5">
      <w:pPr>
        <w:pStyle w:val="132"/>
        <w:spacing w:line="360" w:lineRule="auto"/>
      </w:pPr>
      <w:r>
        <w:rPr>
          <w:rFonts w:hint="eastAsia"/>
        </w:rPr>
        <w:t>可追溯性：能够追溯数据的采集方法、来源、处理过程及责任人。</w:t>
      </w:r>
    </w:p>
    <w:p w14:paraId="7E0ABE55">
      <w:pPr>
        <w:pStyle w:val="105"/>
        <w:spacing w:before="120" w:after="120" w:line="360" w:lineRule="auto"/>
      </w:pPr>
      <w:r>
        <w:rPr>
          <w:rFonts w:hint="eastAsia"/>
        </w:rPr>
        <w:t>数据采集与校验</w:t>
      </w:r>
    </w:p>
    <w:p w14:paraId="7D34C97C">
      <w:pPr>
        <w:pStyle w:val="56"/>
        <w:spacing w:line="360" w:lineRule="auto"/>
        <w:ind w:firstLine="420"/>
      </w:pPr>
      <w:r>
        <w:rPr>
          <w:rFonts w:hint="eastAsia"/>
        </w:rPr>
        <w:t>在数据采集阶段，应结合企业现有信息系统进行跨部门数据整合，并确保所有数据点有明确的采集责任人和记录人。</w:t>
      </w:r>
    </w:p>
    <w:p w14:paraId="7936B890">
      <w:pPr>
        <w:pStyle w:val="56"/>
        <w:spacing w:line="360" w:lineRule="auto"/>
        <w:ind w:firstLine="420"/>
      </w:pPr>
      <w:r>
        <w:rPr>
          <w:rFonts w:hint="eastAsia"/>
        </w:rPr>
        <w:t>校验工作应在数据采集后立即进行，通过交叉比对不同来源数据（例如能源采购量与计量表读数）识别潜在异常。数据质量评价指标与控制要点见表5。</w:t>
      </w:r>
    </w:p>
    <w:p w14:paraId="0F2C3E02">
      <w:pPr>
        <w:pStyle w:val="112"/>
        <w:spacing w:before="120" w:after="120" w:line="360" w:lineRule="auto"/>
      </w:pPr>
      <w:r>
        <w:rPr>
          <w:rFonts w:hint="eastAsia"/>
        </w:rPr>
        <w:t>数据质量评价指标与控制要点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969"/>
        <w:gridCol w:w="3674"/>
      </w:tblGrid>
      <w:tr w14:paraId="39C02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7F7C8BA5">
            <w:pPr>
              <w:pStyle w:val="178"/>
            </w:pPr>
            <w:r>
              <w:rPr>
                <w:rFonts w:hint="eastAsia"/>
              </w:rPr>
              <w:t>指标</w:t>
            </w:r>
          </w:p>
        </w:tc>
        <w:tc>
          <w:tcPr>
            <w:tcW w:w="3969" w:type="dxa"/>
            <w:tcBorders>
              <w:top w:val="single" w:color="auto" w:sz="8" w:space="0"/>
              <w:bottom w:val="single" w:color="auto" w:sz="8" w:space="0"/>
            </w:tcBorders>
          </w:tcPr>
          <w:p w14:paraId="68062E94">
            <w:pPr>
              <w:pStyle w:val="178"/>
            </w:pPr>
            <w:r>
              <w:rPr>
                <w:rFonts w:hint="eastAsia"/>
              </w:rPr>
              <w:t>说明</w:t>
            </w:r>
          </w:p>
        </w:tc>
        <w:tc>
          <w:tcPr>
            <w:tcW w:w="3674" w:type="dxa"/>
            <w:tcBorders>
              <w:top w:val="single" w:color="auto" w:sz="8" w:space="0"/>
              <w:bottom w:val="single" w:color="auto" w:sz="8" w:space="0"/>
            </w:tcBorders>
          </w:tcPr>
          <w:p w14:paraId="5035C47F">
            <w:pPr>
              <w:pStyle w:val="178"/>
            </w:pPr>
            <w:r>
              <w:rPr>
                <w:rFonts w:hint="eastAsia"/>
              </w:rPr>
              <w:t>控制要点</w:t>
            </w:r>
          </w:p>
        </w:tc>
      </w:tr>
      <w:tr w14:paraId="55745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1BF4E884">
            <w:pPr>
              <w:pStyle w:val="178"/>
            </w:pPr>
            <w:r>
              <w:rPr>
                <w:rFonts w:hint="eastAsia"/>
              </w:rPr>
              <w:t>准确性</w:t>
            </w:r>
          </w:p>
        </w:tc>
        <w:tc>
          <w:tcPr>
            <w:tcW w:w="3969" w:type="dxa"/>
            <w:tcBorders>
              <w:top w:val="single" w:color="auto" w:sz="8" w:space="0"/>
            </w:tcBorders>
          </w:tcPr>
          <w:p w14:paraId="1D88DA49">
            <w:pPr>
              <w:pStyle w:val="178"/>
            </w:pPr>
            <w:r>
              <w:rPr>
                <w:rFonts w:hint="eastAsia"/>
              </w:rPr>
              <w:t>数据与实际情况的一致程度</w:t>
            </w:r>
          </w:p>
        </w:tc>
        <w:tc>
          <w:tcPr>
            <w:tcW w:w="3674" w:type="dxa"/>
            <w:tcBorders>
              <w:top w:val="single" w:color="auto" w:sz="8" w:space="0"/>
            </w:tcBorders>
          </w:tcPr>
          <w:p w14:paraId="262ADD31">
            <w:pPr>
              <w:pStyle w:val="178"/>
            </w:pPr>
            <w:r>
              <w:rPr>
                <w:rFonts w:hint="eastAsia"/>
              </w:rPr>
              <w:t>使用经认证的计量设备，定期校准</w:t>
            </w:r>
          </w:p>
        </w:tc>
      </w:tr>
      <w:tr w14:paraId="00D66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C1C8A97">
            <w:pPr>
              <w:pStyle w:val="178"/>
            </w:pPr>
            <w:r>
              <w:rPr>
                <w:rFonts w:hint="eastAsia"/>
              </w:rPr>
              <w:t>完整性</w:t>
            </w:r>
          </w:p>
        </w:tc>
        <w:tc>
          <w:tcPr>
            <w:tcW w:w="3969" w:type="dxa"/>
          </w:tcPr>
          <w:p w14:paraId="1DFDB50C">
            <w:pPr>
              <w:pStyle w:val="178"/>
            </w:pPr>
            <w:r>
              <w:rPr>
                <w:rFonts w:hint="eastAsia"/>
              </w:rPr>
              <w:t>数据覆盖所有必要信息</w:t>
            </w:r>
          </w:p>
        </w:tc>
        <w:tc>
          <w:tcPr>
            <w:tcW w:w="3674" w:type="dxa"/>
          </w:tcPr>
          <w:p w14:paraId="2917604F">
            <w:pPr>
              <w:pStyle w:val="178"/>
            </w:pPr>
            <w:r>
              <w:rPr>
                <w:rFonts w:hint="eastAsia"/>
              </w:rPr>
              <w:t>核对排放源清单，避免遗漏</w:t>
            </w:r>
          </w:p>
        </w:tc>
      </w:tr>
      <w:tr w14:paraId="2C71B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D242CFA">
            <w:pPr>
              <w:pStyle w:val="178"/>
            </w:pPr>
            <w:r>
              <w:rPr>
                <w:rFonts w:hint="eastAsia"/>
              </w:rPr>
              <w:t>一致性</w:t>
            </w:r>
          </w:p>
        </w:tc>
        <w:tc>
          <w:tcPr>
            <w:tcW w:w="3969" w:type="dxa"/>
          </w:tcPr>
          <w:p w14:paraId="2FDE44F2">
            <w:pPr>
              <w:pStyle w:val="178"/>
            </w:pPr>
            <w:r>
              <w:rPr>
                <w:rFonts w:hint="eastAsia"/>
              </w:rPr>
              <w:t>数据在不同时间、部门间可比</w:t>
            </w:r>
          </w:p>
        </w:tc>
        <w:tc>
          <w:tcPr>
            <w:tcW w:w="3674" w:type="dxa"/>
          </w:tcPr>
          <w:p w14:paraId="7D07B9D9">
            <w:pPr>
              <w:pStyle w:val="178"/>
            </w:pPr>
            <w:r>
              <w:rPr>
                <w:rFonts w:hint="eastAsia"/>
              </w:rPr>
              <w:t>统一采集模板、单位和时间周期</w:t>
            </w:r>
          </w:p>
        </w:tc>
      </w:tr>
      <w:tr w14:paraId="39AFD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114C75D">
            <w:pPr>
              <w:pStyle w:val="178"/>
            </w:pPr>
            <w:r>
              <w:rPr>
                <w:rFonts w:hint="eastAsia"/>
              </w:rPr>
              <w:t>及时性</w:t>
            </w:r>
          </w:p>
        </w:tc>
        <w:tc>
          <w:tcPr>
            <w:tcW w:w="3969" w:type="dxa"/>
          </w:tcPr>
          <w:p w14:paraId="35310B8F">
            <w:pPr>
              <w:pStyle w:val="178"/>
            </w:pPr>
            <w:r>
              <w:rPr>
                <w:rFonts w:hint="eastAsia"/>
              </w:rPr>
              <w:t>数据采集与使用的时间匹配</w:t>
            </w:r>
          </w:p>
        </w:tc>
        <w:tc>
          <w:tcPr>
            <w:tcW w:w="3674" w:type="dxa"/>
          </w:tcPr>
          <w:p w14:paraId="35953F72">
            <w:pPr>
              <w:pStyle w:val="178"/>
            </w:pPr>
            <w:r>
              <w:rPr>
                <w:rFonts w:hint="eastAsia"/>
              </w:rPr>
              <w:t>按月/季/年核算周期收集</w:t>
            </w:r>
          </w:p>
        </w:tc>
      </w:tr>
      <w:tr w14:paraId="48B13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91" w:type="dxa"/>
          </w:tcPr>
          <w:p w14:paraId="290DBA31">
            <w:pPr>
              <w:pStyle w:val="178"/>
            </w:pPr>
            <w:r>
              <w:rPr>
                <w:rFonts w:hint="eastAsia"/>
              </w:rPr>
              <w:t>可追溯性</w:t>
            </w:r>
          </w:p>
        </w:tc>
        <w:tc>
          <w:tcPr>
            <w:tcW w:w="3969" w:type="dxa"/>
          </w:tcPr>
          <w:p w14:paraId="0EACB9AD">
            <w:pPr>
              <w:pStyle w:val="178"/>
            </w:pPr>
            <w:r>
              <w:rPr>
                <w:rFonts w:hint="eastAsia"/>
              </w:rPr>
              <w:t>可追溯至原始记录</w:t>
            </w:r>
          </w:p>
        </w:tc>
        <w:tc>
          <w:tcPr>
            <w:tcW w:w="3674" w:type="dxa"/>
          </w:tcPr>
          <w:p w14:paraId="135BED74">
            <w:pPr>
              <w:pStyle w:val="178"/>
            </w:pPr>
            <w:r>
              <w:rPr>
                <w:rFonts w:hint="eastAsia"/>
              </w:rPr>
              <w:t>保存原始记录和处理过程文档</w:t>
            </w:r>
          </w:p>
        </w:tc>
      </w:tr>
    </w:tbl>
    <w:p w14:paraId="133424E9">
      <w:pPr>
        <w:pStyle w:val="105"/>
        <w:spacing w:before="120" w:after="120" w:line="360" w:lineRule="auto"/>
      </w:pPr>
      <w:r>
        <w:rPr>
          <w:rFonts w:hint="eastAsia"/>
        </w:rPr>
        <w:t>数据存储与安全</w:t>
      </w:r>
    </w:p>
    <w:p w14:paraId="5278B258">
      <w:pPr>
        <w:pStyle w:val="56"/>
        <w:spacing w:line="360" w:lineRule="auto"/>
        <w:ind w:firstLine="420"/>
      </w:pPr>
      <w:r>
        <w:rPr>
          <w:rFonts w:hint="eastAsia"/>
        </w:rPr>
        <w:t>核算相关数据应至少保存五年，包括原始数据、处理过程记录和最终报告，以便内部审计或外部核查。</w:t>
      </w:r>
    </w:p>
    <w:p w14:paraId="7B5EC08B">
      <w:pPr>
        <w:pStyle w:val="56"/>
        <w:spacing w:line="360" w:lineRule="auto"/>
        <w:ind w:firstLine="420"/>
      </w:pPr>
      <w:r>
        <w:rPr>
          <w:rFonts w:hint="eastAsia"/>
        </w:rPr>
        <w:t>数据存储系统应具备以下功能：</w:t>
      </w:r>
    </w:p>
    <w:p w14:paraId="0B22DED1">
      <w:pPr>
        <w:pStyle w:val="132"/>
        <w:spacing w:line="360" w:lineRule="auto"/>
      </w:pPr>
      <w:r>
        <w:rPr>
          <w:rFonts w:hint="eastAsia"/>
        </w:rPr>
        <w:t>权限管理，防止未经授权的访问和修改；</w:t>
      </w:r>
    </w:p>
    <w:p w14:paraId="232F484C">
      <w:pPr>
        <w:pStyle w:val="132"/>
        <w:spacing w:line="360" w:lineRule="auto"/>
      </w:pPr>
      <w:r>
        <w:rPr>
          <w:rFonts w:hint="eastAsia"/>
        </w:rPr>
        <w:t>定期备份，防止数据丢失；</w:t>
      </w:r>
    </w:p>
    <w:p w14:paraId="47C9B1EC">
      <w:pPr>
        <w:pStyle w:val="132"/>
        <w:spacing w:line="360" w:lineRule="auto"/>
      </w:pPr>
      <w:r>
        <w:rPr>
          <w:rFonts w:hint="eastAsia"/>
        </w:rPr>
        <w:t>版本管理，保留历次修改记录。</w:t>
      </w:r>
    </w:p>
    <w:p w14:paraId="765E5E24">
      <w:pPr>
        <w:pStyle w:val="105"/>
        <w:spacing w:before="120" w:after="120" w:line="360" w:lineRule="auto"/>
      </w:pPr>
      <w:r>
        <w:rPr>
          <w:rFonts w:hint="eastAsia"/>
        </w:rPr>
        <w:t>数据质量持续提升</w:t>
      </w:r>
    </w:p>
    <w:p w14:paraId="1D4E91BA">
      <w:pPr>
        <w:pStyle w:val="56"/>
        <w:spacing w:line="360" w:lineRule="auto"/>
        <w:ind w:firstLine="420"/>
      </w:pPr>
      <w:r>
        <w:rPr>
          <w:rFonts w:hint="eastAsia"/>
        </w:rPr>
        <w:t>企业应将数据质量管理纳入年度绩效考核，通过培训、技术改造和制度优化逐步提升数据质量。例如，可引入自动化计量与实时数据传输系统，减少人工记录的误差；定期开展数据质量评估，发现并整改薄弱环节。</w:t>
      </w:r>
    </w:p>
    <w:p w14:paraId="33B682E0">
      <w:pPr>
        <w:pStyle w:val="104"/>
        <w:spacing w:before="240" w:after="240" w:line="360" w:lineRule="auto"/>
      </w:pPr>
      <w:bookmarkStart w:id="55" w:name="_Toc205664447"/>
      <w:r>
        <w:rPr>
          <w:rFonts w:hint="eastAsia"/>
        </w:rPr>
        <w:t>不确定性分析</w:t>
      </w:r>
      <w:bookmarkEnd w:id="55"/>
    </w:p>
    <w:p w14:paraId="79471821">
      <w:pPr>
        <w:pStyle w:val="105"/>
        <w:spacing w:before="120" w:after="120" w:line="360" w:lineRule="auto"/>
      </w:pPr>
      <w:r>
        <w:rPr>
          <w:rFonts w:hint="eastAsia"/>
        </w:rPr>
        <w:t>不确定性来源</w:t>
      </w:r>
    </w:p>
    <w:p w14:paraId="0E29DE83">
      <w:pPr>
        <w:pStyle w:val="56"/>
        <w:spacing w:line="360" w:lineRule="auto"/>
        <w:ind w:firstLine="420"/>
        <w:rPr>
          <w:rFonts w:hint="eastAsia"/>
        </w:rPr>
      </w:pPr>
      <w:r>
        <w:rPr>
          <w:rFonts w:hint="eastAsia"/>
        </w:rPr>
        <w:t>不确定性分析旨在识别并评估影响核算结果精度的因素，帮助企业理解结果的可信度范围，并制定针对性的改进措施。</w:t>
      </w:r>
    </w:p>
    <w:p w14:paraId="3775B235">
      <w:pPr>
        <w:pStyle w:val="56"/>
        <w:spacing w:line="360" w:lineRule="auto"/>
        <w:ind w:firstLine="420"/>
      </w:pPr>
      <w:r>
        <w:rPr>
          <w:rFonts w:hint="eastAsia"/>
        </w:rPr>
        <w:t>不确定性通常来自以下方面：</w:t>
      </w:r>
    </w:p>
    <w:p w14:paraId="46E05C64">
      <w:pPr>
        <w:pStyle w:val="132"/>
        <w:spacing w:line="360" w:lineRule="auto"/>
      </w:pPr>
      <w:r>
        <w:rPr>
          <w:rFonts w:hint="eastAsia"/>
        </w:rPr>
        <w:t>测量误差：计量设备精度不足、使用不当或维护不到位；</w:t>
      </w:r>
    </w:p>
    <w:p w14:paraId="01509C98">
      <w:pPr>
        <w:pStyle w:val="132"/>
        <w:spacing w:line="360" w:lineRule="auto"/>
      </w:pPr>
      <w:r>
        <w:rPr>
          <w:rFonts w:hint="eastAsia"/>
        </w:rPr>
        <w:t>数据缺失与估算：在缺乏实测数据时使用经验值或行业平均值；</w:t>
      </w:r>
    </w:p>
    <w:p w14:paraId="2A864D60">
      <w:pPr>
        <w:pStyle w:val="132"/>
        <w:spacing w:line="360" w:lineRule="auto"/>
      </w:pPr>
      <w:r>
        <w:rPr>
          <w:rFonts w:hint="eastAsia"/>
        </w:rPr>
        <w:t>排放因子差异：采用不同来源、版本或地区的排放因子；</w:t>
      </w:r>
    </w:p>
    <w:p w14:paraId="7759C79A">
      <w:pPr>
        <w:pStyle w:val="132"/>
        <w:spacing w:line="360" w:lineRule="auto"/>
      </w:pPr>
      <w:r>
        <w:rPr>
          <w:rFonts w:hint="eastAsia"/>
        </w:rPr>
        <w:t>边界定义偏差：组织边界或运营边界设定不当导致的遗漏或重复；</w:t>
      </w:r>
    </w:p>
    <w:p w14:paraId="44FBEFAD">
      <w:pPr>
        <w:pStyle w:val="132"/>
        <w:spacing w:line="360" w:lineRule="auto"/>
      </w:pPr>
      <w:r>
        <w:rPr>
          <w:rFonts w:hint="eastAsia"/>
        </w:rPr>
        <w:t>人为错误：数据录入、计算公式或单位换算中的操作失误。</w:t>
      </w:r>
    </w:p>
    <w:p w14:paraId="35C890C1">
      <w:pPr>
        <w:pStyle w:val="105"/>
        <w:spacing w:before="120" w:after="120" w:line="360" w:lineRule="auto"/>
      </w:pPr>
      <w:r>
        <w:rPr>
          <w:rFonts w:hint="eastAsia"/>
        </w:rPr>
        <w:t>分析方法</w:t>
      </w:r>
    </w:p>
    <w:p w14:paraId="6A660F95">
      <w:pPr>
        <w:pStyle w:val="56"/>
        <w:spacing w:line="360" w:lineRule="auto"/>
        <w:ind w:firstLine="420"/>
      </w:pPr>
      <w:r>
        <w:rPr>
          <w:rFonts w:hint="eastAsia"/>
        </w:rPr>
        <w:t>企业应根据数据条件和技术能力选择合适的方法，既可以定性描述不确定性来源和影响方向，也可以定量计算其对结果的影响范围。不确定性分析方法及适用情形见表6。</w:t>
      </w:r>
    </w:p>
    <w:p w14:paraId="6C0B8A6F">
      <w:pPr>
        <w:pStyle w:val="112"/>
        <w:spacing w:before="120" w:after="120" w:line="360" w:lineRule="auto"/>
      </w:pPr>
      <w:r>
        <w:rPr>
          <w:rFonts w:hint="eastAsia"/>
        </w:rPr>
        <w:t>不确定性分析方法及适用情形</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3B8B6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7E54D268">
            <w:pPr>
              <w:pStyle w:val="178"/>
            </w:pPr>
            <w:r>
              <w:rPr>
                <w:rFonts w:hint="eastAsia"/>
              </w:rPr>
              <w:t>方法</w:t>
            </w:r>
          </w:p>
        </w:tc>
        <w:tc>
          <w:tcPr>
            <w:tcW w:w="4105" w:type="dxa"/>
            <w:tcBorders>
              <w:top w:val="single" w:color="auto" w:sz="8" w:space="0"/>
              <w:bottom w:val="single" w:color="auto" w:sz="8" w:space="0"/>
            </w:tcBorders>
          </w:tcPr>
          <w:p w14:paraId="1718D665">
            <w:pPr>
              <w:pStyle w:val="178"/>
            </w:pPr>
            <w:r>
              <w:rPr>
                <w:rFonts w:hint="eastAsia"/>
              </w:rPr>
              <w:t>特点</w:t>
            </w:r>
          </w:p>
        </w:tc>
        <w:tc>
          <w:tcPr>
            <w:tcW w:w="3112" w:type="dxa"/>
            <w:tcBorders>
              <w:top w:val="single" w:color="auto" w:sz="8" w:space="0"/>
              <w:bottom w:val="single" w:color="auto" w:sz="8" w:space="0"/>
            </w:tcBorders>
          </w:tcPr>
          <w:p w14:paraId="2EE5A8D9">
            <w:pPr>
              <w:pStyle w:val="178"/>
            </w:pPr>
            <w:r>
              <w:rPr>
                <w:rFonts w:hint="eastAsia"/>
              </w:rPr>
              <w:t>适用情形</w:t>
            </w:r>
          </w:p>
        </w:tc>
      </w:tr>
      <w:tr w14:paraId="0F2FD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6D78CB75">
            <w:pPr>
              <w:pStyle w:val="178"/>
            </w:pPr>
            <w:r>
              <w:rPr>
                <w:rFonts w:hint="eastAsia"/>
              </w:rPr>
              <w:t>定性分析</w:t>
            </w:r>
          </w:p>
        </w:tc>
        <w:tc>
          <w:tcPr>
            <w:tcW w:w="4105" w:type="dxa"/>
            <w:tcBorders>
              <w:top w:val="single" w:color="auto" w:sz="8" w:space="0"/>
            </w:tcBorders>
          </w:tcPr>
          <w:p w14:paraId="4E223067">
            <w:pPr>
              <w:pStyle w:val="178"/>
            </w:pPr>
            <w:r>
              <w:rPr>
                <w:rFonts w:hint="eastAsia"/>
              </w:rPr>
              <w:t>成本低、操作简便</w:t>
            </w:r>
          </w:p>
        </w:tc>
        <w:tc>
          <w:tcPr>
            <w:tcW w:w="3112" w:type="dxa"/>
            <w:tcBorders>
              <w:top w:val="single" w:color="auto" w:sz="8" w:space="0"/>
            </w:tcBorders>
          </w:tcPr>
          <w:p w14:paraId="10A7C4A6">
            <w:pPr>
              <w:pStyle w:val="178"/>
            </w:pPr>
            <w:r>
              <w:rPr>
                <w:rFonts w:hint="eastAsia"/>
              </w:rPr>
              <w:t>数据量少或难以量化时</w:t>
            </w:r>
          </w:p>
        </w:tc>
      </w:tr>
      <w:tr w14:paraId="1E42A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39579B13">
            <w:pPr>
              <w:pStyle w:val="178"/>
            </w:pPr>
            <w:r>
              <w:rPr>
                <w:rFonts w:hint="eastAsia"/>
              </w:rPr>
              <w:t>误差传播法</w:t>
            </w:r>
          </w:p>
        </w:tc>
        <w:tc>
          <w:tcPr>
            <w:tcW w:w="4105" w:type="dxa"/>
          </w:tcPr>
          <w:p w14:paraId="70E508B5">
            <w:pPr>
              <w:pStyle w:val="178"/>
            </w:pPr>
            <w:r>
              <w:rPr>
                <w:rFonts w:hint="eastAsia"/>
              </w:rPr>
              <w:t>通过数学公式推算综合不确定性</w:t>
            </w:r>
          </w:p>
        </w:tc>
        <w:tc>
          <w:tcPr>
            <w:tcW w:w="3112" w:type="dxa"/>
          </w:tcPr>
          <w:p w14:paraId="1D8BFBAC">
            <w:pPr>
              <w:pStyle w:val="178"/>
            </w:pPr>
            <w:r>
              <w:rPr>
                <w:rFonts w:hint="eastAsia"/>
              </w:rPr>
              <w:t>数据可量化误差时</w:t>
            </w:r>
          </w:p>
        </w:tc>
      </w:tr>
      <w:tr w14:paraId="507E1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7E58B709">
            <w:pPr>
              <w:pStyle w:val="178"/>
            </w:pPr>
            <w:r>
              <w:rPr>
                <w:rFonts w:hint="eastAsia"/>
              </w:rPr>
              <w:t>蒙特卡罗模拟</w:t>
            </w:r>
          </w:p>
        </w:tc>
        <w:tc>
          <w:tcPr>
            <w:tcW w:w="4105" w:type="dxa"/>
          </w:tcPr>
          <w:p w14:paraId="2C72D406">
            <w:pPr>
              <w:pStyle w:val="178"/>
            </w:pPr>
            <w:r>
              <w:rPr>
                <w:rFonts w:hint="eastAsia"/>
              </w:rPr>
              <w:t>多次随机模拟计算结果分布</w:t>
            </w:r>
          </w:p>
        </w:tc>
        <w:tc>
          <w:tcPr>
            <w:tcW w:w="3112" w:type="dxa"/>
          </w:tcPr>
          <w:p w14:paraId="4C3CB87B">
            <w:pPr>
              <w:pStyle w:val="178"/>
            </w:pPr>
            <w:r>
              <w:rPr>
                <w:rFonts w:hint="eastAsia"/>
              </w:rPr>
              <w:t>样本量大、变量多且复杂时</w:t>
            </w:r>
          </w:p>
        </w:tc>
      </w:tr>
    </w:tbl>
    <w:p w14:paraId="23635939">
      <w:pPr>
        <w:pStyle w:val="105"/>
        <w:spacing w:before="120" w:after="120" w:line="360" w:lineRule="auto"/>
      </w:pPr>
      <w:r>
        <w:rPr>
          <w:rFonts w:hint="eastAsia"/>
        </w:rPr>
        <w:t>分析步骤</w:t>
      </w:r>
    </w:p>
    <w:p w14:paraId="7EA7BD8E">
      <w:pPr>
        <w:pStyle w:val="56"/>
        <w:spacing w:line="360" w:lineRule="auto"/>
        <w:ind w:firstLine="420"/>
      </w:pPr>
      <w:r>
        <w:rPr>
          <w:rFonts w:hint="eastAsia"/>
        </w:rPr>
        <w:t>经过下述步骤，企业便能够明确当前核算结果的可信度水平，识别对结果影响最大的关键因素，并对不同类型的不确定性进行针对性管理。这一过程不仅是对现有数据和方法的审视，也是为后续优化提供方向的重要环节：</w:t>
      </w:r>
    </w:p>
    <w:p w14:paraId="3562A3BE">
      <w:pPr>
        <w:pStyle w:val="174"/>
        <w:spacing w:line="360" w:lineRule="auto"/>
      </w:pPr>
      <w:r>
        <w:rPr>
          <w:rFonts w:hint="eastAsia"/>
        </w:rPr>
        <w:t>识别不确定性来源：列出所有可能导致偏差的因素；</w:t>
      </w:r>
    </w:p>
    <w:p w14:paraId="74BE399C">
      <w:pPr>
        <w:pStyle w:val="174"/>
        <w:spacing w:line="360" w:lineRule="auto"/>
      </w:pPr>
      <w:r>
        <w:rPr>
          <w:rFonts w:hint="eastAsia"/>
        </w:rPr>
        <w:t>数据分类：将不确定性因素分为可量化和不可量化两类；</w:t>
      </w:r>
    </w:p>
    <w:p w14:paraId="7D404DB0">
      <w:pPr>
        <w:pStyle w:val="174"/>
        <w:spacing w:line="360" w:lineRule="auto"/>
      </w:pPr>
      <w:r>
        <w:rPr>
          <w:rFonts w:hint="eastAsia"/>
        </w:rPr>
        <w:t>计算或描述：对可量化因素使用数学方法计算，对不可量化因素进行文字描述；</w:t>
      </w:r>
    </w:p>
    <w:p w14:paraId="14A4E3DD">
      <w:pPr>
        <w:pStyle w:val="174"/>
        <w:spacing w:line="360" w:lineRule="auto"/>
      </w:pPr>
      <w:r>
        <w:rPr>
          <w:rFonts w:hint="eastAsia"/>
        </w:rPr>
        <w:t>结果汇总：形成不确定性分析报告，包括范围、主要来源和改进建议；</w:t>
      </w:r>
    </w:p>
    <w:p w14:paraId="186335AD">
      <w:pPr>
        <w:pStyle w:val="174"/>
        <w:spacing w:line="360" w:lineRule="auto"/>
      </w:pPr>
      <w:r>
        <w:rPr>
          <w:rFonts w:hint="eastAsia"/>
        </w:rPr>
        <w:t>反馈与改进：将分析结果反馈至数据采集和设备维护环节。</w:t>
      </w:r>
    </w:p>
    <w:p w14:paraId="61E14370">
      <w:pPr>
        <w:pStyle w:val="105"/>
        <w:spacing w:before="120" w:after="120" w:line="360" w:lineRule="auto"/>
      </w:pPr>
      <w:r>
        <w:rPr>
          <w:rFonts w:hint="eastAsia"/>
        </w:rPr>
        <w:t>应用与改进</w:t>
      </w:r>
    </w:p>
    <w:p w14:paraId="5893A14B">
      <w:pPr>
        <w:pStyle w:val="56"/>
        <w:spacing w:line="360" w:lineRule="auto"/>
        <w:ind w:firstLine="420"/>
      </w:pPr>
      <w:r>
        <w:rPr>
          <w:rFonts w:hint="eastAsia"/>
        </w:rPr>
        <w:t>不确定性分析结果不仅应在核算报告中披露，还应用于下一周期的数据质量改进。例如，若分析表明电力排放因子差异是主要不确定性来源，可与供应方沟通获取精确的年度排放因子；若发现计量设备精度不足，应优先更新或增加校准频率。</w:t>
      </w:r>
    </w:p>
    <w:p w14:paraId="2FE6D18A">
      <w:pPr>
        <w:pStyle w:val="104"/>
        <w:spacing w:before="240" w:after="240" w:line="360" w:lineRule="auto"/>
      </w:pPr>
      <w:bookmarkStart w:id="56" w:name="_Toc205664448"/>
      <w:r>
        <w:rPr>
          <w:rFonts w:hint="eastAsia"/>
        </w:rPr>
        <w:t>持续改进</w:t>
      </w:r>
      <w:bookmarkEnd w:id="56"/>
    </w:p>
    <w:p w14:paraId="48272477">
      <w:pPr>
        <w:pStyle w:val="105"/>
        <w:spacing w:before="120" w:after="120" w:line="360" w:lineRule="auto"/>
      </w:pPr>
      <w:r>
        <w:rPr>
          <w:rFonts w:hint="eastAsia"/>
        </w:rPr>
        <w:t>改进原则</w:t>
      </w:r>
    </w:p>
    <w:p w14:paraId="7CEBB386">
      <w:pPr>
        <w:pStyle w:val="56"/>
        <w:spacing w:line="360" w:lineRule="auto"/>
        <w:ind w:firstLine="420"/>
        <w:rPr>
          <w:rFonts w:hint="eastAsia"/>
        </w:rPr>
      </w:pPr>
      <w:r>
        <w:rPr>
          <w:rFonts w:hint="eastAsia"/>
        </w:rPr>
        <w:t>持续改进是确保企业碳排放核算体系与时俱进的重要保障。通过对数据质量管理与不确定性分析结果的定期评估，企业可以识别体系运行中的薄弱环节，并将改进措施落实到人员、流程和技术环节中，形成核算能力的不断提升。</w:t>
      </w:r>
    </w:p>
    <w:p w14:paraId="20AED07C">
      <w:pPr>
        <w:pStyle w:val="56"/>
        <w:spacing w:line="360" w:lineRule="auto"/>
        <w:ind w:firstLine="420"/>
      </w:pPr>
      <w:r>
        <w:rPr>
          <w:rFonts w:hint="eastAsia"/>
        </w:rPr>
        <w:t>持续改进应遵循系统性、循序渐进、动态调整、效果评估的原则。系统性要求在整体框架内优化核算各环节；循序渐进意味着优先解决影响最大的短板；动态调整则要求随政策变化、技术升级及时修订方法；效果评估用于验证改进措施的实际成效。</w:t>
      </w:r>
    </w:p>
    <w:p w14:paraId="04BA0A70">
      <w:pPr>
        <w:pStyle w:val="105"/>
        <w:spacing w:before="120" w:after="120" w:line="360" w:lineRule="auto"/>
      </w:pPr>
      <w:r>
        <w:rPr>
          <w:rFonts w:hint="eastAsia"/>
        </w:rPr>
        <w:t>改进来源</w:t>
      </w:r>
    </w:p>
    <w:p w14:paraId="702F2F3F">
      <w:pPr>
        <w:pStyle w:val="56"/>
        <w:spacing w:line="360" w:lineRule="auto"/>
        <w:ind w:firstLine="420"/>
      </w:pPr>
      <w:r>
        <w:rPr>
          <w:rFonts w:hint="eastAsia"/>
        </w:rPr>
        <w:t>改进措施应主要来源于以下方面：</w:t>
      </w:r>
    </w:p>
    <w:p w14:paraId="3E248D12">
      <w:pPr>
        <w:pStyle w:val="132"/>
        <w:spacing w:line="360" w:lineRule="auto"/>
      </w:pPr>
      <w:r>
        <w:rPr>
          <w:rFonts w:hint="eastAsia"/>
        </w:rPr>
        <w:t>数据质量评估报告中发现的缺陷；</w:t>
      </w:r>
    </w:p>
    <w:p w14:paraId="39FB78E6">
      <w:pPr>
        <w:pStyle w:val="132"/>
        <w:spacing w:line="360" w:lineRule="auto"/>
      </w:pPr>
      <w:r>
        <w:rPr>
          <w:rFonts w:hint="eastAsia"/>
        </w:rPr>
        <w:t>不确定性分析结果中识别的高风险因素；</w:t>
      </w:r>
    </w:p>
    <w:p w14:paraId="387DEC4D">
      <w:pPr>
        <w:pStyle w:val="132"/>
        <w:spacing w:line="360" w:lineRule="auto"/>
      </w:pPr>
      <w:r>
        <w:rPr>
          <w:rFonts w:hint="eastAsia"/>
        </w:rPr>
        <w:t>政策法规及行业标准的更新；</w:t>
      </w:r>
    </w:p>
    <w:p w14:paraId="78A336EB">
      <w:pPr>
        <w:pStyle w:val="132"/>
        <w:spacing w:line="360" w:lineRule="auto"/>
      </w:pPr>
      <w:r>
        <w:rPr>
          <w:rFonts w:hint="eastAsia"/>
        </w:rPr>
        <w:t>企业生产工艺、能源结构或组织架构的变化；</w:t>
      </w:r>
    </w:p>
    <w:p w14:paraId="2649E957">
      <w:pPr>
        <w:pStyle w:val="132"/>
        <w:spacing w:line="360" w:lineRule="auto"/>
      </w:pPr>
      <w:r>
        <w:rPr>
          <w:rFonts w:hint="eastAsia"/>
        </w:rPr>
        <w:t>外部核查或审计提出的整改意见。</w:t>
      </w:r>
    </w:p>
    <w:p w14:paraId="3EB263B9">
      <w:pPr>
        <w:pStyle w:val="56"/>
        <w:spacing w:line="360" w:lineRule="auto"/>
        <w:ind w:firstLine="420"/>
      </w:pPr>
      <w:r>
        <w:rPr>
          <w:rFonts w:hint="eastAsia"/>
        </w:rPr>
        <w:t>在实际执行中，可结合上述来源制定年度改进计划，并明确责任人和时间表。</w:t>
      </w:r>
    </w:p>
    <w:p w14:paraId="471B532C">
      <w:pPr>
        <w:pStyle w:val="105"/>
        <w:spacing w:before="120" w:after="120" w:line="360" w:lineRule="auto"/>
      </w:pPr>
      <w:r>
        <w:rPr>
          <w:rFonts w:hint="eastAsia"/>
        </w:rPr>
        <w:t>改进措施分类</w:t>
      </w:r>
    </w:p>
    <w:p w14:paraId="7E529479">
      <w:pPr>
        <w:pStyle w:val="56"/>
        <w:spacing w:line="360" w:lineRule="auto"/>
        <w:ind w:firstLine="420"/>
      </w:pPr>
      <w:r>
        <w:rPr>
          <w:rFonts w:hint="eastAsia"/>
        </w:rPr>
        <w:t>为了便于实施和跟踪，企业可将改进措施划分为制度改进、技术改进、流程优化、能力建设四类，并针对不同类别采取对应的执行方案。常见改进措施及其预期效果见表7。</w:t>
      </w:r>
    </w:p>
    <w:p w14:paraId="6A252156">
      <w:pPr>
        <w:pStyle w:val="112"/>
        <w:spacing w:before="120" w:after="120"/>
      </w:pPr>
      <w:r>
        <w:rPr>
          <w:rFonts w:hint="eastAsia"/>
        </w:rPr>
        <w:t>持续改进措施与预期效果</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531"/>
        <w:gridCol w:w="3112"/>
      </w:tblGrid>
      <w:tr w14:paraId="1095D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232DF750">
            <w:pPr>
              <w:pStyle w:val="178"/>
            </w:pPr>
            <w:r>
              <w:rPr>
                <w:rFonts w:hint="eastAsia"/>
              </w:rPr>
              <w:t>改进类别</w:t>
            </w:r>
          </w:p>
        </w:tc>
        <w:tc>
          <w:tcPr>
            <w:tcW w:w="4531" w:type="dxa"/>
            <w:tcBorders>
              <w:top w:val="single" w:color="auto" w:sz="8" w:space="0"/>
              <w:bottom w:val="single" w:color="auto" w:sz="8" w:space="0"/>
            </w:tcBorders>
          </w:tcPr>
          <w:p w14:paraId="35757521">
            <w:pPr>
              <w:pStyle w:val="178"/>
            </w:pPr>
            <w:r>
              <w:rPr>
                <w:rFonts w:hint="eastAsia"/>
              </w:rPr>
              <w:t>示例措施</w:t>
            </w:r>
          </w:p>
        </w:tc>
        <w:tc>
          <w:tcPr>
            <w:tcW w:w="3112" w:type="dxa"/>
            <w:tcBorders>
              <w:top w:val="single" w:color="auto" w:sz="8" w:space="0"/>
              <w:bottom w:val="single" w:color="auto" w:sz="8" w:space="0"/>
            </w:tcBorders>
          </w:tcPr>
          <w:p w14:paraId="761B4E3F">
            <w:pPr>
              <w:pStyle w:val="178"/>
            </w:pPr>
            <w:r>
              <w:rPr>
                <w:rFonts w:hint="eastAsia"/>
              </w:rPr>
              <w:t>预期效果</w:t>
            </w:r>
          </w:p>
        </w:tc>
      </w:tr>
      <w:tr w14:paraId="30090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5E623F53">
            <w:pPr>
              <w:pStyle w:val="178"/>
            </w:pPr>
            <w:r>
              <w:rPr>
                <w:rFonts w:hint="eastAsia"/>
              </w:rPr>
              <w:t>制度改进</w:t>
            </w:r>
          </w:p>
        </w:tc>
        <w:tc>
          <w:tcPr>
            <w:tcW w:w="4531" w:type="dxa"/>
            <w:tcBorders>
              <w:top w:val="single" w:color="auto" w:sz="8" w:space="0"/>
            </w:tcBorders>
          </w:tcPr>
          <w:p w14:paraId="7A242F76">
            <w:pPr>
              <w:pStyle w:val="178"/>
            </w:pPr>
            <w:r>
              <w:rPr>
                <w:rFonts w:hint="eastAsia"/>
              </w:rPr>
              <w:t>修订核算边界设定流程、完善数据审核制度</w:t>
            </w:r>
          </w:p>
        </w:tc>
        <w:tc>
          <w:tcPr>
            <w:tcW w:w="3112" w:type="dxa"/>
            <w:tcBorders>
              <w:top w:val="single" w:color="auto" w:sz="8" w:space="0"/>
            </w:tcBorders>
          </w:tcPr>
          <w:p w14:paraId="593DB9AD">
            <w:pPr>
              <w:pStyle w:val="178"/>
            </w:pPr>
            <w:r>
              <w:rPr>
                <w:rFonts w:hint="eastAsia"/>
              </w:rPr>
              <w:t>提高制度适应性与执行力</w:t>
            </w:r>
          </w:p>
        </w:tc>
      </w:tr>
      <w:tr w14:paraId="2A2D6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63BC31F">
            <w:pPr>
              <w:pStyle w:val="178"/>
            </w:pPr>
            <w:r>
              <w:rPr>
                <w:rFonts w:hint="eastAsia"/>
              </w:rPr>
              <w:t>技术改进</w:t>
            </w:r>
          </w:p>
        </w:tc>
        <w:tc>
          <w:tcPr>
            <w:tcW w:w="4531" w:type="dxa"/>
          </w:tcPr>
          <w:p w14:paraId="1DB96923">
            <w:pPr>
              <w:pStyle w:val="178"/>
            </w:pPr>
            <w:r>
              <w:rPr>
                <w:rFonts w:hint="eastAsia"/>
              </w:rPr>
              <w:t>引入在线监测系统、升级计量设备</w:t>
            </w:r>
          </w:p>
        </w:tc>
        <w:tc>
          <w:tcPr>
            <w:tcW w:w="3112" w:type="dxa"/>
          </w:tcPr>
          <w:p w14:paraId="6D031444">
            <w:pPr>
              <w:pStyle w:val="178"/>
            </w:pPr>
            <w:r>
              <w:rPr>
                <w:rFonts w:hint="eastAsia"/>
              </w:rPr>
              <w:t>提高数据采集精度与实时性</w:t>
            </w:r>
          </w:p>
        </w:tc>
      </w:tr>
      <w:tr w14:paraId="3E468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B35CDB0">
            <w:pPr>
              <w:pStyle w:val="178"/>
            </w:pPr>
            <w:r>
              <w:rPr>
                <w:rFonts w:hint="eastAsia"/>
              </w:rPr>
              <w:t>流程优化</w:t>
            </w:r>
          </w:p>
        </w:tc>
        <w:tc>
          <w:tcPr>
            <w:tcW w:w="4531" w:type="dxa"/>
          </w:tcPr>
          <w:p w14:paraId="4A209F85">
            <w:pPr>
              <w:pStyle w:val="178"/>
            </w:pPr>
            <w:r>
              <w:rPr>
                <w:rFonts w:hint="eastAsia"/>
              </w:rPr>
              <w:t>简化跨部门数据传输环节</w:t>
            </w:r>
          </w:p>
        </w:tc>
        <w:tc>
          <w:tcPr>
            <w:tcW w:w="3112" w:type="dxa"/>
          </w:tcPr>
          <w:p w14:paraId="60948F33">
            <w:pPr>
              <w:pStyle w:val="178"/>
            </w:pPr>
            <w:r>
              <w:rPr>
                <w:rFonts w:hint="eastAsia"/>
              </w:rPr>
              <w:t>缩短核算周期、降低差错率</w:t>
            </w:r>
          </w:p>
        </w:tc>
      </w:tr>
      <w:tr w14:paraId="5FD44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2E4AD61">
            <w:pPr>
              <w:pStyle w:val="178"/>
            </w:pPr>
            <w:r>
              <w:rPr>
                <w:rFonts w:hint="eastAsia"/>
              </w:rPr>
              <w:t>能力建设</w:t>
            </w:r>
          </w:p>
        </w:tc>
        <w:tc>
          <w:tcPr>
            <w:tcW w:w="4531" w:type="dxa"/>
          </w:tcPr>
          <w:p w14:paraId="09DC1E56">
            <w:pPr>
              <w:pStyle w:val="178"/>
            </w:pPr>
            <w:r>
              <w:rPr>
                <w:rFonts w:hint="eastAsia"/>
              </w:rPr>
              <w:t>开展核算技能培训、建立内部专家库</w:t>
            </w:r>
          </w:p>
        </w:tc>
        <w:tc>
          <w:tcPr>
            <w:tcW w:w="3112" w:type="dxa"/>
          </w:tcPr>
          <w:p w14:paraId="5C847047">
            <w:pPr>
              <w:pStyle w:val="178"/>
            </w:pPr>
            <w:r>
              <w:rPr>
                <w:rFonts w:hint="eastAsia"/>
              </w:rPr>
              <w:t>提升核算团队整体水平</w:t>
            </w:r>
          </w:p>
        </w:tc>
      </w:tr>
    </w:tbl>
    <w:p w14:paraId="5BA780A8">
      <w:pPr>
        <w:pStyle w:val="105"/>
        <w:spacing w:before="120" w:after="120" w:line="360" w:lineRule="auto"/>
      </w:pPr>
      <w:r>
        <w:rPr>
          <w:rFonts w:hint="eastAsia"/>
        </w:rPr>
        <w:t>改进实施与评估</w:t>
      </w:r>
    </w:p>
    <w:p w14:paraId="43FF89B8">
      <w:pPr>
        <w:pStyle w:val="56"/>
        <w:spacing w:line="360" w:lineRule="auto"/>
        <w:ind w:firstLine="420"/>
      </w:pPr>
      <w:r>
        <w:rPr>
          <w:rFonts w:hint="eastAsia"/>
        </w:rPr>
        <w:t>改进计划应在执行过程中进行阶段性检查，确保措施落实到位，并根据实际效果进行必要调整。评估可结合量化指标（如数据准确率、不确定性水平下降比例）和质性反馈（如外部核查意见、内部满意度）进行综合判定。</w:t>
      </w:r>
    </w:p>
    <w:p w14:paraId="39DCCCCF">
      <w:pPr>
        <w:pStyle w:val="56"/>
        <w:spacing w:line="360" w:lineRule="auto"/>
        <w:ind w:firstLine="420"/>
      </w:pPr>
      <w:r>
        <w:rPr>
          <w:rFonts w:hint="eastAsia"/>
        </w:rPr>
        <w:t>在评估结果明确后，应将成功的改进经验固化为标准操作程序（SOP），推广至全企业范围；对未达预期的措施，应重新分析原因并制定二次改进计划，从而实现改进的闭环管理。</w:t>
      </w:r>
    </w:p>
    <w:bookmarkEnd w:id="26"/>
    <w:p w14:paraId="5112B289">
      <w:pPr>
        <w:pStyle w:val="56"/>
        <w:ind w:firstLine="0" w:firstLineChars="0"/>
        <w:jc w:val="center"/>
      </w:pPr>
      <w:bookmarkStart w:id="57" w:name="BookMark8"/>
      <w:r>
        <w:rPr>
          <w:rFonts w:hint="eastAsia"/>
        </w:rPr>
        <w:drawing>
          <wp:inline distT="0" distB="0" distL="0" distR="0">
            <wp:extent cx="1485900" cy="317500"/>
            <wp:effectExtent l="0" t="0" r="0" b="6350"/>
            <wp:docPr id="1353454721" name="图片 3"/>
            <wp:cNvGraphicFramePr/>
            <a:graphic xmlns:a="http://schemas.openxmlformats.org/drawingml/2006/main">
              <a:graphicData uri="http://schemas.openxmlformats.org/drawingml/2006/picture">
                <pic:pic xmlns:pic="http://schemas.openxmlformats.org/drawingml/2006/picture">
                  <pic:nvPicPr>
                    <pic:cNvPr id="1353454721" name="图片 3"/>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AC9F">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6259">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27C4">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8454">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8894">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25C48">
    <w:pPr>
      <w:pStyle w:val="51"/>
    </w:pPr>
    <w:r>
      <w:fldChar w:fldCharType="begin"/>
    </w:r>
    <w:r>
      <w:instrText xml:space="preserve"> PAGE   \* MERGEFORMAT \* MERGEFORMAT </w:instrText>
    </w:r>
    <w:r>
      <w:fldChar w:fldCharType="separate"/>
    </w:r>
    <w: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E0C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30DA">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0077—2025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0077—2025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0077—2025</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25117">
    <w:pPr>
      <w:pStyle w:val="61"/>
    </w:pPr>
    <w:r>
      <w:fldChar w:fldCharType="begin"/>
    </w:r>
    <w:r>
      <w:instrText xml:space="preserve"> STYLEREF  标准文件_文件编号  \* MERGEFORMAT </w:instrText>
    </w:r>
    <w:r>
      <w:fldChar w:fldCharType="separate"/>
    </w:r>
    <w:r>
      <w:t>T/XJBX 0077—2025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768A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0077—2025</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2CFE">
    <w:pPr>
      <w:pStyle w:val="61"/>
    </w:pPr>
    <w:r>
      <w:fldChar w:fldCharType="begin"/>
    </w:r>
    <w:r>
      <w:instrText xml:space="preserve"> STYLEREF  标准文件_文件编号  \* MERGEFORMAT </w:instrText>
    </w:r>
    <w:r>
      <w:fldChar w:fldCharType="separate"/>
    </w:r>
    <w:r>
      <w:t>T/XJBX 0077—2025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BEB04">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0077—2025</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A848C">
    <w:pPr>
      <w:pStyle w:val="61"/>
    </w:pPr>
    <w:r>
      <w:fldChar w:fldCharType="begin"/>
    </w:r>
    <w:r>
      <w:instrText xml:space="preserve"> STYLEREF  标准文件_文件编号  \* MERGEFORMAT </w:instrText>
    </w:r>
    <w:r>
      <w:fldChar w:fldCharType="separate"/>
    </w:r>
    <w:r>
      <w:t>T/XJBX 0077—2025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2DB"/>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175E8"/>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B3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990"/>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2980"/>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BF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C0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1BE"/>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729"/>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BF2"/>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230"/>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5F2"/>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50D"/>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B60"/>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572"/>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774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4EFEC9B9">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53A9AD6A">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4FC8B4A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50831"/>
    <w:rsid w:val="003F286C"/>
    <w:rsid w:val="004774F5"/>
    <w:rsid w:val="00AE1DC6"/>
    <w:rsid w:val="00B25BF2"/>
    <w:rsid w:val="00B6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2947</Words>
  <Characters>3206</Characters>
  <Lines>56</Lines>
  <Paragraphs>15</Paragraphs>
  <TotalTime>84</TotalTime>
  <ScaleCrop>false</ScaleCrop>
  <LinksUpToDate>false</LinksUpToDate>
  <CharactersWithSpaces>3293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2025-08-09T11:38:00Z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2025-08-11T06:37:31Z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29F443C0F8824C81AE953B39F9CFDB59_12</vt:lpwstr>
  </property>
</Properties>
</file>