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fldChar w:fldCharType="begin">
                <w:ffData>
                  <w:name w:val="ICS"/>
                  <w:enabled/>
                  <w:calcOnExit w:val="0"/>
                  <w:textInput>
                    <w:default w:val="93.160"/>
                  </w:textInput>
                </w:ffData>
              </w:fldChar>
            </w:r>
            <w:bookmarkStart w:id="0" w:name="ICS"/>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93.160</w:t>
            </w:r>
            <w:r>
              <w:rPr>
                <w:rFonts w:hint="eastAsia"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P 55"/>
                  </w:textInput>
                </w:ffData>
              </w:fldChar>
            </w:r>
            <w:bookmarkStart w:id="2" w:name="CSDN"/>
            <w:r>
              <w:rPr>
                <w:rFonts w:ascii="黑体" w:hAnsi="黑体" w:eastAsia="黑体"/>
                <w:sz w:val="21"/>
                <w:szCs w:val="21"/>
              </w:rPr>
              <w:instrText xml:space="preserve"> </w:instrText>
            </w:r>
            <w:r>
              <w:rPr>
                <w:rFonts w:hint="eastAsia" w:ascii="黑体" w:hAnsi="黑体" w:eastAsia="黑体"/>
                <w:sz w:val="21"/>
                <w:szCs w:val="21"/>
              </w:rPr>
              <w:instrText xml:space="preserve">FORMTEXT</w:instrText>
            </w:r>
            <w:r>
              <w:rPr>
                <w:rFonts w:ascii="黑体" w:hAnsi="黑体" w:eastAsia="黑体"/>
                <w:sz w:val="21"/>
                <w:szCs w:val="21"/>
              </w:rPr>
              <w:instrText xml:space="preserve"> </w:instrText>
            </w:r>
            <w:r>
              <w:rPr>
                <w:rFonts w:ascii="黑体" w:hAnsi="黑体" w:eastAsia="黑体"/>
                <w:sz w:val="21"/>
                <w:szCs w:val="21"/>
              </w:rPr>
              <w:fldChar w:fldCharType="separate"/>
            </w:r>
            <w:r>
              <w:rPr>
                <w:rFonts w:ascii="黑体" w:hAnsi="黑体" w:eastAsia="黑体"/>
                <w:sz w:val="21"/>
                <w:szCs w:val="21"/>
              </w:rPr>
              <w:t>P 55</w:t>
            </w:r>
            <w:r>
              <w:rPr>
                <w:rFonts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r>
        <w:fldChar w:fldCharType="begin">
          <w:ffData>
            <w:name w:val="NSTD_CODE_F"/>
            <w:enabled/>
            <w:calcOnExit w:val="0"/>
            <w:textInput>
              <w:default w:val="0078"/>
            </w:textInput>
          </w:ffData>
        </w:fldChar>
      </w:r>
      <w:bookmarkStart w:id="6" w:name="NSTD_CODE_F"/>
      <w:r>
        <w:instrText xml:space="preserve"> FORMTEXT </w:instrText>
      </w:r>
      <w:r>
        <w:fldChar w:fldCharType="separate"/>
      </w:r>
      <w:r>
        <w:t>0078</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73594FE6">
      <w:pPr>
        <w:pStyle w:val="197"/>
        <w:framePr w:h="6974" w:hRule="exact" w:wrap="around" w:x="1419" w:anchorLock="1"/>
      </w:pPr>
      <w:r>
        <w:rPr>
          <w:rFonts w:hint="eastAsia"/>
        </w:rPr>
        <w:fldChar w:fldCharType="begin">
          <w:ffData>
            <w:name w:val="CSTD_NAME"/>
            <w:enabled/>
            <w:calcOnExit w:val="0"/>
            <w:textInput>
              <w:default w:val="水利施工安全风险识别及防控作业指南"/>
            </w:textInput>
          </w:ffData>
        </w:fldChar>
      </w:r>
      <w:bookmarkStart w:id="9" w:name="CSTD_NAME"/>
      <w:r>
        <w:rPr>
          <w:rFonts w:hint="eastAsia"/>
        </w:rPr>
        <w:instrText xml:space="preserve"> FORMTEXT </w:instrText>
      </w:r>
      <w:r>
        <w:rPr>
          <w:rFonts w:hint="eastAsia"/>
        </w:rPr>
        <w:fldChar w:fldCharType="separate"/>
      </w:r>
      <w:r>
        <w:rPr>
          <w:rFonts w:hint="eastAsia"/>
        </w:rPr>
        <w:t>水利施工安全风险识别及防控作业指南</w:t>
      </w:r>
      <w:r>
        <w:rPr>
          <w:rFonts w:hint="eastAsia"/>
        </w:rP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hint="eastAsia" w:ascii="黑体" w:hAnsi="黑体" w:eastAsia="黑体"/>
          <w:szCs w:val="28"/>
        </w:rPr>
        <w:fldChar w:fldCharType="begin">
          <w:ffData>
            <w:name w:val="ESTD_NAME"/>
            <w:enabled/>
            <w:calcOnExit w:val="0"/>
            <w:textInput>
              <w:default w:val="Guidelines for safety risk identification and prevention operations in water conservancy construction"/>
            </w:textInput>
          </w:ffData>
        </w:fldChar>
      </w:r>
      <w:bookmarkStart w:id="10" w:name="ESTD_NAME"/>
      <w:r>
        <w:rPr>
          <w:rFonts w:hint="eastAsia" w:ascii="黑体" w:hAnsi="黑体" w:eastAsia="黑体"/>
          <w:szCs w:val="28"/>
        </w:rPr>
        <w:instrText xml:space="preserve"> </w:instrText>
      </w:r>
      <w:r>
        <w:rPr>
          <w:rFonts w:ascii="黑体" w:hAnsi="黑体" w:eastAsia="黑体"/>
          <w:szCs w:val="28"/>
        </w:rPr>
        <w:instrText xml:space="preserve">FORMTEXT</w:instrText>
      </w:r>
      <w:r>
        <w:rPr>
          <w:rFonts w:hint="eastAsia" w:ascii="黑体" w:hAnsi="黑体" w:eastAsia="黑体"/>
          <w:szCs w:val="28"/>
        </w:rPr>
        <w:instrText xml:space="preserve"> </w:instrText>
      </w:r>
      <w:r>
        <w:rPr>
          <w:rFonts w:hint="eastAsia" w:ascii="黑体" w:hAnsi="黑体" w:eastAsia="黑体"/>
          <w:szCs w:val="28"/>
        </w:rPr>
        <w:fldChar w:fldCharType="separate"/>
      </w:r>
      <w:r>
        <w:rPr>
          <w:rFonts w:hint="eastAsia" w:ascii="黑体" w:hAnsi="黑体" w:eastAsia="黑体"/>
          <w:szCs w:val="28"/>
        </w:rPr>
        <w:t>Guidelines for safety risk identification and prevention operations in water conservancy construction</w:t>
      </w:r>
      <w:r>
        <w:rPr>
          <w:rFonts w:hint="eastAsia"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计量标准检测认证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西安市计量标准检测认证协会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725D4E11">
      <w:pPr>
        <w:pStyle w:val="91"/>
        <w:spacing w:after="360"/>
      </w:pPr>
      <w:bookmarkStart w:id="21" w:name="BookMark1"/>
      <w:r>
        <w:rPr>
          <w:rFonts w:hint="eastAsia"/>
          <w:spacing w:val="320"/>
        </w:rPr>
        <w:t>目</w:t>
      </w:r>
      <w:r>
        <w:rPr>
          <w:rFonts w:hint="eastAsia"/>
        </w:rPr>
        <w:t>次</w:t>
      </w:r>
    </w:p>
    <w:p w14:paraId="2A48CE6B">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"_Toc205584858"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_Toc205584858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4623AE25">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"_Toc205584859" </w:instrText>
      </w:r>
      <w:r>
        <w:fldChar w:fldCharType="separate"/>
      </w:r>
      <w:r>
        <w:rPr>
          <w:rStyle w:val="32"/>
          <w:rFonts w:hint="eastAsia"/>
        </w:rPr>
        <w:t>引言</w:t>
      </w:r>
      <w:r>
        <w:rPr>
          <w:rFonts w:hint="eastAsia"/>
        </w:rPr>
        <w:tab/>
      </w:r>
      <w:r>
        <w:rPr>
          <w:rFonts w:hint="eastAsia"/>
        </w:rPr>
        <w:fldChar w:fldCharType="begin"/>
      </w:r>
      <w:r>
        <w:rPr>
          <w:rFonts w:hint="eastAsia"/>
        </w:rPr>
        <w:instrText xml:space="preserve"> </w:instrText>
      </w:r>
      <w:r>
        <w:instrText xml:space="preserve">PAGEREF _Toc205584859 \h</w:instrText>
      </w:r>
      <w:r>
        <w:rPr>
          <w:rFonts w:hint="eastAsia"/>
        </w:rPr>
        <w:instrText xml:space="preserve"> </w:instrText>
      </w:r>
      <w:r>
        <w:rPr>
          <w:rFonts w:hint="eastAsia"/>
        </w:rPr>
        <w:fldChar w:fldCharType="separate"/>
      </w:r>
      <w:r>
        <w:t>V</w:t>
      </w:r>
      <w:r>
        <w:rPr>
          <w:rFonts w:hint="eastAsia"/>
        </w:rPr>
        <w:fldChar w:fldCharType="end"/>
      </w:r>
      <w:r>
        <w:rPr>
          <w:rFonts w:hint="eastAsia"/>
        </w:rPr>
        <w:fldChar w:fldCharType="end"/>
      </w:r>
    </w:p>
    <w:p w14:paraId="61DCA206">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"_Toc205584860"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_Toc205584860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8409F30">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"_Toc205584861"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_Toc205584861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227DA91">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"_Toc205584862"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_Toc205584862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DF8B642">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"_Toc205584863" </w:instrText>
      </w:r>
      <w:r>
        <w:fldChar w:fldCharType="separate"/>
      </w:r>
      <w:r>
        <w:rPr>
          <w:rStyle w:val="32"/>
          <w:rFonts w:hint="eastAsia"/>
        </w:rPr>
        <w:t>4</w:t>
      </w:r>
      <w:r>
        <w:rPr>
          <w:rStyle w:val="32"/>
        </w:rPr>
        <w:t xml:space="preserve"> </w:t>
      </w:r>
      <w:r>
        <w:rPr>
          <w:rStyle w:val="32"/>
          <w:rFonts w:hint="eastAsia"/>
        </w:rPr>
        <w:t xml:space="preserve"> 总体原则</w:t>
      </w:r>
      <w:r>
        <w:rPr>
          <w:rFonts w:hint="eastAsia"/>
        </w:rPr>
        <w:tab/>
      </w:r>
      <w:r>
        <w:rPr>
          <w:rFonts w:hint="eastAsia"/>
        </w:rPr>
        <w:fldChar w:fldCharType="begin"/>
      </w:r>
      <w:r>
        <w:rPr>
          <w:rFonts w:hint="eastAsia"/>
        </w:rPr>
        <w:instrText xml:space="preserve"> </w:instrText>
      </w:r>
      <w:r>
        <w:instrText xml:space="preserve">PAGEREF _Toc205584863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6974C3B0">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"_Toc205584864" </w:instrText>
      </w:r>
      <w:r>
        <w:fldChar w:fldCharType="separate"/>
      </w:r>
      <w:r>
        <w:rPr>
          <w:rStyle w:val="32"/>
          <w:rFonts w:hint="eastAsia"/>
        </w:rPr>
        <w:t>5</w:t>
      </w:r>
      <w:r>
        <w:rPr>
          <w:rStyle w:val="32"/>
        </w:rPr>
        <w:t xml:space="preserve"> </w:t>
      </w:r>
      <w:r>
        <w:rPr>
          <w:rStyle w:val="32"/>
          <w:rFonts w:hint="eastAsia"/>
        </w:rPr>
        <w:t xml:space="preserve"> 风险识别</w:t>
      </w:r>
      <w:r>
        <w:rPr>
          <w:rFonts w:hint="eastAsia"/>
        </w:rPr>
        <w:tab/>
      </w:r>
      <w:r>
        <w:rPr>
          <w:rFonts w:hint="eastAsia"/>
        </w:rPr>
        <w:fldChar w:fldCharType="begin"/>
      </w:r>
      <w:r>
        <w:rPr>
          <w:rFonts w:hint="eastAsia"/>
        </w:rPr>
        <w:instrText xml:space="preserve"> </w:instrText>
      </w:r>
      <w:r>
        <w:instrText xml:space="preserve">PAGEREF _Toc205584864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3F841C3E">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"_Toc205584865" </w:instrText>
      </w:r>
      <w:r>
        <w:fldChar w:fldCharType="separate"/>
      </w:r>
      <w:r>
        <w:rPr>
          <w:rStyle w:val="32"/>
          <w:rFonts w:hint="eastAsia"/>
        </w:rPr>
        <w:t>6</w:t>
      </w:r>
      <w:r>
        <w:rPr>
          <w:rStyle w:val="32"/>
        </w:rPr>
        <w:t xml:space="preserve"> </w:t>
      </w:r>
      <w:r>
        <w:rPr>
          <w:rStyle w:val="32"/>
          <w:rFonts w:hint="eastAsia"/>
        </w:rPr>
        <w:t xml:space="preserve"> 风险评估与分级管控</w:t>
      </w:r>
      <w:r>
        <w:rPr>
          <w:rFonts w:hint="eastAsia"/>
        </w:rPr>
        <w:tab/>
      </w:r>
      <w:r>
        <w:rPr>
          <w:rFonts w:hint="eastAsia"/>
        </w:rPr>
        <w:fldChar w:fldCharType="begin"/>
      </w:r>
      <w:r>
        <w:rPr>
          <w:rFonts w:hint="eastAsia"/>
        </w:rPr>
        <w:instrText xml:space="preserve"> </w:instrText>
      </w:r>
      <w:r>
        <w:instrText xml:space="preserve">PAGEREF _Toc205584865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4A3C402D">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"_Toc205584866" </w:instrText>
      </w:r>
      <w:r>
        <w:fldChar w:fldCharType="separate"/>
      </w:r>
      <w:r>
        <w:rPr>
          <w:rStyle w:val="32"/>
          <w:rFonts w:hint="eastAsia"/>
        </w:rPr>
        <w:t>7</w:t>
      </w:r>
      <w:r>
        <w:rPr>
          <w:rStyle w:val="32"/>
        </w:rPr>
        <w:t xml:space="preserve"> </w:t>
      </w:r>
      <w:r>
        <w:rPr>
          <w:rStyle w:val="32"/>
          <w:rFonts w:hint="eastAsia"/>
        </w:rPr>
        <w:t xml:space="preserve"> 风险防控措施</w:t>
      </w:r>
      <w:r>
        <w:rPr>
          <w:rFonts w:hint="eastAsia"/>
        </w:rPr>
        <w:tab/>
      </w:r>
      <w:r>
        <w:rPr>
          <w:rFonts w:hint="eastAsia"/>
        </w:rPr>
        <w:fldChar w:fldCharType="begin"/>
      </w:r>
      <w:r>
        <w:rPr>
          <w:rFonts w:hint="eastAsia"/>
        </w:rPr>
        <w:instrText xml:space="preserve"> </w:instrText>
      </w:r>
      <w:r>
        <w:instrText xml:space="preserve">PAGEREF _Toc205584866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0476ED65">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"_Toc205584867" </w:instrText>
      </w:r>
      <w:r>
        <w:fldChar w:fldCharType="separate"/>
      </w:r>
      <w:r>
        <w:rPr>
          <w:rStyle w:val="32"/>
          <w:rFonts w:hint="eastAsia"/>
        </w:rPr>
        <w:t>8</w:t>
      </w:r>
      <w:r>
        <w:rPr>
          <w:rStyle w:val="32"/>
        </w:rPr>
        <w:t xml:space="preserve"> </w:t>
      </w:r>
      <w:r>
        <w:rPr>
          <w:rStyle w:val="32"/>
          <w:rFonts w:hint="eastAsia"/>
        </w:rPr>
        <w:t xml:space="preserve"> 应急处置程序</w:t>
      </w:r>
      <w:r>
        <w:rPr>
          <w:rFonts w:hint="eastAsia"/>
        </w:rPr>
        <w:tab/>
      </w:r>
      <w:r>
        <w:rPr>
          <w:rFonts w:hint="eastAsia"/>
        </w:rPr>
        <w:fldChar w:fldCharType="begin"/>
      </w:r>
      <w:r>
        <w:rPr>
          <w:rFonts w:hint="eastAsia"/>
        </w:rPr>
        <w:instrText xml:space="preserve"> </w:instrText>
      </w:r>
      <w:r>
        <w:instrText xml:space="preserve">PAGEREF _Toc205584867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617DF682">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"_Toc205584868" </w:instrText>
      </w:r>
      <w:r>
        <w:fldChar w:fldCharType="separate"/>
      </w:r>
      <w:r>
        <w:rPr>
          <w:rStyle w:val="32"/>
          <w:rFonts w:hint="eastAsia"/>
        </w:rPr>
        <w:t>9</w:t>
      </w:r>
      <w:r>
        <w:rPr>
          <w:rStyle w:val="32"/>
        </w:rPr>
        <w:t xml:space="preserve"> </w:t>
      </w:r>
      <w:r>
        <w:rPr>
          <w:rStyle w:val="32"/>
          <w:rFonts w:hint="eastAsia"/>
        </w:rPr>
        <w:t xml:space="preserve"> 监督检查</w:t>
      </w:r>
      <w:r>
        <w:rPr>
          <w:rFonts w:hint="eastAsia"/>
        </w:rPr>
        <w:tab/>
      </w:r>
      <w:r>
        <w:rPr>
          <w:rFonts w:hint="eastAsia"/>
        </w:rPr>
        <w:fldChar w:fldCharType="begin"/>
      </w:r>
      <w:r>
        <w:rPr>
          <w:rFonts w:hint="eastAsia"/>
        </w:rPr>
        <w:instrText xml:space="preserve"> </w:instrText>
      </w:r>
      <w:r>
        <w:instrText xml:space="preserve">PAGEREF _Toc205584868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3B2413BA">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5584858"/>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本文件由西安市计量标准检测认证协会提出并归口。</w:t>
      </w:r>
    </w:p>
    <w:p w14:paraId="13021025">
      <w:pPr>
        <w:pStyle w:val="56"/>
        <w:spacing w:line="360" w:lineRule="auto"/>
        <w:ind w:firstLine="420"/>
      </w:pPr>
      <w:r>
        <w:rPr>
          <w:rFonts w:hint="eastAsia"/>
        </w:rPr>
        <w:t>本文件起草单位：江苏中源工程管理股份有限公司。</w:t>
      </w:r>
    </w:p>
    <w:p w14:paraId="784B3C9B">
      <w:pPr>
        <w:pStyle w:val="56"/>
        <w:spacing w:line="360" w:lineRule="auto"/>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r>
        <w:rPr>
          <w:rFonts w:hint="eastAsia"/>
        </w:rPr>
        <w:t>本文件主要起草人：刘坤。</w:t>
      </w:r>
      <w:bookmarkStart w:id="58" w:name="_GoBack"/>
      <w:bookmarkEnd w:id="58"/>
    </w:p>
    <w:bookmarkEnd w:id="23"/>
    <w:p w14:paraId="66D0A2F3">
      <w:pPr>
        <w:pStyle w:val="89"/>
        <w:spacing w:after="360"/>
      </w:pPr>
      <w:bookmarkStart w:id="24" w:name="_Toc205584859"/>
      <w:bookmarkStart w:id="25" w:name="BookMark3"/>
      <w:r>
        <w:rPr>
          <w:spacing w:val="320"/>
        </w:rPr>
        <w:t>引</w:t>
      </w:r>
      <w:r>
        <w:t>言</w:t>
      </w:r>
      <w:bookmarkEnd w:id="24"/>
    </w:p>
    <w:p w14:paraId="4D7866FD">
      <w:pPr>
        <w:pStyle w:val="56"/>
        <w:spacing w:line="360" w:lineRule="auto"/>
        <w:ind w:firstLine="420"/>
      </w:pPr>
      <w:r>
        <w:rPr>
          <w:rFonts w:hint="eastAsia"/>
        </w:rPr>
        <w:t>水利施工项目具有投资规模大、建设周期长、参与方众多、工序交叉密集等显著特征，涉及地质、水文、气象、机械、电气、结构等多个专业领域，施工环境往往处于江河、湖泊、水库、山区等自然条件复杂的区域。施工过程中不仅受制于雨季洪水、风雪冰冻、地质灾害等自然因素，还会受到设备运行状况、施工组织安排、人员操作水平以及外部社会环境等多重影响，安全风险类型多样且变化迅速。</w:t>
      </w:r>
    </w:p>
    <w:p w14:paraId="0A002A05">
      <w:pPr>
        <w:pStyle w:val="56"/>
        <w:spacing w:line="360" w:lineRule="auto"/>
        <w:ind w:firstLine="420"/>
      </w:pPr>
      <w:r>
        <w:rPr>
          <w:rFonts w:hint="eastAsia"/>
        </w:rPr>
        <w:t>近年来，随着水利工程建设规模的不断扩大和施工技术水平的持续提升，施工现场的安全风险呈现出隐蔽性强、突发性高、链式反应明显以及跨领域耦合性强等特征。部分风险因素往往难以通过表面现象直接发现，例如地下空洞、边坡隐裂、设备疲劳损伤等；某些风险可能在极短时间内由正常状态转变为事故状态，如暴雨导致的围堰溃决；一个环节的失控还可能引发多环节的连锁故障，例如脚手架坍塌引发设备损毁和人员伤害；同时，土建、机电安装、临时用电、防汛应急等多种工序之间相互作用，使得风险管理的复杂度显著提高。</w:t>
      </w:r>
    </w:p>
    <w:p w14:paraId="1A8DDE82">
      <w:pPr>
        <w:pStyle w:val="56"/>
        <w:spacing w:line="360" w:lineRule="auto"/>
        <w:ind w:firstLine="420"/>
      </w:pPr>
      <w:r>
        <w:rPr>
          <w:rFonts w:hint="eastAsia"/>
        </w:rPr>
        <w:t>在这种背景下，建立科学、系统的水利施工安全风险识别与防控机制，已成为保障施工安全、维护作业人员生命健康和职业安全、确保工程质量与进度、保护生态环境的重要措施。这不仅是落实安全生产责任制、实现本质安全型施工的必然要求，也是提升施工现场安全管理水平、推动水利工程高质量发展的关键支撑。</w:t>
      </w:r>
    </w:p>
    <w:p w14:paraId="41C59179">
      <w:pPr>
        <w:pStyle w:val="56"/>
        <w:spacing w:line="360" w:lineRule="auto"/>
        <w:ind w:firstLine="420"/>
      </w:pPr>
      <w:r>
        <w:rPr>
          <w:rFonts w:hint="eastAsia"/>
        </w:rPr>
        <w:t>本文件的编制，旨在为水利施工项目的建设单位、施工单位、监理单位以及相关管理部门提供一套可操作性强的技术性文件，从风险识别、风险评估、分级管控、防控措施到应急处置，形成系统化、全流程的安全管理链条。通过本指南的实施，可有效提升施工现场安全管理的系统性、前瞻性与可控性，最大限度降低安全事故发生的概率与损失，实现“预防为主、综合治理、持续改进”的安全管理目标。</w:t>
      </w:r>
    </w:p>
    <w:p w14:paraId="3AC90217">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7D4E3E1F">
          <w:pPr>
            <w:pStyle w:val="177"/>
          </w:pPr>
          <w:bookmarkStart w:id="27" w:name="NEW_STAND_NAME"/>
          <w:r>
            <w:rPr>
              <w:rFonts w:hint="eastAsia"/>
            </w:rPr>
            <w:t>水利施工安全风险识别及防控作业指南</w:t>
          </w:r>
        </w:p>
      </w:sdtContent>
    </w:sdt>
    <w:bookmarkEnd w:id="27"/>
    <w:p w14:paraId="3DB22445">
      <w:pPr>
        <w:pStyle w:val="104"/>
        <w:spacing w:before="240" w:after="240"/>
      </w:pPr>
      <w:bookmarkStart w:id="28" w:name="_Toc26986530"/>
      <w:bookmarkStart w:id="29" w:name="_Toc205584860"/>
      <w:bookmarkStart w:id="30" w:name="_Toc26718930"/>
      <w:bookmarkStart w:id="31" w:name="_Toc26986771"/>
      <w:bookmarkStart w:id="32" w:name="_Toc97192964"/>
      <w:bookmarkStart w:id="33" w:name="_Toc24884211"/>
      <w:bookmarkStart w:id="34" w:name="_Toc17233333"/>
      <w:bookmarkStart w:id="35" w:name="_Toc24884218"/>
      <w:bookmarkStart w:id="36" w:name="_Toc17233325"/>
      <w:bookmarkStart w:id="37" w:name="_Toc26648465"/>
      <w:r>
        <w:rPr>
          <w:rFonts w:hint="eastAsia"/>
        </w:rPr>
        <w:t>范围</w:t>
      </w:r>
      <w:bookmarkEnd w:id="28"/>
      <w:bookmarkEnd w:id="29"/>
      <w:bookmarkEnd w:id="30"/>
      <w:bookmarkEnd w:id="31"/>
      <w:bookmarkEnd w:id="32"/>
      <w:bookmarkEnd w:id="33"/>
      <w:bookmarkEnd w:id="34"/>
      <w:bookmarkEnd w:id="35"/>
      <w:bookmarkEnd w:id="36"/>
      <w:bookmarkEnd w:id="37"/>
    </w:p>
    <w:p w14:paraId="4A062E61">
      <w:pPr>
        <w:pStyle w:val="56"/>
        <w:spacing w:line="360" w:lineRule="auto"/>
        <w:ind w:firstLine="420"/>
      </w:pPr>
      <w:bookmarkStart w:id="38" w:name="_Toc17233326"/>
      <w:bookmarkStart w:id="39" w:name="_Toc17233334"/>
      <w:bookmarkStart w:id="40" w:name="_Toc24884212"/>
      <w:bookmarkStart w:id="41" w:name="_Toc24884219"/>
      <w:bookmarkStart w:id="42" w:name="_Toc26648466"/>
      <w:r>
        <w:rPr>
          <w:rFonts w:hint="eastAsia"/>
        </w:rPr>
        <w:t>本文件规定了水利施工安全风险识别及防控的总体原则、风险识别、风险评估与分级管控、风险防控措施、应急处置程序、监督检查等总体原则，适用于各类新建、改建、扩建及维修加固等水利工程施工活动中的安全风险管理。</w:t>
      </w:r>
    </w:p>
    <w:p w14:paraId="06C9B754">
      <w:pPr>
        <w:pStyle w:val="56"/>
        <w:spacing w:line="360" w:lineRule="auto"/>
        <w:ind w:firstLine="420"/>
      </w:pPr>
      <w:r>
        <w:rPr>
          <w:rFonts w:hint="eastAsia"/>
        </w:rPr>
        <w:t>本文件适用于水利施工项目在施工准备、主体施工、设备安装调试、运行试验等全过程的安全风险识别与防控工作，涵盖土方开挖、混凝土施工、机电安装、临时用电、起重吊装、防汛防洪、高处作业、深基坑作业、水上作业及其他具有较高安全风险的施工环节。</w:t>
      </w:r>
    </w:p>
    <w:p w14:paraId="7CD6BFE6">
      <w:pPr>
        <w:pStyle w:val="56"/>
        <w:spacing w:line="360" w:lineRule="auto"/>
        <w:ind w:firstLine="420"/>
      </w:pPr>
      <w:r>
        <w:rPr>
          <w:rFonts w:hint="eastAsia"/>
        </w:rPr>
        <w:t>本文件不适用于非生产性场所的日常维护性工作以及单纯的管理性会议、培训等活动中的一般安全管理，但相关单位可参照本文件的原则和方法，完善自身安全管理制度。</w:t>
      </w:r>
    </w:p>
    <w:p w14:paraId="3733B2AD">
      <w:pPr>
        <w:pStyle w:val="104"/>
        <w:spacing w:before="240" w:after="240" w:line="360" w:lineRule="auto"/>
      </w:pPr>
      <w:bookmarkStart w:id="43" w:name="_Toc26718931"/>
      <w:bookmarkStart w:id="44" w:name="_Toc26986531"/>
      <w:bookmarkStart w:id="45" w:name="_Toc97192965"/>
      <w:bookmarkStart w:id="46" w:name="_Toc26986772"/>
      <w:bookmarkStart w:id="47" w:name="_Toc205584861"/>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A38DA5D">
      <w:pPr>
        <w:pStyle w:val="56"/>
        <w:spacing w:line="360" w:lineRule="auto"/>
        <w:ind w:firstLine="420"/>
      </w:pPr>
      <w:r>
        <w:rPr>
          <w:rFonts w:hint="eastAsia"/>
        </w:rPr>
        <w:t>GB 39800.1—2020 个体防护装备配备规范  第1部分：总则</w:t>
      </w:r>
    </w:p>
    <w:p w14:paraId="34ACC98C">
      <w:pPr>
        <w:pStyle w:val="56"/>
        <w:spacing w:line="360" w:lineRule="auto"/>
        <w:ind w:firstLine="420"/>
      </w:pPr>
      <w:r>
        <w:rPr>
          <w:rFonts w:hint="eastAsia"/>
        </w:rPr>
        <w:t>GB 50194—2014 建设工程施工现场供用电安全规范</w:t>
      </w:r>
    </w:p>
    <w:p w14:paraId="07A7F860">
      <w:pPr>
        <w:pStyle w:val="56"/>
        <w:spacing w:line="360" w:lineRule="auto"/>
        <w:ind w:firstLine="420"/>
      </w:pPr>
      <w:r>
        <w:rPr>
          <w:rFonts w:hint="eastAsia"/>
        </w:rPr>
        <w:t>GB 50286—2013 堤防工程设计规范</w:t>
      </w:r>
    </w:p>
    <w:p w14:paraId="3D95962E">
      <w:pPr>
        <w:pStyle w:val="56"/>
        <w:spacing w:line="360" w:lineRule="auto"/>
        <w:ind w:firstLine="420"/>
      </w:pPr>
      <w:r>
        <w:rPr>
          <w:rFonts w:hint="eastAsia"/>
        </w:rPr>
        <w:t>GB 55028—2022 特殊设施工程项目规范</w:t>
      </w:r>
    </w:p>
    <w:p w14:paraId="2BB7F8A6">
      <w:pPr>
        <w:pStyle w:val="56"/>
        <w:spacing w:line="360" w:lineRule="auto"/>
        <w:ind w:firstLine="420"/>
      </w:pPr>
      <w:r>
        <w:t>GB/T 13861</w:t>
      </w:r>
      <w:r>
        <w:rPr>
          <w:rFonts w:hint="eastAsia"/>
        </w:rPr>
        <w:t>—</w:t>
      </w:r>
      <w:r>
        <w:t>2022</w:t>
      </w:r>
      <w:r>
        <w:rPr>
          <w:rFonts w:hint="eastAsia"/>
        </w:rPr>
        <w:t xml:space="preserve"> 生产过程危险和有害因素分类与代码</w:t>
      </w:r>
    </w:p>
    <w:p w14:paraId="51F02A4E">
      <w:pPr>
        <w:pStyle w:val="104"/>
        <w:spacing w:before="240" w:after="240" w:line="360" w:lineRule="auto"/>
      </w:pPr>
      <w:bookmarkStart w:id="48" w:name="_Toc97192966"/>
      <w:bookmarkStart w:id="49" w:name="_Toc205584862"/>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1FC137D6">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安全风险识别 </w:t>
      </w:r>
      <w:r>
        <w:rPr>
          <w:rFonts w:ascii="黑体" w:hAnsi="黑体" w:eastAsia="黑体"/>
        </w:rPr>
        <w:t>safety risk identification</w:t>
      </w:r>
    </w:p>
    <w:p w14:paraId="5287C025">
      <w:pPr>
        <w:pStyle w:val="56"/>
        <w:spacing w:line="360" w:lineRule="auto"/>
        <w:ind w:firstLine="420"/>
      </w:pPr>
      <w:r>
        <w:rPr>
          <w:rFonts w:hint="eastAsia"/>
        </w:rPr>
        <w:t>通过对施工活动、作业环境、设备设施、人员行为等进行系统分析，辨识可能导致事故发生的风险因素的过程。</w:t>
      </w:r>
    </w:p>
    <w:p w14:paraId="4A4C68ED">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风险评估 </w:t>
      </w:r>
      <w:r>
        <w:rPr>
          <w:rFonts w:ascii="黑体" w:hAnsi="黑体" w:eastAsia="黑体"/>
        </w:rPr>
        <w:t>risk assessment</w:t>
      </w:r>
    </w:p>
    <w:p w14:paraId="70621B72">
      <w:pPr>
        <w:pStyle w:val="56"/>
        <w:spacing w:line="360" w:lineRule="auto"/>
        <w:ind w:firstLine="420"/>
      </w:pPr>
      <w:r>
        <w:rPr>
          <w:rFonts w:hint="eastAsia"/>
        </w:rPr>
        <w:t>对已识别的风险因素进行发生可能性与后果严重性分析，确定其风险等级的过程。</w:t>
      </w:r>
    </w:p>
    <w:p w14:paraId="2B19F9D3">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防控措施 </w:t>
      </w:r>
      <w:r>
        <w:rPr>
          <w:rFonts w:ascii="黑体" w:hAnsi="黑体" w:eastAsia="黑体"/>
        </w:rPr>
        <w:t>preventive and control measures</w:t>
      </w:r>
    </w:p>
    <w:p w14:paraId="1E91D84A">
      <w:pPr>
        <w:pStyle w:val="56"/>
        <w:spacing w:line="360" w:lineRule="auto"/>
        <w:ind w:firstLine="420"/>
      </w:pPr>
      <w:r>
        <w:rPr>
          <w:rFonts w:hint="eastAsia"/>
        </w:rPr>
        <w:t>为消除、降低或控制风险因素而采取的技术、管理及应急处置手段。</w:t>
      </w:r>
    </w:p>
    <w:p w14:paraId="738F2DD6">
      <w:pPr>
        <w:pStyle w:val="104"/>
        <w:spacing w:before="240" w:after="240" w:line="360" w:lineRule="auto"/>
      </w:pPr>
      <w:bookmarkStart w:id="51" w:name="_Toc205584863"/>
      <w:r>
        <w:rPr>
          <w:rFonts w:hint="eastAsia"/>
        </w:rPr>
        <w:t>总体原则</w:t>
      </w:r>
      <w:bookmarkEnd w:id="51"/>
    </w:p>
    <w:p w14:paraId="56DE6181">
      <w:pPr>
        <w:pStyle w:val="105"/>
        <w:spacing w:before="120" w:after="120" w:line="360" w:lineRule="auto"/>
      </w:pPr>
      <w:r>
        <w:rPr>
          <w:rFonts w:hint="eastAsia"/>
        </w:rPr>
        <w:t xml:space="preserve">全员参与 </w:t>
      </w:r>
    </w:p>
    <w:p w14:paraId="2C4F67F5">
      <w:pPr>
        <w:pStyle w:val="56"/>
        <w:spacing w:line="360" w:lineRule="auto"/>
        <w:ind w:firstLine="420"/>
      </w:pPr>
      <w:r>
        <w:rPr>
          <w:rFonts w:hint="eastAsia"/>
        </w:rPr>
        <w:t>水利施工安全风险管理应覆盖项目全员，施工、监理、设计、业主及分包单位应共同参与风险识别与防控，形成横向到边、纵向到底的全员责任网络。</w:t>
      </w:r>
    </w:p>
    <w:p w14:paraId="183F52AC">
      <w:pPr>
        <w:pStyle w:val="105"/>
        <w:spacing w:before="120" w:after="120" w:line="360" w:lineRule="auto"/>
      </w:pPr>
      <w:r>
        <w:rPr>
          <w:rFonts w:hint="eastAsia"/>
        </w:rPr>
        <w:t>预防为主</w:t>
      </w:r>
    </w:p>
    <w:p w14:paraId="50534C0D">
      <w:pPr>
        <w:pStyle w:val="56"/>
        <w:spacing w:line="360" w:lineRule="auto"/>
        <w:ind w:firstLine="420"/>
      </w:pPr>
      <w:r>
        <w:rPr>
          <w:rFonts w:hint="eastAsia"/>
        </w:rPr>
        <w:t>应以事前预防为核心，通过全面的风险辨识、科学的风险评估和有针对性的防控措施，将事故发生的可能性控制在最低水平。</w:t>
      </w:r>
    </w:p>
    <w:p w14:paraId="68A03336">
      <w:pPr>
        <w:pStyle w:val="105"/>
        <w:spacing w:before="120" w:after="120" w:line="360" w:lineRule="auto"/>
      </w:pPr>
      <w:r>
        <w:rPr>
          <w:rFonts w:hint="eastAsia"/>
        </w:rPr>
        <w:t>动态管理</w:t>
      </w:r>
    </w:p>
    <w:p w14:paraId="64D9954D">
      <w:pPr>
        <w:pStyle w:val="56"/>
        <w:spacing w:line="360" w:lineRule="auto"/>
        <w:ind w:firstLine="420"/>
      </w:pPr>
      <w:r>
        <w:rPr>
          <w:rFonts w:hint="eastAsia"/>
        </w:rPr>
        <w:t>水利施工风险具有阶段性和动态变化特征，应建立持续监测和动态调整机制，根据施工阶段、作业环境和外部条件的变化，及时修正风险评估结果和防控策略。</w:t>
      </w:r>
    </w:p>
    <w:p w14:paraId="12B2C1A5">
      <w:pPr>
        <w:pStyle w:val="105"/>
        <w:spacing w:before="120" w:after="120" w:line="360" w:lineRule="auto"/>
      </w:pPr>
      <w:r>
        <w:rPr>
          <w:rFonts w:hint="eastAsia"/>
        </w:rPr>
        <w:t>分级管控</w:t>
      </w:r>
    </w:p>
    <w:p w14:paraId="6EBB9BF3">
      <w:pPr>
        <w:pStyle w:val="56"/>
        <w:spacing w:line="360" w:lineRule="auto"/>
        <w:ind w:firstLine="420"/>
      </w:pPr>
      <w:r>
        <w:rPr>
          <w:rFonts w:hint="eastAsia"/>
        </w:rPr>
        <w:t>根据风险的严重性和发生可能性实施分级管理，对重大风险采取专项防控方案并落实“一项风险、一套措施、一名责任人”的管理模式。</w:t>
      </w:r>
    </w:p>
    <w:p w14:paraId="6577044C">
      <w:pPr>
        <w:pStyle w:val="105"/>
        <w:spacing w:before="120" w:after="120" w:line="360" w:lineRule="auto"/>
      </w:pPr>
      <w:r>
        <w:rPr>
          <w:rFonts w:hint="eastAsia"/>
        </w:rPr>
        <w:t>应急保障</w:t>
      </w:r>
    </w:p>
    <w:p w14:paraId="11ED0D72">
      <w:pPr>
        <w:pStyle w:val="56"/>
        <w:spacing w:line="360" w:lineRule="auto"/>
        <w:ind w:firstLine="420"/>
      </w:pPr>
      <w:r>
        <w:rPr>
          <w:rFonts w:hint="eastAsia"/>
        </w:rPr>
        <w:t>针对无法完全消除的剩余风险，应制定完善的应急预案，配备必要的应急物资与救援力量，确保在事故发生时能够迅速响应并有效处置。</w:t>
      </w:r>
    </w:p>
    <w:p w14:paraId="7F2D93CB">
      <w:pPr>
        <w:pStyle w:val="104"/>
        <w:spacing w:before="240" w:after="240" w:line="360" w:lineRule="auto"/>
      </w:pPr>
      <w:bookmarkStart w:id="52" w:name="_Toc205584864"/>
      <w:r>
        <w:rPr>
          <w:rFonts w:hint="eastAsia"/>
        </w:rPr>
        <w:t>风险识别</w:t>
      </w:r>
      <w:bookmarkEnd w:id="52"/>
    </w:p>
    <w:p w14:paraId="128BC158">
      <w:pPr>
        <w:pStyle w:val="162"/>
        <w:spacing w:line="360" w:lineRule="auto"/>
      </w:pPr>
      <w:r>
        <w:rPr>
          <w:rFonts w:hint="eastAsia"/>
        </w:rPr>
        <w:t>水利施工安全风险识别应贯穿施工全过程，结合工程特点、施工工艺、作业环境和人员素质，系统辨识可能导致人身伤害、设备损坏、环境破坏及工程延误的风险因素，明确风险识别的主要方法及在各施工阶段、各作业类型中的识别内容。</w:t>
      </w:r>
    </w:p>
    <w:p w14:paraId="0804605D">
      <w:pPr>
        <w:pStyle w:val="105"/>
        <w:spacing w:before="120" w:after="120" w:line="360" w:lineRule="auto"/>
      </w:pPr>
      <w:r>
        <w:rPr>
          <w:rFonts w:hint="eastAsia"/>
        </w:rPr>
        <w:t>风险识别方法</w:t>
      </w:r>
    </w:p>
    <w:p w14:paraId="2AF192B3">
      <w:pPr>
        <w:pStyle w:val="56"/>
        <w:spacing w:line="360" w:lineRule="auto"/>
        <w:ind w:firstLine="420"/>
      </w:pPr>
      <w:r>
        <w:rPr>
          <w:rFonts w:hint="eastAsia"/>
        </w:rPr>
        <w:t>风险识别应采用多种方法相结合的方式，确保识别结果全面、准确、可操作。常用方法包括：</w:t>
      </w:r>
    </w:p>
    <w:p w14:paraId="560348F4">
      <w:pPr>
        <w:pStyle w:val="132"/>
        <w:spacing w:line="360" w:lineRule="auto"/>
      </w:pPr>
      <w:r>
        <w:rPr>
          <w:rFonts w:hint="eastAsia"/>
        </w:rPr>
        <w:t>现场踏勘与观察法：通过对施工现场实地巡查，发现显性和潜在的风险隐患；</w:t>
      </w:r>
    </w:p>
    <w:p w14:paraId="029DBB6A">
      <w:pPr>
        <w:pStyle w:val="132"/>
        <w:spacing w:line="360" w:lineRule="auto"/>
      </w:pPr>
      <w:r>
        <w:rPr>
          <w:rFonts w:hint="eastAsia"/>
        </w:rPr>
        <w:t>作业条件分析法：分析施工任务所需的设备、材料、环境条件及作业人员状态，识别相关风险因素；</w:t>
      </w:r>
    </w:p>
    <w:p w14:paraId="3890E99C">
      <w:pPr>
        <w:pStyle w:val="132"/>
        <w:spacing w:line="360" w:lineRule="auto"/>
      </w:pPr>
      <w:r>
        <w:rPr>
          <w:rFonts w:hint="eastAsia"/>
        </w:rPr>
        <w:t>历史案例分析法：参考类似工程的事故案例，总结易发风险点及触发条件；</w:t>
      </w:r>
    </w:p>
    <w:p w14:paraId="142D3C37">
      <w:pPr>
        <w:pStyle w:val="132"/>
        <w:spacing w:line="360" w:lineRule="auto"/>
      </w:pPr>
      <w:r>
        <w:rPr>
          <w:rFonts w:hint="eastAsia"/>
        </w:rPr>
        <w:t>专家经验判断法：邀请有经验的技术人员、安全管理人员和外部专家进行综合评估；</w:t>
      </w:r>
    </w:p>
    <w:p w14:paraId="0DE887D6">
      <w:pPr>
        <w:pStyle w:val="132"/>
        <w:spacing w:line="360" w:lineRule="auto"/>
      </w:pPr>
      <w:r>
        <w:rPr>
          <w:rFonts w:hint="eastAsia"/>
        </w:rPr>
        <w:t>检查表法：利用标准化的风险检查表，对施工环节逐项核查；</w:t>
      </w:r>
    </w:p>
    <w:p w14:paraId="6EFF0F95">
      <w:pPr>
        <w:pStyle w:val="132"/>
        <w:spacing w:line="360" w:lineRule="auto"/>
      </w:pPr>
      <w:r>
        <w:rPr>
          <w:rFonts w:hint="eastAsia"/>
        </w:rPr>
        <w:t>系统分析法：运用失效模式与影响分析、危险与可操作性分析等系统化方法，对关键环节进行深度分析。</w:t>
      </w:r>
    </w:p>
    <w:p w14:paraId="5A60DDC3">
      <w:pPr>
        <w:pStyle w:val="56"/>
        <w:spacing w:line="360" w:lineRule="auto"/>
        <w:ind w:firstLine="420"/>
      </w:pPr>
      <w:r>
        <w:rPr>
          <w:rFonts w:hint="eastAsia"/>
        </w:rPr>
        <w:t>为便于管理，常用风险识别方法及适用场景，施工单位可根据工程实际选择或组合使用。风险识别方法及适用场景见表1。</w:t>
      </w:r>
    </w:p>
    <w:p w14:paraId="4E298868">
      <w:pPr>
        <w:pStyle w:val="112"/>
        <w:spacing w:before="120" w:after="120" w:line="360" w:lineRule="auto"/>
      </w:pPr>
      <w:r>
        <w:rPr>
          <w:rFonts w:hint="eastAsia"/>
        </w:rPr>
        <w:t>风险识别方法及适用场景</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684"/>
        <w:gridCol w:w="3260"/>
        <w:gridCol w:w="3390"/>
      </w:tblGrid>
      <w:tr w14:paraId="667D44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2684" w:type="dxa"/>
            <w:tcBorders>
              <w:top w:val="single" w:color="auto" w:sz="8" w:space="0"/>
              <w:bottom w:val="single" w:color="auto" w:sz="8" w:space="0"/>
            </w:tcBorders>
          </w:tcPr>
          <w:p w14:paraId="78875600">
            <w:pPr>
              <w:pStyle w:val="178"/>
            </w:pPr>
            <w:r>
              <w:rPr>
                <w:rFonts w:hint="eastAsia"/>
              </w:rPr>
              <w:t>方法名称</w:t>
            </w:r>
          </w:p>
        </w:tc>
        <w:tc>
          <w:tcPr>
            <w:tcW w:w="3260" w:type="dxa"/>
            <w:tcBorders>
              <w:top w:val="single" w:color="auto" w:sz="8" w:space="0"/>
              <w:bottom w:val="single" w:color="auto" w:sz="8" w:space="0"/>
            </w:tcBorders>
          </w:tcPr>
          <w:p w14:paraId="7AFB3C7A">
            <w:pPr>
              <w:pStyle w:val="178"/>
            </w:pPr>
            <w:r>
              <w:rPr>
                <w:rFonts w:hint="eastAsia"/>
              </w:rPr>
              <w:t>特点</w:t>
            </w:r>
          </w:p>
        </w:tc>
        <w:tc>
          <w:tcPr>
            <w:tcW w:w="3390" w:type="dxa"/>
            <w:tcBorders>
              <w:top w:val="single" w:color="auto" w:sz="8" w:space="0"/>
              <w:bottom w:val="single" w:color="auto" w:sz="8" w:space="0"/>
            </w:tcBorders>
          </w:tcPr>
          <w:p w14:paraId="134C058A">
            <w:pPr>
              <w:pStyle w:val="178"/>
            </w:pPr>
            <w:r>
              <w:rPr>
                <w:rFonts w:hint="eastAsia"/>
              </w:rPr>
              <w:t>适用场景</w:t>
            </w:r>
          </w:p>
        </w:tc>
      </w:tr>
      <w:tr w14:paraId="09B0CF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84" w:type="dxa"/>
            <w:tcBorders>
              <w:top w:val="single" w:color="auto" w:sz="8" w:space="0"/>
            </w:tcBorders>
          </w:tcPr>
          <w:p w14:paraId="6EB1BDD2">
            <w:pPr>
              <w:pStyle w:val="178"/>
            </w:pPr>
            <w:r>
              <w:rPr>
                <w:rFonts w:hint="eastAsia"/>
              </w:rPr>
              <w:t>现场踏勘与观察法</w:t>
            </w:r>
          </w:p>
        </w:tc>
        <w:tc>
          <w:tcPr>
            <w:tcW w:w="3260" w:type="dxa"/>
            <w:tcBorders>
              <w:top w:val="single" w:color="auto" w:sz="8" w:space="0"/>
            </w:tcBorders>
          </w:tcPr>
          <w:p w14:paraId="33CC138E">
            <w:pPr>
              <w:pStyle w:val="178"/>
            </w:pPr>
            <w:r>
              <w:rPr>
                <w:rFonts w:hint="eastAsia"/>
              </w:rPr>
              <w:t>操作简单、直观</w:t>
            </w:r>
          </w:p>
        </w:tc>
        <w:tc>
          <w:tcPr>
            <w:tcW w:w="3390" w:type="dxa"/>
            <w:tcBorders>
              <w:top w:val="single" w:color="auto" w:sz="8" w:space="0"/>
            </w:tcBorders>
          </w:tcPr>
          <w:p w14:paraId="37170893">
            <w:pPr>
              <w:pStyle w:val="178"/>
            </w:pPr>
            <w:r>
              <w:rPr>
                <w:rFonts w:hint="eastAsia"/>
              </w:rPr>
              <w:t>开工前、阶段性检查</w:t>
            </w:r>
          </w:p>
        </w:tc>
      </w:tr>
      <w:tr w14:paraId="3FC153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84" w:type="dxa"/>
          </w:tcPr>
          <w:p w14:paraId="5F02773C">
            <w:pPr>
              <w:pStyle w:val="178"/>
            </w:pPr>
            <w:r>
              <w:rPr>
                <w:rFonts w:hint="eastAsia"/>
              </w:rPr>
              <w:t>作业条件分析法</w:t>
            </w:r>
          </w:p>
        </w:tc>
        <w:tc>
          <w:tcPr>
            <w:tcW w:w="3260" w:type="dxa"/>
          </w:tcPr>
          <w:p w14:paraId="7CA52E22">
            <w:pPr>
              <w:pStyle w:val="178"/>
            </w:pPr>
            <w:r>
              <w:rPr>
                <w:rFonts w:hint="eastAsia"/>
              </w:rPr>
              <w:t>关注作业环境与任务匹配</w:t>
            </w:r>
          </w:p>
        </w:tc>
        <w:tc>
          <w:tcPr>
            <w:tcW w:w="3390" w:type="dxa"/>
          </w:tcPr>
          <w:p w14:paraId="67E7B96C">
            <w:pPr>
              <w:pStyle w:val="178"/>
            </w:pPr>
            <w:r>
              <w:rPr>
                <w:rFonts w:hint="eastAsia"/>
              </w:rPr>
              <w:t>高危作业前的准备阶段</w:t>
            </w:r>
          </w:p>
        </w:tc>
      </w:tr>
      <w:tr w14:paraId="03287A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84" w:type="dxa"/>
          </w:tcPr>
          <w:p w14:paraId="76B8CB11">
            <w:pPr>
              <w:pStyle w:val="178"/>
            </w:pPr>
            <w:r>
              <w:rPr>
                <w:rFonts w:hint="eastAsia"/>
              </w:rPr>
              <w:t>历史案例分析法</w:t>
            </w:r>
          </w:p>
        </w:tc>
        <w:tc>
          <w:tcPr>
            <w:tcW w:w="3260" w:type="dxa"/>
          </w:tcPr>
          <w:p w14:paraId="2A534516">
            <w:pPr>
              <w:pStyle w:val="178"/>
            </w:pPr>
            <w:r>
              <w:rPr>
                <w:rFonts w:hint="eastAsia"/>
              </w:rPr>
              <w:t>借鉴性强</w:t>
            </w:r>
          </w:p>
        </w:tc>
        <w:tc>
          <w:tcPr>
            <w:tcW w:w="3390" w:type="dxa"/>
          </w:tcPr>
          <w:p w14:paraId="578E24D9">
            <w:pPr>
              <w:pStyle w:val="178"/>
            </w:pPr>
            <w:r>
              <w:rPr>
                <w:rFonts w:hint="eastAsia"/>
              </w:rPr>
              <w:t>编制施工组织设计和专项方案时</w:t>
            </w:r>
          </w:p>
        </w:tc>
      </w:tr>
      <w:tr w14:paraId="59A2E2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84" w:type="dxa"/>
          </w:tcPr>
          <w:p w14:paraId="42E0955A">
            <w:pPr>
              <w:pStyle w:val="178"/>
            </w:pPr>
            <w:r>
              <w:rPr>
                <w:rFonts w:hint="eastAsia"/>
              </w:rPr>
              <w:t>专家经验判断法</w:t>
            </w:r>
          </w:p>
        </w:tc>
        <w:tc>
          <w:tcPr>
            <w:tcW w:w="3260" w:type="dxa"/>
          </w:tcPr>
          <w:p w14:paraId="3CCE8519">
            <w:pPr>
              <w:pStyle w:val="178"/>
            </w:pPr>
            <w:r>
              <w:rPr>
                <w:rFonts w:hint="eastAsia"/>
              </w:rPr>
              <w:t>综合性强</w:t>
            </w:r>
          </w:p>
        </w:tc>
        <w:tc>
          <w:tcPr>
            <w:tcW w:w="3390" w:type="dxa"/>
          </w:tcPr>
          <w:p w14:paraId="59D4F409">
            <w:pPr>
              <w:pStyle w:val="178"/>
            </w:pPr>
            <w:r>
              <w:rPr>
                <w:rFonts w:hint="eastAsia"/>
              </w:rPr>
              <w:t>新技术、新工艺应用时</w:t>
            </w:r>
          </w:p>
        </w:tc>
      </w:tr>
      <w:tr w14:paraId="7B971C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84" w:type="dxa"/>
          </w:tcPr>
          <w:p w14:paraId="58E94A69">
            <w:pPr>
              <w:pStyle w:val="178"/>
            </w:pPr>
            <w:r>
              <w:rPr>
                <w:rFonts w:hint="eastAsia"/>
              </w:rPr>
              <w:t>检查表法</w:t>
            </w:r>
          </w:p>
        </w:tc>
        <w:tc>
          <w:tcPr>
            <w:tcW w:w="3260" w:type="dxa"/>
          </w:tcPr>
          <w:p w14:paraId="08D87896">
            <w:pPr>
              <w:pStyle w:val="178"/>
            </w:pPr>
            <w:r>
              <w:rPr>
                <w:rFonts w:hint="eastAsia"/>
              </w:rPr>
              <w:t>系统性好、易标准化</w:t>
            </w:r>
          </w:p>
        </w:tc>
        <w:tc>
          <w:tcPr>
            <w:tcW w:w="3390" w:type="dxa"/>
          </w:tcPr>
          <w:p w14:paraId="7396CF2E">
            <w:pPr>
              <w:pStyle w:val="178"/>
            </w:pPr>
            <w:r>
              <w:rPr>
                <w:rFonts w:hint="eastAsia"/>
              </w:rPr>
              <w:t>日常巡检和交接班检查</w:t>
            </w:r>
          </w:p>
        </w:tc>
      </w:tr>
      <w:tr w14:paraId="5A9B1B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84" w:type="dxa"/>
          </w:tcPr>
          <w:p w14:paraId="6F3AF537">
            <w:pPr>
              <w:pStyle w:val="178"/>
            </w:pPr>
            <w:r>
              <w:rPr>
                <w:rFonts w:hint="eastAsia"/>
              </w:rPr>
              <w:t>系统分析法</w:t>
            </w:r>
          </w:p>
        </w:tc>
        <w:tc>
          <w:tcPr>
            <w:tcW w:w="3260" w:type="dxa"/>
          </w:tcPr>
          <w:p w14:paraId="43DE4254">
            <w:pPr>
              <w:pStyle w:val="178"/>
            </w:pPr>
            <w:r>
              <w:rPr>
                <w:rFonts w:hint="eastAsia"/>
              </w:rPr>
              <w:t>深度高、可量化</w:t>
            </w:r>
          </w:p>
        </w:tc>
        <w:tc>
          <w:tcPr>
            <w:tcW w:w="3390" w:type="dxa"/>
          </w:tcPr>
          <w:p w14:paraId="40A37A64">
            <w:pPr>
              <w:pStyle w:val="178"/>
            </w:pPr>
            <w:r>
              <w:rPr>
                <w:rFonts w:hint="eastAsia"/>
              </w:rPr>
              <w:t>关键部位、重大风险环节</w:t>
            </w:r>
          </w:p>
        </w:tc>
      </w:tr>
    </w:tbl>
    <w:p w14:paraId="7423E947">
      <w:pPr>
        <w:pStyle w:val="105"/>
        <w:spacing w:before="120" w:after="120" w:line="360" w:lineRule="auto"/>
      </w:pPr>
      <w:r>
        <w:rPr>
          <w:rFonts w:hint="eastAsia"/>
        </w:rPr>
        <w:t>风险识别内容</w:t>
      </w:r>
    </w:p>
    <w:p w14:paraId="20B9445A">
      <w:pPr>
        <w:pStyle w:val="56"/>
        <w:spacing w:line="360" w:lineRule="auto"/>
        <w:ind w:firstLine="420"/>
      </w:pPr>
      <w:r>
        <w:rPr>
          <w:rFonts w:hint="eastAsia"/>
        </w:rPr>
        <w:t>风险识别内容应覆盖施工全过程，包括施工准备阶段、主体施工阶段及收尾验收阶段的各类作业活动。识别时应同时考虑工程技术条件、自然环境条件、施工设备状况和作业人员因素。</w:t>
      </w:r>
    </w:p>
    <w:p w14:paraId="0E695ABE">
      <w:pPr>
        <w:pStyle w:val="56"/>
        <w:spacing w:line="360" w:lineRule="auto"/>
        <w:ind w:firstLine="420"/>
      </w:pPr>
      <w:r>
        <w:rPr>
          <w:rFonts w:hint="eastAsia"/>
        </w:rPr>
        <w:t>根据不同阶段的施工特征，水利施工常见的风险类别及主要风险因素如表2所示，可作为风险辨识的参考依据。</w:t>
      </w:r>
    </w:p>
    <w:p w14:paraId="2A62EE40">
      <w:pPr>
        <w:pStyle w:val="112"/>
        <w:spacing w:before="120" w:after="120" w:line="360" w:lineRule="auto"/>
      </w:pPr>
      <w:r>
        <w:rPr>
          <w:rFonts w:hint="eastAsia"/>
        </w:rPr>
        <w:t>水利施工常见风险类别及主要风险因素</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542"/>
        <w:gridCol w:w="3402"/>
        <w:gridCol w:w="3390"/>
      </w:tblGrid>
      <w:tr w14:paraId="34A1D9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542" w:type="dxa"/>
            <w:tcBorders>
              <w:top w:val="single" w:color="auto" w:sz="8" w:space="0"/>
              <w:bottom w:val="single" w:color="auto" w:sz="8" w:space="0"/>
            </w:tcBorders>
          </w:tcPr>
          <w:p w14:paraId="145B62E1">
            <w:pPr>
              <w:pStyle w:val="178"/>
            </w:pPr>
            <w:r>
              <w:rPr>
                <w:rFonts w:hint="eastAsia"/>
              </w:rPr>
              <w:t>风险类别</w:t>
            </w:r>
          </w:p>
        </w:tc>
        <w:tc>
          <w:tcPr>
            <w:tcW w:w="3402" w:type="dxa"/>
            <w:tcBorders>
              <w:top w:val="single" w:color="auto" w:sz="8" w:space="0"/>
              <w:bottom w:val="single" w:color="auto" w:sz="8" w:space="0"/>
            </w:tcBorders>
          </w:tcPr>
          <w:p w14:paraId="10ED1F98">
            <w:pPr>
              <w:pStyle w:val="178"/>
            </w:pPr>
            <w:r>
              <w:rPr>
                <w:rFonts w:hint="eastAsia"/>
              </w:rPr>
              <w:t>主要风险因素</w:t>
            </w:r>
          </w:p>
        </w:tc>
        <w:tc>
          <w:tcPr>
            <w:tcW w:w="3390" w:type="dxa"/>
            <w:tcBorders>
              <w:top w:val="single" w:color="auto" w:sz="8" w:space="0"/>
              <w:bottom w:val="single" w:color="auto" w:sz="8" w:space="0"/>
            </w:tcBorders>
          </w:tcPr>
          <w:p w14:paraId="73E1B320">
            <w:pPr>
              <w:pStyle w:val="178"/>
            </w:pPr>
            <w:r>
              <w:rPr>
                <w:rFonts w:hint="eastAsia"/>
              </w:rPr>
              <w:t>示例说明</w:t>
            </w:r>
          </w:p>
        </w:tc>
      </w:tr>
      <w:tr w14:paraId="309CC1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42" w:type="dxa"/>
            <w:tcBorders>
              <w:top w:val="single" w:color="auto" w:sz="8" w:space="0"/>
            </w:tcBorders>
          </w:tcPr>
          <w:p w14:paraId="40249520">
            <w:pPr>
              <w:pStyle w:val="178"/>
            </w:pPr>
            <w:r>
              <w:rPr>
                <w:rFonts w:hint="eastAsia"/>
              </w:rPr>
              <w:t>高处作业风险</w:t>
            </w:r>
          </w:p>
        </w:tc>
        <w:tc>
          <w:tcPr>
            <w:tcW w:w="3402" w:type="dxa"/>
            <w:tcBorders>
              <w:top w:val="single" w:color="auto" w:sz="8" w:space="0"/>
            </w:tcBorders>
          </w:tcPr>
          <w:p w14:paraId="5679B35B">
            <w:pPr>
              <w:pStyle w:val="178"/>
            </w:pPr>
            <w:r>
              <w:rPr>
                <w:rFonts w:hint="eastAsia"/>
              </w:rPr>
              <w:t>坠落、物体打击</w:t>
            </w:r>
          </w:p>
        </w:tc>
        <w:tc>
          <w:tcPr>
            <w:tcW w:w="3390" w:type="dxa"/>
            <w:tcBorders>
              <w:top w:val="single" w:color="auto" w:sz="8" w:space="0"/>
            </w:tcBorders>
          </w:tcPr>
          <w:p w14:paraId="15E295E2">
            <w:pPr>
              <w:pStyle w:val="178"/>
            </w:pPr>
            <w:r>
              <w:rPr>
                <w:rFonts w:hint="eastAsia"/>
              </w:rPr>
              <w:t>脚手架坍塌、未佩戴安全带</w:t>
            </w:r>
          </w:p>
        </w:tc>
      </w:tr>
      <w:tr w14:paraId="651FB2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42" w:type="dxa"/>
          </w:tcPr>
          <w:p w14:paraId="08AC3039">
            <w:pPr>
              <w:pStyle w:val="178"/>
            </w:pPr>
            <w:r>
              <w:rPr>
                <w:rFonts w:hint="eastAsia"/>
              </w:rPr>
              <w:t>起重吊装风险</w:t>
            </w:r>
          </w:p>
        </w:tc>
        <w:tc>
          <w:tcPr>
            <w:tcW w:w="3402" w:type="dxa"/>
          </w:tcPr>
          <w:p w14:paraId="50C2AFC1">
            <w:pPr>
              <w:pStyle w:val="178"/>
            </w:pPr>
            <w:r>
              <w:rPr>
                <w:rFonts w:hint="eastAsia"/>
              </w:rPr>
              <w:t>吊物坠落、设备倾覆</w:t>
            </w:r>
          </w:p>
        </w:tc>
        <w:tc>
          <w:tcPr>
            <w:tcW w:w="3390" w:type="dxa"/>
          </w:tcPr>
          <w:p w14:paraId="57DD7007">
            <w:pPr>
              <w:pStyle w:val="178"/>
            </w:pPr>
            <w:r>
              <w:rPr>
                <w:rFonts w:hint="eastAsia"/>
              </w:rPr>
              <w:t>超载吊装、吊点失稳</w:t>
            </w:r>
          </w:p>
        </w:tc>
      </w:tr>
      <w:tr w14:paraId="477AFE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42" w:type="dxa"/>
          </w:tcPr>
          <w:p w14:paraId="0C0EEEC8">
            <w:pPr>
              <w:pStyle w:val="178"/>
            </w:pPr>
            <w:r>
              <w:rPr>
                <w:rFonts w:hint="eastAsia"/>
              </w:rPr>
              <w:t>水上作业风险</w:t>
            </w:r>
          </w:p>
        </w:tc>
        <w:tc>
          <w:tcPr>
            <w:tcW w:w="3402" w:type="dxa"/>
          </w:tcPr>
          <w:p w14:paraId="33EB16D2">
            <w:pPr>
              <w:pStyle w:val="178"/>
            </w:pPr>
            <w:r>
              <w:rPr>
                <w:rFonts w:hint="eastAsia"/>
              </w:rPr>
              <w:t>溺水、船舶碰撞</w:t>
            </w:r>
          </w:p>
        </w:tc>
        <w:tc>
          <w:tcPr>
            <w:tcW w:w="3390" w:type="dxa"/>
          </w:tcPr>
          <w:p w14:paraId="5CD7378D">
            <w:pPr>
              <w:pStyle w:val="178"/>
            </w:pPr>
            <w:r>
              <w:rPr>
                <w:rFonts w:hint="eastAsia"/>
              </w:rPr>
              <w:t>无救生设备、恶劣天气</w:t>
            </w:r>
          </w:p>
        </w:tc>
      </w:tr>
      <w:tr w14:paraId="03F1A6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42" w:type="dxa"/>
          </w:tcPr>
          <w:p w14:paraId="547227A5">
            <w:pPr>
              <w:pStyle w:val="178"/>
            </w:pPr>
            <w:r>
              <w:rPr>
                <w:rFonts w:hint="eastAsia"/>
              </w:rPr>
              <w:t>深基坑作业风险</w:t>
            </w:r>
          </w:p>
        </w:tc>
        <w:tc>
          <w:tcPr>
            <w:tcW w:w="3402" w:type="dxa"/>
          </w:tcPr>
          <w:p w14:paraId="3A67D1BD">
            <w:pPr>
              <w:pStyle w:val="178"/>
            </w:pPr>
            <w:r>
              <w:rPr>
                <w:rFonts w:hint="eastAsia"/>
              </w:rPr>
              <w:t>坍塌、涌水</w:t>
            </w:r>
          </w:p>
        </w:tc>
        <w:tc>
          <w:tcPr>
            <w:tcW w:w="3390" w:type="dxa"/>
          </w:tcPr>
          <w:p w14:paraId="3BE60F9C">
            <w:pPr>
              <w:pStyle w:val="178"/>
            </w:pPr>
            <w:r>
              <w:rPr>
                <w:rFonts w:hint="eastAsia"/>
              </w:rPr>
              <w:t>支护失效、地下水位变化</w:t>
            </w:r>
          </w:p>
        </w:tc>
      </w:tr>
      <w:tr w14:paraId="4C6110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42" w:type="dxa"/>
          </w:tcPr>
          <w:p w14:paraId="688378CE">
            <w:pPr>
              <w:pStyle w:val="178"/>
            </w:pPr>
            <w:r>
              <w:rPr>
                <w:rFonts w:hint="eastAsia"/>
              </w:rPr>
              <w:t>临时用电风险</w:t>
            </w:r>
          </w:p>
        </w:tc>
        <w:tc>
          <w:tcPr>
            <w:tcW w:w="3402" w:type="dxa"/>
          </w:tcPr>
          <w:p w14:paraId="16BE6056">
            <w:pPr>
              <w:pStyle w:val="178"/>
            </w:pPr>
            <w:r>
              <w:rPr>
                <w:rFonts w:hint="eastAsia"/>
              </w:rPr>
              <w:t>触电、火灾</w:t>
            </w:r>
          </w:p>
        </w:tc>
        <w:tc>
          <w:tcPr>
            <w:tcW w:w="3390" w:type="dxa"/>
          </w:tcPr>
          <w:p w14:paraId="2082937E">
            <w:pPr>
              <w:pStyle w:val="178"/>
            </w:pPr>
            <w:r>
              <w:rPr>
                <w:rFonts w:hint="eastAsia"/>
              </w:rPr>
              <w:t>漏电保护失效、线路老化</w:t>
            </w:r>
          </w:p>
        </w:tc>
      </w:tr>
      <w:tr w14:paraId="47C759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42" w:type="dxa"/>
          </w:tcPr>
          <w:p w14:paraId="42D0715B">
            <w:pPr>
              <w:pStyle w:val="178"/>
            </w:pPr>
            <w:r>
              <w:rPr>
                <w:rFonts w:hint="eastAsia"/>
              </w:rPr>
              <w:t>爆破作业风险</w:t>
            </w:r>
          </w:p>
        </w:tc>
        <w:tc>
          <w:tcPr>
            <w:tcW w:w="3402" w:type="dxa"/>
          </w:tcPr>
          <w:p w14:paraId="51999B0E">
            <w:pPr>
              <w:pStyle w:val="178"/>
            </w:pPr>
            <w:r>
              <w:rPr>
                <w:rFonts w:hint="eastAsia"/>
              </w:rPr>
              <w:t>飞石、冲击波</w:t>
            </w:r>
          </w:p>
        </w:tc>
        <w:tc>
          <w:tcPr>
            <w:tcW w:w="3390" w:type="dxa"/>
          </w:tcPr>
          <w:p w14:paraId="0CDE509D">
            <w:pPr>
              <w:pStyle w:val="178"/>
            </w:pPr>
            <w:r>
              <w:rPr>
                <w:rFonts w:hint="eastAsia"/>
              </w:rPr>
              <w:t>警戒范围不足、盲炮处理不当</w:t>
            </w:r>
          </w:p>
        </w:tc>
      </w:tr>
      <w:tr w14:paraId="69EA43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42" w:type="dxa"/>
          </w:tcPr>
          <w:p w14:paraId="45BE5B87">
            <w:pPr>
              <w:pStyle w:val="178"/>
            </w:pPr>
            <w:r>
              <w:rPr>
                <w:rFonts w:hint="eastAsia"/>
              </w:rPr>
              <w:t>防汛应急风险</w:t>
            </w:r>
          </w:p>
        </w:tc>
        <w:tc>
          <w:tcPr>
            <w:tcW w:w="3402" w:type="dxa"/>
          </w:tcPr>
          <w:p w14:paraId="32CA14F9">
            <w:pPr>
              <w:pStyle w:val="178"/>
            </w:pPr>
            <w:r>
              <w:rPr>
                <w:rFonts w:hint="eastAsia"/>
              </w:rPr>
              <w:t>洪水冲毁、人员被困</w:t>
            </w:r>
          </w:p>
        </w:tc>
        <w:tc>
          <w:tcPr>
            <w:tcW w:w="3390" w:type="dxa"/>
          </w:tcPr>
          <w:p w14:paraId="0D936083">
            <w:pPr>
              <w:pStyle w:val="178"/>
            </w:pPr>
            <w:r>
              <w:rPr>
                <w:rFonts w:hint="eastAsia"/>
              </w:rPr>
              <w:t>围堰失稳、排水不畅</w:t>
            </w:r>
          </w:p>
        </w:tc>
      </w:tr>
    </w:tbl>
    <w:p w14:paraId="1AC05612">
      <w:pPr>
        <w:pStyle w:val="105"/>
        <w:spacing w:before="120" w:after="120" w:line="360" w:lineRule="auto"/>
      </w:pPr>
      <w:r>
        <w:rPr>
          <w:rFonts w:hint="eastAsia"/>
        </w:rPr>
        <w:t>风险识别流程</w:t>
      </w:r>
    </w:p>
    <w:p w14:paraId="5FB2A151">
      <w:pPr>
        <w:pStyle w:val="56"/>
        <w:spacing w:line="360" w:lineRule="auto"/>
        <w:ind w:firstLine="420"/>
      </w:pPr>
      <w:r>
        <w:rPr>
          <w:rFonts w:hint="eastAsia"/>
        </w:rPr>
        <w:t>风险识别应按照“信息收集—方法选择—现场实施—结果汇总—动态更新”的流程进行，并在施工组织设计、安全专项方案中明确记录识别结果和防控建议。</w:t>
      </w:r>
    </w:p>
    <w:p w14:paraId="62E383C7">
      <w:pPr>
        <w:pStyle w:val="56"/>
        <w:spacing w:line="360" w:lineRule="auto"/>
        <w:ind w:firstLine="420"/>
      </w:pPr>
      <w:r>
        <w:rPr>
          <w:rFonts w:hint="eastAsia"/>
        </w:rPr>
        <w:t>在识别过程中，应形成书面记录，包括风险描述、发生条件、可能后果、建议防控措施等，并建立风险清单，作为风险评估和分级管控的基础。</w:t>
      </w:r>
    </w:p>
    <w:p w14:paraId="36FB07F7">
      <w:pPr>
        <w:pStyle w:val="104"/>
        <w:spacing w:before="240" w:after="240" w:line="360" w:lineRule="auto"/>
      </w:pPr>
      <w:bookmarkStart w:id="53" w:name="_Toc205584865"/>
      <w:r>
        <w:rPr>
          <w:rFonts w:hint="eastAsia"/>
        </w:rPr>
        <w:t>风险评估与分级管控</w:t>
      </w:r>
      <w:bookmarkEnd w:id="53"/>
    </w:p>
    <w:p w14:paraId="5CC4E132">
      <w:pPr>
        <w:pStyle w:val="105"/>
        <w:spacing w:before="120" w:after="120" w:line="360" w:lineRule="auto"/>
      </w:pPr>
      <w:r>
        <w:rPr>
          <w:rFonts w:hint="eastAsia"/>
        </w:rPr>
        <w:t>风险评估方法</w:t>
      </w:r>
    </w:p>
    <w:p w14:paraId="646D6B2D">
      <w:pPr>
        <w:pStyle w:val="56"/>
        <w:spacing w:line="360" w:lineRule="auto"/>
        <w:ind w:firstLine="420"/>
      </w:pPr>
      <w:r>
        <w:rPr>
          <w:rFonts w:hint="eastAsia"/>
        </w:rPr>
        <w:t>风险评估与分级管控是将已识别的风险因素按照其发生可能性与后果严重程度进行量化分析、分级分类，并实施差异化管理的过程。通过科学的评估与分级，可以合理分配资源、突出重点、提高防控措施的针对性和有效性。</w:t>
      </w:r>
    </w:p>
    <w:p w14:paraId="080025DE">
      <w:pPr>
        <w:pStyle w:val="56"/>
        <w:spacing w:line="360" w:lineRule="auto"/>
        <w:ind w:firstLine="420"/>
      </w:pPr>
      <w:r>
        <w:rPr>
          <w:rFonts w:hint="eastAsia"/>
        </w:rPr>
        <w:t>风险评估应结合工程特性、施工环境和管理条件，采用定性与定量相结合的方式进行。常用方法包括：风险矩阵法、作业条件危险性评价法（LEC）、失效模式与影响分析（FMEA）等。评估过程应考虑历史事故数据、现场检测结果及专家意见，确保评估结果的科学性与可比性。</w:t>
      </w:r>
    </w:p>
    <w:p w14:paraId="4A08D90F">
      <w:pPr>
        <w:pStyle w:val="56"/>
        <w:spacing w:line="360" w:lineRule="auto"/>
        <w:ind w:firstLine="420"/>
      </w:pPr>
      <w:r>
        <w:rPr>
          <w:rFonts w:hint="eastAsia"/>
        </w:rPr>
        <w:t>为便于施工单位选择合适的评估方法，表3列出了几种常用风险评估方法的特点与适用范围。</w:t>
      </w:r>
    </w:p>
    <w:p w14:paraId="0D3738BE">
      <w:pPr>
        <w:pStyle w:val="112"/>
        <w:spacing w:before="120" w:after="120" w:line="360" w:lineRule="auto"/>
      </w:pPr>
      <w:r>
        <w:rPr>
          <w:rFonts w:hint="eastAsia"/>
        </w:rPr>
        <w:t>常用风险评估方法及适用范围</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14:paraId="2C8406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tcBorders>
              <w:top w:val="single" w:color="auto" w:sz="8" w:space="0"/>
              <w:bottom w:val="single" w:color="auto" w:sz="8" w:space="0"/>
            </w:tcBorders>
          </w:tcPr>
          <w:p w14:paraId="5E4921E3">
            <w:pPr>
              <w:pStyle w:val="178"/>
            </w:pPr>
            <w:r>
              <w:rPr>
                <w:rFonts w:hint="eastAsia"/>
              </w:rPr>
              <w:t>方法名称</w:t>
            </w:r>
          </w:p>
        </w:tc>
        <w:tc>
          <w:tcPr>
            <w:tcW w:w="3112" w:type="dxa"/>
            <w:tcBorders>
              <w:top w:val="single" w:color="auto" w:sz="8" w:space="0"/>
              <w:bottom w:val="single" w:color="auto" w:sz="8" w:space="0"/>
            </w:tcBorders>
          </w:tcPr>
          <w:p w14:paraId="36A5E6D8">
            <w:pPr>
              <w:pStyle w:val="178"/>
            </w:pPr>
            <w:r>
              <w:rPr>
                <w:rFonts w:hint="eastAsia"/>
              </w:rPr>
              <w:t>特点</w:t>
            </w:r>
          </w:p>
        </w:tc>
        <w:tc>
          <w:tcPr>
            <w:tcW w:w="3112" w:type="dxa"/>
            <w:tcBorders>
              <w:top w:val="single" w:color="auto" w:sz="8" w:space="0"/>
              <w:bottom w:val="single" w:color="auto" w:sz="8" w:space="0"/>
            </w:tcBorders>
          </w:tcPr>
          <w:p w14:paraId="1595BD18">
            <w:pPr>
              <w:pStyle w:val="178"/>
            </w:pPr>
            <w:r>
              <w:rPr>
                <w:rFonts w:hint="eastAsia"/>
              </w:rPr>
              <w:t>适用范围</w:t>
            </w:r>
          </w:p>
        </w:tc>
      </w:tr>
      <w:tr w14:paraId="66366A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top w:val="single" w:color="auto" w:sz="8" w:space="0"/>
            </w:tcBorders>
          </w:tcPr>
          <w:p w14:paraId="5FF1B359">
            <w:pPr>
              <w:pStyle w:val="178"/>
            </w:pPr>
            <w:r>
              <w:rPr>
                <w:rFonts w:hint="eastAsia"/>
              </w:rPr>
              <w:t>风险矩阵法</w:t>
            </w:r>
          </w:p>
        </w:tc>
        <w:tc>
          <w:tcPr>
            <w:tcW w:w="3112" w:type="dxa"/>
            <w:tcBorders>
              <w:top w:val="single" w:color="auto" w:sz="8" w:space="0"/>
            </w:tcBorders>
          </w:tcPr>
          <w:p w14:paraId="567A4A34">
            <w:pPr>
              <w:pStyle w:val="178"/>
            </w:pPr>
            <w:r>
              <w:rPr>
                <w:rFonts w:hint="eastAsia"/>
              </w:rPr>
              <w:t>直观易用，结合概率与后果分析</w:t>
            </w:r>
          </w:p>
        </w:tc>
        <w:tc>
          <w:tcPr>
            <w:tcW w:w="3112" w:type="dxa"/>
            <w:tcBorders>
              <w:top w:val="single" w:color="auto" w:sz="8" w:space="0"/>
            </w:tcBorders>
          </w:tcPr>
          <w:p w14:paraId="2C7D83CF">
            <w:pPr>
              <w:pStyle w:val="178"/>
            </w:pPr>
            <w:r>
              <w:rPr>
                <w:rFonts w:hint="eastAsia"/>
              </w:rPr>
              <w:t>日常风险分级、现场快速评估</w:t>
            </w:r>
          </w:p>
        </w:tc>
      </w:tr>
      <w:tr w14:paraId="4308D2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Pr>
          <w:p w14:paraId="50A642F6">
            <w:pPr>
              <w:pStyle w:val="178"/>
            </w:pPr>
            <w:r>
              <w:rPr>
                <w:rFonts w:hint="eastAsia"/>
              </w:rPr>
              <w:t>LEC 法</w:t>
            </w:r>
          </w:p>
        </w:tc>
        <w:tc>
          <w:tcPr>
            <w:tcW w:w="3112" w:type="dxa"/>
          </w:tcPr>
          <w:p w14:paraId="1563BD59">
            <w:pPr>
              <w:pStyle w:val="178"/>
            </w:pPr>
            <w:r>
              <w:rPr>
                <w:rFonts w:hint="eastAsia"/>
              </w:rPr>
              <w:t>综合考虑可能性、暴露频率、后果</w:t>
            </w:r>
          </w:p>
        </w:tc>
        <w:tc>
          <w:tcPr>
            <w:tcW w:w="3112" w:type="dxa"/>
          </w:tcPr>
          <w:p w14:paraId="2E63BAFA">
            <w:pPr>
              <w:pStyle w:val="178"/>
            </w:pPr>
            <w:r>
              <w:rPr>
                <w:rFonts w:hint="eastAsia"/>
              </w:rPr>
              <w:t>高危作业前的定量分析</w:t>
            </w:r>
          </w:p>
        </w:tc>
      </w:tr>
      <w:tr w14:paraId="7234FF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Pr>
          <w:p w14:paraId="448ADA7C">
            <w:pPr>
              <w:pStyle w:val="178"/>
            </w:pPr>
            <w:r>
              <w:rPr>
                <w:rFonts w:hint="eastAsia"/>
              </w:rPr>
              <w:t>FMEA 法</w:t>
            </w:r>
          </w:p>
        </w:tc>
        <w:tc>
          <w:tcPr>
            <w:tcW w:w="3112" w:type="dxa"/>
          </w:tcPr>
          <w:p w14:paraId="1DEC97BF">
            <w:pPr>
              <w:pStyle w:val="178"/>
            </w:pPr>
            <w:r>
              <w:rPr>
                <w:rFonts w:hint="eastAsia"/>
              </w:rPr>
              <w:t>分析潜在失效模式及影响</w:t>
            </w:r>
          </w:p>
        </w:tc>
        <w:tc>
          <w:tcPr>
            <w:tcW w:w="3112" w:type="dxa"/>
          </w:tcPr>
          <w:p w14:paraId="188645EB">
            <w:pPr>
              <w:pStyle w:val="178"/>
            </w:pPr>
            <w:r>
              <w:rPr>
                <w:rFonts w:hint="eastAsia"/>
              </w:rPr>
              <w:t>设备运行、关键工序</w:t>
            </w:r>
          </w:p>
        </w:tc>
      </w:tr>
      <w:tr w14:paraId="09424F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Pr>
          <w:p w14:paraId="76387F4B">
            <w:pPr>
              <w:pStyle w:val="178"/>
            </w:pPr>
            <w:r>
              <w:rPr>
                <w:rFonts w:hint="eastAsia"/>
              </w:rPr>
              <w:t>定性分析法</w:t>
            </w:r>
          </w:p>
        </w:tc>
        <w:tc>
          <w:tcPr>
            <w:tcW w:w="3112" w:type="dxa"/>
          </w:tcPr>
          <w:p w14:paraId="70785A27">
            <w:pPr>
              <w:pStyle w:val="178"/>
            </w:pPr>
            <w:r>
              <w:rPr>
                <w:rFonts w:hint="eastAsia"/>
              </w:rPr>
              <w:t>依靠专家经验判断</w:t>
            </w:r>
          </w:p>
        </w:tc>
        <w:tc>
          <w:tcPr>
            <w:tcW w:w="3112" w:type="dxa"/>
          </w:tcPr>
          <w:p w14:paraId="54277863">
            <w:pPr>
              <w:pStyle w:val="178"/>
            </w:pPr>
            <w:r>
              <w:rPr>
                <w:rFonts w:hint="eastAsia"/>
              </w:rPr>
              <w:t>数据不足的场景</w:t>
            </w:r>
          </w:p>
        </w:tc>
      </w:tr>
    </w:tbl>
    <w:p w14:paraId="4E74AE0F">
      <w:pPr>
        <w:pStyle w:val="105"/>
        <w:spacing w:before="120" w:after="120" w:line="360" w:lineRule="auto"/>
      </w:pPr>
      <w:r>
        <w:rPr>
          <w:rFonts w:hint="eastAsia"/>
        </w:rPr>
        <w:t>风险分级标准</w:t>
      </w:r>
    </w:p>
    <w:p w14:paraId="6D4645D8">
      <w:pPr>
        <w:pStyle w:val="56"/>
        <w:spacing w:line="360" w:lineRule="auto"/>
        <w:ind w:firstLine="420"/>
      </w:pPr>
      <w:r>
        <w:rPr>
          <w:rFonts w:hint="eastAsia"/>
        </w:rPr>
        <w:t>根据风险评估结果，可将风险划分为重大风险、较大风险、一般风险和低风险四个等级，不同等级应采取不同的管控措施和管理频次。</w:t>
      </w:r>
    </w:p>
    <w:p w14:paraId="5E2051C0">
      <w:pPr>
        <w:pStyle w:val="56"/>
        <w:spacing w:line="360" w:lineRule="auto"/>
        <w:ind w:firstLine="420"/>
      </w:pPr>
      <w:r>
        <w:rPr>
          <w:rFonts w:hint="eastAsia"/>
        </w:rPr>
        <w:t>在分级时，应遵循“重大风险重点管控、较大风险严格管理、一般风险日常控制、低风险持续关注”的原则。</w:t>
      </w:r>
    </w:p>
    <w:p w14:paraId="18ED1E80">
      <w:pPr>
        <w:pStyle w:val="56"/>
        <w:spacing w:line="360" w:lineRule="auto"/>
        <w:ind w:firstLine="420"/>
      </w:pPr>
      <w:r>
        <w:rPr>
          <w:rFonts w:hint="eastAsia"/>
        </w:rPr>
        <w:t>风险矩阵法的风险等级划分示例如表4所示，供施工单位参考。</w:t>
      </w:r>
    </w:p>
    <w:p w14:paraId="35A4C64D">
      <w:pPr>
        <w:pStyle w:val="112"/>
        <w:spacing w:before="120" w:after="120" w:line="360" w:lineRule="auto"/>
      </w:pPr>
      <w:r>
        <w:rPr>
          <w:rFonts w:hint="eastAsia"/>
        </w:rPr>
        <w:t>风险等级划分示例（风险矩阵法）</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09"/>
        <w:gridCol w:w="1984"/>
        <w:gridCol w:w="2127"/>
        <w:gridCol w:w="2114"/>
      </w:tblGrid>
      <w:tr w14:paraId="117B64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09" w:type="dxa"/>
            <w:tcBorders>
              <w:top w:val="single" w:color="auto" w:sz="8" w:space="0"/>
              <w:bottom w:val="single" w:color="auto" w:sz="8" w:space="0"/>
            </w:tcBorders>
          </w:tcPr>
          <w:p w14:paraId="6D82DBCE">
            <w:pPr>
              <w:pStyle w:val="178"/>
            </w:pPr>
            <w:r>
              <w:rPr>
                <w:rFonts w:hint="eastAsia"/>
              </w:rPr>
              <w:t>后果严重性</w:t>
            </w:r>
          </w:p>
        </w:tc>
        <w:tc>
          <w:tcPr>
            <w:tcW w:w="1984" w:type="dxa"/>
            <w:tcBorders>
              <w:top w:val="single" w:color="auto" w:sz="8" w:space="0"/>
              <w:bottom w:val="single" w:color="auto" w:sz="8" w:space="0"/>
            </w:tcBorders>
          </w:tcPr>
          <w:p w14:paraId="50374FFE">
            <w:pPr>
              <w:pStyle w:val="178"/>
            </w:pPr>
            <w:r>
              <w:rPr>
                <w:rFonts w:hint="eastAsia"/>
              </w:rPr>
              <w:t>发生可能性高</w:t>
            </w:r>
          </w:p>
        </w:tc>
        <w:tc>
          <w:tcPr>
            <w:tcW w:w="2127" w:type="dxa"/>
            <w:tcBorders>
              <w:top w:val="single" w:color="auto" w:sz="8" w:space="0"/>
              <w:bottom w:val="single" w:color="auto" w:sz="8" w:space="0"/>
            </w:tcBorders>
          </w:tcPr>
          <w:p w14:paraId="75049B50">
            <w:pPr>
              <w:pStyle w:val="178"/>
            </w:pPr>
            <w:r>
              <w:rPr>
                <w:rFonts w:hint="eastAsia"/>
              </w:rPr>
              <w:t>发生可能性中</w:t>
            </w:r>
          </w:p>
        </w:tc>
        <w:tc>
          <w:tcPr>
            <w:tcW w:w="2114" w:type="dxa"/>
            <w:tcBorders>
              <w:top w:val="single" w:color="auto" w:sz="8" w:space="0"/>
              <w:bottom w:val="single" w:color="auto" w:sz="8" w:space="0"/>
            </w:tcBorders>
          </w:tcPr>
          <w:p w14:paraId="4CC7364F">
            <w:pPr>
              <w:pStyle w:val="178"/>
            </w:pPr>
            <w:r>
              <w:rPr>
                <w:rFonts w:hint="eastAsia"/>
              </w:rPr>
              <w:t>发生可能性低</w:t>
            </w:r>
          </w:p>
        </w:tc>
      </w:tr>
      <w:tr w14:paraId="1AA153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9" w:type="dxa"/>
            <w:tcBorders>
              <w:top w:val="single" w:color="auto" w:sz="8" w:space="0"/>
            </w:tcBorders>
          </w:tcPr>
          <w:p w14:paraId="45C8300B">
            <w:pPr>
              <w:pStyle w:val="178"/>
            </w:pPr>
            <w:r>
              <w:rPr>
                <w:rFonts w:hint="eastAsia"/>
              </w:rPr>
              <w:t>极其严重（人员死亡/重大经济损失）</w:t>
            </w:r>
          </w:p>
        </w:tc>
        <w:tc>
          <w:tcPr>
            <w:tcW w:w="1984" w:type="dxa"/>
            <w:tcBorders>
              <w:top w:val="single" w:color="auto" w:sz="8" w:space="0"/>
            </w:tcBorders>
          </w:tcPr>
          <w:p w14:paraId="2BE7E14D">
            <w:pPr>
              <w:pStyle w:val="178"/>
            </w:pPr>
            <w:r>
              <w:rPr>
                <w:rFonts w:hint="eastAsia"/>
              </w:rPr>
              <w:t>Ⅰ级（重大风险）</w:t>
            </w:r>
          </w:p>
        </w:tc>
        <w:tc>
          <w:tcPr>
            <w:tcW w:w="2127" w:type="dxa"/>
            <w:tcBorders>
              <w:top w:val="single" w:color="auto" w:sz="8" w:space="0"/>
            </w:tcBorders>
          </w:tcPr>
          <w:p w14:paraId="79BB0F80">
            <w:pPr>
              <w:pStyle w:val="178"/>
            </w:pPr>
            <w:r>
              <w:rPr>
                <w:rFonts w:hint="eastAsia"/>
              </w:rPr>
              <w:t>Ⅰ级（重大风险）</w:t>
            </w:r>
          </w:p>
        </w:tc>
        <w:tc>
          <w:tcPr>
            <w:tcW w:w="2114" w:type="dxa"/>
            <w:tcBorders>
              <w:top w:val="single" w:color="auto" w:sz="8" w:space="0"/>
            </w:tcBorders>
          </w:tcPr>
          <w:p w14:paraId="184E9B1D">
            <w:pPr>
              <w:pStyle w:val="178"/>
            </w:pPr>
            <w:r>
              <w:rPr>
                <w:rFonts w:hint="eastAsia"/>
              </w:rPr>
              <w:t>Ⅱ级（较大风险）</w:t>
            </w:r>
          </w:p>
        </w:tc>
      </w:tr>
      <w:tr w14:paraId="5AAB48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9" w:type="dxa"/>
          </w:tcPr>
          <w:p w14:paraId="3A0DE0B2">
            <w:pPr>
              <w:pStyle w:val="178"/>
            </w:pPr>
            <w:r>
              <w:rPr>
                <w:rFonts w:hint="eastAsia"/>
              </w:rPr>
              <w:t>严重（重伤/较大经济损失）</w:t>
            </w:r>
          </w:p>
        </w:tc>
        <w:tc>
          <w:tcPr>
            <w:tcW w:w="1984" w:type="dxa"/>
          </w:tcPr>
          <w:p w14:paraId="4171DC2A">
            <w:pPr>
              <w:pStyle w:val="178"/>
            </w:pPr>
            <w:r>
              <w:rPr>
                <w:rFonts w:hint="eastAsia"/>
              </w:rPr>
              <w:t>Ⅰ级（重大风险）</w:t>
            </w:r>
          </w:p>
        </w:tc>
        <w:tc>
          <w:tcPr>
            <w:tcW w:w="2127" w:type="dxa"/>
          </w:tcPr>
          <w:p w14:paraId="48180662">
            <w:pPr>
              <w:pStyle w:val="178"/>
            </w:pPr>
            <w:r>
              <w:rPr>
                <w:rFonts w:hint="eastAsia"/>
              </w:rPr>
              <w:t>Ⅱ级（较大风险）</w:t>
            </w:r>
          </w:p>
        </w:tc>
        <w:tc>
          <w:tcPr>
            <w:tcW w:w="2114" w:type="dxa"/>
          </w:tcPr>
          <w:p w14:paraId="5CB9B03F">
            <w:pPr>
              <w:pStyle w:val="178"/>
            </w:pPr>
            <w:r>
              <w:rPr>
                <w:rFonts w:hint="eastAsia"/>
              </w:rPr>
              <w:t>Ⅲ级（一般风险）</w:t>
            </w:r>
          </w:p>
        </w:tc>
      </w:tr>
      <w:tr w14:paraId="50F193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9" w:type="dxa"/>
          </w:tcPr>
          <w:p w14:paraId="77FB4C17">
            <w:pPr>
              <w:pStyle w:val="178"/>
            </w:pPr>
            <w:r>
              <w:rPr>
                <w:rFonts w:hint="eastAsia"/>
              </w:rPr>
              <w:t>一般（轻伤/一般经济损失）</w:t>
            </w:r>
          </w:p>
        </w:tc>
        <w:tc>
          <w:tcPr>
            <w:tcW w:w="1984" w:type="dxa"/>
          </w:tcPr>
          <w:p w14:paraId="7EA30557">
            <w:pPr>
              <w:pStyle w:val="178"/>
            </w:pPr>
            <w:r>
              <w:rPr>
                <w:rFonts w:hint="eastAsia"/>
              </w:rPr>
              <w:t>Ⅱ级（较大风险）</w:t>
            </w:r>
          </w:p>
        </w:tc>
        <w:tc>
          <w:tcPr>
            <w:tcW w:w="2127" w:type="dxa"/>
          </w:tcPr>
          <w:p w14:paraId="4F10C587">
            <w:pPr>
              <w:pStyle w:val="178"/>
            </w:pPr>
            <w:r>
              <w:rPr>
                <w:rFonts w:hint="eastAsia"/>
              </w:rPr>
              <w:t>Ⅲ级（一般风险）</w:t>
            </w:r>
          </w:p>
        </w:tc>
        <w:tc>
          <w:tcPr>
            <w:tcW w:w="2114" w:type="dxa"/>
          </w:tcPr>
          <w:p w14:paraId="5176ADAC">
            <w:pPr>
              <w:pStyle w:val="178"/>
            </w:pPr>
            <w:r>
              <w:rPr>
                <w:rFonts w:hint="eastAsia"/>
              </w:rPr>
              <w:t>Ⅳ级（低风险）</w:t>
            </w:r>
          </w:p>
        </w:tc>
      </w:tr>
      <w:tr w14:paraId="4E08EB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9" w:type="dxa"/>
          </w:tcPr>
          <w:p w14:paraId="5EADA9F2">
            <w:pPr>
              <w:pStyle w:val="178"/>
            </w:pPr>
            <w:r>
              <w:rPr>
                <w:rFonts w:hint="eastAsia"/>
              </w:rPr>
              <w:t>轻微（无人员伤害/轻微损失）</w:t>
            </w:r>
          </w:p>
        </w:tc>
        <w:tc>
          <w:tcPr>
            <w:tcW w:w="1984" w:type="dxa"/>
          </w:tcPr>
          <w:p w14:paraId="475D9E1A">
            <w:pPr>
              <w:pStyle w:val="178"/>
            </w:pPr>
            <w:r>
              <w:rPr>
                <w:rFonts w:hint="eastAsia"/>
              </w:rPr>
              <w:t>Ⅲ级（一般风险）</w:t>
            </w:r>
          </w:p>
        </w:tc>
        <w:tc>
          <w:tcPr>
            <w:tcW w:w="2127" w:type="dxa"/>
          </w:tcPr>
          <w:p w14:paraId="6D872894">
            <w:pPr>
              <w:pStyle w:val="178"/>
            </w:pPr>
            <w:r>
              <w:rPr>
                <w:rFonts w:hint="eastAsia"/>
              </w:rPr>
              <w:t>Ⅳ级（低风险）</w:t>
            </w:r>
          </w:p>
        </w:tc>
        <w:tc>
          <w:tcPr>
            <w:tcW w:w="2114" w:type="dxa"/>
          </w:tcPr>
          <w:p w14:paraId="752CAD80">
            <w:pPr>
              <w:pStyle w:val="178"/>
            </w:pPr>
            <w:r>
              <w:rPr>
                <w:rFonts w:hint="eastAsia"/>
              </w:rPr>
              <w:t>Ⅳ级（低风险）</w:t>
            </w:r>
          </w:p>
        </w:tc>
      </w:tr>
    </w:tbl>
    <w:p w14:paraId="61175CC7">
      <w:pPr>
        <w:pStyle w:val="105"/>
        <w:spacing w:before="120" w:after="120" w:line="360" w:lineRule="auto"/>
      </w:pPr>
      <w:r>
        <w:rPr>
          <w:rFonts w:hint="eastAsia"/>
        </w:rPr>
        <w:t>分级管控措施</w:t>
      </w:r>
    </w:p>
    <w:p w14:paraId="584F1A74">
      <w:pPr>
        <w:pStyle w:val="56"/>
        <w:spacing w:line="360" w:lineRule="auto"/>
        <w:ind w:firstLine="420"/>
      </w:pPr>
      <w:r>
        <w:rPr>
          <w:rFonts w:hint="eastAsia"/>
        </w:rPr>
        <w:t>不同风险等级应采取差异化的防控策略：</w:t>
      </w:r>
    </w:p>
    <w:p w14:paraId="1BDDEAA8">
      <w:pPr>
        <w:pStyle w:val="174"/>
        <w:spacing w:line="360" w:lineRule="auto"/>
      </w:pPr>
      <w:r>
        <w:rPr>
          <w:rFonts w:hint="eastAsia"/>
        </w:rPr>
        <w:t>重大风险应制定专项施工方案，落实“一项风险、一套措施、一名责任人”，进行专家论证与审批；</w:t>
      </w:r>
    </w:p>
    <w:p w14:paraId="4EC34975">
      <w:pPr>
        <w:pStyle w:val="174"/>
        <w:spacing w:line="360" w:lineRule="auto"/>
      </w:pPr>
      <w:r>
        <w:rPr>
          <w:rFonts w:hint="eastAsia"/>
        </w:rPr>
        <w:t>较大风险应由项目安全管理部门实施重点监控，确保措施落实到位；</w:t>
      </w:r>
    </w:p>
    <w:p w14:paraId="3CD7C9E9">
      <w:pPr>
        <w:pStyle w:val="174"/>
        <w:spacing w:line="360" w:lineRule="auto"/>
      </w:pPr>
      <w:r>
        <w:rPr>
          <w:rFonts w:hint="eastAsia"/>
        </w:rPr>
        <w:t>一般风险由施工班组在日常作业中进行控制；</w:t>
      </w:r>
    </w:p>
    <w:p w14:paraId="6DB6BE03">
      <w:pPr>
        <w:pStyle w:val="174"/>
        <w:spacing w:line="360" w:lineRule="auto"/>
      </w:pPr>
      <w:r>
        <w:rPr>
          <w:rFonts w:hint="eastAsia"/>
        </w:rPr>
        <w:t>低风险保持日常关注，并在条件变化时重新评估。</w:t>
      </w:r>
    </w:p>
    <w:p w14:paraId="05C1F567">
      <w:pPr>
        <w:pStyle w:val="56"/>
        <w:spacing w:line="360" w:lineRule="auto"/>
        <w:ind w:firstLine="420"/>
      </w:pPr>
      <w:r>
        <w:rPr>
          <w:rFonts w:hint="eastAsia"/>
        </w:rPr>
        <w:t>管控措施应包括技术防控、管理控制、个人防护、应急准备等方面，确保从源头到过程、从预防到应急的全覆盖管理。</w:t>
      </w:r>
    </w:p>
    <w:p w14:paraId="39B1AEEA">
      <w:pPr>
        <w:pStyle w:val="104"/>
        <w:spacing w:before="240" w:after="240" w:line="360" w:lineRule="auto"/>
      </w:pPr>
      <w:bookmarkStart w:id="54" w:name="_Toc205584866"/>
      <w:r>
        <w:rPr>
          <w:rFonts w:hint="eastAsia"/>
        </w:rPr>
        <w:t>风险防控措施</w:t>
      </w:r>
      <w:bookmarkEnd w:id="54"/>
    </w:p>
    <w:p w14:paraId="54A31815">
      <w:pPr>
        <w:pStyle w:val="105"/>
        <w:spacing w:before="120" w:after="120" w:line="360" w:lineRule="auto"/>
      </w:pPr>
      <w:r>
        <w:rPr>
          <w:rFonts w:hint="eastAsia"/>
        </w:rPr>
        <w:t>技术防控措施</w:t>
      </w:r>
    </w:p>
    <w:p w14:paraId="6256A499">
      <w:pPr>
        <w:pStyle w:val="56"/>
        <w:spacing w:line="360" w:lineRule="auto"/>
        <w:ind w:firstLine="420"/>
        <w:rPr>
          <w:rFonts w:hint="eastAsia"/>
        </w:rPr>
      </w:pPr>
      <w:r>
        <w:rPr>
          <w:rFonts w:hint="eastAsia"/>
        </w:rPr>
        <w:t>风险防控措施应覆盖施工全过程，从技术、管理、培训、个人防护和应急等多个方面形成系统化的防控体系。防控措施既要符合国家及行业标准的要求，又要结合水利施工现场的实际情况，确保落实到位、执行有效。</w:t>
      </w:r>
    </w:p>
    <w:p w14:paraId="0FDFC316">
      <w:pPr>
        <w:pStyle w:val="56"/>
        <w:spacing w:line="360" w:lineRule="auto"/>
        <w:ind w:firstLine="420"/>
      </w:pPr>
      <w:r>
        <w:rPr>
          <w:rFonts w:hint="eastAsia"/>
        </w:rPr>
        <w:t>技术防控应优先考虑消除风险的源头或降低风险发生的可能性。例如，在深基坑施工中应采取科学的支护结构设计和分层开挖工艺，在高处作业中应使用符合标准的防坠落装置，并定期检测其性能。</w:t>
      </w:r>
    </w:p>
    <w:p w14:paraId="164BD439">
      <w:pPr>
        <w:pStyle w:val="56"/>
        <w:spacing w:line="360" w:lineRule="auto"/>
        <w:ind w:firstLine="420"/>
      </w:pPr>
      <w:r>
        <w:rPr>
          <w:rFonts w:hint="eastAsia"/>
        </w:rPr>
        <w:t>在起重吊装作业中，应根据吊装方案选择合适的起重设备和吊具，严格控制吊装重量和作业半径，避免超载和侧向受力。</w:t>
      </w:r>
    </w:p>
    <w:p w14:paraId="43FE205F">
      <w:pPr>
        <w:pStyle w:val="56"/>
        <w:spacing w:line="360" w:lineRule="auto"/>
        <w:ind w:firstLine="420"/>
      </w:pPr>
      <w:r>
        <w:rPr>
          <w:rFonts w:hint="eastAsia"/>
        </w:rPr>
        <w:t>为了便于施工单位在不同作业类型中选择技术防控要点，部分典型作业的技术防控措施示例见表5。</w:t>
      </w:r>
    </w:p>
    <w:p w14:paraId="5226BB5E">
      <w:pPr>
        <w:pStyle w:val="112"/>
        <w:spacing w:before="120" w:after="120" w:line="360" w:lineRule="auto"/>
      </w:pPr>
      <w:r>
        <w:rPr>
          <w:rFonts w:hint="eastAsia"/>
        </w:rPr>
        <w:t>典型作业技术防控措施示例</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684"/>
        <w:gridCol w:w="6650"/>
      </w:tblGrid>
      <w:tr w14:paraId="059A4E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684" w:type="dxa"/>
            <w:tcBorders>
              <w:top w:val="single" w:color="auto" w:sz="8" w:space="0"/>
              <w:bottom w:val="single" w:color="auto" w:sz="8" w:space="0"/>
            </w:tcBorders>
          </w:tcPr>
          <w:p w14:paraId="1DC35F4C">
            <w:pPr>
              <w:pStyle w:val="178"/>
            </w:pPr>
            <w:r>
              <w:rPr>
                <w:rFonts w:hint="eastAsia"/>
              </w:rPr>
              <w:t>作业类型</w:t>
            </w:r>
          </w:p>
        </w:tc>
        <w:tc>
          <w:tcPr>
            <w:tcW w:w="6650" w:type="dxa"/>
            <w:tcBorders>
              <w:top w:val="single" w:color="auto" w:sz="8" w:space="0"/>
              <w:bottom w:val="single" w:color="auto" w:sz="8" w:space="0"/>
            </w:tcBorders>
          </w:tcPr>
          <w:p w14:paraId="6B2BAD0A">
            <w:pPr>
              <w:pStyle w:val="178"/>
            </w:pPr>
            <w:r>
              <w:rPr>
                <w:rFonts w:hint="eastAsia"/>
              </w:rPr>
              <w:t>主要技术防控措施</w:t>
            </w:r>
          </w:p>
        </w:tc>
      </w:tr>
      <w:tr w14:paraId="02E736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84" w:type="dxa"/>
            <w:tcBorders>
              <w:top w:val="single" w:color="auto" w:sz="8" w:space="0"/>
            </w:tcBorders>
          </w:tcPr>
          <w:p w14:paraId="0BD36C90">
            <w:pPr>
              <w:pStyle w:val="178"/>
            </w:pPr>
            <w:r>
              <w:rPr>
                <w:rFonts w:hint="eastAsia"/>
              </w:rPr>
              <w:t>深基坑作业</w:t>
            </w:r>
          </w:p>
        </w:tc>
        <w:tc>
          <w:tcPr>
            <w:tcW w:w="6650" w:type="dxa"/>
            <w:tcBorders>
              <w:top w:val="single" w:color="auto" w:sz="8" w:space="0"/>
            </w:tcBorders>
          </w:tcPr>
          <w:p w14:paraId="48F89133">
            <w:pPr>
              <w:pStyle w:val="178"/>
            </w:pPr>
            <w:r>
              <w:rPr>
                <w:rFonts w:hint="eastAsia"/>
              </w:rPr>
              <w:t>合理支护设计、分层分段开挖、实时监测位移与水位</w:t>
            </w:r>
          </w:p>
        </w:tc>
      </w:tr>
      <w:tr w14:paraId="20F4DA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84" w:type="dxa"/>
          </w:tcPr>
          <w:p w14:paraId="7B3232E7">
            <w:pPr>
              <w:pStyle w:val="178"/>
            </w:pPr>
            <w:r>
              <w:rPr>
                <w:rFonts w:hint="eastAsia"/>
              </w:rPr>
              <w:t>高处作业</w:t>
            </w:r>
          </w:p>
        </w:tc>
        <w:tc>
          <w:tcPr>
            <w:tcW w:w="6650" w:type="dxa"/>
          </w:tcPr>
          <w:p w14:paraId="4FD7B2D8">
            <w:pPr>
              <w:pStyle w:val="178"/>
            </w:pPr>
            <w:r>
              <w:rPr>
                <w:rFonts w:hint="eastAsia"/>
              </w:rPr>
              <w:t>设置安全防护栏杆、使用安全带、安全网、防坠器</w:t>
            </w:r>
          </w:p>
        </w:tc>
      </w:tr>
      <w:tr w14:paraId="36786A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84" w:type="dxa"/>
          </w:tcPr>
          <w:p w14:paraId="6C758F8F">
            <w:pPr>
              <w:pStyle w:val="178"/>
            </w:pPr>
            <w:r>
              <w:rPr>
                <w:rFonts w:hint="eastAsia"/>
              </w:rPr>
              <w:t>起重吊装</w:t>
            </w:r>
          </w:p>
        </w:tc>
        <w:tc>
          <w:tcPr>
            <w:tcW w:w="6650" w:type="dxa"/>
          </w:tcPr>
          <w:p w14:paraId="75115F0D">
            <w:pPr>
              <w:pStyle w:val="178"/>
            </w:pPr>
            <w:r>
              <w:rPr>
                <w:rFonts w:hint="eastAsia"/>
              </w:rPr>
              <w:t>编制吊装方案、设备定检、设置警戒区、全程专人指挥</w:t>
            </w:r>
          </w:p>
        </w:tc>
      </w:tr>
      <w:tr w14:paraId="49F67C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84" w:type="dxa"/>
          </w:tcPr>
          <w:p w14:paraId="449BEA81">
            <w:pPr>
              <w:pStyle w:val="178"/>
            </w:pPr>
            <w:r>
              <w:rPr>
                <w:rFonts w:hint="eastAsia"/>
              </w:rPr>
              <w:t>水上作业</w:t>
            </w:r>
          </w:p>
        </w:tc>
        <w:tc>
          <w:tcPr>
            <w:tcW w:w="6650" w:type="dxa"/>
          </w:tcPr>
          <w:p w14:paraId="2C801D72">
            <w:pPr>
              <w:pStyle w:val="178"/>
            </w:pPr>
            <w:r>
              <w:rPr>
                <w:rFonts w:hint="eastAsia"/>
              </w:rPr>
              <w:t>配备救生衣、设置防护栏、防止船舶超载及恶劣天气作业</w:t>
            </w:r>
          </w:p>
        </w:tc>
      </w:tr>
    </w:tbl>
    <w:p w14:paraId="61CE131A">
      <w:pPr>
        <w:pStyle w:val="105"/>
        <w:spacing w:before="120" w:after="120" w:line="360" w:lineRule="auto"/>
      </w:pPr>
      <w:r>
        <w:rPr>
          <w:rFonts w:hint="eastAsia"/>
        </w:rPr>
        <w:t>管理防控措施</w:t>
      </w:r>
    </w:p>
    <w:p w14:paraId="39BFAA42">
      <w:pPr>
        <w:pStyle w:val="56"/>
        <w:spacing w:line="360" w:lineRule="auto"/>
        <w:ind w:firstLine="420"/>
      </w:pPr>
      <w:r>
        <w:rPr>
          <w:rFonts w:hint="eastAsia"/>
        </w:rPr>
        <w:t>管理措施应贯穿施工准备、施工实施和验收全过程，包括完善安全生产责任制、实施安全技术交底、建立风险清单和动态更新机制、落实现场巡查制度等。</w:t>
      </w:r>
    </w:p>
    <w:p w14:paraId="08F36957">
      <w:pPr>
        <w:pStyle w:val="56"/>
        <w:spacing w:line="360" w:lineRule="auto"/>
        <w:ind w:firstLine="420"/>
      </w:pPr>
      <w:r>
        <w:rPr>
          <w:rFonts w:hint="eastAsia"/>
        </w:rPr>
        <w:t>施工单位应设立专职安全管理人员，定期组织安全检查和隐患排查，对发现的问题及时整改并复查，确保闭环管理。</w:t>
      </w:r>
    </w:p>
    <w:p w14:paraId="59CC1DC5">
      <w:pPr>
        <w:pStyle w:val="105"/>
        <w:spacing w:before="120" w:after="120" w:line="360" w:lineRule="auto"/>
      </w:pPr>
      <w:r>
        <w:rPr>
          <w:rFonts w:hint="eastAsia"/>
        </w:rPr>
        <w:t>培训与教育</w:t>
      </w:r>
    </w:p>
    <w:p w14:paraId="069F05EE">
      <w:pPr>
        <w:pStyle w:val="56"/>
        <w:spacing w:line="360" w:lineRule="auto"/>
        <w:ind w:firstLine="420"/>
      </w:pPr>
      <w:r>
        <w:rPr>
          <w:rFonts w:hint="eastAsia"/>
        </w:rPr>
        <w:t>应针对不同岗位和作业类型制定有针对性的安全培训计划。培训内容包括安全生产法律法规、施工工艺安全要点、设备操作规程、应急处置方法等。培训应定期开展，并对培训效果进行考核，确保参训人员真正掌握所需的安全知识与技能。</w:t>
      </w:r>
    </w:p>
    <w:p w14:paraId="0024C775">
      <w:pPr>
        <w:pStyle w:val="105"/>
        <w:spacing w:before="120" w:after="120" w:line="360" w:lineRule="auto"/>
      </w:pPr>
      <w:r>
        <w:rPr>
          <w:rFonts w:hint="eastAsia"/>
        </w:rPr>
        <w:t>个人防护装备管理</w:t>
      </w:r>
    </w:p>
    <w:p w14:paraId="1E047586">
      <w:pPr>
        <w:pStyle w:val="56"/>
        <w:spacing w:line="360" w:lineRule="auto"/>
        <w:ind w:firstLine="420"/>
      </w:pPr>
      <w:r>
        <w:rPr>
          <w:rFonts w:hint="eastAsia"/>
        </w:rPr>
        <w:t>施工单位应为作业人员配备符合国家标准的个人防护装备，并建立发放、使用、维护和更换台账。对涉及特殊作业的个人防护装备（如防毒面具、绝缘手套、防坠器等）应定期检测性能并在有效期内使用。</w:t>
      </w:r>
    </w:p>
    <w:p w14:paraId="2C1D5AFE">
      <w:pPr>
        <w:pStyle w:val="56"/>
        <w:spacing w:line="360" w:lineRule="auto"/>
        <w:ind w:firstLine="420"/>
      </w:pPr>
      <w:r>
        <w:rPr>
          <w:rFonts w:hint="eastAsia"/>
        </w:rPr>
        <w:t>在日常管理中，应对个人防护装备使用情况进行检查，对未按规定佩戴的人员应及时纠正并记录。</w:t>
      </w:r>
    </w:p>
    <w:p w14:paraId="7C4BDE6D">
      <w:pPr>
        <w:pStyle w:val="105"/>
        <w:spacing w:before="120" w:after="120" w:line="360" w:lineRule="auto"/>
      </w:pPr>
      <w:r>
        <w:rPr>
          <w:rFonts w:hint="eastAsia"/>
        </w:rPr>
        <w:t>应急保障措施</w:t>
      </w:r>
    </w:p>
    <w:p w14:paraId="05A0E4BA">
      <w:pPr>
        <w:pStyle w:val="56"/>
        <w:spacing w:line="360" w:lineRule="auto"/>
        <w:ind w:firstLine="420"/>
      </w:pPr>
      <w:r>
        <w:rPr>
          <w:rFonts w:hint="eastAsia"/>
        </w:rPr>
        <w:t>对于无法完全消除的剩余风险，应制定针对性的应急预案，明确预案启动条件、应急组织架构、通讯联络方式、应急物资配置及演练要求。应急物资应存放在明显、便于取用的位置，并定期检查有效性和完好性。</w:t>
      </w:r>
    </w:p>
    <w:p w14:paraId="0873610E">
      <w:pPr>
        <w:pStyle w:val="56"/>
        <w:spacing w:line="360" w:lineRule="auto"/>
        <w:ind w:firstLine="420"/>
      </w:pPr>
      <w:r>
        <w:rPr>
          <w:rFonts w:hint="eastAsia"/>
        </w:rPr>
        <w:t>施工现场应至少每半年组织一次应急演练，并结合演练情况改进应急预案，提高人员的实战处置能力。</w:t>
      </w:r>
    </w:p>
    <w:p w14:paraId="7D57550A">
      <w:pPr>
        <w:pStyle w:val="104"/>
        <w:spacing w:before="240" w:after="240" w:line="360" w:lineRule="auto"/>
      </w:pPr>
      <w:bookmarkStart w:id="55" w:name="_Toc205584867"/>
      <w:r>
        <w:rPr>
          <w:rFonts w:hint="eastAsia"/>
        </w:rPr>
        <w:t>应急处置程序</w:t>
      </w:r>
      <w:bookmarkEnd w:id="55"/>
    </w:p>
    <w:p w14:paraId="48EB8C6B">
      <w:pPr>
        <w:pStyle w:val="105"/>
        <w:spacing w:before="120" w:after="120" w:line="360" w:lineRule="auto"/>
      </w:pPr>
      <w:r>
        <w:rPr>
          <w:rFonts w:hint="eastAsia"/>
        </w:rPr>
        <w:t>总体要求</w:t>
      </w:r>
    </w:p>
    <w:p w14:paraId="44CEFF2B">
      <w:pPr>
        <w:pStyle w:val="56"/>
        <w:spacing w:line="360" w:lineRule="auto"/>
        <w:ind w:firstLine="420"/>
        <w:rPr>
          <w:rFonts w:hint="eastAsia"/>
        </w:rPr>
      </w:pPr>
      <w:r>
        <w:rPr>
          <w:rFonts w:hint="eastAsia"/>
        </w:rPr>
        <w:t>应急处置程序是针对水利施工过程中可能发生的突发安全事件，按照事先制定的方案，快速、有序、有效地开展应对行动的流程。应急处置的目标是在最短时间内控制事态发展、减少人员伤亡、降低财产损失，并尽快恢复正常施工秩序。</w:t>
      </w:r>
    </w:p>
    <w:p w14:paraId="0F76B187">
      <w:pPr>
        <w:pStyle w:val="56"/>
        <w:spacing w:line="360" w:lineRule="auto"/>
        <w:ind w:firstLine="420"/>
      </w:pPr>
      <w:r>
        <w:rPr>
          <w:rFonts w:hint="eastAsia"/>
        </w:rPr>
        <w:t>应急处置应遵循“先控制、后救援，先人员、后财产”的原则，优先保障人员生命安全。在应急响应过程中，应保持信息通畅、指挥统一、分工明确，并根据事故性质和现场实际情况灵活调整处置步骤。所有应急行动应与相关政府部门、应急机构及医疗单位保持有效协调。</w:t>
      </w:r>
    </w:p>
    <w:p w14:paraId="2C3DDB04">
      <w:pPr>
        <w:pStyle w:val="105"/>
        <w:spacing w:before="120" w:after="120" w:line="360" w:lineRule="auto"/>
      </w:pPr>
      <w:r>
        <w:rPr>
          <w:rFonts w:hint="eastAsia"/>
        </w:rPr>
        <w:t>常见事故应急处置步骤</w:t>
      </w:r>
    </w:p>
    <w:p w14:paraId="5C080177">
      <w:pPr>
        <w:pStyle w:val="56"/>
        <w:spacing w:line="360" w:lineRule="auto"/>
        <w:ind w:firstLine="420"/>
      </w:pPr>
      <w:r>
        <w:rPr>
          <w:rFonts w:hint="eastAsia"/>
        </w:rPr>
        <w:t>施工现场应针对高处坠落、起重伤害、触电事故、坍塌事故、溺水事故等高风险事件制定详细的应急处置步骤，并在施工前对作业人员进行培训。</w:t>
      </w:r>
    </w:p>
    <w:p w14:paraId="3A2D2A57">
      <w:pPr>
        <w:pStyle w:val="56"/>
        <w:spacing w:line="360" w:lineRule="auto"/>
        <w:ind w:firstLine="420"/>
      </w:pPr>
      <w:r>
        <w:rPr>
          <w:rFonts w:hint="eastAsia"/>
        </w:rPr>
        <w:t>几类常见事故的应急处置要点如表6所示，可作为施工现场制定专项应急方案的参考。</w:t>
      </w:r>
    </w:p>
    <w:p w14:paraId="27A96CD6">
      <w:pPr>
        <w:pStyle w:val="112"/>
        <w:spacing w:before="120" w:after="120"/>
      </w:pPr>
      <w:r>
        <w:rPr>
          <w:rFonts w:hint="eastAsia"/>
        </w:rPr>
        <w:t>常见事故应急处置要点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408"/>
        <w:gridCol w:w="5528"/>
        <w:gridCol w:w="2398"/>
      </w:tblGrid>
      <w:tr w14:paraId="76C4C8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408" w:type="dxa"/>
            <w:tcBorders>
              <w:top w:val="single" w:color="auto" w:sz="8" w:space="0"/>
              <w:bottom w:val="single" w:color="auto" w:sz="8" w:space="0"/>
            </w:tcBorders>
          </w:tcPr>
          <w:p w14:paraId="7B5E50CB">
            <w:pPr>
              <w:pStyle w:val="178"/>
            </w:pPr>
            <w:r>
              <w:rPr>
                <w:rFonts w:hint="eastAsia"/>
              </w:rPr>
              <w:t>事故类型</w:t>
            </w:r>
          </w:p>
        </w:tc>
        <w:tc>
          <w:tcPr>
            <w:tcW w:w="5528" w:type="dxa"/>
            <w:tcBorders>
              <w:top w:val="single" w:color="auto" w:sz="8" w:space="0"/>
              <w:bottom w:val="single" w:color="auto" w:sz="8" w:space="0"/>
            </w:tcBorders>
          </w:tcPr>
          <w:p w14:paraId="6C4E7474">
            <w:pPr>
              <w:pStyle w:val="178"/>
            </w:pPr>
            <w:r>
              <w:rPr>
                <w:rFonts w:hint="eastAsia"/>
              </w:rPr>
              <w:t>处置要点</w:t>
            </w:r>
          </w:p>
        </w:tc>
        <w:tc>
          <w:tcPr>
            <w:tcW w:w="2398" w:type="dxa"/>
            <w:tcBorders>
              <w:top w:val="single" w:color="auto" w:sz="8" w:space="0"/>
              <w:bottom w:val="single" w:color="auto" w:sz="8" w:space="0"/>
            </w:tcBorders>
          </w:tcPr>
          <w:p w14:paraId="18D677F6">
            <w:pPr>
              <w:pStyle w:val="178"/>
            </w:pPr>
            <w:r>
              <w:rPr>
                <w:rFonts w:hint="eastAsia"/>
              </w:rPr>
              <w:t>备注</w:t>
            </w:r>
          </w:p>
        </w:tc>
      </w:tr>
      <w:tr w14:paraId="24ED51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tcBorders>
              <w:top w:val="single" w:color="auto" w:sz="8" w:space="0"/>
            </w:tcBorders>
          </w:tcPr>
          <w:p w14:paraId="764E74D4">
            <w:pPr>
              <w:pStyle w:val="178"/>
            </w:pPr>
            <w:r>
              <w:rPr>
                <w:rFonts w:hint="eastAsia"/>
              </w:rPr>
              <w:t>高处坠落</w:t>
            </w:r>
          </w:p>
        </w:tc>
        <w:tc>
          <w:tcPr>
            <w:tcW w:w="5528" w:type="dxa"/>
            <w:tcBorders>
              <w:top w:val="single" w:color="auto" w:sz="8" w:space="0"/>
            </w:tcBorders>
          </w:tcPr>
          <w:p w14:paraId="3AE4DE6E">
            <w:pPr>
              <w:pStyle w:val="178"/>
            </w:pPr>
            <w:r>
              <w:rPr>
                <w:rFonts w:hint="eastAsia"/>
              </w:rPr>
              <w:t>立即停止相关作业，保护现场，呼叫医疗救援，防止二次坠落</w:t>
            </w:r>
          </w:p>
        </w:tc>
        <w:tc>
          <w:tcPr>
            <w:tcW w:w="2398" w:type="dxa"/>
            <w:tcBorders>
              <w:top w:val="single" w:color="auto" w:sz="8" w:space="0"/>
            </w:tcBorders>
          </w:tcPr>
          <w:p w14:paraId="7935EDB6">
            <w:pPr>
              <w:pStyle w:val="178"/>
            </w:pPr>
            <w:r>
              <w:rPr>
                <w:rFonts w:hint="eastAsia"/>
              </w:rPr>
              <w:t>现场急救后送医</w:t>
            </w:r>
          </w:p>
        </w:tc>
      </w:tr>
      <w:tr w14:paraId="47161B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tcPr>
          <w:p w14:paraId="3F5AD689">
            <w:pPr>
              <w:pStyle w:val="178"/>
            </w:pPr>
            <w:r>
              <w:rPr>
                <w:rFonts w:hint="eastAsia"/>
              </w:rPr>
              <w:t>起重伤害</w:t>
            </w:r>
          </w:p>
        </w:tc>
        <w:tc>
          <w:tcPr>
            <w:tcW w:w="5528" w:type="dxa"/>
          </w:tcPr>
          <w:p w14:paraId="1AE5283A">
            <w:pPr>
              <w:pStyle w:val="178"/>
            </w:pPr>
            <w:r>
              <w:rPr>
                <w:rFonts w:hint="eastAsia"/>
              </w:rPr>
              <w:t>立即切断起重设备动力源，解除被困，现场救护</w:t>
            </w:r>
          </w:p>
        </w:tc>
        <w:tc>
          <w:tcPr>
            <w:tcW w:w="2398" w:type="dxa"/>
          </w:tcPr>
          <w:p w14:paraId="64450678">
            <w:pPr>
              <w:pStyle w:val="178"/>
            </w:pPr>
            <w:r>
              <w:rPr>
                <w:rFonts w:hint="eastAsia"/>
              </w:rPr>
              <w:t>避免移动重物导致二次伤害</w:t>
            </w:r>
          </w:p>
        </w:tc>
      </w:tr>
      <w:tr w14:paraId="7C4030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tcPr>
          <w:p w14:paraId="3634C0F7">
            <w:pPr>
              <w:pStyle w:val="178"/>
            </w:pPr>
            <w:r>
              <w:rPr>
                <w:rFonts w:hint="eastAsia"/>
              </w:rPr>
              <w:t>触电事故</w:t>
            </w:r>
          </w:p>
        </w:tc>
        <w:tc>
          <w:tcPr>
            <w:tcW w:w="5528" w:type="dxa"/>
          </w:tcPr>
          <w:p w14:paraId="20DBA07E">
            <w:pPr>
              <w:pStyle w:val="178"/>
            </w:pPr>
            <w:r>
              <w:rPr>
                <w:rFonts w:hint="eastAsia"/>
              </w:rPr>
              <w:t>迅速切断电源或使用绝缘工具分离电源，进行心肺复苏</w:t>
            </w:r>
          </w:p>
        </w:tc>
        <w:tc>
          <w:tcPr>
            <w:tcW w:w="2398" w:type="dxa"/>
          </w:tcPr>
          <w:p w14:paraId="24A8D6AB">
            <w:pPr>
              <w:pStyle w:val="178"/>
            </w:pPr>
            <w:r>
              <w:rPr>
                <w:rFonts w:hint="eastAsia"/>
              </w:rPr>
              <w:t>必须由经过培训人员实施</w:t>
            </w:r>
          </w:p>
        </w:tc>
      </w:tr>
      <w:tr w14:paraId="3495BB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tcPr>
          <w:p w14:paraId="4587975C">
            <w:pPr>
              <w:pStyle w:val="178"/>
            </w:pPr>
            <w:r>
              <w:rPr>
                <w:rFonts w:hint="eastAsia"/>
              </w:rPr>
              <w:t>坍塌事故</w:t>
            </w:r>
          </w:p>
        </w:tc>
        <w:tc>
          <w:tcPr>
            <w:tcW w:w="5528" w:type="dxa"/>
          </w:tcPr>
          <w:p w14:paraId="7DC6805B">
            <w:pPr>
              <w:pStyle w:val="178"/>
            </w:pPr>
            <w:r>
              <w:rPr>
                <w:rFonts w:hint="eastAsia"/>
              </w:rPr>
              <w:t>立即撤离危险区域，清点人数，组织搜救，防止二次坍塌</w:t>
            </w:r>
          </w:p>
        </w:tc>
        <w:tc>
          <w:tcPr>
            <w:tcW w:w="2398" w:type="dxa"/>
          </w:tcPr>
          <w:p w14:paraId="43371E64">
            <w:pPr>
              <w:pStyle w:val="178"/>
            </w:pPr>
            <w:r>
              <w:rPr>
                <w:rFonts w:hint="eastAsia"/>
              </w:rPr>
              <w:t>应配合应急救援队伍</w:t>
            </w:r>
          </w:p>
        </w:tc>
      </w:tr>
      <w:tr w14:paraId="3B245F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tcPr>
          <w:p w14:paraId="6F499053">
            <w:pPr>
              <w:pStyle w:val="178"/>
            </w:pPr>
            <w:r>
              <w:rPr>
                <w:rFonts w:hint="eastAsia"/>
              </w:rPr>
              <w:t>溺水事故</w:t>
            </w:r>
          </w:p>
        </w:tc>
        <w:tc>
          <w:tcPr>
            <w:tcW w:w="5528" w:type="dxa"/>
          </w:tcPr>
          <w:p w14:paraId="7432BA82">
            <w:pPr>
              <w:pStyle w:val="178"/>
            </w:pPr>
            <w:r>
              <w:rPr>
                <w:rFonts w:hint="eastAsia"/>
              </w:rPr>
              <w:t>立即实施水上救援，人工呼吸，保暖</w:t>
            </w:r>
          </w:p>
        </w:tc>
        <w:tc>
          <w:tcPr>
            <w:tcW w:w="2398" w:type="dxa"/>
          </w:tcPr>
          <w:p w14:paraId="5929FEE4">
            <w:pPr>
              <w:pStyle w:val="178"/>
            </w:pPr>
            <w:r>
              <w:rPr>
                <w:rFonts w:hint="eastAsia"/>
              </w:rPr>
              <w:t>配备救生设备与人员</w:t>
            </w:r>
          </w:p>
        </w:tc>
      </w:tr>
    </w:tbl>
    <w:p w14:paraId="31F62BF4">
      <w:pPr>
        <w:pStyle w:val="105"/>
        <w:spacing w:before="120" w:after="120" w:line="360" w:lineRule="auto"/>
      </w:pPr>
      <w:r>
        <w:rPr>
          <w:rFonts w:hint="eastAsia"/>
        </w:rPr>
        <w:t>应急响应分级</w:t>
      </w:r>
    </w:p>
    <w:p w14:paraId="4C00ED02">
      <w:pPr>
        <w:pStyle w:val="56"/>
        <w:spacing w:line="360" w:lineRule="auto"/>
        <w:ind w:firstLine="420"/>
      </w:pPr>
      <w:r>
        <w:rPr>
          <w:rFonts w:hint="eastAsia"/>
        </w:rPr>
        <w:t>根据事故的严重程度、影响范围和可控性，应急响应可分为四级：</w:t>
      </w:r>
    </w:p>
    <w:p w14:paraId="0FE49F00">
      <w:pPr>
        <w:pStyle w:val="132"/>
        <w:spacing w:line="360" w:lineRule="auto"/>
      </w:pPr>
      <w:r>
        <w:rPr>
          <w:rFonts w:hint="eastAsia"/>
        </w:rPr>
        <w:t>Ⅰ级（特别重大事故）：立即启动公司及上级主管部门应急响应，并请求政府应急部门介入；</w:t>
      </w:r>
    </w:p>
    <w:p w14:paraId="361DD8E6">
      <w:pPr>
        <w:pStyle w:val="132"/>
        <w:spacing w:line="360" w:lineRule="auto"/>
      </w:pPr>
      <w:r>
        <w:rPr>
          <w:rFonts w:hint="eastAsia"/>
        </w:rPr>
        <w:t>Ⅱ级（重大事故）：由项目部启动现场应急指挥部，同时报告上级管理机构；</w:t>
      </w:r>
    </w:p>
    <w:p w14:paraId="2DBAAA91">
      <w:pPr>
        <w:pStyle w:val="132"/>
        <w:spacing w:line="360" w:lineRule="auto"/>
      </w:pPr>
      <w:r>
        <w:rPr>
          <w:rFonts w:hint="eastAsia"/>
        </w:rPr>
        <w:t>Ⅲ级（较大事故）：由项目安全管理部门牵头处置，并上报备案；</w:t>
      </w:r>
    </w:p>
    <w:p w14:paraId="218F679B">
      <w:pPr>
        <w:pStyle w:val="132"/>
        <w:spacing w:line="360" w:lineRule="auto"/>
      </w:pPr>
      <w:r>
        <w:rPr>
          <w:rFonts w:hint="eastAsia"/>
        </w:rPr>
        <w:t>Ⅳ级（一般事故）：由施工班组在现场处理，并向项目安全员报告。</w:t>
      </w:r>
    </w:p>
    <w:p w14:paraId="62E2B0D2">
      <w:pPr>
        <w:pStyle w:val="105"/>
        <w:spacing w:before="120" w:after="120" w:line="360" w:lineRule="auto"/>
      </w:pPr>
      <w:r>
        <w:rPr>
          <w:rFonts w:hint="eastAsia"/>
        </w:rPr>
        <w:t>应急处置流程</w:t>
      </w:r>
    </w:p>
    <w:p w14:paraId="2DA65875">
      <w:pPr>
        <w:pStyle w:val="56"/>
        <w:spacing w:line="360" w:lineRule="auto"/>
        <w:ind w:firstLine="420"/>
      </w:pPr>
      <w:r>
        <w:rPr>
          <w:rFonts w:hint="eastAsia"/>
        </w:rPr>
        <w:t>应急处置流程通常包括事故发生、现场报告、启动响应、现场控制、人员救援、事故调查与善后六个环节。</w:t>
      </w:r>
    </w:p>
    <w:p w14:paraId="619C571F">
      <w:pPr>
        <w:pStyle w:val="56"/>
        <w:spacing w:line="360" w:lineRule="auto"/>
        <w:ind w:firstLine="420"/>
      </w:pPr>
      <w:r>
        <w:rPr>
          <w:rFonts w:hint="eastAsia"/>
        </w:rPr>
        <w:t>应急处置流程简述见表7。</w:t>
      </w:r>
    </w:p>
    <w:p w14:paraId="7DFBE3AD">
      <w:pPr>
        <w:pStyle w:val="112"/>
        <w:spacing w:before="120" w:after="120" w:line="360" w:lineRule="auto"/>
      </w:pPr>
      <w:r>
        <w:rPr>
          <w:rFonts w:hint="eastAsia"/>
        </w:rPr>
        <w:t>应急处置流程简述</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684"/>
        <w:gridCol w:w="6650"/>
      </w:tblGrid>
      <w:tr w14:paraId="2AAD96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684" w:type="dxa"/>
            <w:tcBorders>
              <w:top w:val="single" w:color="auto" w:sz="8" w:space="0"/>
              <w:bottom w:val="single" w:color="auto" w:sz="8" w:space="0"/>
            </w:tcBorders>
          </w:tcPr>
          <w:p w14:paraId="6D5A2166">
            <w:pPr>
              <w:pStyle w:val="178"/>
            </w:pPr>
            <w:r>
              <w:rPr>
                <w:rFonts w:hint="eastAsia"/>
              </w:rPr>
              <w:t>环节</w:t>
            </w:r>
          </w:p>
        </w:tc>
        <w:tc>
          <w:tcPr>
            <w:tcW w:w="6650" w:type="dxa"/>
            <w:tcBorders>
              <w:top w:val="single" w:color="auto" w:sz="8" w:space="0"/>
              <w:bottom w:val="single" w:color="auto" w:sz="8" w:space="0"/>
            </w:tcBorders>
          </w:tcPr>
          <w:p w14:paraId="35C03B3E">
            <w:pPr>
              <w:pStyle w:val="178"/>
            </w:pPr>
            <w:r>
              <w:rPr>
                <w:rFonts w:hint="eastAsia"/>
              </w:rPr>
              <w:t>主要内容</w:t>
            </w:r>
          </w:p>
        </w:tc>
      </w:tr>
      <w:tr w14:paraId="29768D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84" w:type="dxa"/>
            <w:tcBorders>
              <w:top w:val="single" w:color="auto" w:sz="8" w:space="0"/>
            </w:tcBorders>
          </w:tcPr>
          <w:p w14:paraId="6079A2C4">
            <w:pPr>
              <w:pStyle w:val="178"/>
            </w:pPr>
            <w:r>
              <w:rPr>
                <w:rFonts w:hint="eastAsia"/>
              </w:rPr>
              <w:t>事故发生</w:t>
            </w:r>
          </w:p>
        </w:tc>
        <w:tc>
          <w:tcPr>
            <w:tcW w:w="6650" w:type="dxa"/>
            <w:tcBorders>
              <w:top w:val="single" w:color="auto" w:sz="8" w:space="0"/>
            </w:tcBorders>
          </w:tcPr>
          <w:p w14:paraId="35661D15">
            <w:pPr>
              <w:pStyle w:val="178"/>
            </w:pPr>
            <w:r>
              <w:rPr>
                <w:rFonts w:hint="eastAsia"/>
              </w:rPr>
              <w:t>第一目击人立即发出警示并采取初步控制措施</w:t>
            </w:r>
          </w:p>
        </w:tc>
      </w:tr>
      <w:tr w14:paraId="316403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84" w:type="dxa"/>
          </w:tcPr>
          <w:p w14:paraId="44190CDC">
            <w:pPr>
              <w:pStyle w:val="178"/>
            </w:pPr>
            <w:r>
              <w:rPr>
                <w:rFonts w:hint="eastAsia"/>
              </w:rPr>
              <w:t>现场报告</w:t>
            </w:r>
          </w:p>
        </w:tc>
        <w:tc>
          <w:tcPr>
            <w:tcW w:w="6650" w:type="dxa"/>
          </w:tcPr>
          <w:p w14:paraId="100F2DFD">
            <w:pPr>
              <w:pStyle w:val="178"/>
            </w:pPr>
            <w:r>
              <w:rPr>
                <w:rFonts w:hint="eastAsia"/>
              </w:rPr>
              <w:t>将事故信息上报至现场负责人和安全管理部门</w:t>
            </w:r>
          </w:p>
        </w:tc>
      </w:tr>
      <w:tr w14:paraId="4DE4A6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84" w:type="dxa"/>
          </w:tcPr>
          <w:p w14:paraId="64D8AFA6">
            <w:pPr>
              <w:pStyle w:val="178"/>
            </w:pPr>
            <w:r>
              <w:rPr>
                <w:rFonts w:hint="eastAsia"/>
              </w:rPr>
              <w:t>启动响应</w:t>
            </w:r>
          </w:p>
        </w:tc>
        <w:tc>
          <w:tcPr>
            <w:tcW w:w="6650" w:type="dxa"/>
          </w:tcPr>
          <w:p w14:paraId="67D76904">
            <w:pPr>
              <w:pStyle w:val="178"/>
            </w:pPr>
            <w:r>
              <w:rPr>
                <w:rFonts w:hint="eastAsia"/>
              </w:rPr>
              <w:t>按事故等级启动相应应急预案</w:t>
            </w:r>
          </w:p>
        </w:tc>
      </w:tr>
      <w:tr w14:paraId="57FD22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84" w:type="dxa"/>
          </w:tcPr>
          <w:p w14:paraId="57C14F40">
            <w:pPr>
              <w:pStyle w:val="178"/>
            </w:pPr>
            <w:r>
              <w:rPr>
                <w:rFonts w:hint="eastAsia"/>
              </w:rPr>
              <w:t>现场控制</w:t>
            </w:r>
          </w:p>
        </w:tc>
        <w:tc>
          <w:tcPr>
            <w:tcW w:w="6650" w:type="dxa"/>
          </w:tcPr>
          <w:p w14:paraId="2E0A30C1">
            <w:pPr>
              <w:pStyle w:val="178"/>
            </w:pPr>
            <w:r>
              <w:rPr>
                <w:rFonts w:hint="eastAsia"/>
              </w:rPr>
              <w:t>切断危险源，划定警戒区域</w:t>
            </w:r>
          </w:p>
        </w:tc>
      </w:tr>
      <w:tr w14:paraId="61AF33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84" w:type="dxa"/>
          </w:tcPr>
          <w:p w14:paraId="2514C575">
            <w:pPr>
              <w:pStyle w:val="178"/>
            </w:pPr>
            <w:r>
              <w:rPr>
                <w:rFonts w:hint="eastAsia"/>
              </w:rPr>
              <w:t>人员救援</w:t>
            </w:r>
          </w:p>
        </w:tc>
        <w:tc>
          <w:tcPr>
            <w:tcW w:w="6650" w:type="dxa"/>
          </w:tcPr>
          <w:p w14:paraId="28E7DA52">
            <w:pPr>
              <w:pStyle w:val="178"/>
            </w:pPr>
            <w:r>
              <w:rPr>
                <w:rFonts w:hint="eastAsia"/>
              </w:rPr>
              <w:t>实施紧急救护并送医</w:t>
            </w:r>
          </w:p>
        </w:tc>
      </w:tr>
      <w:tr w14:paraId="09C164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84" w:type="dxa"/>
          </w:tcPr>
          <w:p w14:paraId="19646D7D">
            <w:pPr>
              <w:pStyle w:val="178"/>
            </w:pPr>
            <w:r>
              <w:rPr>
                <w:rFonts w:hint="eastAsia"/>
              </w:rPr>
              <w:t>善后处理</w:t>
            </w:r>
          </w:p>
        </w:tc>
        <w:tc>
          <w:tcPr>
            <w:tcW w:w="6650" w:type="dxa"/>
          </w:tcPr>
          <w:p w14:paraId="3CC91898">
            <w:pPr>
              <w:pStyle w:val="178"/>
            </w:pPr>
            <w:r>
              <w:rPr>
                <w:rFonts w:hint="eastAsia"/>
              </w:rPr>
              <w:t>事故调查、资料整理、总结改进</w:t>
            </w:r>
          </w:p>
        </w:tc>
      </w:tr>
    </w:tbl>
    <w:p w14:paraId="47B47C0F">
      <w:pPr>
        <w:pStyle w:val="104"/>
        <w:spacing w:before="240" w:after="240" w:line="360" w:lineRule="auto"/>
      </w:pPr>
      <w:bookmarkStart w:id="56" w:name="_Toc205584868"/>
      <w:r>
        <w:rPr>
          <w:rFonts w:hint="eastAsia"/>
        </w:rPr>
        <w:t>监督检查</w:t>
      </w:r>
      <w:bookmarkEnd w:id="56"/>
    </w:p>
    <w:p w14:paraId="784726F1">
      <w:pPr>
        <w:pStyle w:val="105"/>
        <w:spacing w:before="120" w:after="120" w:line="360" w:lineRule="auto"/>
      </w:pPr>
      <w:r>
        <w:rPr>
          <w:rFonts w:hint="eastAsia"/>
        </w:rPr>
        <w:t>监督检查机制</w:t>
      </w:r>
    </w:p>
    <w:p w14:paraId="413C9DAC">
      <w:pPr>
        <w:pStyle w:val="56"/>
        <w:spacing w:line="360" w:lineRule="auto"/>
        <w:ind w:firstLine="420"/>
        <w:rPr>
          <w:rFonts w:hint="eastAsia"/>
        </w:rPr>
      </w:pPr>
      <w:r>
        <w:rPr>
          <w:rFonts w:hint="eastAsia"/>
        </w:rPr>
        <w:t>监督检查与持续改进是确保水利施工安全风险识别与防控措施长期有效的核心环节。通过定期检查、动态监控、问题整改和经验反馈，可实现安全管理的闭环运行和水平提升。</w:t>
      </w:r>
    </w:p>
    <w:p w14:paraId="07E29AD4">
      <w:pPr>
        <w:pStyle w:val="56"/>
        <w:spacing w:line="360" w:lineRule="auto"/>
        <w:ind w:firstLine="420"/>
      </w:pPr>
      <w:r>
        <w:rPr>
          <w:rFonts w:hint="eastAsia"/>
        </w:rPr>
        <w:t>施工单位应建立覆盖日常巡检、专项检查和定期综合检查的多层级监督体系。日常巡检由施工班组安全员执行，专项检查针对重大风险和特殊工序开展，定期综合检查由项目安全管理部门牵头组织，并可邀请监理单位、业主方及外部专家参与。监督检查类型及主要内容见表8。</w:t>
      </w:r>
    </w:p>
    <w:p w14:paraId="23128C71">
      <w:pPr>
        <w:pStyle w:val="112"/>
        <w:spacing w:before="120" w:after="120" w:line="360" w:lineRule="auto"/>
      </w:pPr>
      <w:r>
        <w:rPr>
          <w:rFonts w:hint="eastAsia"/>
        </w:rPr>
        <w:t>监督检查类型及主要内容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0"/>
        <w:gridCol w:w="2268"/>
        <w:gridCol w:w="5516"/>
      </w:tblGrid>
      <w:tr w14:paraId="1DD48C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0" w:type="dxa"/>
            <w:tcBorders>
              <w:top w:val="single" w:color="auto" w:sz="8" w:space="0"/>
              <w:bottom w:val="single" w:color="auto" w:sz="8" w:space="0"/>
            </w:tcBorders>
          </w:tcPr>
          <w:p w14:paraId="1936265C">
            <w:pPr>
              <w:pStyle w:val="178"/>
            </w:pPr>
            <w:r>
              <w:rPr>
                <w:rFonts w:hint="eastAsia"/>
              </w:rPr>
              <w:t>检查类型</w:t>
            </w:r>
          </w:p>
        </w:tc>
        <w:tc>
          <w:tcPr>
            <w:tcW w:w="2268" w:type="dxa"/>
            <w:tcBorders>
              <w:top w:val="single" w:color="auto" w:sz="8" w:space="0"/>
              <w:bottom w:val="single" w:color="auto" w:sz="8" w:space="0"/>
            </w:tcBorders>
          </w:tcPr>
          <w:p w14:paraId="4D6A687E">
            <w:pPr>
              <w:pStyle w:val="178"/>
            </w:pPr>
            <w:r>
              <w:rPr>
                <w:rFonts w:hint="eastAsia"/>
              </w:rPr>
              <w:t>组织单位</w:t>
            </w:r>
          </w:p>
        </w:tc>
        <w:tc>
          <w:tcPr>
            <w:tcW w:w="5516" w:type="dxa"/>
            <w:tcBorders>
              <w:top w:val="single" w:color="auto" w:sz="8" w:space="0"/>
              <w:bottom w:val="single" w:color="auto" w:sz="8" w:space="0"/>
            </w:tcBorders>
          </w:tcPr>
          <w:p w14:paraId="06379826">
            <w:pPr>
              <w:pStyle w:val="178"/>
            </w:pPr>
            <w:r>
              <w:rPr>
                <w:rFonts w:hint="eastAsia"/>
              </w:rPr>
              <w:t>主要内容</w:t>
            </w:r>
          </w:p>
        </w:tc>
      </w:tr>
      <w:tr w14:paraId="329775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Borders>
              <w:top w:val="single" w:color="auto" w:sz="8" w:space="0"/>
            </w:tcBorders>
          </w:tcPr>
          <w:p w14:paraId="7E16222E">
            <w:pPr>
              <w:pStyle w:val="178"/>
            </w:pPr>
            <w:r>
              <w:rPr>
                <w:rFonts w:hint="eastAsia"/>
              </w:rPr>
              <w:t>日常巡检</w:t>
            </w:r>
          </w:p>
        </w:tc>
        <w:tc>
          <w:tcPr>
            <w:tcW w:w="2268" w:type="dxa"/>
            <w:tcBorders>
              <w:top w:val="single" w:color="auto" w:sz="8" w:space="0"/>
            </w:tcBorders>
          </w:tcPr>
          <w:p w14:paraId="322A4D3A">
            <w:pPr>
              <w:pStyle w:val="178"/>
            </w:pPr>
            <w:r>
              <w:rPr>
                <w:rFonts w:hint="eastAsia"/>
              </w:rPr>
              <w:t>施工班组安全员</w:t>
            </w:r>
          </w:p>
        </w:tc>
        <w:tc>
          <w:tcPr>
            <w:tcW w:w="5516" w:type="dxa"/>
            <w:tcBorders>
              <w:top w:val="single" w:color="auto" w:sz="8" w:space="0"/>
            </w:tcBorders>
          </w:tcPr>
          <w:p w14:paraId="1BE17021">
            <w:pPr>
              <w:pStyle w:val="178"/>
            </w:pPr>
            <w:r>
              <w:rPr>
                <w:rFonts w:hint="eastAsia"/>
              </w:rPr>
              <w:t>个人防护装备佩戴、作业现场防护设施、风险控制措施落实情况</w:t>
            </w:r>
          </w:p>
        </w:tc>
      </w:tr>
      <w:tr w14:paraId="71EB30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Pr>
          <w:p w14:paraId="7781F0AD">
            <w:pPr>
              <w:pStyle w:val="178"/>
            </w:pPr>
            <w:r>
              <w:rPr>
                <w:rFonts w:hint="eastAsia"/>
              </w:rPr>
              <w:t>专项检查</w:t>
            </w:r>
          </w:p>
        </w:tc>
        <w:tc>
          <w:tcPr>
            <w:tcW w:w="2268" w:type="dxa"/>
          </w:tcPr>
          <w:p w14:paraId="4EFB219F">
            <w:pPr>
              <w:pStyle w:val="178"/>
            </w:pPr>
            <w:r>
              <w:rPr>
                <w:rFonts w:hint="eastAsia"/>
              </w:rPr>
              <w:t>项目安全管理部门</w:t>
            </w:r>
          </w:p>
        </w:tc>
        <w:tc>
          <w:tcPr>
            <w:tcW w:w="5516" w:type="dxa"/>
          </w:tcPr>
          <w:p w14:paraId="1345A582">
            <w:pPr>
              <w:pStyle w:val="178"/>
            </w:pPr>
            <w:r>
              <w:rPr>
                <w:rFonts w:hint="eastAsia"/>
              </w:rPr>
              <w:t>高处作业、起重吊装、深基坑、临时用电等高风险作业</w:t>
            </w:r>
          </w:p>
        </w:tc>
      </w:tr>
      <w:tr w14:paraId="1FECA1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Pr>
          <w:p w14:paraId="66AD1139">
            <w:pPr>
              <w:pStyle w:val="178"/>
            </w:pPr>
            <w:r>
              <w:rPr>
                <w:rFonts w:hint="eastAsia"/>
              </w:rPr>
              <w:t>综合检查</w:t>
            </w:r>
          </w:p>
        </w:tc>
        <w:tc>
          <w:tcPr>
            <w:tcW w:w="2268" w:type="dxa"/>
          </w:tcPr>
          <w:p w14:paraId="187A92E6">
            <w:pPr>
              <w:pStyle w:val="178"/>
            </w:pPr>
            <w:r>
              <w:rPr>
                <w:rFonts w:hint="eastAsia"/>
              </w:rPr>
              <w:t>项目部/监理单位/业主</w:t>
            </w:r>
          </w:p>
        </w:tc>
        <w:tc>
          <w:tcPr>
            <w:tcW w:w="5516" w:type="dxa"/>
          </w:tcPr>
          <w:p w14:paraId="31623734">
            <w:pPr>
              <w:pStyle w:val="178"/>
            </w:pPr>
            <w:r>
              <w:rPr>
                <w:rFonts w:hint="eastAsia"/>
              </w:rPr>
              <w:t>全面评估安全管理体系运行情况、风险清单更新</w:t>
            </w:r>
          </w:p>
        </w:tc>
      </w:tr>
    </w:tbl>
    <w:p w14:paraId="0F63746A">
      <w:pPr>
        <w:pStyle w:val="105"/>
        <w:spacing w:before="120" w:after="120" w:line="360" w:lineRule="auto"/>
      </w:pPr>
      <w:r>
        <w:rPr>
          <w:rFonts w:hint="eastAsia"/>
        </w:rPr>
        <w:t>问题整改与反馈</w:t>
      </w:r>
    </w:p>
    <w:p w14:paraId="7575AF1E">
      <w:pPr>
        <w:pStyle w:val="56"/>
        <w:spacing w:line="360" w:lineRule="auto"/>
        <w:ind w:firstLine="420"/>
      </w:pPr>
      <w:r>
        <w:rPr>
          <w:rFonts w:hint="eastAsia"/>
        </w:rPr>
        <w:t>对监督检查中发现的问题，应按照“整改责任、整改措施、整改期限、复查确认”四要素落实整改闭环管理。整改结果应形成书面记录，并在项目安全例会上进行通报。对重复出现的问题，应分析深层原因，提出系统性改进方案。</w:t>
      </w:r>
    </w:p>
    <w:p w14:paraId="32B4A5AA">
      <w:pPr>
        <w:pStyle w:val="105"/>
        <w:spacing w:before="120" w:after="120" w:line="360" w:lineRule="auto"/>
      </w:pPr>
      <w:r>
        <w:rPr>
          <w:rFonts w:hint="eastAsia"/>
        </w:rPr>
        <w:t>持续改进机制</w:t>
      </w:r>
    </w:p>
    <w:p w14:paraId="57442FFE">
      <w:pPr>
        <w:pStyle w:val="56"/>
        <w:spacing w:line="360" w:lineRule="auto"/>
        <w:ind w:firstLine="420"/>
      </w:pPr>
      <w:r>
        <w:rPr>
          <w:rFonts w:hint="eastAsia"/>
        </w:rPr>
        <w:t>施工单位应建立安全管理数据分析与评估机制，对事故案例、隐患统计、风险清单变动情况进行定期分析，评估既有防控措施的有效性。</w:t>
      </w:r>
    </w:p>
    <w:p w14:paraId="6DF1F6D1">
      <w:pPr>
        <w:pStyle w:val="56"/>
        <w:spacing w:line="360" w:lineRule="auto"/>
        <w:ind w:firstLine="420"/>
      </w:pPr>
      <w:r>
        <w:rPr>
          <w:rFonts w:hint="eastAsia"/>
        </w:rPr>
        <w:t>必要时，应根据分析结果修订风险评估标准、优化防控措施或更新应急预案，确保管理制度与施工环境、技术条件同步升级。</w:t>
      </w:r>
    </w:p>
    <w:p w14:paraId="0B3AF2FB">
      <w:pPr>
        <w:pStyle w:val="56"/>
        <w:spacing w:line="360" w:lineRule="auto"/>
        <w:ind w:firstLine="420"/>
      </w:pPr>
      <w:r>
        <w:rPr>
          <w:rFonts w:hint="eastAsia"/>
        </w:rPr>
        <w:t>持续改进的关键环节及建议措施见表9，可作为项目安全管理持续优化的参考。</w:t>
      </w:r>
    </w:p>
    <w:p w14:paraId="25DB766E">
      <w:pPr>
        <w:pStyle w:val="112"/>
        <w:spacing w:before="120" w:after="120" w:line="360" w:lineRule="auto"/>
      </w:pPr>
      <w:r>
        <w:rPr>
          <w:rFonts w:hint="eastAsia"/>
        </w:rPr>
        <w:t>持续改进关键环节及建议措施</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684"/>
        <w:gridCol w:w="6650"/>
      </w:tblGrid>
      <w:tr w14:paraId="0C87F8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684" w:type="dxa"/>
            <w:tcBorders>
              <w:top w:val="single" w:color="auto" w:sz="8" w:space="0"/>
              <w:bottom w:val="single" w:color="auto" w:sz="8" w:space="0"/>
            </w:tcBorders>
          </w:tcPr>
          <w:p w14:paraId="0D2A1133">
            <w:pPr>
              <w:pStyle w:val="178"/>
            </w:pPr>
            <w:r>
              <w:rPr>
                <w:rFonts w:hint="eastAsia"/>
              </w:rPr>
              <w:t>环节</w:t>
            </w:r>
          </w:p>
        </w:tc>
        <w:tc>
          <w:tcPr>
            <w:tcW w:w="6650" w:type="dxa"/>
            <w:tcBorders>
              <w:top w:val="single" w:color="auto" w:sz="8" w:space="0"/>
              <w:bottom w:val="single" w:color="auto" w:sz="8" w:space="0"/>
            </w:tcBorders>
          </w:tcPr>
          <w:p w14:paraId="21E29557">
            <w:pPr>
              <w:pStyle w:val="178"/>
            </w:pPr>
            <w:r>
              <w:rPr>
                <w:rFonts w:hint="eastAsia"/>
              </w:rPr>
              <w:t>建议措施</w:t>
            </w:r>
          </w:p>
        </w:tc>
      </w:tr>
      <w:tr w14:paraId="059FC9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84" w:type="dxa"/>
            <w:tcBorders>
              <w:top w:val="single" w:color="auto" w:sz="8" w:space="0"/>
            </w:tcBorders>
          </w:tcPr>
          <w:p w14:paraId="574F1FF9">
            <w:pPr>
              <w:pStyle w:val="178"/>
            </w:pPr>
            <w:r>
              <w:rPr>
                <w:rFonts w:hint="eastAsia"/>
              </w:rPr>
              <w:t>数据收集</w:t>
            </w:r>
          </w:p>
        </w:tc>
        <w:tc>
          <w:tcPr>
            <w:tcW w:w="6650" w:type="dxa"/>
            <w:tcBorders>
              <w:top w:val="single" w:color="auto" w:sz="8" w:space="0"/>
            </w:tcBorders>
          </w:tcPr>
          <w:p w14:paraId="118A670B">
            <w:pPr>
              <w:pStyle w:val="178"/>
            </w:pPr>
            <w:r>
              <w:rPr>
                <w:rFonts w:hint="eastAsia"/>
              </w:rPr>
              <w:t>完善风险识别与事故事件记录表，确保数据全面</w:t>
            </w:r>
          </w:p>
        </w:tc>
      </w:tr>
      <w:tr w14:paraId="28B4B6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84" w:type="dxa"/>
          </w:tcPr>
          <w:p w14:paraId="5DF07FBD">
            <w:pPr>
              <w:pStyle w:val="178"/>
            </w:pPr>
            <w:r>
              <w:rPr>
                <w:rFonts w:hint="eastAsia"/>
              </w:rPr>
              <w:t>数据分析</w:t>
            </w:r>
          </w:p>
        </w:tc>
        <w:tc>
          <w:tcPr>
            <w:tcW w:w="6650" w:type="dxa"/>
          </w:tcPr>
          <w:p w14:paraId="6E616035">
            <w:pPr>
              <w:pStyle w:val="178"/>
            </w:pPr>
            <w:r>
              <w:rPr>
                <w:rFonts w:hint="eastAsia"/>
              </w:rPr>
              <w:t>定期开展风险趋势分析，找出高频风险环节</w:t>
            </w:r>
          </w:p>
        </w:tc>
      </w:tr>
      <w:tr w14:paraId="4924BB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84" w:type="dxa"/>
          </w:tcPr>
          <w:p w14:paraId="37C3B611">
            <w:pPr>
              <w:pStyle w:val="178"/>
            </w:pPr>
            <w:r>
              <w:rPr>
                <w:rFonts w:hint="eastAsia"/>
              </w:rPr>
              <w:t>措施优化</w:t>
            </w:r>
          </w:p>
        </w:tc>
        <w:tc>
          <w:tcPr>
            <w:tcW w:w="6650" w:type="dxa"/>
          </w:tcPr>
          <w:p w14:paraId="6A2C862F">
            <w:pPr>
              <w:pStyle w:val="178"/>
            </w:pPr>
            <w:r>
              <w:rPr>
                <w:rFonts w:hint="eastAsia"/>
              </w:rPr>
              <w:t>根据分析结果修订作业指导书、施工方案</w:t>
            </w:r>
          </w:p>
        </w:tc>
      </w:tr>
      <w:tr w14:paraId="5A8217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84" w:type="dxa"/>
          </w:tcPr>
          <w:p w14:paraId="213526D9">
            <w:pPr>
              <w:pStyle w:val="178"/>
            </w:pPr>
            <w:r>
              <w:rPr>
                <w:rFonts w:hint="eastAsia"/>
              </w:rPr>
              <w:t>知识共享</w:t>
            </w:r>
          </w:p>
        </w:tc>
        <w:tc>
          <w:tcPr>
            <w:tcW w:w="6650" w:type="dxa"/>
          </w:tcPr>
          <w:p w14:paraId="0F200590">
            <w:pPr>
              <w:pStyle w:val="178"/>
            </w:pPr>
            <w:r>
              <w:rPr>
                <w:rFonts w:hint="eastAsia"/>
              </w:rPr>
              <w:t>将改进经验编入培训教材，推广至全员</w:t>
            </w:r>
          </w:p>
        </w:tc>
      </w:tr>
      <w:tr w14:paraId="731AD4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84" w:type="dxa"/>
          </w:tcPr>
          <w:p w14:paraId="4BD2B0FF">
            <w:pPr>
              <w:pStyle w:val="178"/>
            </w:pPr>
            <w:r>
              <w:rPr>
                <w:rFonts w:hint="eastAsia"/>
              </w:rPr>
              <w:t>追踪评估</w:t>
            </w:r>
          </w:p>
        </w:tc>
        <w:tc>
          <w:tcPr>
            <w:tcW w:w="6650" w:type="dxa"/>
          </w:tcPr>
          <w:p w14:paraId="6CDCF11D">
            <w:pPr>
              <w:pStyle w:val="178"/>
            </w:pPr>
            <w:r>
              <w:rPr>
                <w:rFonts w:hint="eastAsia"/>
              </w:rPr>
              <w:t>对优化措施的效果进行跟踪评估</w:t>
            </w:r>
          </w:p>
        </w:tc>
      </w:tr>
    </w:tbl>
    <w:p w14:paraId="3D23EA74">
      <w:pPr>
        <w:pStyle w:val="105"/>
        <w:spacing w:before="120" w:after="120" w:line="360" w:lineRule="auto"/>
      </w:pPr>
      <w:r>
        <w:rPr>
          <w:rFonts w:hint="eastAsia"/>
        </w:rPr>
        <w:t>外部监督与评估</w:t>
      </w:r>
    </w:p>
    <w:p w14:paraId="285226B2">
      <w:pPr>
        <w:pStyle w:val="56"/>
        <w:spacing w:line="360" w:lineRule="auto"/>
        <w:ind w:firstLine="420"/>
      </w:pPr>
      <w:r>
        <w:rPr>
          <w:rFonts w:hint="eastAsia"/>
        </w:rPr>
        <w:t>建议施工项目定期接受政府主管部门、行业协会或第三方安全评估机构的外部审查，借助外部专业力量发现内部管理的薄弱环节，并将外部评估结果纳入项目安全绩效考核体系。</w:t>
      </w:r>
    </w:p>
    <w:bookmarkEnd w:id="26"/>
    <w:p w14:paraId="3FE08F9B">
      <w:pPr>
        <w:pStyle w:val="56"/>
        <w:ind w:firstLine="0" w:firstLineChars="0"/>
        <w:jc w:val="center"/>
      </w:pPr>
      <w:bookmarkStart w:id="57" w:name="BookMark8"/>
      <w:r>
        <w:drawing>
          <wp:inline distT="0" distB="0" distL="0" distR="0">
            <wp:extent cx="1485900" cy="317500"/>
            <wp:effectExtent l="0" t="0" r="0" b="6350"/>
            <wp:docPr id="610695519" name="图片 3"/>
            <wp:cNvGraphicFramePr/>
            <a:graphic xmlns:a="http://schemas.openxmlformats.org/drawingml/2006/main">
              <a:graphicData uri="http://schemas.openxmlformats.org/drawingml/2006/picture">
                <pic:pic xmlns:pic="http://schemas.openxmlformats.org/drawingml/2006/picture">
                  <pic:nvPicPr>
                    <pic:cNvPr id="610695519" name="图片 3"/>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FD518">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752D4">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35F1D">
    <w:pPr>
      <w:pStyle w:val="51"/>
    </w:pPr>
    <w:r>
      <w:fldChar w:fldCharType="begin"/>
    </w:r>
    <w:r>
      <w:instrText xml:space="preserve"> PAGE   \* MERGEFORMAT \* MERGEFORMAT </w:instrText>
    </w:r>
    <w:r>
      <w:fldChar w:fldCharType="separate"/>
    </w:r>
    <w: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A8FDE">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576DC">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02F50">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88D37">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4E260">
    <w:pPr>
      <w:pStyle w:val="51"/>
    </w:pPr>
    <w:r>
      <w:fldChar w:fldCharType="begin"/>
    </w:r>
    <w:r>
      <w:instrText xml:space="preserve"> PAGE   \* MERGEFORMAT \* MERGEFORMAT </w:instrText>
    </w:r>
    <w:r>
      <w:fldChar w:fldCharType="separate"/>
    </w:r>
    <w: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7B94D">
    <w:pPr>
      <w:pStyle w:val="61"/>
    </w:pPr>
    <w:r>
      <w:fldChar w:fldCharType="begin"/>
    </w:r>
    <w:r>
      <w:instrText xml:space="preserve"> STYLEREF  标准文件_文件编号  \* MERGEFORMAT </w:instrText>
    </w:r>
    <w:r>
      <w:fldChar w:fldCharType="separate"/>
    </w:r>
    <w:r>
      <w:t>T/XJBX 0078—2025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804B1">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0078—2025</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41E5C">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T/XJBX 0078—2025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T/XJBX 0078—2025</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C19FF">
    <w:pPr>
      <w:pStyle w:val="61"/>
    </w:pPr>
    <w:r>
      <w:fldChar w:fldCharType="begin"/>
    </w:r>
    <w:r>
      <w:instrText xml:space="preserve"> STYLEREF  标准文件_文件编号  \* MERGEFORMAT </w:instrText>
    </w:r>
    <w:r>
      <w:fldChar w:fldCharType="separate"/>
    </w:r>
    <w:r>
      <w:t>T/XJBX 0078—2025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877CE">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0078—2025</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67A49">
    <w:pPr>
      <w:pStyle w:val="61"/>
    </w:pPr>
    <w:r>
      <w:fldChar w:fldCharType="begin"/>
    </w:r>
    <w:r>
      <w:instrText xml:space="preserve"> STYLEREF  标准文件_文件编号  \* MERGEFORMAT </w:instrText>
    </w:r>
    <w:r>
      <w:fldChar w:fldCharType="separate"/>
    </w:r>
    <w:r>
      <w:t>T/XJBX 0078—2025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0A50E">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0078—2025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6663"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rAUASC/mvywAAAA="/>
  </w:docVars>
  <w:rsids>
    <w:rsidRoot w:val="00EB4D3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707"/>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6C78"/>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7616"/>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1C53"/>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4C5"/>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09B"/>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0A6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4CD8"/>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417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1784"/>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5319"/>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384"/>
    <w:rsid w:val="00E95D13"/>
    <w:rsid w:val="00E95DD3"/>
    <w:rsid w:val="00E969D5"/>
    <w:rsid w:val="00EA58D1"/>
    <w:rsid w:val="00EA61BC"/>
    <w:rsid w:val="00EA681A"/>
    <w:rsid w:val="00EA696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6870"/>
    <w:rsid w:val="00FD7299"/>
    <w:rsid w:val="00FE1FBE"/>
    <w:rsid w:val="00FE3901"/>
    <w:rsid w:val="00FE39D3"/>
    <w:rsid w:val="00FE4BCE"/>
    <w:rsid w:val="00FE54AE"/>
    <w:rsid w:val="00FE576A"/>
    <w:rsid w:val="00FE7E79"/>
    <w:rsid w:val="00FF3E7D"/>
    <w:rsid w:val="00FF5B99"/>
    <w:rsid w:val="00FF730C"/>
    <w:rsid w:val="00FF73F4"/>
    <w:rsid w:val="00FF7CE4"/>
    <w:rsid w:val="00FF7E39"/>
    <w:rsid w:val="02087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ind w:left="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3AEE6367">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38F35D69">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7D422323">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0C701D"/>
    <w:rsid w:val="002D76F0"/>
    <w:rsid w:val="00AE1DC6"/>
    <w:rsid w:val="00DE1784"/>
    <w:rsid w:val="00E37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12FB321F5A4443D9AFC61825E0F0C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16</Pages>
  <Words>3453</Words>
  <Characters>3690</Characters>
  <Lines>59</Lines>
  <Paragraphs>16</Paragraphs>
  <TotalTime>72</TotalTime>
  <ScaleCrop>false</ScaleCrop>
  <LinksUpToDate>false</LinksUpToDate>
  <CharactersWithSpaces>3770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2025-08-08T13:38:00Z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2025-08-11T06:38:01Z</dcterms:modified>
  <dc:title>团体标准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2052-12.1.0.22483</vt:lpwstr>
  </property>
  <property fmtid="{D5CDD505-2E9C-101B-9397-08002B2CF9AE}" pid="17" name="ICV">
    <vt:lpwstr>D3EB2128189C4C47B228062571C87FB6_12</vt:lpwstr>
  </property>
</Properties>
</file>