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13.060.3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13.060.30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Z 06"/>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Z 06</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6"/>
            </w:textInput>
          </w:ffData>
        </w:fldChar>
      </w:r>
      <w:bookmarkStart w:id="6" w:name="NSTD_CODE_F"/>
      <w:r>
        <w:instrText xml:space="preserve"> FORMTEXT </w:instrText>
      </w:r>
      <w:r>
        <w:fldChar w:fldCharType="separate"/>
      </w:r>
      <w:r>
        <w:t>0076</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生活污水智能监测与预警系统建设指南"/>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生活污水智能监测与预警系统建设指南</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s for intelligent monitoring and early warning system development for domestic wastewater"/>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Guidelines for intelligent monitoring and early warning system development for domestic wastewater</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0114D5B">
      <w:pPr>
        <w:pStyle w:val="91"/>
        <w:spacing w:after="360"/>
      </w:pPr>
      <w:bookmarkStart w:id="21" w:name="BookMark1"/>
      <w:r>
        <w:rPr>
          <w:rFonts w:hint="eastAsia"/>
          <w:spacing w:val="320"/>
        </w:rPr>
        <w:t>目</w:t>
      </w:r>
      <w:r>
        <w:rPr>
          <w:rFonts w:hint="eastAsia"/>
        </w:rPr>
        <w:t>次</w:t>
      </w:r>
    </w:p>
    <w:p w14:paraId="0B50B63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"_Toc205667413"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_Toc205667413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26BFC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"_Toc205667414"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_Toc205667414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73C3B3F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_Toc205667415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5DCCEC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_Toc205667416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2F6328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_Toc205667417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9FCB39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"_Toc205667418"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_Toc205667418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E82863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"_Toc205667419" </w:instrText>
      </w:r>
      <w:r>
        <w:fldChar w:fldCharType="separate"/>
      </w:r>
      <w:r>
        <w:rPr>
          <w:rStyle w:val="32"/>
          <w:rFonts w:hint="eastAsia"/>
        </w:rPr>
        <w:t>5</w:t>
      </w:r>
      <w:r>
        <w:rPr>
          <w:rStyle w:val="32"/>
        </w:rPr>
        <w:t xml:space="preserve"> </w:t>
      </w:r>
      <w:r>
        <w:rPr>
          <w:rStyle w:val="32"/>
          <w:rFonts w:hint="eastAsia"/>
        </w:rPr>
        <w:t xml:space="preserve"> 系统建设</w:t>
      </w:r>
      <w:r>
        <w:rPr>
          <w:rFonts w:hint="eastAsia"/>
        </w:rPr>
        <w:tab/>
      </w:r>
      <w:r>
        <w:rPr>
          <w:rFonts w:hint="eastAsia"/>
        </w:rPr>
        <w:fldChar w:fldCharType="begin"/>
      </w:r>
      <w:r>
        <w:rPr>
          <w:rFonts w:hint="eastAsia"/>
        </w:rPr>
        <w:instrText xml:space="preserve"> </w:instrText>
      </w:r>
      <w:r>
        <w:instrText xml:space="preserve">PAGEREF _Toc205667419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062D39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"_Toc205667420" </w:instrText>
      </w:r>
      <w:r>
        <w:fldChar w:fldCharType="separate"/>
      </w:r>
      <w:r>
        <w:rPr>
          <w:rStyle w:val="32"/>
          <w:rFonts w:hint="eastAsia"/>
        </w:rPr>
        <w:t>6</w:t>
      </w:r>
      <w:r>
        <w:rPr>
          <w:rStyle w:val="32"/>
        </w:rPr>
        <w:t xml:space="preserve"> </w:t>
      </w:r>
      <w:r>
        <w:rPr>
          <w:rStyle w:val="32"/>
          <w:rFonts w:hint="eastAsia"/>
        </w:rPr>
        <w:t xml:space="preserve"> 数据管理</w:t>
      </w:r>
      <w:r>
        <w:rPr>
          <w:rFonts w:hint="eastAsia"/>
        </w:rPr>
        <w:tab/>
      </w:r>
      <w:r>
        <w:rPr>
          <w:rFonts w:hint="eastAsia"/>
        </w:rPr>
        <w:fldChar w:fldCharType="begin"/>
      </w:r>
      <w:r>
        <w:rPr>
          <w:rFonts w:hint="eastAsia"/>
        </w:rPr>
        <w:instrText xml:space="preserve"> </w:instrText>
      </w:r>
      <w:r>
        <w:instrText xml:space="preserve">PAGEREF _Toc205667420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5B9D1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"_Toc205667421" </w:instrText>
      </w:r>
      <w:r>
        <w:fldChar w:fldCharType="separate"/>
      </w:r>
      <w:r>
        <w:rPr>
          <w:rStyle w:val="32"/>
          <w:rFonts w:hint="eastAsia"/>
        </w:rPr>
        <w:t>7</w:t>
      </w:r>
      <w:r>
        <w:rPr>
          <w:rStyle w:val="32"/>
        </w:rPr>
        <w:t xml:space="preserve"> </w:t>
      </w:r>
      <w:r>
        <w:rPr>
          <w:rStyle w:val="32"/>
          <w:rFonts w:hint="eastAsia"/>
        </w:rPr>
        <w:t xml:space="preserve"> 预警机制</w:t>
      </w:r>
      <w:r>
        <w:rPr>
          <w:rFonts w:hint="eastAsia"/>
        </w:rPr>
        <w:tab/>
      </w:r>
      <w:r>
        <w:rPr>
          <w:rFonts w:hint="eastAsia"/>
        </w:rPr>
        <w:fldChar w:fldCharType="begin"/>
      </w:r>
      <w:r>
        <w:rPr>
          <w:rFonts w:hint="eastAsia"/>
        </w:rPr>
        <w:instrText xml:space="preserve"> </w:instrText>
      </w:r>
      <w:r>
        <w:instrText xml:space="preserve">PAGEREF _Toc205667421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A5A03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"_Toc205667422" </w:instrText>
      </w:r>
      <w:r>
        <w:fldChar w:fldCharType="separate"/>
      </w:r>
      <w:r>
        <w:rPr>
          <w:rStyle w:val="32"/>
          <w:rFonts w:hint="eastAsia"/>
        </w:rPr>
        <w:t>8</w:t>
      </w:r>
      <w:r>
        <w:rPr>
          <w:rStyle w:val="32"/>
        </w:rPr>
        <w:t xml:space="preserve"> </w:t>
      </w:r>
      <w:r>
        <w:rPr>
          <w:rStyle w:val="32"/>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_Toc205667422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801492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"_Toc205667423" </w:instrText>
      </w:r>
      <w:r>
        <w:fldChar w:fldCharType="separate"/>
      </w:r>
      <w:r>
        <w:rPr>
          <w:rStyle w:val="32"/>
          <w:rFonts w:hint="eastAsia"/>
        </w:rPr>
        <w:t>9</w:t>
      </w:r>
      <w:r>
        <w:rPr>
          <w:rStyle w:val="32"/>
        </w:rPr>
        <w:t xml:space="preserve"> </w:t>
      </w:r>
      <w:r>
        <w:rPr>
          <w:rStyle w:val="32"/>
          <w:rFonts w:hint="eastAsia"/>
        </w:rPr>
        <w:t xml:space="preserve"> 保障措施</w:t>
      </w:r>
      <w:r>
        <w:rPr>
          <w:rFonts w:hint="eastAsia"/>
        </w:rPr>
        <w:tab/>
      </w:r>
      <w:r>
        <w:rPr>
          <w:rFonts w:hint="eastAsia"/>
        </w:rPr>
        <w:fldChar w:fldCharType="begin"/>
      </w:r>
      <w:r>
        <w:rPr>
          <w:rFonts w:hint="eastAsia"/>
        </w:rPr>
        <w:instrText xml:space="preserve"> </w:instrText>
      </w:r>
      <w:r>
        <w:instrText xml:space="preserve">PAGEREF _Toc205667423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F62239B">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7413"/>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本文件起草单位：宁波三友环保工程有限公司。</w:t>
      </w:r>
    </w:p>
    <w:p w14:paraId="1B3EB912">
      <w:pPr>
        <w:pStyle w:val="56"/>
        <w:spacing w:line="360" w:lineRule="auto"/>
        <w:ind w:firstLine="420"/>
      </w:pPr>
      <w:r>
        <w:rPr>
          <w:rFonts w:hint="eastAsia"/>
        </w:rPr>
        <w:t>本文件主要起草人：徐赟懿。</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5667414"/>
      <w:bookmarkStart w:id="25" w:name="BookMark3"/>
      <w:r>
        <w:rPr>
          <w:spacing w:val="320"/>
        </w:rPr>
        <w:t>引</w:t>
      </w:r>
      <w:r>
        <w:t>言</w:t>
      </w:r>
      <w:bookmarkEnd w:id="24"/>
    </w:p>
    <w:p w14:paraId="3E855E20">
      <w:pPr>
        <w:pStyle w:val="56"/>
        <w:spacing w:line="360" w:lineRule="auto"/>
        <w:ind w:firstLine="420"/>
      </w:pPr>
      <w:r>
        <w:rPr>
          <w:rFonts w:hint="eastAsia"/>
        </w:rPr>
        <w:t>随着城镇化进程的加快和居民生活水平的提高，生活污水排放量持续增长，其水质变化具有突发性、时变性和区域差异性。未经有效处理的生活污水不仅会造成水体污染，影响生态环境，还可能威胁饮用水源安全，增加水环境治理成本。</w:t>
      </w:r>
    </w:p>
    <w:p w14:paraId="3F58D7EF">
      <w:pPr>
        <w:pStyle w:val="56"/>
        <w:spacing w:line="360" w:lineRule="auto"/>
        <w:ind w:firstLine="420"/>
      </w:pPr>
      <w:r>
        <w:rPr>
          <w:rFonts w:hint="eastAsia"/>
        </w:rPr>
        <w:t>传统生活污水监测模式多依赖人工采样和实验室分析，存在监测周期长、响应速度慢、数据更新滞后等问题，难以及时发现水质异常并采取措施。智能监测与预警系统利用传感器技术、物联网、大数据和人工智能等手段，实现对生活污水排放的实时监测、动态分析和智能预警，可以有效提升污水管理的科学性、精细化和应急响应能力。</w:t>
      </w:r>
    </w:p>
    <w:p w14:paraId="7F4A69FE">
      <w:pPr>
        <w:pStyle w:val="56"/>
        <w:spacing w:line="360" w:lineRule="auto"/>
        <w:ind w:firstLine="420"/>
      </w:pPr>
      <w:r>
        <w:rPr>
          <w:rFonts w:hint="eastAsia"/>
        </w:rPr>
        <w:t>本文件旨在为生活污水智能监测与预警系统的建设提供系统化、标准化的技术指导，涵盖系统设计、设备选型、数据采集与传输、监测指标设定、预警模型构建、运行维护及管理机制等内容，为城镇污水处理厂、排水管理部门和相关企业提供可操作的建设参考。</w:t>
      </w:r>
    </w:p>
    <w:p w14:paraId="3AC90217">
      <w:pPr>
        <w:pStyle w:val="56"/>
        <w:ind w:firstLine="0" w:firstLineChars="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生活污水智能监测与预警系统建设指南</w:t>
          </w:r>
        </w:p>
      </w:sdtContent>
    </w:sdt>
    <w:bookmarkEnd w:id="27"/>
    <w:p w14:paraId="3DB22445">
      <w:pPr>
        <w:pStyle w:val="104"/>
        <w:spacing w:before="240" w:after="240"/>
      </w:pPr>
      <w:bookmarkStart w:id="28" w:name="_Toc24884211"/>
      <w:bookmarkStart w:id="29" w:name="_Toc26648465"/>
      <w:bookmarkStart w:id="30" w:name="_Toc26718930"/>
      <w:bookmarkStart w:id="31" w:name="_Toc26986530"/>
      <w:bookmarkStart w:id="32" w:name="_Toc26986771"/>
      <w:bookmarkStart w:id="33" w:name="_Toc205667415"/>
      <w:bookmarkStart w:id="34" w:name="_Toc17233325"/>
      <w:bookmarkStart w:id="35" w:name="_Toc97192964"/>
      <w:bookmarkStart w:id="36" w:name="_Toc24884218"/>
      <w:bookmarkStart w:id="37" w:name="_Toc17233333"/>
      <w:r>
        <w:rPr>
          <w:rFonts w:hint="eastAsia"/>
        </w:rPr>
        <w:t>范围</w:t>
      </w:r>
      <w:bookmarkEnd w:id="28"/>
      <w:bookmarkEnd w:id="29"/>
      <w:bookmarkEnd w:id="30"/>
      <w:bookmarkEnd w:id="31"/>
      <w:bookmarkEnd w:id="32"/>
      <w:bookmarkEnd w:id="33"/>
      <w:bookmarkEnd w:id="34"/>
      <w:bookmarkEnd w:id="35"/>
      <w:bookmarkEnd w:id="36"/>
      <w:bookmarkEnd w:id="37"/>
    </w:p>
    <w:p w14:paraId="791A46FD">
      <w:pPr>
        <w:pStyle w:val="56"/>
        <w:spacing w:line="360" w:lineRule="auto"/>
        <w:ind w:firstLine="420"/>
      </w:pPr>
      <w:bookmarkStart w:id="38" w:name="_Toc24884212"/>
      <w:bookmarkStart w:id="39" w:name="_Toc17233326"/>
      <w:bookmarkStart w:id="40" w:name="_Toc17233334"/>
      <w:bookmarkStart w:id="41" w:name="_Toc24884219"/>
      <w:bookmarkStart w:id="42" w:name="_Toc26648466"/>
      <w:r>
        <w:rPr>
          <w:rFonts w:hint="eastAsia"/>
        </w:rPr>
        <w:t>本文件规定了生活污水智能监测与预警系统建设的总体原则、系统建设、数据管理、预警机制、运行维护、保障措施等内容。</w:t>
      </w:r>
    </w:p>
    <w:p w14:paraId="76265264">
      <w:pPr>
        <w:pStyle w:val="56"/>
        <w:spacing w:line="360" w:lineRule="auto"/>
        <w:ind w:firstLine="420"/>
      </w:pPr>
      <w:r>
        <w:rPr>
          <w:rFonts w:hint="eastAsia"/>
        </w:rPr>
        <w:t>本文件适用于城镇生活污水排放口、污水管网关键节点及污水处理厂进出口的智能监测与预警系统建设，也可供工业园区、农村集中式污水处理设施和其他具备生活污水特征的排放源参照使用。</w:t>
      </w:r>
    </w:p>
    <w:p w14:paraId="3733B2AD">
      <w:pPr>
        <w:pStyle w:val="104"/>
        <w:spacing w:before="240" w:after="240" w:line="360" w:lineRule="auto"/>
      </w:pPr>
      <w:bookmarkStart w:id="43" w:name="_Toc26986772"/>
      <w:bookmarkStart w:id="44" w:name="_Toc26986531"/>
      <w:bookmarkStart w:id="45" w:name="_Toc26718931"/>
      <w:bookmarkStart w:id="46" w:name="_Toc97192965"/>
      <w:bookmarkStart w:id="47" w:name="_Toc20566741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rPr>
          <w:rFonts w:hint="eastAsia"/>
        </w:rPr>
        <w:t>GB 18918—2002 城镇污水处理厂污染物排放标准</w:t>
      </w:r>
    </w:p>
    <w:p w14:paraId="703CAB1E">
      <w:pPr>
        <w:pStyle w:val="56"/>
        <w:spacing w:line="360" w:lineRule="auto"/>
        <w:ind w:firstLine="420"/>
      </w:pPr>
      <w:r>
        <w:t>GB/T 14848</w:t>
      </w:r>
      <w:r>
        <w:rPr>
          <w:rFonts w:hint="eastAsia"/>
        </w:rPr>
        <w:t>—</w:t>
      </w:r>
      <w:r>
        <w:t>2017</w:t>
      </w:r>
      <w:r>
        <w:rPr>
          <w:rFonts w:hint="eastAsia"/>
        </w:rPr>
        <w:t xml:space="preserve"> 地下水质量标准</w:t>
      </w:r>
    </w:p>
    <w:p w14:paraId="74536776">
      <w:pPr>
        <w:pStyle w:val="56"/>
        <w:spacing w:line="360" w:lineRule="auto"/>
        <w:ind w:firstLine="420"/>
      </w:pPr>
      <w:r>
        <w:t>GB/T 31962</w:t>
      </w:r>
      <w:r>
        <w:rPr>
          <w:rFonts w:hint="eastAsia"/>
        </w:rPr>
        <w:t>—</w:t>
      </w:r>
      <w:r>
        <w:t>2015</w:t>
      </w:r>
      <w:r>
        <w:rPr>
          <w:rFonts w:hint="eastAsia"/>
        </w:rPr>
        <w:t xml:space="preserve"> 污水排入城镇下水道水质标准</w:t>
      </w:r>
    </w:p>
    <w:p w14:paraId="5D517FDE">
      <w:pPr>
        <w:pStyle w:val="56"/>
        <w:spacing w:line="360" w:lineRule="auto"/>
        <w:ind w:firstLine="420"/>
      </w:pPr>
      <w:r>
        <w:t>GB/T 40659</w:t>
      </w:r>
      <w:r>
        <w:rPr>
          <w:rFonts w:hint="eastAsia"/>
        </w:rPr>
        <w:t>—</w:t>
      </w:r>
      <w:r>
        <w:t>2021</w:t>
      </w:r>
      <w:r>
        <w:rPr>
          <w:rFonts w:hint="eastAsia"/>
        </w:rPr>
        <w:t xml:space="preserve"> 智能制造  机器视觉在线检测系统  通用要求</w:t>
      </w:r>
    </w:p>
    <w:p w14:paraId="51F02A4E">
      <w:pPr>
        <w:pStyle w:val="104"/>
        <w:spacing w:before="240" w:after="240" w:line="360" w:lineRule="auto"/>
      </w:pPr>
      <w:bookmarkStart w:id="48" w:name="_Toc97192966"/>
      <w:bookmarkStart w:id="49" w:name="_Toc205667417"/>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0309339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智能监测 </w:t>
      </w:r>
      <w:r>
        <w:rPr>
          <w:rFonts w:ascii="黑体" w:hAnsi="黑体" w:eastAsia="黑体"/>
        </w:rPr>
        <w:t>intelligent monitoring</w:t>
      </w:r>
    </w:p>
    <w:p w14:paraId="130C6E04">
      <w:pPr>
        <w:pStyle w:val="56"/>
        <w:spacing w:line="360" w:lineRule="auto"/>
        <w:ind w:firstLine="420"/>
      </w:pPr>
      <w:r>
        <w:rPr>
          <w:rFonts w:hint="eastAsia"/>
        </w:rPr>
        <w:t>利用传感器、数据采集终端、无线通信和数据分析技术，对污水水质、水量等参数进行实时、连续、自动化的监测。</w:t>
      </w:r>
    </w:p>
    <w:p w14:paraId="3B5C4C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预警系统 </w:t>
      </w:r>
      <w:r>
        <w:rPr>
          <w:rFonts w:ascii="黑体" w:hAnsi="黑体" w:eastAsia="黑体"/>
        </w:rPr>
        <w:t>early warning system</w:t>
      </w:r>
    </w:p>
    <w:p w14:paraId="5EF81F29">
      <w:pPr>
        <w:pStyle w:val="56"/>
        <w:spacing w:line="360" w:lineRule="auto"/>
        <w:ind w:firstLine="420"/>
      </w:pPr>
      <w:r>
        <w:rPr>
          <w:rFonts w:hint="eastAsia"/>
        </w:rPr>
        <w:t>基于实时监测数据与预设阈值、预测模型或异常检测算法，对潜在水质超标或异常变化进行提示和报警的系统。</w:t>
      </w:r>
    </w:p>
    <w:p w14:paraId="31791BE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监测指标 </w:t>
      </w:r>
      <w:r>
        <w:rPr>
          <w:rFonts w:ascii="黑体" w:hAnsi="黑体" w:eastAsia="黑体"/>
        </w:rPr>
        <w:t>monitoring indicators</w:t>
      </w:r>
    </w:p>
    <w:p w14:paraId="0E311124">
      <w:pPr>
        <w:pStyle w:val="56"/>
        <w:spacing w:line="360" w:lineRule="auto"/>
        <w:ind w:firstLine="420"/>
      </w:pPr>
      <w:r>
        <w:rPr>
          <w:rFonts w:hint="eastAsia"/>
        </w:rPr>
        <w:t>用于反映生活污水水质状况的物理、化学及生物参数，如pH值、化学需氧量、氨氮、总磷等。</w:t>
      </w:r>
    </w:p>
    <w:p w14:paraId="0A76611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数据采集与传输 </w:t>
      </w:r>
      <w:r>
        <w:rPr>
          <w:rFonts w:ascii="黑体" w:hAnsi="黑体" w:eastAsia="黑体"/>
        </w:rPr>
        <w:t>data acquisition and transmission</w:t>
      </w:r>
    </w:p>
    <w:p w14:paraId="7A7670BC">
      <w:pPr>
        <w:pStyle w:val="56"/>
        <w:spacing w:line="360" w:lineRule="auto"/>
        <w:ind w:firstLine="420"/>
      </w:pPr>
      <w:r>
        <w:rPr>
          <w:rFonts w:hint="eastAsia"/>
        </w:rPr>
        <w:t>通过传感器采集监测数据并利用有线或无线通信方式将数据传输至监测中心或云平台的过程。</w:t>
      </w:r>
    </w:p>
    <w:p w14:paraId="4EE1F06C">
      <w:pPr>
        <w:pStyle w:val="104"/>
        <w:spacing w:before="240" w:after="240" w:line="360" w:lineRule="auto"/>
      </w:pPr>
      <w:bookmarkStart w:id="51" w:name="_Toc205667418"/>
      <w:r>
        <w:rPr>
          <w:rFonts w:hint="eastAsia"/>
        </w:rPr>
        <w:t>总体原则</w:t>
      </w:r>
      <w:bookmarkEnd w:id="51"/>
    </w:p>
    <w:p w14:paraId="4CD13EEB">
      <w:pPr>
        <w:pStyle w:val="105"/>
        <w:spacing w:before="120" w:after="120" w:line="360" w:lineRule="auto"/>
      </w:pPr>
      <w:r>
        <w:rPr>
          <w:rFonts w:hint="eastAsia"/>
        </w:rPr>
        <w:t>全面性原则</w:t>
      </w:r>
    </w:p>
    <w:p w14:paraId="1267957D">
      <w:pPr>
        <w:pStyle w:val="56"/>
        <w:spacing w:line="360" w:lineRule="auto"/>
        <w:ind w:firstLine="420"/>
      </w:pPr>
      <w:r>
        <w:rPr>
          <w:rFonts w:hint="eastAsia"/>
        </w:rPr>
        <w:t>系统建设应覆盖生活污水排放的主要环节，包括排放口、管网关键节点和污水处理厂进出口，并可根据水环境敏感程度延伸至河道入水口、合流制溢流点等区域。全面性不仅体现在监测点位布局的合理性，也体现在监测指标的选取上，应包括反映有机污染、营养盐、酸碱度、悬浮物等多方面的水质参数，从而形成多层级、多维度的监测网络，确保对水质变化的全程感知。</w:t>
      </w:r>
    </w:p>
    <w:p w14:paraId="3AC3A0CA">
      <w:pPr>
        <w:pStyle w:val="105"/>
        <w:spacing w:before="120" w:after="120" w:line="360" w:lineRule="auto"/>
      </w:pPr>
      <w:r>
        <w:rPr>
          <w:rFonts w:hint="eastAsia"/>
        </w:rPr>
        <w:t>实时性原则</w:t>
      </w:r>
    </w:p>
    <w:p w14:paraId="7DFC2AFD">
      <w:pPr>
        <w:pStyle w:val="56"/>
        <w:spacing w:line="360" w:lineRule="auto"/>
        <w:ind w:firstLine="420"/>
      </w:pPr>
      <w:r>
        <w:rPr>
          <w:rFonts w:hint="eastAsia"/>
        </w:rPr>
        <w:t>监测系统应实现对关键指标的实时采集、自动上传与动态展示，确保采样频率与预警响应时间相匹配。对于水质波动较大或受污染风险高的区域，应缩短采样间隔，并在数据采集终端与监控平台之间建立低延时通信链路，以便在异常发生时可于数分钟内触发预警并启动处置流程。</w:t>
      </w:r>
    </w:p>
    <w:p w14:paraId="75D29725">
      <w:pPr>
        <w:pStyle w:val="105"/>
        <w:spacing w:before="120" w:after="120" w:line="360" w:lineRule="auto"/>
      </w:pPr>
      <w:r>
        <w:rPr>
          <w:rFonts w:hint="eastAsia"/>
        </w:rPr>
        <w:t>准确性原则</w:t>
      </w:r>
    </w:p>
    <w:p w14:paraId="2AFD68F8">
      <w:pPr>
        <w:pStyle w:val="56"/>
        <w:spacing w:line="360" w:lineRule="auto"/>
        <w:ind w:firstLine="420"/>
      </w:pPr>
      <w:r>
        <w:rPr>
          <w:rFonts w:hint="eastAsia"/>
        </w:rPr>
        <w:t>监测设备应符合国家或行业精度等级要求，并定期进行校准与比对试验。数据处理算法应具备噪声抑制、异常值剔除与多点交叉验证等功能，确保采集数据的科学性与可重复性。对关键点位的监测结果可设置多源验证机制，如结合人工巡检、实验室分析数据与在线监测数据进行比对，从而减少误报与漏报。</w:t>
      </w:r>
    </w:p>
    <w:p w14:paraId="543987C7">
      <w:pPr>
        <w:pStyle w:val="105"/>
        <w:spacing w:before="120" w:after="120" w:line="360" w:lineRule="auto"/>
      </w:pPr>
      <w:r>
        <w:rPr>
          <w:rFonts w:hint="eastAsia"/>
        </w:rPr>
        <w:t>兼容性原则</w:t>
      </w:r>
    </w:p>
    <w:p w14:paraId="3E1AAEE4">
      <w:pPr>
        <w:pStyle w:val="56"/>
        <w:spacing w:line="360" w:lineRule="auto"/>
        <w:ind w:firstLine="420"/>
      </w:pPr>
      <w:r>
        <w:rPr>
          <w:rFonts w:hint="eastAsia"/>
        </w:rPr>
        <w:t>系统设计应采用开放式架构和标准化通信接口，兼容不同厂商的传感器、数据采集设备及通信协议，便于后续扩展升级。同时，应考虑与既有水务管理系统、环保监管平台及智慧城市管理平台的对接，实现数据共享与业务协同，避免重复建设和信息孤岛。</w:t>
      </w:r>
    </w:p>
    <w:p w14:paraId="3C1EF099">
      <w:pPr>
        <w:pStyle w:val="105"/>
        <w:spacing w:before="120" w:after="120" w:line="360" w:lineRule="auto"/>
      </w:pPr>
      <w:r>
        <w:rPr>
          <w:rFonts w:hint="eastAsia"/>
        </w:rPr>
        <w:t>可维护性原则</w:t>
      </w:r>
    </w:p>
    <w:p w14:paraId="0A00E8F7">
      <w:pPr>
        <w:pStyle w:val="56"/>
        <w:spacing w:line="360" w:lineRule="auto"/>
        <w:ind w:firstLine="420"/>
      </w:pPr>
      <w:r>
        <w:rPr>
          <w:rFonts w:hint="eastAsia"/>
        </w:rPr>
        <w:t>系统应采用模块化结构，传感器、采集终端、通信模块、供电系统等各单元应具备快速更换和独立维护的能力。平台端应提供远程运维功能，支持在线诊断、固件升级和参数调整，减少现场维护频次和运维成本。对于易受环境影响的监测点位，应设计防护措施以延长设备寿命。</w:t>
      </w:r>
    </w:p>
    <w:p w14:paraId="79BFB7C5">
      <w:pPr>
        <w:pStyle w:val="105"/>
        <w:spacing w:before="120" w:after="120" w:line="360" w:lineRule="auto"/>
      </w:pPr>
      <w:r>
        <w:rPr>
          <w:rFonts w:hint="eastAsia"/>
        </w:rPr>
        <w:t>安全性原则</w:t>
      </w:r>
    </w:p>
    <w:p w14:paraId="4AF9F993">
      <w:pPr>
        <w:pStyle w:val="56"/>
        <w:spacing w:line="360" w:lineRule="auto"/>
        <w:ind w:firstLine="420"/>
      </w:pPr>
      <w:r>
        <w:rPr>
          <w:rFonts w:hint="eastAsia"/>
        </w:rPr>
        <w:t>应建立完善的数据安全体系，确保数据在采集、传输、存储、使用各环节的完整性和保密性。建议采用数据加密传输、访问权限分级管理及双重身份认证等手段防止非法访问与篡改，同时建立本地与云端多重备份机制，防止数据丢失。对涉及公共安全和环保执法的监测数据，应设立严格的调阅审批流程。</w:t>
      </w:r>
    </w:p>
    <w:p w14:paraId="5846C2EA">
      <w:pPr>
        <w:pStyle w:val="105"/>
        <w:spacing w:before="120" w:after="120" w:line="360" w:lineRule="auto"/>
      </w:pPr>
      <w:r>
        <w:rPr>
          <w:rFonts w:hint="eastAsia"/>
        </w:rPr>
        <w:t>持续改进原则</w:t>
      </w:r>
    </w:p>
    <w:p w14:paraId="4E298868">
      <w:pPr>
        <w:pStyle w:val="56"/>
        <w:spacing w:line="360" w:lineRule="auto"/>
        <w:ind w:firstLine="420"/>
      </w:pPr>
      <w:r>
        <w:rPr>
          <w:rFonts w:hint="eastAsia"/>
        </w:rPr>
        <w:t>系统运行过程中，应定期评估预警的准确率、响应时效及设备运行稳定性，根据评估结果优化监测点位布局、指标设置与算法模型。应结合最新技术发展与管理需求，逐步引入更多智能化功能，如基于机器学习的趋势预测、自适应监测策略等，从而实现系统的长期高效运行。</w:t>
      </w:r>
    </w:p>
    <w:p w14:paraId="5E80A204">
      <w:pPr>
        <w:pStyle w:val="104"/>
        <w:spacing w:before="240" w:after="240" w:line="360" w:lineRule="auto"/>
      </w:pPr>
      <w:bookmarkStart w:id="52" w:name="_Toc205667419"/>
      <w:r>
        <w:rPr>
          <w:rFonts w:hint="eastAsia"/>
        </w:rPr>
        <w:t>系统建设</w:t>
      </w:r>
      <w:bookmarkEnd w:id="52"/>
    </w:p>
    <w:p w14:paraId="07D45982">
      <w:pPr>
        <w:pStyle w:val="162"/>
        <w:spacing w:line="360" w:lineRule="auto"/>
      </w:pPr>
      <w:r>
        <w:rPr>
          <w:rFonts w:hint="eastAsia"/>
        </w:rPr>
        <w:t>系统建设应从总体架构、功能配置、监测指标、数据采集与传输等方面进行统筹规划，确保系统满足实时监测、快速预警和稳定运行的需求。</w:t>
      </w:r>
    </w:p>
    <w:p w14:paraId="116007F1">
      <w:pPr>
        <w:pStyle w:val="105"/>
        <w:spacing w:before="120" w:after="120" w:line="360" w:lineRule="auto"/>
      </w:pPr>
      <w:r>
        <w:rPr>
          <w:rFonts w:hint="eastAsia"/>
        </w:rPr>
        <w:t>系统总体架构</w:t>
      </w:r>
    </w:p>
    <w:p w14:paraId="2C1D671E">
      <w:pPr>
        <w:pStyle w:val="56"/>
        <w:spacing w:line="360" w:lineRule="auto"/>
        <w:ind w:firstLine="420"/>
      </w:pPr>
      <w:r>
        <w:rPr>
          <w:rFonts w:hint="eastAsia"/>
        </w:rPr>
        <w:t>生活污水智能监测与预警系统应采用分层架构设计，一般包括监测终端层、通信传输层和数据平台层：</w:t>
      </w:r>
    </w:p>
    <w:p w14:paraId="32C13130">
      <w:pPr>
        <w:pStyle w:val="132"/>
        <w:spacing w:line="360" w:lineRule="auto"/>
      </w:pPr>
      <w:r>
        <w:rPr>
          <w:rFonts w:hint="eastAsia"/>
        </w:rPr>
        <w:t>监测终端层：由传感器、数据采集单元、供电模块等组成，负责水质数据的实时采集；</w:t>
      </w:r>
    </w:p>
    <w:p w14:paraId="75B2A3E4">
      <w:pPr>
        <w:pStyle w:val="132"/>
        <w:spacing w:line="360" w:lineRule="auto"/>
      </w:pPr>
      <w:r>
        <w:rPr>
          <w:rFonts w:hint="eastAsia"/>
        </w:rPr>
        <w:t>通信传输层：采用有线或无线通信方式，将数据传输至数据平台；</w:t>
      </w:r>
    </w:p>
    <w:p w14:paraId="64651C11">
      <w:pPr>
        <w:pStyle w:val="132"/>
        <w:spacing w:line="360" w:lineRule="auto"/>
      </w:pPr>
      <w:r>
        <w:rPr>
          <w:rFonts w:hint="eastAsia"/>
        </w:rPr>
        <w:t>数据平台层：完成数据存储、分析、展示与预警，并支持与外部系统的接口对接。</w:t>
      </w:r>
    </w:p>
    <w:p w14:paraId="15F813B5">
      <w:pPr>
        <w:pStyle w:val="56"/>
        <w:spacing w:line="360" w:lineRule="auto"/>
        <w:ind w:firstLine="420"/>
      </w:pPr>
      <w:r>
        <w:rPr>
          <w:rFonts w:hint="eastAsia"/>
        </w:rPr>
        <w:t>系统总体架构的主要组成与功能说明见表1。</w:t>
      </w:r>
    </w:p>
    <w:p w14:paraId="2A62EE40">
      <w:pPr>
        <w:pStyle w:val="112"/>
        <w:spacing w:before="120" w:after="120" w:line="360" w:lineRule="auto"/>
      </w:pPr>
      <w:r>
        <w:rPr>
          <w:rFonts w:hint="eastAsia"/>
        </w:rPr>
        <w:t>系统总体架构组成与功能说明</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3543"/>
        <w:gridCol w:w="4241"/>
      </w:tblGrid>
      <w:tr w14:paraId="1F798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0F19EE93">
            <w:pPr>
              <w:pStyle w:val="178"/>
            </w:pPr>
            <w:r>
              <w:rPr>
                <w:rFonts w:hint="eastAsia"/>
              </w:rPr>
              <w:t>层级</w:t>
            </w:r>
          </w:p>
        </w:tc>
        <w:tc>
          <w:tcPr>
            <w:tcW w:w="3543" w:type="dxa"/>
            <w:tcBorders>
              <w:top w:val="single" w:color="auto" w:sz="8" w:space="0"/>
              <w:bottom w:val="single" w:color="auto" w:sz="8" w:space="0"/>
            </w:tcBorders>
          </w:tcPr>
          <w:p w14:paraId="70E22530">
            <w:pPr>
              <w:pStyle w:val="178"/>
            </w:pPr>
            <w:r>
              <w:rPr>
                <w:rFonts w:hint="eastAsia"/>
              </w:rPr>
              <w:t>主要组成</w:t>
            </w:r>
          </w:p>
        </w:tc>
        <w:tc>
          <w:tcPr>
            <w:tcW w:w="4241" w:type="dxa"/>
            <w:tcBorders>
              <w:top w:val="single" w:color="auto" w:sz="8" w:space="0"/>
              <w:bottom w:val="single" w:color="auto" w:sz="8" w:space="0"/>
            </w:tcBorders>
          </w:tcPr>
          <w:p w14:paraId="2EB98D96">
            <w:pPr>
              <w:pStyle w:val="178"/>
            </w:pPr>
            <w:r>
              <w:rPr>
                <w:rFonts w:hint="eastAsia"/>
              </w:rPr>
              <w:t>功能说明</w:t>
            </w:r>
          </w:p>
        </w:tc>
      </w:tr>
      <w:tr w14:paraId="37223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13BFD81C">
            <w:pPr>
              <w:pStyle w:val="178"/>
            </w:pPr>
            <w:r>
              <w:rPr>
                <w:rFonts w:hint="eastAsia"/>
              </w:rPr>
              <w:t>监测终端层</w:t>
            </w:r>
          </w:p>
        </w:tc>
        <w:tc>
          <w:tcPr>
            <w:tcW w:w="3543" w:type="dxa"/>
            <w:tcBorders>
              <w:top w:val="single" w:color="auto" w:sz="8" w:space="0"/>
            </w:tcBorders>
          </w:tcPr>
          <w:p w14:paraId="41D2539C">
            <w:pPr>
              <w:pStyle w:val="178"/>
            </w:pPr>
            <w:r>
              <w:rPr>
                <w:rFonts w:hint="eastAsia"/>
              </w:rPr>
              <w:t>水质传感器、数据采集器、供电模块</w:t>
            </w:r>
          </w:p>
        </w:tc>
        <w:tc>
          <w:tcPr>
            <w:tcW w:w="4241" w:type="dxa"/>
            <w:tcBorders>
              <w:top w:val="single" w:color="auto" w:sz="8" w:space="0"/>
            </w:tcBorders>
          </w:tcPr>
          <w:p w14:paraId="3CDE4C4F">
            <w:pPr>
              <w:pStyle w:val="178"/>
            </w:pPr>
            <w:r>
              <w:rPr>
                <w:rFonts w:hint="eastAsia"/>
              </w:rPr>
              <w:t>实时采集水质参数，初步处理数据</w:t>
            </w:r>
          </w:p>
        </w:tc>
      </w:tr>
      <w:tr w14:paraId="07D67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652C4AC">
            <w:pPr>
              <w:pStyle w:val="178"/>
            </w:pPr>
            <w:r>
              <w:rPr>
                <w:rFonts w:hint="eastAsia"/>
              </w:rPr>
              <w:t>通信传输层</w:t>
            </w:r>
          </w:p>
        </w:tc>
        <w:tc>
          <w:tcPr>
            <w:tcW w:w="3543" w:type="dxa"/>
          </w:tcPr>
          <w:p w14:paraId="204FD1C7">
            <w:pPr>
              <w:pStyle w:val="178"/>
            </w:pPr>
            <w:r>
              <w:rPr>
                <w:rFonts w:hint="eastAsia"/>
              </w:rPr>
              <w:t>光纤、4G/5G、NB-IoT、LoRa等</w:t>
            </w:r>
          </w:p>
        </w:tc>
        <w:tc>
          <w:tcPr>
            <w:tcW w:w="4241" w:type="dxa"/>
          </w:tcPr>
          <w:p w14:paraId="312F8A39">
            <w:pPr>
              <w:pStyle w:val="178"/>
            </w:pPr>
            <w:r>
              <w:rPr>
                <w:rFonts w:hint="eastAsia"/>
              </w:rPr>
              <w:t>保障数据稳定、安全、高速传输</w:t>
            </w:r>
          </w:p>
        </w:tc>
      </w:tr>
      <w:tr w14:paraId="4A7FA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49E39254">
            <w:pPr>
              <w:pStyle w:val="178"/>
            </w:pPr>
            <w:r>
              <w:rPr>
                <w:rFonts w:hint="eastAsia"/>
              </w:rPr>
              <w:t>数据平台层</w:t>
            </w:r>
          </w:p>
        </w:tc>
        <w:tc>
          <w:tcPr>
            <w:tcW w:w="3543" w:type="dxa"/>
          </w:tcPr>
          <w:p w14:paraId="3A7170EA">
            <w:pPr>
              <w:pStyle w:val="178"/>
            </w:pPr>
            <w:r>
              <w:rPr>
                <w:rFonts w:hint="eastAsia"/>
              </w:rPr>
              <w:t>云平台/本地服务器、数据库、分析软件</w:t>
            </w:r>
          </w:p>
        </w:tc>
        <w:tc>
          <w:tcPr>
            <w:tcW w:w="4241" w:type="dxa"/>
          </w:tcPr>
          <w:p w14:paraId="2D059707">
            <w:pPr>
              <w:pStyle w:val="178"/>
            </w:pPr>
            <w:r>
              <w:rPr>
                <w:rFonts w:hint="eastAsia"/>
              </w:rPr>
              <w:t>数据存储、分析计算、可视化展示、预警推送</w:t>
            </w:r>
          </w:p>
        </w:tc>
      </w:tr>
    </w:tbl>
    <w:p w14:paraId="45EEF1B4">
      <w:pPr>
        <w:pStyle w:val="105"/>
        <w:spacing w:before="120" w:after="120" w:line="360" w:lineRule="auto"/>
      </w:pPr>
      <w:r>
        <w:rPr>
          <w:rFonts w:hint="eastAsia"/>
        </w:rPr>
        <w:t>监测指标配置</w:t>
      </w:r>
    </w:p>
    <w:p w14:paraId="7ABB69E4">
      <w:pPr>
        <w:pStyle w:val="56"/>
        <w:spacing w:line="360" w:lineRule="auto"/>
        <w:ind w:firstLine="420"/>
      </w:pPr>
      <w:r>
        <w:rPr>
          <w:rFonts w:hint="eastAsia"/>
        </w:rPr>
        <w:t>监测指标应结合生活污水水质特征和管理需求确定，至少应包括反映有机污染、氮磷营养盐和其他特征污染物的核心指标，并可根据需要增加重金属、毒性物质等特殊参数。</w:t>
      </w:r>
    </w:p>
    <w:p w14:paraId="0D7F062C">
      <w:pPr>
        <w:pStyle w:val="56"/>
        <w:spacing w:line="360" w:lineRule="auto"/>
        <w:ind w:firstLine="420"/>
      </w:pPr>
      <w:r>
        <w:rPr>
          <w:rFonts w:hint="eastAsia"/>
        </w:rPr>
        <w:t>生活污水常用的在线监测指标及推荐量程见表2。</w:t>
      </w:r>
    </w:p>
    <w:p w14:paraId="305AD961">
      <w:pPr>
        <w:pStyle w:val="112"/>
        <w:spacing w:before="120" w:after="120" w:line="360" w:lineRule="auto"/>
      </w:pPr>
      <w:r>
        <w:rPr>
          <w:rFonts w:hint="eastAsia"/>
        </w:rPr>
        <w:t>常用在线监测指标及推荐量程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3544"/>
        <w:gridCol w:w="2965"/>
      </w:tblGrid>
      <w:tr w14:paraId="32350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tcPr>
          <w:p w14:paraId="22F51F40">
            <w:pPr>
              <w:pStyle w:val="178"/>
            </w:pPr>
            <w:r>
              <w:rPr>
                <w:rFonts w:hint="eastAsia"/>
              </w:rPr>
              <w:t>指标</w:t>
            </w:r>
          </w:p>
        </w:tc>
        <w:tc>
          <w:tcPr>
            <w:tcW w:w="3544" w:type="dxa"/>
            <w:tcBorders>
              <w:top w:val="single" w:color="auto" w:sz="8" w:space="0"/>
              <w:bottom w:val="single" w:color="auto" w:sz="8" w:space="0"/>
            </w:tcBorders>
          </w:tcPr>
          <w:p w14:paraId="30BC8E40">
            <w:pPr>
              <w:pStyle w:val="178"/>
            </w:pPr>
            <w:r>
              <w:rPr>
                <w:rFonts w:hint="eastAsia"/>
              </w:rPr>
              <w:t>推荐量程</w:t>
            </w:r>
          </w:p>
        </w:tc>
        <w:tc>
          <w:tcPr>
            <w:tcW w:w="2965" w:type="dxa"/>
            <w:tcBorders>
              <w:top w:val="single" w:color="auto" w:sz="8" w:space="0"/>
              <w:bottom w:val="single" w:color="auto" w:sz="8" w:space="0"/>
            </w:tcBorders>
          </w:tcPr>
          <w:p w14:paraId="4CAA0956">
            <w:pPr>
              <w:pStyle w:val="178"/>
            </w:pPr>
            <w:r>
              <w:rPr>
                <w:rFonts w:hint="eastAsia"/>
              </w:rPr>
              <w:t>说明</w:t>
            </w:r>
          </w:p>
        </w:tc>
      </w:tr>
      <w:tr w14:paraId="58974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tcPr>
          <w:p w14:paraId="37F981A7">
            <w:pPr>
              <w:pStyle w:val="178"/>
            </w:pPr>
            <w:r>
              <w:rPr>
                <w:rFonts w:hint="eastAsia"/>
              </w:rPr>
              <w:t>pH值</w:t>
            </w:r>
          </w:p>
        </w:tc>
        <w:tc>
          <w:tcPr>
            <w:tcW w:w="3544" w:type="dxa"/>
            <w:tcBorders>
              <w:top w:val="single" w:color="auto" w:sz="8" w:space="0"/>
            </w:tcBorders>
          </w:tcPr>
          <w:p w14:paraId="79EFBD21">
            <w:pPr>
              <w:pStyle w:val="178"/>
            </w:pPr>
            <w:r>
              <w:rPr>
                <w:rFonts w:hint="eastAsia"/>
              </w:rPr>
              <w:t>4～10</w:t>
            </w:r>
          </w:p>
        </w:tc>
        <w:tc>
          <w:tcPr>
            <w:tcW w:w="2965" w:type="dxa"/>
            <w:tcBorders>
              <w:top w:val="single" w:color="auto" w:sz="8" w:space="0"/>
            </w:tcBorders>
          </w:tcPr>
          <w:p w14:paraId="7D37968B">
            <w:pPr>
              <w:pStyle w:val="178"/>
            </w:pPr>
            <w:r>
              <w:rPr>
                <w:rFonts w:hint="eastAsia"/>
              </w:rPr>
              <w:t>反映酸碱度变化</w:t>
            </w:r>
          </w:p>
        </w:tc>
      </w:tr>
      <w:tr w14:paraId="0D459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Pr>
          <w:p w14:paraId="3D94CE12">
            <w:pPr>
              <w:pStyle w:val="178"/>
            </w:pPr>
            <w:r>
              <w:rPr>
                <w:rFonts w:hint="eastAsia"/>
              </w:rPr>
              <w:t>悬浮物(SS)</w:t>
            </w:r>
          </w:p>
        </w:tc>
        <w:tc>
          <w:tcPr>
            <w:tcW w:w="3544" w:type="dxa"/>
          </w:tcPr>
          <w:p w14:paraId="10B268C0">
            <w:pPr>
              <w:pStyle w:val="178"/>
            </w:pPr>
            <w:r>
              <w:rPr>
                <w:rFonts w:hint="eastAsia"/>
              </w:rPr>
              <w:t>0～500 mg/L</w:t>
            </w:r>
          </w:p>
        </w:tc>
        <w:tc>
          <w:tcPr>
            <w:tcW w:w="2965" w:type="dxa"/>
          </w:tcPr>
          <w:p w14:paraId="276949EB">
            <w:pPr>
              <w:pStyle w:val="178"/>
            </w:pPr>
            <w:r>
              <w:rPr>
                <w:rFonts w:hint="eastAsia"/>
              </w:rPr>
              <w:t>反映颗粒物浓度</w:t>
            </w:r>
          </w:p>
        </w:tc>
      </w:tr>
      <w:tr w14:paraId="03764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Pr>
          <w:p w14:paraId="40CE90BB">
            <w:pPr>
              <w:pStyle w:val="178"/>
            </w:pPr>
            <w:r>
              <w:rPr>
                <w:rFonts w:hint="eastAsia"/>
              </w:rPr>
              <w:t>化学需氧量(COD)</w:t>
            </w:r>
          </w:p>
        </w:tc>
        <w:tc>
          <w:tcPr>
            <w:tcW w:w="3544" w:type="dxa"/>
          </w:tcPr>
          <w:p w14:paraId="4F932941">
            <w:pPr>
              <w:pStyle w:val="178"/>
            </w:pPr>
            <w:r>
              <w:rPr>
                <w:rFonts w:hint="eastAsia"/>
              </w:rPr>
              <w:t>0～500 mg/L</w:t>
            </w:r>
          </w:p>
        </w:tc>
        <w:tc>
          <w:tcPr>
            <w:tcW w:w="2965" w:type="dxa"/>
          </w:tcPr>
          <w:p w14:paraId="5BA27BDA">
            <w:pPr>
              <w:pStyle w:val="178"/>
            </w:pPr>
            <w:r>
              <w:rPr>
                <w:rFonts w:hint="eastAsia"/>
              </w:rPr>
              <w:t>反映有机物污染程度</w:t>
            </w:r>
          </w:p>
        </w:tc>
      </w:tr>
      <w:tr w14:paraId="4DD44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Pr>
          <w:p w14:paraId="6AA298D3">
            <w:pPr>
              <w:pStyle w:val="178"/>
            </w:pPr>
            <w:r>
              <w:rPr>
                <w:rFonts w:hint="eastAsia"/>
              </w:rPr>
              <w:t>氨氮</w:t>
            </w:r>
            <w:r>
              <w:t>(NH</w:t>
            </w:r>
            <w:r>
              <w:rPr>
                <w:rFonts w:ascii="Cambria Math" w:hAnsi="Cambria Math" w:cs="Cambria Math"/>
              </w:rPr>
              <w:t>₃</w:t>
            </w:r>
            <w:r>
              <w:t>-N)</w:t>
            </w:r>
          </w:p>
        </w:tc>
        <w:tc>
          <w:tcPr>
            <w:tcW w:w="3544" w:type="dxa"/>
          </w:tcPr>
          <w:p w14:paraId="7ACDC83E">
            <w:pPr>
              <w:pStyle w:val="178"/>
            </w:pPr>
            <w:r>
              <w:t>0</w:t>
            </w:r>
            <w:r>
              <w:rPr>
                <w:rFonts w:hint="eastAsia"/>
              </w:rPr>
              <w:t>～</w:t>
            </w:r>
            <w:r>
              <w:t>50 mg/L</w:t>
            </w:r>
          </w:p>
        </w:tc>
        <w:tc>
          <w:tcPr>
            <w:tcW w:w="2965" w:type="dxa"/>
          </w:tcPr>
          <w:p w14:paraId="4387DA73">
            <w:pPr>
              <w:pStyle w:val="178"/>
            </w:pPr>
            <w:r>
              <w:rPr>
                <w:rFonts w:hint="eastAsia"/>
              </w:rPr>
              <w:t>反映氮污染水平</w:t>
            </w:r>
          </w:p>
        </w:tc>
      </w:tr>
    </w:tbl>
    <w:p w14:paraId="6FE9AE19">
      <w:pPr>
        <w:pStyle w:val="56"/>
        <w:spacing w:before="120" w:beforeLines="50" w:after="120" w:afterLines="50"/>
        <w:ind w:firstLine="0" w:firstLineChars="0"/>
        <w:jc w:val="center"/>
        <w:rPr>
          <w:rFonts w:ascii="黑体" w:hAnsi="黑体" w:eastAsia="黑体"/>
        </w:rPr>
      </w:pPr>
      <w:r>
        <w:rPr>
          <w:rFonts w:hint="eastAsia" w:ascii="黑体" w:hAnsi="黑体" w:eastAsia="黑体"/>
        </w:rPr>
        <w:t>表2  常用在线监测指标及推荐量程</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3544"/>
        <w:gridCol w:w="2965"/>
      </w:tblGrid>
      <w:tr w14:paraId="61BE3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tcPr>
          <w:p w14:paraId="72C8F6EE">
            <w:pPr>
              <w:pStyle w:val="178"/>
            </w:pPr>
            <w:r>
              <w:rPr>
                <w:rFonts w:hint="eastAsia"/>
              </w:rPr>
              <w:t>指标</w:t>
            </w:r>
          </w:p>
        </w:tc>
        <w:tc>
          <w:tcPr>
            <w:tcW w:w="3544" w:type="dxa"/>
            <w:tcBorders>
              <w:top w:val="single" w:color="auto" w:sz="8" w:space="0"/>
              <w:bottom w:val="single" w:color="auto" w:sz="8" w:space="0"/>
            </w:tcBorders>
          </w:tcPr>
          <w:p w14:paraId="22B6006C">
            <w:pPr>
              <w:pStyle w:val="178"/>
            </w:pPr>
            <w:r>
              <w:rPr>
                <w:rFonts w:hint="eastAsia"/>
              </w:rPr>
              <w:t>推荐量程</w:t>
            </w:r>
          </w:p>
        </w:tc>
        <w:tc>
          <w:tcPr>
            <w:tcW w:w="2965" w:type="dxa"/>
            <w:tcBorders>
              <w:top w:val="single" w:color="auto" w:sz="8" w:space="0"/>
              <w:bottom w:val="single" w:color="auto" w:sz="8" w:space="0"/>
            </w:tcBorders>
          </w:tcPr>
          <w:p w14:paraId="3B3B01BB">
            <w:pPr>
              <w:pStyle w:val="178"/>
            </w:pPr>
            <w:r>
              <w:rPr>
                <w:rFonts w:hint="eastAsia"/>
              </w:rPr>
              <w:t>说明</w:t>
            </w:r>
          </w:p>
        </w:tc>
      </w:tr>
      <w:tr w14:paraId="07E56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Pr>
          <w:p w14:paraId="6DC97919">
            <w:pPr>
              <w:pStyle w:val="178"/>
            </w:pPr>
            <w:r>
              <w:rPr>
                <w:rFonts w:hint="eastAsia"/>
              </w:rPr>
              <w:t>总磷(TP)</w:t>
            </w:r>
          </w:p>
        </w:tc>
        <w:tc>
          <w:tcPr>
            <w:tcW w:w="3544" w:type="dxa"/>
          </w:tcPr>
          <w:p w14:paraId="6537A3E0">
            <w:pPr>
              <w:pStyle w:val="178"/>
            </w:pPr>
            <w:r>
              <w:rPr>
                <w:rFonts w:hint="eastAsia"/>
              </w:rPr>
              <w:t>0～10 mg/L</w:t>
            </w:r>
          </w:p>
        </w:tc>
        <w:tc>
          <w:tcPr>
            <w:tcW w:w="2965" w:type="dxa"/>
          </w:tcPr>
          <w:p w14:paraId="2296A284">
            <w:pPr>
              <w:pStyle w:val="178"/>
            </w:pPr>
            <w:r>
              <w:rPr>
                <w:rFonts w:hint="eastAsia"/>
              </w:rPr>
              <w:t>反映磷污染水平</w:t>
            </w:r>
          </w:p>
        </w:tc>
      </w:tr>
      <w:tr w14:paraId="5BEB9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Pr>
          <w:p w14:paraId="06FF2CA0">
            <w:pPr>
              <w:pStyle w:val="178"/>
            </w:pPr>
            <w:r>
              <w:rPr>
                <w:rFonts w:hint="eastAsia"/>
              </w:rPr>
              <w:t>溶解氧(DO)</w:t>
            </w:r>
          </w:p>
        </w:tc>
        <w:tc>
          <w:tcPr>
            <w:tcW w:w="3544" w:type="dxa"/>
          </w:tcPr>
          <w:p w14:paraId="065F9F7D">
            <w:pPr>
              <w:pStyle w:val="178"/>
            </w:pPr>
            <w:r>
              <w:rPr>
                <w:rFonts w:hint="eastAsia"/>
              </w:rPr>
              <w:t>0～20 mg/L</w:t>
            </w:r>
          </w:p>
        </w:tc>
        <w:tc>
          <w:tcPr>
            <w:tcW w:w="2965" w:type="dxa"/>
          </w:tcPr>
          <w:p w14:paraId="1D763C14">
            <w:pPr>
              <w:pStyle w:val="178"/>
            </w:pPr>
            <w:r>
              <w:rPr>
                <w:rFonts w:hint="eastAsia"/>
              </w:rPr>
              <w:t>判断水体自净能力</w:t>
            </w:r>
          </w:p>
        </w:tc>
      </w:tr>
    </w:tbl>
    <w:p w14:paraId="32D68BF3">
      <w:pPr>
        <w:pStyle w:val="105"/>
        <w:spacing w:before="120" w:after="120" w:line="360" w:lineRule="auto"/>
      </w:pPr>
      <w:r>
        <w:rPr>
          <w:rFonts w:hint="eastAsia"/>
        </w:rPr>
        <w:t>数据采集与传输</w:t>
      </w:r>
    </w:p>
    <w:p w14:paraId="6BC3BAB9">
      <w:pPr>
        <w:pStyle w:val="56"/>
        <w:spacing w:line="360" w:lineRule="auto"/>
        <w:ind w:firstLine="420"/>
      </w:pPr>
      <w:r>
        <w:rPr>
          <w:rFonts w:hint="eastAsia"/>
        </w:rPr>
        <w:t>数据采集单元应支持多通道传感器输入，并具备数据缓存功能以防通信中断造成数据丢失。</w:t>
      </w:r>
    </w:p>
    <w:p w14:paraId="4EDF360E">
      <w:pPr>
        <w:pStyle w:val="56"/>
        <w:spacing w:line="360" w:lineRule="auto"/>
        <w:ind w:firstLine="420"/>
      </w:pPr>
      <w:r>
        <w:rPr>
          <w:rFonts w:hint="eastAsia"/>
        </w:rPr>
        <w:t>通信方式的选择应根据监测点位位置、网络覆盖情况和数据量大小综合考虑，可采用光纤、4G/5G蜂窝网络、NB-IoT或LoRa等技术。对于偏远或供电不稳定的点位，应考虑配备太阳能供电与低功耗通信方案。</w:t>
      </w:r>
    </w:p>
    <w:p w14:paraId="29CC2438">
      <w:pPr>
        <w:pStyle w:val="56"/>
        <w:spacing w:line="360" w:lineRule="auto"/>
        <w:ind w:firstLine="420"/>
      </w:pPr>
      <w:r>
        <w:rPr>
          <w:rFonts w:hint="eastAsia"/>
        </w:rPr>
        <w:t>不同通信方式的主要特点与适用场景见表3。</w:t>
      </w:r>
    </w:p>
    <w:p w14:paraId="2683D6F8">
      <w:pPr>
        <w:pStyle w:val="112"/>
        <w:spacing w:before="120" w:after="120" w:line="360" w:lineRule="auto"/>
      </w:pPr>
      <w:r>
        <w:rPr>
          <w:rFonts w:hint="eastAsia"/>
        </w:rPr>
        <w:t>通信方式特点与适用场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410"/>
        <w:gridCol w:w="2409"/>
        <w:gridCol w:w="2540"/>
      </w:tblGrid>
      <w:tr w14:paraId="53695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56C6887">
            <w:pPr>
              <w:pStyle w:val="178"/>
            </w:pPr>
            <w:r>
              <w:rPr>
                <w:rFonts w:hint="eastAsia"/>
              </w:rPr>
              <w:t>通信方式</w:t>
            </w:r>
          </w:p>
        </w:tc>
        <w:tc>
          <w:tcPr>
            <w:tcW w:w="2410" w:type="dxa"/>
            <w:tcBorders>
              <w:top w:val="single" w:color="auto" w:sz="8" w:space="0"/>
              <w:bottom w:val="single" w:color="auto" w:sz="8" w:space="0"/>
            </w:tcBorders>
          </w:tcPr>
          <w:p w14:paraId="4AF2DAC9">
            <w:pPr>
              <w:pStyle w:val="178"/>
            </w:pPr>
            <w:r>
              <w:rPr>
                <w:rFonts w:hint="eastAsia"/>
              </w:rPr>
              <w:t>传输速率</w:t>
            </w:r>
          </w:p>
        </w:tc>
        <w:tc>
          <w:tcPr>
            <w:tcW w:w="2409" w:type="dxa"/>
            <w:tcBorders>
              <w:top w:val="single" w:color="auto" w:sz="8" w:space="0"/>
              <w:bottom w:val="single" w:color="auto" w:sz="8" w:space="0"/>
            </w:tcBorders>
          </w:tcPr>
          <w:p w14:paraId="61C01F65">
            <w:pPr>
              <w:pStyle w:val="178"/>
            </w:pPr>
            <w:r>
              <w:rPr>
                <w:rFonts w:hint="eastAsia"/>
              </w:rPr>
              <w:t>覆盖范围</w:t>
            </w:r>
          </w:p>
        </w:tc>
        <w:tc>
          <w:tcPr>
            <w:tcW w:w="2540" w:type="dxa"/>
            <w:tcBorders>
              <w:top w:val="single" w:color="auto" w:sz="8" w:space="0"/>
              <w:bottom w:val="single" w:color="auto" w:sz="8" w:space="0"/>
            </w:tcBorders>
          </w:tcPr>
          <w:p w14:paraId="22813F62">
            <w:pPr>
              <w:pStyle w:val="178"/>
            </w:pPr>
            <w:r>
              <w:rPr>
                <w:rFonts w:hint="eastAsia"/>
              </w:rPr>
              <w:t>适用场景</w:t>
            </w:r>
          </w:p>
        </w:tc>
      </w:tr>
      <w:tr w14:paraId="798F3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B2202E1">
            <w:pPr>
              <w:pStyle w:val="178"/>
            </w:pPr>
            <w:r>
              <w:rPr>
                <w:rFonts w:hint="eastAsia"/>
              </w:rPr>
              <w:t>光纤</w:t>
            </w:r>
          </w:p>
        </w:tc>
        <w:tc>
          <w:tcPr>
            <w:tcW w:w="2410" w:type="dxa"/>
            <w:tcBorders>
              <w:top w:val="single" w:color="auto" w:sz="8" w:space="0"/>
            </w:tcBorders>
          </w:tcPr>
          <w:p w14:paraId="32D518DA">
            <w:pPr>
              <w:pStyle w:val="178"/>
            </w:pPr>
            <w:r>
              <w:rPr>
                <w:rFonts w:hint="eastAsia"/>
              </w:rPr>
              <w:t>高速(＞1</w:t>
            </w:r>
            <w:r>
              <w:t xml:space="preserve"> </w:t>
            </w:r>
            <w:r>
              <w:rPr>
                <w:rFonts w:hint="eastAsia"/>
              </w:rPr>
              <w:t>Gbps)</w:t>
            </w:r>
          </w:p>
        </w:tc>
        <w:tc>
          <w:tcPr>
            <w:tcW w:w="2409" w:type="dxa"/>
            <w:tcBorders>
              <w:top w:val="single" w:color="auto" w:sz="8" w:space="0"/>
            </w:tcBorders>
          </w:tcPr>
          <w:p w14:paraId="342735FE">
            <w:pPr>
              <w:pStyle w:val="178"/>
            </w:pPr>
            <w:r>
              <w:rPr>
                <w:rFonts w:hint="eastAsia"/>
              </w:rPr>
              <w:t>有线可达范围</w:t>
            </w:r>
          </w:p>
        </w:tc>
        <w:tc>
          <w:tcPr>
            <w:tcW w:w="2540" w:type="dxa"/>
            <w:tcBorders>
              <w:top w:val="single" w:color="auto" w:sz="8" w:space="0"/>
            </w:tcBorders>
          </w:tcPr>
          <w:p w14:paraId="5F4F2019">
            <w:pPr>
              <w:pStyle w:val="178"/>
            </w:pPr>
            <w:r>
              <w:rPr>
                <w:rFonts w:hint="eastAsia"/>
              </w:rPr>
              <w:t>固定点位、大数据量传输</w:t>
            </w:r>
          </w:p>
        </w:tc>
      </w:tr>
      <w:tr w14:paraId="29551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70601B8">
            <w:pPr>
              <w:pStyle w:val="178"/>
            </w:pPr>
            <w:r>
              <w:rPr>
                <w:rFonts w:hint="eastAsia"/>
              </w:rPr>
              <w:t>4G/5G</w:t>
            </w:r>
          </w:p>
        </w:tc>
        <w:tc>
          <w:tcPr>
            <w:tcW w:w="2410" w:type="dxa"/>
          </w:tcPr>
          <w:p w14:paraId="0C7CAD83">
            <w:pPr>
              <w:pStyle w:val="178"/>
            </w:pPr>
            <w:r>
              <w:rPr>
                <w:rFonts w:hint="eastAsia"/>
              </w:rPr>
              <w:t>高速(＞100</w:t>
            </w:r>
            <w:r>
              <w:t xml:space="preserve"> </w:t>
            </w:r>
            <w:r>
              <w:rPr>
                <w:rFonts w:hint="eastAsia"/>
              </w:rPr>
              <w:t>Mbps)</w:t>
            </w:r>
          </w:p>
        </w:tc>
        <w:tc>
          <w:tcPr>
            <w:tcW w:w="2409" w:type="dxa"/>
          </w:tcPr>
          <w:p w14:paraId="261940E0">
            <w:pPr>
              <w:pStyle w:val="178"/>
            </w:pPr>
            <w:r>
              <w:rPr>
                <w:rFonts w:hint="eastAsia"/>
              </w:rPr>
              <w:t>基站覆盖区</w:t>
            </w:r>
          </w:p>
        </w:tc>
        <w:tc>
          <w:tcPr>
            <w:tcW w:w="2540" w:type="dxa"/>
          </w:tcPr>
          <w:p w14:paraId="31DA9363">
            <w:pPr>
              <w:pStyle w:val="178"/>
            </w:pPr>
            <w:r>
              <w:rPr>
                <w:rFonts w:hint="eastAsia"/>
              </w:rPr>
              <w:t>城区及网络覆盖良好区域</w:t>
            </w:r>
          </w:p>
        </w:tc>
      </w:tr>
      <w:tr w14:paraId="1916B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07E0CD4">
            <w:pPr>
              <w:pStyle w:val="178"/>
            </w:pPr>
            <w:r>
              <w:rPr>
                <w:rFonts w:hint="eastAsia"/>
              </w:rPr>
              <w:t>NB-IoT</w:t>
            </w:r>
          </w:p>
        </w:tc>
        <w:tc>
          <w:tcPr>
            <w:tcW w:w="2410" w:type="dxa"/>
          </w:tcPr>
          <w:p w14:paraId="3EBEEB32">
            <w:pPr>
              <w:pStyle w:val="178"/>
            </w:pPr>
            <w:r>
              <w:rPr>
                <w:rFonts w:hint="eastAsia"/>
              </w:rPr>
              <w:t>中低速(＜100</w:t>
            </w:r>
            <w:r>
              <w:t xml:space="preserve"> </w:t>
            </w:r>
            <w:r>
              <w:rPr>
                <w:rFonts w:hint="eastAsia"/>
              </w:rPr>
              <w:t>kbps)</w:t>
            </w:r>
          </w:p>
        </w:tc>
        <w:tc>
          <w:tcPr>
            <w:tcW w:w="2409" w:type="dxa"/>
          </w:tcPr>
          <w:p w14:paraId="3D51B043">
            <w:pPr>
              <w:pStyle w:val="178"/>
            </w:pPr>
            <w:r>
              <w:rPr>
                <w:rFonts w:hint="eastAsia"/>
              </w:rPr>
              <w:t>广域覆盖</w:t>
            </w:r>
          </w:p>
        </w:tc>
        <w:tc>
          <w:tcPr>
            <w:tcW w:w="2540" w:type="dxa"/>
          </w:tcPr>
          <w:p w14:paraId="01E3BEAE">
            <w:pPr>
              <w:pStyle w:val="178"/>
            </w:pPr>
            <w:r>
              <w:rPr>
                <w:rFonts w:hint="eastAsia"/>
              </w:rPr>
              <w:t>偏远地区、低频数据传输</w:t>
            </w:r>
          </w:p>
        </w:tc>
      </w:tr>
      <w:tr w14:paraId="539EE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18BD6460">
            <w:pPr>
              <w:pStyle w:val="178"/>
            </w:pPr>
            <w:r>
              <w:rPr>
                <w:rFonts w:hint="eastAsia"/>
              </w:rPr>
              <w:t>LoRa</w:t>
            </w:r>
          </w:p>
        </w:tc>
        <w:tc>
          <w:tcPr>
            <w:tcW w:w="2410" w:type="dxa"/>
          </w:tcPr>
          <w:p w14:paraId="34C07D4F">
            <w:pPr>
              <w:pStyle w:val="178"/>
            </w:pPr>
            <w:r>
              <w:rPr>
                <w:rFonts w:hint="eastAsia"/>
              </w:rPr>
              <w:t>中速</w:t>
            </w:r>
          </w:p>
        </w:tc>
        <w:tc>
          <w:tcPr>
            <w:tcW w:w="2409" w:type="dxa"/>
          </w:tcPr>
          <w:p w14:paraId="57940FA6">
            <w:pPr>
              <w:pStyle w:val="178"/>
            </w:pPr>
            <w:r>
              <w:rPr>
                <w:rFonts w:hint="eastAsia"/>
              </w:rPr>
              <w:t>数公里范围</w:t>
            </w:r>
          </w:p>
        </w:tc>
        <w:tc>
          <w:tcPr>
            <w:tcW w:w="2540" w:type="dxa"/>
          </w:tcPr>
          <w:p w14:paraId="662925E0">
            <w:pPr>
              <w:pStyle w:val="178"/>
            </w:pPr>
            <w:r>
              <w:rPr>
                <w:rFonts w:hint="eastAsia"/>
              </w:rPr>
              <w:t>区域集中点位组网</w:t>
            </w:r>
          </w:p>
        </w:tc>
      </w:tr>
    </w:tbl>
    <w:p w14:paraId="3678CBB5">
      <w:pPr>
        <w:pStyle w:val="104"/>
        <w:spacing w:before="240" w:after="240" w:line="360" w:lineRule="auto"/>
      </w:pPr>
      <w:bookmarkStart w:id="53" w:name="_Toc205667420"/>
      <w:r>
        <w:rPr>
          <w:rFonts w:hint="eastAsia"/>
        </w:rPr>
        <w:t>数据管理</w:t>
      </w:r>
      <w:bookmarkEnd w:id="53"/>
    </w:p>
    <w:p w14:paraId="283AF575">
      <w:pPr>
        <w:pStyle w:val="105"/>
        <w:spacing w:before="120" w:after="120" w:line="360" w:lineRule="auto"/>
      </w:pPr>
      <w:r>
        <w:rPr>
          <w:rFonts w:hint="eastAsia"/>
        </w:rPr>
        <w:t>数据采集与质量控制</w:t>
      </w:r>
    </w:p>
    <w:p w14:paraId="13CA6723">
      <w:pPr>
        <w:pStyle w:val="56"/>
        <w:spacing w:line="360" w:lineRule="auto"/>
        <w:ind w:firstLine="420"/>
      </w:pPr>
      <w:r>
        <w:rPr>
          <w:rFonts w:hint="eastAsia"/>
        </w:rPr>
        <w:t>数据管理是生活污水智能监测与预警系统稳定运行的核心环节，涵盖数据采集、存储、处理、安全与共享等全过程。高质量的数据管理不仅确保监测信息的完整性和可靠性，还为后续分析、预警和决策提供坚实基础。</w:t>
      </w:r>
    </w:p>
    <w:p w14:paraId="78E758ED">
      <w:pPr>
        <w:pStyle w:val="56"/>
        <w:spacing w:line="360" w:lineRule="auto"/>
        <w:ind w:firstLine="420"/>
      </w:pPr>
      <w:r>
        <w:rPr>
          <w:rFonts w:hint="eastAsia"/>
        </w:rPr>
        <w:t>系统应对采集到的数据进行实时校验，包括数据范围检查、格式检查和逻辑一致性检查，及时剔除异常值并记录异常原因。对于连续性要求较高的监测点，应设置冗余采集单元，防止设备故障造成数据缺失，数据质量控制方法与适用场景见表4。</w:t>
      </w:r>
    </w:p>
    <w:p w14:paraId="5A118C2F">
      <w:pPr>
        <w:pStyle w:val="112"/>
        <w:spacing w:before="120" w:after="120" w:line="360" w:lineRule="auto"/>
      </w:pPr>
      <w:r>
        <w:rPr>
          <w:rFonts w:hint="eastAsia"/>
        </w:rPr>
        <w:t>数据质量控制方法与适用场景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828"/>
        <w:gridCol w:w="3248"/>
      </w:tblGrid>
      <w:tr w14:paraId="374C0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258" w:type="dxa"/>
            <w:tcBorders>
              <w:top w:val="single" w:color="auto" w:sz="8" w:space="0"/>
              <w:bottom w:val="single" w:color="auto" w:sz="8" w:space="0"/>
            </w:tcBorders>
          </w:tcPr>
          <w:p w14:paraId="7E35E9EB">
            <w:pPr>
              <w:pStyle w:val="178"/>
            </w:pPr>
            <w:r>
              <w:rPr>
                <w:rFonts w:hint="eastAsia"/>
              </w:rPr>
              <w:t>控制方法</w:t>
            </w:r>
          </w:p>
        </w:tc>
        <w:tc>
          <w:tcPr>
            <w:tcW w:w="3828" w:type="dxa"/>
            <w:tcBorders>
              <w:top w:val="single" w:color="auto" w:sz="8" w:space="0"/>
              <w:bottom w:val="single" w:color="auto" w:sz="8" w:space="0"/>
            </w:tcBorders>
          </w:tcPr>
          <w:p w14:paraId="755BE7F6">
            <w:pPr>
              <w:pStyle w:val="178"/>
            </w:pPr>
            <w:r>
              <w:rPr>
                <w:rFonts w:hint="eastAsia"/>
              </w:rPr>
              <w:t>功能</w:t>
            </w:r>
          </w:p>
        </w:tc>
        <w:tc>
          <w:tcPr>
            <w:tcW w:w="3248" w:type="dxa"/>
            <w:tcBorders>
              <w:top w:val="single" w:color="auto" w:sz="8" w:space="0"/>
              <w:bottom w:val="single" w:color="auto" w:sz="8" w:space="0"/>
            </w:tcBorders>
          </w:tcPr>
          <w:p w14:paraId="61DEB17D">
            <w:pPr>
              <w:pStyle w:val="178"/>
            </w:pPr>
            <w:r>
              <w:rPr>
                <w:rFonts w:hint="eastAsia"/>
              </w:rPr>
              <w:t>适用场景</w:t>
            </w:r>
          </w:p>
        </w:tc>
      </w:tr>
      <w:tr w14:paraId="64BE1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58" w:type="dxa"/>
            <w:tcBorders>
              <w:top w:val="single" w:color="auto" w:sz="8" w:space="0"/>
            </w:tcBorders>
          </w:tcPr>
          <w:p w14:paraId="7A0D4B0D">
            <w:pPr>
              <w:pStyle w:val="178"/>
            </w:pPr>
            <w:r>
              <w:rPr>
                <w:rFonts w:hint="eastAsia"/>
              </w:rPr>
              <w:t>范围检查</w:t>
            </w:r>
          </w:p>
        </w:tc>
        <w:tc>
          <w:tcPr>
            <w:tcW w:w="3828" w:type="dxa"/>
            <w:tcBorders>
              <w:top w:val="single" w:color="auto" w:sz="8" w:space="0"/>
            </w:tcBorders>
          </w:tcPr>
          <w:p w14:paraId="6B0521E3">
            <w:pPr>
              <w:pStyle w:val="178"/>
            </w:pPr>
            <w:r>
              <w:rPr>
                <w:rFonts w:hint="eastAsia"/>
              </w:rPr>
              <w:t>判断数据是否超出合理区间</w:t>
            </w:r>
          </w:p>
        </w:tc>
        <w:tc>
          <w:tcPr>
            <w:tcW w:w="3248" w:type="dxa"/>
            <w:tcBorders>
              <w:top w:val="single" w:color="auto" w:sz="8" w:space="0"/>
            </w:tcBorders>
          </w:tcPr>
          <w:p w14:paraId="3EF1FE85">
            <w:pPr>
              <w:pStyle w:val="178"/>
            </w:pPr>
            <w:r>
              <w:rPr>
                <w:rFonts w:hint="eastAsia"/>
              </w:rPr>
              <w:t>所有监测指标</w:t>
            </w:r>
          </w:p>
        </w:tc>
      </w:tr>
      <w:tr w14:paraId="0FB7D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6B1D9B99">
            <w:pPr>
              <w:pStyle w:val="178"/>
            </w:pPr>
            <w:r>
              <w:rPr>
                <w:rFonts w:hint="eastAsia"/>
              </w:rPr>
              <w:t>格式检查</w:t>
            </w:r>
          </w:p>
        </w:tc>
        <w:tc>
          <w:tcPr>
            <w:tcW w:w="3828" w:type="dxa"/>
          </w:tcPr>
          <w:p w14:paraId="69E71D50">
            <w:pPr>
              <w:pStyle w:val="178"/>
            </w:pPr>
            <w:r>
              <w:rPr>
                <w:rFonts w:hint="eastAsia"/>
              </w:rPr>
              <w:t>确保数据格式符合规定</w:t>
            </w:r>
          </w:p>
        </w:tc>
        <w:tc>
          <w:tcPr>
            <w:tcW w:w="3248" w:type="dxa"/>
          </w:tcPr>
          <w:p w14:paraId="625C7315">
            <w:pPr>
              <w:pStyle w:val="178"/>
            </w:pPr>
            <w:r>
              <w:rPr>
                <w:rFonts w:hint="eastAsia"/>
              </w:rPr>
              <w:t>数据上传至平台前</w:t>
            </w:r>
          </w:p>
        </w:tc>
      </w:tr>
      <w:tr w14:paraId="7F934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19EC4842">
            <w:pPr>
              <w:pStyle w:val="178"/>
            </w:pPr>
            <w:r>
              <w:rPr>
                <w:rFonts w:hint="eastAsia"/>
              </w:rPr>
              <w:t>逻辑检查</w:t>
            </w:r>
          </w:p>
        </w:tc>
        <w:tc>
          <w:tcPr>
            <w:tcW w:w="3828" w:type="dxa"/>
          </w:tcPr>
          <w:p w14:paraId="189CC706">
            <w:pPr>
              <w:pStyle w:val="178"/>
            </w:pPr>
            <w:r>
              <w:rPr>
                <w:rFonts w:hint="eastAsia"/>
              </w:rPr>
              <w:t>检查多指标间的逻辑关系</w:t>
            </w:r>
          </w:p>
        </w:tc>
        <w:tc>
          <w:tcPr>
            <w:tcW w:w="3248" w:type="dxa"/>
          </w:tcPr>
          <w:p w14:paraId="518BE9C0">
            <w:pPr>
              <w:pStyle w:val="178"/>
            </w:pPr>
            <w:r>
              <w:rPr>
                <w:rFonts w:hint="eastAsia"/>
              </w:rPr>
              <w:t>COD与BOD变化趋势分析</w:t>
            </w:r>
          </w:p>
        </w:tc>
      </w:tr>
      <w:tr w14:paraId="536A3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50873D58">
            <w:pPr>
              <w:pStyle w:val="178"/>
            </w:pPr>
            <w:r>
              <w:rPr>
                <w:rFonts w:hint="eastAsia"/>
              </w:rPr>
              <w:t>冗余采集</w:t>
            </w:r>
          </w:p>
        </w:tc>
        <w:tc>
          <w:tcPr>
            <w:tcW w:w="3828" w:type="dxa"/>
          </w:tcPr>
          <w:p w14:paraId="6F4940BE">
            <w:pPr>
              <w:pStyle w:val="178"/>
            </w:pPr>
            <w:r>
              <w:rPr>
                <w:rFonts w:hint="eastAsia"/>
              </w:rPr>
              <w:t>多设备同步采集对比</w:t>
            </w:r>
          </w:p>
        </w:tc>
        <w:tc>
          <w:tcPr>
            <w:tcW w:w="3248" w:type="dxa"/>
          </w:tcPr>
          <w:p w14:paraId="6845A8D0">
            <w:pPr>
              <w:pStyle w:val="178"/>
            </w:pPr>
            <w:r>
              <w:rPr>
                <w:rFonts w:hint="eastAsia"/>
              </w:rPr>
              <w:t>关键点位、易故障点位</w:t>
            </w:r>
          </w:p>
        </w:tc>
      </w:tr>
    </w:tbl>
    <w:p w14:paraId="5B162DEE">
      <w:pPr>
        <w:pStyle w:val="105"/>
        <w:spacing w:before="120" w:after="120" w:line="360" w:lineRule="auto"/>
      </w:pPr>
      <w:r>
        <w:rPr>
          <w:rFonts w:hint="eastAsia"/>
        </w:rPr>
        <w:t>数据存储</w:t>
      </w:r>
    </w:p>
    <w:p w14:paraId="7CECD714">
      <w:pPr>
        <w:pStyle w:val="56"/>
        <w:spacing w:line="360" w:lineRule="auto"/>
        <w:ind w:firstLine="420"/>
      </w:pPr>
      <w:r>
        <w:rPr>
          <w:rFonts w:hint="eastAsia"/>
        </w:rPr>
        <w:t>数据应存储于安全可靠的数据库中，支持历史数据的长期保存和快速查询。存储系统应采用本地+云端双备份模式，并支持版本管理与日志记录，确保数据可追溯。</w:t>
      </w:r>
    </w:p>
    <w:p w14:paraId="27CED27C">
      <w:pPr>
        <w:pStyle w:val="105"/>
        <w:spacing w:before="120" w:after="120" w:line="360" w:lineRule="auto"/>
      </w:pPr>
      <w:r>
        <w:rPr>
          <w:rFonts w:hint="eastAsia"/>
        </w:rPr>
        <w:t>数据处理与分析</w:t>
      </w:r>
    </w:p>
    <w:p w14:paraId="446D9525">
      <w:pPr>
        <w:pStyle w:val="56"/>
        <w:spacing w:line="360" w:lineRule="auto"/>
        <w:ind w:firstLine="420"/>
      </w:pPr>
      <w:r>
        <w:rPr>
          <w:rFonts w:hint="eastAsia"/>
        </w:rPr>
        <w:t>平台应具备数据清洗、统计分析、趋势分析和可视化展示等功能，支持按日、周、月、季度生成监测报告。对于异常波动，应自动触发分析模块，结合历史数据和外部信息进行综合判断。</w:t>
      </w:r>
    </w:p>
    <w:p w14:paraId="78A40041">
      <w:pPr>
        <w:pStyle w:val="105"/>
        <w:spacing w:before="120" w:after="120" w:line="360" w:lineRule="auto"/>
      </w:pPr>
      <w:r>
        <w:rPr>
          <w:rFonts w:hint="eastAsia"/>
        </w:rPr>
        <w:t>数据安全与共享</w:t>
      </w:r>
    </w:p>
    <w:p w14:paraId="46AABF50">
      <w:pPr>
        <w:pStyle w:val="56"/>
        <w:spacing w:line="360" w:lineRule="auto"/>
        <w:ind w:firstLine="420"/>
      </w:pPr>
      <w:r>
        <w:rPr>
          <w:rFonts w:hint="eastAsia"/>
        </w:rPr>
        <w:t>数据安全措施应包括访问权限控制、传输加密、备份恢复和防篡改机制。</w:t>
      </w:r>
    </w:p>
    <w:p w14:paraId="1F7A4A17">
      <w:pPr>
        <w:pStyle w:val="56"/>
        <w:spacing w:line="360" w:lineRule="auto"/>
        <w:ind w:firstLine="420"/>
      </w:pPr>
      <w:r>
        <w:rPr>
          <w:rFonts w:hint="eastAsia"/>
        </w:rPr>
        <w:t>在共享方面，应遵循“分级授权、按需共享”的原则，与水务管理部门、环保监管平台建立安全的数据交换接口。</w:t>
      </w:r>
    </w:p>
    <w:p w14:paraId="0B4DE6A2">
      <w:pPr>
        <w:pStyle w:val="104"/>
        <w:spacing w:before="240" w:after="240" w:line="360" w:lineRule="auto"/>
      </w:pPr>
      <w:bookmarkStart w:id="54" w:name="_Toc205667421"/>
      <w:r>
        <w:rPr>
          <w:rFonts w:hint="eastAsia"/>
        </w:rPr>
        <w:t>预警机制</w:t>
      </w:r>
      <w:bookmarkEnd w:id="54"/>
    </w:p>
    <w:p w14:paraId="469580E9">
      <w:pPr>
        <w:pStyle w:val="56"/>
        <w:spacing w:line="360" w:lineRule="auto"/>
        <w:ind w:firstLine="420"/>
      </w:pPr>
      <w:r>
        <w:rPr>
          <w:rFonts w:hint="eastAsia"/>
        </w:rPr>
        <w:t>预警机制是智能监测系统实现快速响应、减少水质风险的重要功能。其核心目标是在水质异常或趋势恶化时，及时向相关人员和部门发出预警信息，并启动相应的处置流程。</w:t>
      </w:r>
    </w:p>
    <w:p w14:paraId="5C53A7A6">
      <w:pPr>
        <w:pStyle w:val="105"/>
        <w:spacing w:before="120" w:after="120" w:line="360" w:lineRule="auto"/>
      </w:pPr>
      <w:r>
        <w:rPr>
          <w:rFonts w:hint="eastAsia"/>
        </w:rPr>
        <w:t>预警分级</w:t>
      </w:r>
    </w:p>
    <w:p w14:paraId="10538152">
      <w:pPr>
        <w:pStyle w:val="56"/>
        <w:spacing w:line="360" w:lineRule="auto"/>
        <w:ind w:firstLine="420"/>
      </w:pPr>
      <w:r>
        <w:rPr>
          <w:rFonts w:hint="eastAsia"/>
        </w:rPr>
        <w:t>预警应根据水质指标超标程度和持续时间分为不同等级，以便采取差异化响应措施，具体如表5所示。</w:t>
      </w:r>
    </w:p>
    <w:p w14:paraId="3DCFE49D">
      <w:pPr>
        <w:pStyle w:val="112"/>
        <w:spacing w:before="120" w:after="120" w:line="360" w:lineRule="auto"/>
      </w:pPr>
      <w:r>
        <w:rPr>
          <w:rFonts w:hint="eastAsia"/>
        </w:rPr>
        <w:t>生活污水监测预警分级参考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37E40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6A4DAE8A">
            <w:pPr>
              <w:pStyle w:val="178"/>
            </w:pPr>
            <w:r>
              <w:rPr>
                <w:rFonts w:hint="eastAsia"/>
              </w:rPr>
              <w:t>预警等级</w:t>
            </w:r>
          </w:p>
        </w:tc>
        <w:tc>
          <w:tcPr>
            <w:tcW w:w="4105" w:type="dxa"/>
            <w:tcBorders>
              <w:top w:val="single" w:color="auto" w:sz="8" w:space="0"/>
              <w:bottom w:val="single" w:color="auto" w:sz="8" w:space="0"/>
            </w:tcBorders>
          </w:tcPr>
          <w:p w14:paraId="412DD340">
            <w:pPr>
              <w:pStyle w:val="178"/>
            </w:pPr>
            <w:r>
              <w:rPr>
                <w:rFonts w:hint="eastAsia"/>
              </w:rPr>
              <w:t>触发条件</w:t>
            </w:r>
          </w:p>
        </w:tc>
        <w:tc>
          <w:tcPr>
            <w:tcW w:w="3112" w:type="dxa"/>
            <w:tcBorders>
              <w:top w:val="single" w:color="auto" w:sz="8" w:space="0"/>
              <w:bottom w:val="single" w:color="auto" w:sz="8" w:space="0"/>
            </w:tcBorders>
          </w:tcPr>
          <w:p w14:paraId="160E2667">
            <w:pPr>
              <w:pStyle w:val="178"/>
            </w:pPr>
            <w:r>
              <w:rPr>
                <w:rFonts w:hint="eastAsia"/>
              </w:rPr>
              <w:t>典型响应措施</w:t>
            </w:r>
          </w:p>
        </w:tc>
      </w:tr>
      <w:tr w14:paraId="5D071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4160730D">
            <w:pPr>
              <w:pStyle w:val="178"/>
            </w:pPr>
            <w:r>
              <w:rPr>
                <w:rFonts w:hint="eastAsia"/>
              </w:rPr>
              <w:t>一级（红色）</w:t>
            </w:r>
          </w:p>
        </w:tc>
        <w:tc>
          <w:tcPr>
            <w:tcW w:w="4105" w:type="dxa"/>
            <w:tcBorders>
              <w:top w:val="single" w:color="auto" w:sz="8" w:space="0"/>
            </w:tcBorders>
          </w:tcPr>
          <w:p w14:paraId="2C2A82C7">
            <w:pPr>
              <w:pStyle w:val="178"/>
            </w:pPr>
            <w:r>
              <w:rPr>
                <w:rFonts w:hint="eastAsia"/>
              </w:rPr>
              <w:t>核心指标严重超标或持续超标超过设定时长</w:t>
            </w:r>
          </w:p>
        </w:tc>
        <w:tc>
          <w:tcPr>
            <w:tcW w:w="3112" w:type="dxa"/>
            <w:tcBorders>
              <w:top w:val="single" w:color="auto" w:sz="8" w:space="0"/>
            </w:tcBorders>
          </w:tcPr>
          <w:p w14:paraId="75E7E9F3">
            <w:pPr>
              <w:pStyle w:val="178"/>
            </w:pPr>
            <w:r>
              <w:rPr>
                <w:rFonts w:hint="eastAsia"/>
              </w:rPr>
              <w:t>立即通知主管部门，启动应急处理</w:t>
            </w:r>
          </w:p>
        </w:tc>
      </w:tr>
      <w:tr w14:paraId="4ED49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73347011">
            <w:pPr>
              <w:pStyle w:val="178"/>
            </w:pPr>
            <w:r>
              <w:rPr>
                <w:rFonts w:hint="eastAsia"/>
              </w:rPr>
              <w:t>二级（橙色）</w:t>
            </w:r>
          </w:p>
        </w:tc>
        <w:tc>
          <w:tcPr>
            <w:tcW w:w="4105" w:type="dxa"/>
          </w:tcPr>
          <w:p w14:paraId="3DBC247A">
            <w:pPr>
              <w:pStyle w:val="178"/>
            </w:pPr>
            <w:r>
              <w:rPr>
                <w:rFonts w:hint="eastAsia"/>
              </w:rPr>
              <w:t>核心指标轻度超标或短时严重波动</w:t>
            </w:r>
          </w:p>
        </w:tc>
        <w:tc>
          <w:tcPr>
            <w:tcW w:w="3112" w:type="dxa"/>
          </w:tcPr>
          <w:p w14:paraId="75D0302A">
            <w:pPr>
              <w:pStyle w:val="178"/>
            </w:pPr>
            <w:r>
              <w:rPr>
                <w:rFonts w:hint="eastAsia"/>
              </w:rPr>
              <w:t>现场核实并采取临时控制措施</w:t>
            </w:r>
          </w:p>
        </w:tc>
      </w:tr>
      <w:tr w14:paraId="7665E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DE140F6">
            <w:pPr>
              <w:pStyle w:val="178"/>
            </w:pPr>
            <w:r>
              <w:rPr>
                <w:rFonts w:hint="eastAsia"/>
              </w:rPr>
              <w:t>三级（黄色）</w:t>
            </w:r>
          </w:p>
        </w:tc>
        <w:tc>
          <w:tcPr>
            <w:tcW w:w="4105" w:type="dxa"/>
          </w:tcPr>
          <w:p w14:paraId="558601EC">
            <w:pPr>
              <w:pStyle w:val="178"/>
            </w:pPr>
            <w:r>
              <w:rPr>
                <w:rFonts w:hint="eastAsia"/>
              </w:rPr>
              <w:t>指标接近预警阈值或出现异常趋势</w:t>
            </w:r>
          </w:p>
        </w:tc>
        <w:tc>
          <w:tcPr>
            <w:tcW w:w="3112" w:type="dxa"/>
          </w:tcPr>
          <w:p w14:paraId="11048B6F">
            <w:pPr>
              <w:pStyle w:val="178"/>
            </w:pPr>
            <w:r>
              <w:rPr>
                <w:rFonts w:hint="eastAsia"/>
              </w:rPr>
              <w:t>加密监测频率，关注变化趋势</w:t>
            </w:r>
          </w:p>
        </w:tc>
      </w:tr>
      <w:tr w14:paraId="3829F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F3C44A2">
            <w:pPr>
              <w:pStyle w:val="178"/>
            </w:pPr>
            <w:r>
              <w:rPr>
                <w:rFonts w:hint="eastAsia"/>
              </w:rPr>
              <w:t>四级（蓝色）</w:t>
            </w:r>
          </w:p>
        </w:tc>
        <w:tc>
          <w:tcPr>
            <w:tcW w:w="4105" w:type="dxa"/>
          </w:tcPr>
          <w:p w14:paraId="0621C1D0">
            <w:pPr>
              <w:pStyle w:val="178"/>
            </w:pPr>
            <w:r>
              <w:rPr>
                <w:rFonts w:hint="eastAsia"/>
              </w:rPr>
              <w:t>数据异常但未接近阈值</w:t>
            </w:r>
          </w:p>
        </w:tc>
        <w:tc>
          <w:tcPr>
            <w:tcW w:w="3112" w:type="dxa"/>
          </w:tcPr>
          <w:p w14:paraId="5814FC90">
            <w:pPr>
              <w:pStyle w:val="178"/>
            </w:pPr>
            <w:r>
              <w:rPr>
                <w:rFonts w:hint="eastAsia"/>
              </w:rPr>
              <w:t>系统记录并常规复核</w:t>
            </w:r>
          </w:p>
        </w:tc>
      </w:tr>
    </w:tbl>
    <w:p w14:paraId="2169CDBF">
      <w:pPr>
        <w:pStyle w:val="105"/>
        <w:spacing w:before="120" w:after="120" w:line="360" w:lineRule="auto"/>
      </w:pPr>
      <w:r>
        <w:rPr>
          <w:rFonts w:hint="eastAsia"/>
        </w:rPr>
        <w:t>预警触发方式</w:t>
      </w:r>
    </w:p>
    <w:p w14:paraId="7306DA65">
      <w:pPr>
        <w:pStyle w:val="56"/>
        <w:spacing w:line="360" w:lineRule="auto"/>
        <w:ind w:firstLine="420"/>
      </w:pPr>
      <w:r>
        <w:rPr>
          <w:rFonts w:hint="eastAsia"/>
        </w:rPr>
        <w:t>预警可通过阈值触发（监测数据超过设定限值）、趋势触发（指标变化速率异常）和综合评分触发（多指标综合得分超过预设值）三种方式实现。</w:t>
      </w:r>
    </w:p>
    <w:p w14:paraId="26EC052F">
      <w:pPr>
        <w:pStyle w:val="105"/>
        <w:spacing w:before="120" w:after="120" w:line="360" w:lineRule="auto"/>
      </w:pPr>
      <w:r>
        <w:rPr>
          <w:rFonts w:hint="eastAsia"/>
        </w:rPr>
        <w:t>预警信息发布</w:t>
      </w:r>
    </w:p>
    <w:p w14:paraId="478FA641">
      <w:pPr>
        <w:pStyle w:val="56"/>
        <w:spacing w:line="360" w:lineRule="auto"/>
        <w:ind w:firstLine="420"/>
      </w:pPr>
      <w:r>
        <w:rPr>
          <w:rFonts w:hint="eastAsia"/>
        </w:rPr>
        <w:t>预警信息应通过多渠道发布，包括系统平台弹窗、短信、电子邮件及政务系统接口推送，确保相关人员第一时间接收。</w:t>
      </w:r>
    </w:p>
    <w:p w14:paraId="6311B073">
      <w:pPr>
        <w:pStyle w:val="105"/>
        <w:spacing w:before="120" w:after="120" w:line="360" w:lineRule="auto"/>
      </w:pPr>
      <w:r>
        <w:rPr>
          <w:rFonts w:hint="eastAsia"/>
        </w:rPr>
        <w:t>预警处置流程</w:t>
      </w:r>
    </w:p>
    <w:p w14:paraId="38AB1ECB">
      <w:pPr>
        <w:pStyle w:val="56"/>
        <w:spacing w:line="360" w:lineRule="auto"/>
        <w:ind w:firstLine="420"/>
      </w:pPr>
      <w:r>
        <w:rPr>
          <w:rFonts w:hint="eastAsia"/>
        </w:rPr>
        <w:t>处置流程应明确“确认、通报、处置、复查、总结”五个环节。对于重大预警事件，应同步启动应急预案，并在事后进行复盘分析，以优化后续预警规则。</w:t>
      </w:r>
    </w:p>
    <w:p w14:paraId="1C968EB6">
      <w:pPr>
        <w:pStyle w:val="104"/>
        <w:spacing w:before="240" w:after="240" w:line="360" w:lineRule="auto"/>
      </w:pPr>
      <w:bookmarkStart w:id="55" w:name="_Toc205667422"/>
      <w:r>
        <w:rPr>
          <w:rFonts w:hint="eastAsia"/>
        </w:rPr>
        <w:t>运行维护</w:t>
      </w:r>
      <w:bookmarkEnd w:id="55"/>
    </w:p>
    <w:p w14:paraId="5848832A">
      <w:pPr>
        <w:pStyle w:val="105"/>
        <w:spacing w:before="120" w:after="120" w:line="360" w:lineRule="auto"/>
      </w:pPr>
      <w:r>
        <w:rPr>
          <w:rFonts w:hint="eastAsia"/>
        </w:rPr>
        <w:t>运维总体要求</w:t>
      </w:r>
    </w:p>
    <w:p w14:paraId="673C362F">
      <w:pPr>
        <w:pStyle w:val="56"/>
        <w:spacing w:line="360" w:lineRule="auto"/>
        <w:ind w:firstLine="420"/>
      </w:pPr>
      <w:r>
        <w:rPr>
          <w:rFonts w:hint="eastAsia"/>
        </w:rPr>
        <w:t>运行维护是确保生活污水智能监测与预警系统长期稳定运行的重要保障。科学合理的运行维护机制可以延长设备寿命、提升监测精度，并降低系统故障率。</w:t>
      </w:r>
    </w:p>
    <w:p w14:paraId="70DCB640">
      <w:pPr>
        <w:pStyle w:val="56"/>
        <w:spacing w:line="360" w:lineRule="auto"/>
        <w:ind w:firstLine="420"/>
      </w:pPr>
      <w:r>
        <w:rPr>
          <w:rFonts w:hint="eastAsia"/>
        </w:rPr>
        <w:t>系统运行维护应遵循“预防为主、定期检查、及时维修、持续优化”的原则。应建立运维责任制度，明确各环节的责任人和响应时限。对于关键点位，应设立专人值守或远程监控机制，确保突发情况能够第一时间处理。</w:t>
      </w:r>
    </w:p>
    <w:p w14:paraId="24356E08">
      <w:pPr>
        <w:pStyle w:val="105"/>
        <w:spacing w:before="120" w:after="120" w:line="360" w:lineRule="auto"/>
      </w:pPr>
      <w:r>
        <w:rPr>
          <w:rFonts w:hint="eastAsia"/>
        </w:rPr>
        <w:t>日常运行管理</w:t>
      </w:r>
    </w:p>
    <w:p w14:paraId="30CB0046">
      <w:pPr>
        <w:pStyle w:val="56"/>
        <w:spacing w:line="360" w:lineRule="auto"/>
        <w:ind w:firstLine="420"/>
      </w:pPr>
      <w:r>
        <w:rPr>
          <w:rFonts w:hint="eastAsia"/>
        </w:rPr>
        <w:t>日常运行管理包括设备运行状态检查、数据传输质量监控及平台功能测试等。</w:t>
      </w:r>
    </w:p>
    <w:p w14:paraId="76D64F53">
      <w:pPr>
        <w:pStyle w:val="56"/>
        <w:spacing w:line="360" w:lineRule="auto"/>
        <w:ind w:firstLine="420"/>
      </w:pPr>
      <w:r>
        <w:rPr>
          <w:rFonts w:hint="eastAsia"/>
        </w:rPr>
        <w:t>主要的日常运行检查内容及频次如表6所示，可作为运行管理计划制定的参考。</w:t>
      </w:r>
    </w:p>
    <w:p w14:paraId="724FEEBC">
      <w:pPr>
        <w:pStyle w:val="112"/>
        <w:spacing w:before="120" w:after="120" w:line="360" w:lineRule="auto"/>
      </w:pPr>
      <w:r>
        <w:rPr>
          <w:rFonts w:hint="eastAsia"/>
        </w:rPr>
        <w:t>日常运行检查内容与频次</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3403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tcPr>
          <w:p w14:paraId="7E43A1D4">
            <w:pPr>
              <w:pStyle w:val="178"/>
            </w:pPr>
            <w:r>
              <w:rPr>
                <w:rFonts w:hint="eastAsia"/>
              </w:rPr>
              <w:t>检查内容</w:t>
            </w:r>
          </w:p>
        </w:tc>
        <w:tc>
          <w:tcPr>
            <w:tcW w:w="3112" w:type="dxa"/>
            <w:tcBorders>
              <w:top w:val="single" w:color="auto" w:sz="8" w:space="0"/>
              <w:bottom w:val="single" w:color="auto" w:sz="8" w:space="0"/>
            </w:tcBorders>
          </w:tcPr>
          <w:p w14:paraId="03A44CC9">
            <w:pPr>
              <w:pStyle w:val="178"/>
            </w:pPr>
            <w:r>
              <w:rPr>
                <w:rFonts w:hint="eastAsia"/>
              </w:rPr>
              <w:t>检查方法</w:t>
            </w:r>
          </w:p>
        </w:tc>
        <w:tc>
          <w:tcPr>
            <w:tcW w:w="3112" w:type="dxa"/>
            <w:tcBorders>
              <w:top w:val="single" w:color="auto" w:sz="8" w:space="0"/>
              <w:bottom w:val="single" w:color="auto" w:sz="8" w:space="0"/>
            </w:tcBorders>
          </w:tcPr>
          <w:p w14:paraId="51227DC8">
            <w:pPr>
              <w:pStyle w:val="178"/>
            </w:pPr>
            <w:r>
              <w:rPr>
                <w:rFonts w:hint="eastAsia"/>
              </w:rPr>
              <w:t>推荐频次</w:t>
            </w:r>
          </w:p>
        </w:tc>
      </w:tr>
      <w:tr w14:paraId="4E30D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tcPr>
          <w:p w14:paraId="414E7349">
            <w:pPr>
              <w:pStyle w:val="178"/>
            </w:pPr>
            <w:r>
              <w:rPr>
                <w:rFonts w:hint="eastAsia"/>
              </w:rPr>
              <w:t>监测设备运行状态</w:t>
            </w:r>
          </w:p>
        </w:tc>
        <w:tc>
          <w:tcPr>
            <w:tcW w:w="3112" w:type="dxa"/>
            <w:tcBorders>
              <w:top w:val="single" w:color="auto" w:sz="8" w:space="0"/>
            </w:tcBorders>
          </w:tcPr>
          <w:p w14:paraId="79A98571">
            <w:pPr>
              <w:pStyle w:val="178"/>
            </w:pPr>
            <w:r>
              <w:rPr>
                <w:rFonts w:hint="eastAsia"/>
              </w:rPr>
              <w:t>现场查看或远程监控</w:t>
            </w:r>
          </w:p>
        </w:tc>
        <w:tc>
          <w:tcPr>
            <w:tcW w:w="3112" w:type="dxa"/>
            <w:tcBorders>
              <w:top w:val="single" w:color="auto" w:sz="8" w:space="0"/>
            </w:tcBorders>
          </w:tcPr>
          <w:p w14:paraId="77713CA7">
            <w:pPr>
              <w:pStyle w:val="178"/>
            </w:pPr>
            <w:r>
              <w:rPr>
                <w:rFonts w:hint="eastAsia"/>
              </w:rPr>
              <w:t>每日</w:t>
            </w:r>
          </w:p>
        </w:tc>
      </w:tr>
      <w:tr w14:paraId="4052C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427E021A">
            <w:pPr>
              <w:pStyle w:val="178"/>
            </w:pPr>
            <w:r>
              <w:rPr>
                <w:rFonts w:hint="eastAsia"/>
              </w:rPr>
              <w:t>数据采集与传输是否正常</w:t>
            </w:r>
          </w:p>
        </w:tc>
        <w:tc>
          <w:tcPr>
            <w:tcW w:w="3112" w:type="dxa"/>
          </w:tcPr>
          <w:p w14:paraId="772384E5">
            <w:pPr>
              <w:pStyle w:val="178"/>
            </w:pPr>
            <w:r>
              <w:rPr>
                <w:rFonts w:hint="eastAsia"/>
              </w:rPr>
              <w:t>平台数据对比与通信状态监测</w:t>
            </w:r>
          </w:p>
        </w:tc>
        <w:tc>
          <w:tcPr>
            <w:tcW w:w="3112" w:type="dxa"/>
          </w:tcPr>
          <w:p w14:paraId="28AE4326">
            <w:pPr>
              <w:pStyle w:val="178"/>
            </w:pPr>
            <w:r>
              <w:rPr>
                <w:rFonts w:hint="eastAsia"/>
              </w:rPr>
              <w:t>每日</w:t>
            </w:r>
          </w:p>
        </w:tc>
      </w:tr>
      <w:tr w14:paraId="5BF35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43021153">
            <w:pPr>
              <w:pStyle w:val="178"/>
            </w:pPr>
            <w:r>
              <w:rPr>
                <w:rFonts w:hint="eastAsia"/>
              </w:rPr>
              <w:t>数据完整性与准确性</w:t>
            </w:r>
          </w:p>
        </w:tc>
        <w:tc>
          <w:tcPr>
            <w:tcW w:w="3112" w:type="dxa"/>
          </w:tcPr>
          <w:p w14:paraId="415F8261">
            <w:pPr>
              <w:pStyle w:val="178"/>
            </w:pPr>
            <w:r>
              <w:rPr>
                <w:rFonts w:hint="eastAsia"/>
              </w:rPr>
              <w:t>样本抽检与人工比对</w:t>
            </w:r>
          </w:p>
        </w:tc>
        <w:tc>
          <w:tcPr>
            <w:tcW w:w="3112" w:type="dxa"/>
          </w:tcPr>
          <w:p w14:paraId="0819AC4B">
            <w:pPr>
              <w:pStyle w:val="178"/>
            </w:pPr>
            <w:r>
              <w:rPr>
                <w:rFonts w:hint="eastAsia"/>
              </w:rPr>
              <w:t>每周</w:t>
            </w:r>
          </w:p>
        </w:tc>
      </w:tr>
      <w:tr w14:paraId="6D1C1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22AA9D62">
            <w:pPr>
              <w:pStyle w:val="178"/>
            </w:pPr>
            <w:r>
              <w:rPr>
                <w:rFonts w:hint="eastAsia"/>
              </w:rPr>
              <w:t>预警功能是否正常</w:t>
            </w:r>
          </w:p>
        </w:tc>
        <w:tc>
          <w:tcPr>
            <w:tcW w:w="3112" w:type="dxa"/>
          </w:tcPr>
          <w:p w14:paraId="06648628">
            <w:pPr>
              <w:pStyle w:val="178"/>
            </w:pPr>
            <w:r>
              <w:rPr>
                <w:rFonts w:hint="eastAsia"/>
              </w:rPr>
              <w:t>模拟测试或历史数据回放</w:t>
            </w:r>
          </w:p>
        </w:tc>
        <w:tc>
          <w:tcPr>
            <w:tcW w:w="3112" w:type="dxa"/>
          </w:tcPr>
          <w:p w14:paraId="597B5FEE">
            <w:pPr>
              <w:pStyle w:val="178"/>
            </w:pPr>
            <w:r>
              <w:rPr>
                <w:rFonts w:hint="eastAsia"/>
              </w:rPr>
              <w:t>每月</w:t>
            </w:r>
          </w:p>
        </w:tc>
      </w:tr>
      <w:tr w14:paraId="4A0DE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Pr>
          <w:p w14:paraId="6ACBFE8D">
            <w:pPr>
              <w:pStyle w:val="178"/>
            </w:pPr>
            <w:r>
              <w:rPr>
                <w:rFonts w:hint="eastAsia"/>
              </w:rPr>
              <w:t>供电与备用电源状态</w:t>
            </w:r>
          </w:p>
        </w:tc>
        <w:tc>
          <w:tcPr>
            <w:tcW w:w="3112" w:type="dxa"/>
          </w:tcPr>
          <w:p w14:paraId="2EF15B70">
            <w:pPr>
              <w:pStyle w:val="178"/>
            </w:pPr>
            <w:r>
              <w:rPr>
                <w:rFonts w:hint="eastAsia"/>
              </w:rPr>
              <w:t>电压检测与备用电池更换</w:t>
            </w:r>
          </w:p>
        </w:tc>
        <w:tc>
          <w:tcPr>
            <w:tcW w:w="3112" w:type="dxa"/>
          </w:tcPr>
          <w:p w14:paraId="7C4DA709">
            <w:pPr>
              <w:pStyle w:val="178"/>
            </w:pPr>
            <w:r>
              <w:rPr>
                <w:rFonts w:hint="eastAsia"/>
              </w:rPr>
              <w:t>每季度</w:t>
            </w:r>
          </w:p>
        </w:tc>
      </w:tr>
    </w:tbl>
    <w:p w14:paraId="20E9BB45">
      <w:pPr>
        <w:pStyle w:val="105"/>
        <w:spacing w:before="120" w:after="120" w:line="360" w:lineRule="auto"/>
      </w:pPr>
      <w:r>
        <w:rPr>
          <w:rFonts w:hint="eastAsia"/>
        </w:rPr>
        <w:t>设备维护与校准</w:t>
      </w:r>
    </w:p>
    <w:p w14:paraId="41C20814">
      <w:pPr>
        <w:pStyle w:val="56"/>
        <w:spacing w:line="360" w:lineRule="auto"/>
        <w:ind w:firstLine="420"/>
      </w:pPr>
      <w:r>
        <w:rPr>
          <w:rFonts w:hint="eastAsia"/>
        </w:rPr>
        <w:t>监测设备应定期进行清洗、维护和校准，以保证数据准确性。清洗应根据水质情况调整频率，对易结垢、易堵塞的探头可采用自动清洗装置。校准工作应使用符合国家标准的校准液，并记录校准日期、操作人员及校准结果。</w:t>
      </w:r>
    </w:p>
    <w:p w14:paraId="236E58CD">
      <w:pPr>
        <w:pStyle w:val="105"/>
        <w:spacing w:before="120" w:after="120" w:line="360" w:lineRule="auto"/>
      </w:pPr>
      <w:r>
        <w:rPr>
          <w:rFonts w:hint="eastAsia"/>
        </w:rPr>
        <w:t>软件与平台维护</w:t>
      </w:r>
    </w:p>
    <w:p w14:paraId="5B517AA6">
      <w:pPr>
        <w:pStyle w:val="56"/>
        <w:spacing w:line="360" w:lineRule="auto"/>
        <w:ind w:firstLine="420"/>
      </w:pPr>
      <w:r>
        <w:rPr>
          <w:rFonts w:hint="eastAsia"/>
        </w:rPr>
        <w:t>数据平台应定期进行软件更新和功能优化，修复已知漏洞，增加新功能或优化算法。更新前应做好数据备份，并在低峰期执行，避免影响系统运行。</w:t>
      </w:r>
    </w:p>
    <w:p w14:paraId="762AC289">
      <w:pPr>
        <w:pStyle w:val="105"/>
        <w:spacing w:before="120" w:after="120" w:line="360" w:lineRule="auto"/>
      </w:pPr>
      <w:r>
        <w:rPr>
          <w:rFonts w:hint="eastAsia"/>
        </w:rPr>
        <w:t>故障应急处理</w:t>
      </w:r>
    </w:p>
    <w:p w14:paraId="6175F4C8">
      <w:pPr>
        <w:pStyle w:val="56"/>
        <w:spacing w:line="360" w:lineRule="auto"/>
        <w:ind w:firstLine="420"/>
      </w:pPr>
      <w:r>
        <w:rPr>
          <w:rFonts w:hint="eastAsia"/>
        </w:rPr>
        <w:t>应建立故障响应机制，明确从发现故障到恢复运行的各环节步骤和时限。例如，通信中断应在1小时内排查原因，传感器故障应在24小时内更换或修复。重大故障处理完成后，应形成故障分析报告，总结原因并提出防范措施。常见故障类型与对应措施见表7。</w:t>
      </w:r>
    </w:p>
    <w:p w14:paraId="2DB1CE8B">
      <w:pPr>
        <w:pStyle w:val="112"/>
        <w:spacing w:before="120" w:after="120" w:line="360" w:lineRule="auto"/>
      </w:pPr>
      <w:r>
        <w:rPr>
          <w:rFonts w:hint="eastAsia"/>
        </w:rPr>
        <w:t>常见故障类型与应对措施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964"/>
        <w:gridCol w:w="3112"/>
      </w:tblGrid>
      <w:tr w14:paraId="4D980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tcPr>
          <w:p w14:paraId="4B59DAC0">
            <w:pPr>
              <w:pStyle w:val="178"/>
            </w:pPr>
            <w:r>
              <w:rPr>
                <w:rFonts w:hint="eastAsia"/>
              </w:rPr>
              <w:t>故障类型</w:t>
            </w:r>
          </w:p>
        </w:tc>
        <w:tc>
          <w:tcPr>
            <w:tcW w:w="3964" w:type="dxa"/>
            <w:tcBorders>
              <w:top w:val="single" w:color="auto" w:sz="8" w:space="0"/>
              <w:bottom w:val="single" w:color="auto" w:sz="8" w:space="0"/>
            </w:tcBorders>
          </w:tcPr>
          <w:p w14:paraId="5129DCE7">
            <w:pPr>
              <w:pStyle w:val="178"/>
            </w:pPr>
            <w:r>
              <w:rPr>
                <w:rFonts w:hint="eastAsia"/>
              </w:rPr>
              <w:t>可能原因</w:t>
            </w:r>
          </w:p>
        </w:tc>
        <w:tc>
          <w:tcPr>
            <w:tcW w:w="3112" w:type="dxa"/>
            <w:tcBorders>
              <w:top w:val="single" w:color="auto" w:sz="8" w:space="0"/>
              <w:bottom w:val="single" w:color="auto" w:sz="8" w:space="0"/>
            </w:tcBorders>
          </w:tcPr>
          <w:p w14:paraId="4E0C6C00">
            <w:pPr>
              <w:pStyle w:val="178"/>
            </w:pPr>
            <w:r>
              <w:rPr>
                <w:rFonts w:hint="eastAsia"/>
              </w:rPr>
              <w:t>应对措施</w:t>
            </w:r>
          </w:p>
        </w:tc>
      </w:tr>
      <w:tr w14:paraId="63E38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tcPr>
          <w:p w14:paraId="5D349A2A">
            <w:pPr>
              <w:pStyle w:val="178"/>
            </w:pPr>
            <w:r>
              <w:rPr>
                <w:rFonts w:hint="eastAsia"/>
              </w:rPr>
              <w:t>数据中断</w:t>
            </w:r>
          </w:p>
        </w:tc>
        <w:tc>
          <w:tcPr>
            <w:tcW w:w="3964" w:type="dxa"/>
            <w:tcBorders>
              <w:top w:val="single" w:color="auto" w:sz="8" w:space="0"/>
            </w:tcBorders>
          </w:tcPr>
          <w:p w14:paraId="460B34B2">
            <w:pPr>
              <w:pStyle w:val="178"/>
            </w:pPr>
            <w:r>
              <w:rPr>
                <w:rFonts w:hint="eastAsia"/>
              </w:rPr>
              <w:t>通信链路故障、电源中断</w:t>
            </w:r>
          </w:p>
        </w:tc>
        <w:tc>
          <w:tcPr>
            <w:tcW w:w="3112" w:type="dxa"/>
            <w:tcBorders>
              <w:top w:val="single" w:color="auto" w:sz="8" w:space="0"/>
            </w:tcBorders>
          </w:tcPr>
          <w:p w14:paraId="36F158AC">
            <w:pPr>
              <w:pStyle w:val="178"/>
            </w:pPr>
            <w:r>
              <w:rPr>
                <w:rFonts w:hint="eastAsia"/>
              </w:rPr>
              <w:t>检查通信设备与供电系统</w:t>
            </w:r>
          </w:p>
        </w:tc>
      </w:tr>
      <w:tr w14:paraId="5AAE1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2ACAF72F">
            <w:pPr>
              <w:pStyle w:val="178"/>
            </w:pPr>
            <w:r>
              <w:rPr>
                <w:rFonts w:hint="eastAsia"/>
              </w:rPr>
              <w:t>数据异常</w:t>
            </w:r>
          </w:p>
        </w:tc>
        <w:tc>
          <w:tcPr>
            <w:tcW w:w="3964" w:type="dxa"/>
          </w:tcPr>
          <w:p w14:paraId="477987DC">
            <w:pPr>
              <w:pStyle w:val="178"/>
            </w:pPr>
            <w:r>
              <w:rPr>
                <w:rFonts w:hint="eastAsia"/>
              </w:rPr>
              <w:t>传感器污染或损坏</w:t>
            </w:r>
          </w:p>
        </w:tc>
        <w:tc>
          <w:tcPr>
            <w:tcW w:w="3112" w:type="dxa"/>
          </w:tcPr>
          <w:p w14:paraId="1C5DEF32">
            <w:pPr>
              <w:pStyle w:val="178"/>
            </w:pPr>
            <w:r>
              <w:rPr>
                <w:rFonts w:hint="eastAsia"/>
              </w:rPr>
              <w:t>清洗或更换传感器，重新校准</w:t>
            </w:r>
          </w:p>
        </w:tc>
      </w:tr>
      <w:tr w14:paraId="302ED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63A99A15">
            <w:pPr>
              <w:pStyle w:val="178"/>
            </w:pPr>
            <w:r>
              <w:rPr>
                <w:rFonts w:hint="eastAsia"/>
              </w:rPr>
              <w:t>平台无法访问</w:t>
            </w:r>
          </w:p>
        </w:tc>
        <w:tc>
          <w:tcPr>
            <w:tcW w:w="3964" w:type="dxa"/>
          </w:tcPr>
          <w:p w14:paraId="7C88F549">
            <w:pPr>
              <w:pStyle w:val="178"/>
            </w:pPr>
            <w:r>
              <w:rPr>
                <w:rFonts w:hint="eastAsia"/>
              </w:rPr>
              <w:t>服务器故障、网络中断</w:t>
            </w:r>
          </w:p>
        </w:tc>
        <w:tc>
          <w:tcPr>
            <w:tcW w:w="3112" w:type="dxa"/>
          </w:tcPr>
          <w:p w14:paraId="2D36F3AC">
            <w:pPr>
              <w:pStyle w:val="178"/>
            </w:pPr>
            <w:r>
              <w:rPr>
                <w:rFonts w:hint="eastAsia"/>
              </w:rPr>
              <w:t>检查服务器运行状态，联系网络运维</w:t>
            </w:r>
          </w:p>
        </w:tc>
      </w:tr>
      <w:tr w14:paraId="387F3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0F9E8D29">
            <w:pPr>
              <w:pStyle w:val="178"/>
            </w:pPr>
            <w:r>
              <w:rPr>
                <w:rFonts w:hint="eastAsia"/>
              </w:rPr>
              <w:t>预警频繁误报</w:t>
            </w:r>
          </w:p>
        </w:tc>
        <w:tc>
          <w:tcPr>
            <w:tcW w:w="3964" w:type="dxa"/>
          </w:tcPr>
          <w:p w14:paraId="509A0B60">
            <w:pPr>
              <w:pStyle w:val="178"/>
            </w:pPr>
            <w:r>
              <w:rPr>
                <w:rFonts w:hint="eastAsia"/>
              </w:rPr>
              <w:t>阈值设置不当、算法异常</w:t>
            </w:r>
          </w:p>
        </w:tc>
        <w:tc>
          <w:tcPr>
            <w:tcW w:w="3112" w:type="dxa"/>
          </w:tcPr>
          <w:p w14:paraId="40B34588">
            <w:pPr>
              <w:pStyle w:val="178"/>
            </w:pPr>
            <w:r>
              <w:rPr>
                <w:rFonts w:hint="eastAsia"/>
              </w:rPr>
              <w:t>调整阈值，优化算法模型</w:t>
            </w:r>
          </w:p>
        </w:tc>
      </w:tr>
    </w:tbl>
    <w:p w14:paraId="3E6114E1">
      <w:pPr>
        <w:pStyle w:val="104"/>
        <w:spacing w:before="240" w:after="240" w:line="360" w:lineRule="auto"/>
      </w:pPr>
      <w:bookmarkStart w:id="56" w:name="_Toc205667423"/>
      <w:r>
        <w:rPr>
          <w:rFonts w:hint="eastAsia"/>
        </w:rPr>
        <w:t>保障措施</w:t>
      </w:r>
      <w:bookmarkEnd w:id="56"/>
    </w:p>
    <w:p w14:paraId="54ABEF6D">
      <w:pPr>
        <w:pStyle w:val="105"/>
        <w:spacing w:before="120" w:after="120" w:line="360" w:lineRule="auto"/>
      </w:pPr>
      <w:r>
        <w:rPr>
          <w:rFonts w:hint="eastAsia"/>
        </w:rPr>
        <w:t>制度保障</w:t>
      </w:r>
    </w:p>
    <w:p w14:paraId="439E4EEA">
      <w:pPr>
        <w:pStyle w:val="56"/>
        <w:spacing w:line="360" w:lineRule="auto"/>
        <w:ind w:firstLine="420"/>
      </w:pPr>
      <w:r>
        <w:rPr>
          <w:rFonts w:hint="eastAsia"/>
        </w:rPr>
        <w:t>保障措施是确保生活污水智能监测与预警系统长期稳定运行和持续发挥效能的重要基础。本章从制度、技术、人员和资金等方面提出建设与运行过程中的配套保障要求。</w:t>
      </w:r>
    </w:p>
    <w:p w14:paraId="630D02BC">
      <w:pPr>
        <w:pStyle w:val="56"/>
        <w:spacing w:line="360" w:lineRule="auto"/>
        <w:ind w:firstLine="420"/>
      </w:pPr>
      <w:r>
        <w:rPr>
          <w:rFonts w:hint="eastAsia"/>
        </w:rPr>
        <w:t>应建立涵盖建设、运行、维护、数据管理和应急处置等环节的制度体系，并与现行环保、水务和信息化管理制度相衔接。制度应明确责任分工、工作流程、考核机制及奖惩措施，确保各项工作有章可循、有据可依。</w:t>
      </w:r>
    </w:p>
    <w:p w14:paraId="7081CE5F">
      <w:pPr>
        <w:pStyle w:val="105"/>
        <w:spacing w:before="120" w:after="120" w:line="360" w:lineRule="auto"/>
      </w:pPr>
      <w:r>
        <w:rPr>
          <w:rFonts w:hint="eastAsia"/>
        </w:rPr>
        <w:t>技术保障</w:t>
      </w:r>
    </w:p>
    <w:p w14:paraId="5A71B99C">
      <w:pPr>
        <w:pStyle w:val="56"/>
        <w:spacing w:line="360" w:lineRule="auto"/>
        <w:ind w:firstLine="420"/>
      </w:pPr>
      <w:r>
        <w:rPr>
          <w:rFonts w:hint="eastAsia"/>
        </w:rPr>
        <w:t>技术保障应覆盖硬件设备、软件平台和网络通信等方面。为便于管理，技术保障的主要内容及实施要点见表8。</w:t>
      </w:r>
    </w:p>
    <w:p w14:paraId="27880D89">
      <w:pPr>
        <w:pStyle w:val="112"/>
        <w:spacing w:before="120" w:after="120" w:line="360" w:lineRule="auto"/>
      </w:pPr>
      <w:r>
        <w:rPr>
          <w:rFonts w:hint="eastAsia"/>
        </w:rPr>
        <w:t>技术保障主要内容及实施要点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09"/>
        <w:gridCol w:w="6225"/>
      </w:tblGrid>
      <w:tr w14:paraId="2E913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09" w:type="dxa"/>
            <w:tcBorders>
              <w:top w:val="single" w:color="auto" w:sz="8" w:space="0"/>
              <w:bottom w:val="single" w:color="auto" w:sz="8" w:space="0"/>
            </w:tcBorders>
          </w:tcPr>
          <w:p w14:paraId="1C783884">
            <w:pPr>
              <w:pStyle w:val="178"/>
            </w:pPr>
            <w:r>
              <w:rPr>
                <w:rFonts w:hint="eastAsia"/>
              </w:rPr>
              <w:t>保障内容</w:t>
            </w:r>
          </w:p>
        </w:tc>
        <w:tc>
          <w:tcPr>
            <w:tcW w:w="6225" w:type="dxa"/>
            <w:tcBorders>
              <w:top w:val="single" w:color="auto" w:sz="8" w:space="0"/>
              <w:bottom w:val="single" w:color="auto" w:sz="8" w:space="0"/>
            </w:tcBorders>
          </w:tcPr>
          <w:p w14:paraId="4B1CE530">
            <w:pPr>
              <w:pStyle w:val="178"/>
            </w:pPr>
            <w:r>
              <w:rPr>
                <w:rFonts w:hint="eastAsia"/>
              </w:rPr>
              <w:t>实施要点</w:t>
            </w:r>
          </w:p>
        </w:tc>
      </w:tr>
      <w:tr w14:paraId="23958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Borders>
              <w:top w:val="single" w:color="auto" w:sz="8" w:space="0"/>
            </w:tcBorders>
          </w:tcPr>
          <w:p w14:paraId="13D0CC55">
            <w:pPr>
              <w:pStyle w:val="178"/>
            </w:pPr>
            <w:r>
              <w:rPr>
                <w:rFonts w:hint="eastAsia"/>
              </w:rPr>
              <w:t>设备保障</w:t>
            </w:r>
          </w:p>
        </w:tc>
        <w:tc>
          <w:tcPr>
            <w:tcW w:w="6225" w:type="dxa"/>
            <w:tcBorders>
              <w:top w:val="single" w:color="auto" w:sz="8" w:space="0"/>
            </w:tcBorders>
          </w:tcPr>
          <w:p w14:paraId="4C3B8CCE">
            <w:pPr>
              <w:pStyle w:val="178"/>
            </w:pPr>
            <w:r>
              <w:rPr>
                <w:rFonts w:hint="eastAsia"/>
              </w:rPr>
              <w:t>选用符合国家标准的高可靠性设备，配备备用件</w:t>
            </w:r>
          </w:p>
        </w:tc>
      </w:tr>
      <w:tr w14:paraId="3B0F8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3BC06AAB">
            <w:pPr>
              <w:pStyle w:val="178"/>
            </w:pPr>
            <w:r>
              <w:rPr>
                <w:rFonts w:hint="eastAsia"/>
              </w:rPr>
              <w:t>平台保障</w:t>
            </w:r>
          </w:p>
        </w:tc>
        <w:tc>
          <w:tcPr>
            <w:tcW w:w="6225" w:type="dxa"/>
          </w:tcPr>
          <w:p w14:paraId="5FC8F298">
            <w:pPr>
              <w:pStyle w:val="178"/>
            </w:pPr>
            <w:r>
              <w:rPr>
                <w:rFonts w:hint="eastAsia"/>
              </w:rPr>
              <w:t>建立容灾备份机制，定期更新和升级</w:t>
            </w:r>
          </w:p>
        </w:tc>
      </w:tr>
      <w:tr w14:paraId="7E00D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5ECF4AB0">
            <w:pPr>
              <w:pStyle w:val="178"/>
            </w:pPr>
            <w:r>
              <w:rPr>
                <w:rFonts w:hint="eastAsia"/>
              </w:rPr>
              <w:t>通信保障</w:t>
            </w:r>
          </w:p>
        </w:tc>
        <w:tc>
          <w:tcPr>
            <w:tcW w:w="6225" w:type="dxa"/>
          </w:tcPr>
          <w:p w14:paraId="51712E0F">
            <w:pPr>
              <w:pStyle w:val="178"/>
            </w:pPr>
            <w:r>
              <w:rPr>
                <w:rFonts w:hint="eastAsia"/>
              </w:rPr>
              <w:t>采用多路径传输方案，减少通信中断风险</w:t>
            </w:r>
          </w:p>
        </w:tc>
      </w:tr>
      <w:tr w14:paraId="75893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9" w:type="dxa"/>
          </w:tcPr>
          <w:p w14:paraId="00BB3472">
            <w:pPr>
              <w:pStyle w:val="178"/>
            </w:pPr>
            <w:r>
              <w:rPr>
                <w:rFonts w:hint="eastAsia"/>
              </w:rPr>
              <w:t>能源保障</w:t>
            </w:r>
          </w:p>
        </w:tc>
        <w:tc>
          <w:tcPr>
            <w:tcW w:w="6225" w:type="dxa"/>
          </w:tcPr>
          <w:p w14:paraId="28D7B00A">
            <w:pPr>
              <w:pStyle w:val="178"/>
            </w:pPr>
            <w:r>
              <w:rPr>
                <w:rFonts w:hint="eastAsia"/>
              </w:rPr>
              <w:t>配备不间断电源(UPS)及备用电池或太阳能供电</w:t>
            </w:r>
          </w:p>
        </w:tc>
      </w:tr>
    </w:tbl>
    <w:p w14:paraId="654705FA">
      <w:pPr>
        <w:pStyle w:val="105"/>
        <w:spacing w:before="120" w:after="120" w:line="360" w:lineRule="auto"/>
      </w:pPr>
      <w:r>
        <w:rPr>
          <w:rFonts w:hint="eastAsia"/>
        </w:rPr>
        <w:t>人员保障</w:t>
      </w:r>
    </w:p>
    <w:p w14:paraId="70BD3271">
      <w:pPr>
        <w:pStyle w:val="56"/>
        <w:spacing w:line="360" w:lineRule="auto"/>
        <w:ind w:firstLine="420"/>
      </w:pPr>
      <w:r>
        <w:rPr>
          <w:rFonts w:hint="eastAsia"/>
        </w:rPr>
        <w:t>应建立专业化的运维团队，涵盖系统管理员、设备维护员、数据分析员和应急处置员等岗位。</w:t>
      </w:r>
    </w:p>
    <w:p w14:paraId="25450519">
      <w:pPr>
        <w:pStyle w:val="56"/>
        <w:spacing w:line="360" w:lineRule="auto"/>
        <w:ind w:firstLine="420"/>
      </w:pPr>
      <w:r>
        <w:rPr>
          <w:rFonts w:hint="eastAsia"/>
        </w:rPr>
        <w:t>团队成员应接受系统操作、设备维护和安全管理等方面的培训，持证上岗，并根据技术发展定期进行知识更新。</w:t>
      </w:r>
    </w:p>
    <w:p w14:paraId="5941D910">
      <w:pPr>
        <w:pStyle w:val="105"/>
        <w:spacing w:before="120" w:after="120" w:line="360" w:lineRule="auto"/>
      </w:pPr>
      <w:r>
        <w:rPr>
          <w:rFonts w:hint="eastAsia"/>
        </w:rPr>
        <w:t>资金保障</w:t>
      </w:r>
    </w:p>
    <w:p w14:paraId="4E310F1B">
      <w:pPr>
        <w:pStyle w:val="56"/>
        <w:spacing w:line="360" w:lineRule="auto"/>
        <w:ind w:firstLine="420"/>
      </w:pPr>
      <w:r>
        <w:rPr>
          <w:rFonts w:hint="eastAsia"/>
        </w:rPr>
        <w:t>应将系统建设与运行维护经费纳入年度预算，确保设备采购、平台升级、人员培训和应急处置等费用的持续投入。对重点监测区域和关键设施，应设立专项资金支持。</w:t>
      </w:r>
    </w:p>
    <w:p w14:paraId="41DB7316">
      <w:pPr>
        <w:pStyle w:val="105"/>
        <w:spacing w:before="120" w:after="120" w:line="360" w:lineRule="auto"/>
      </w:pPr>
      <w:r>
        <w:rPr>
          <w:rFonts w:hint="eastAsia"/>
        </w:rPr>
        <w:t>协同保障</w:t>
      </w:r>
    </w:p>
    <w:p w14:paraId="0395BDE1">
      <w:pPr>
        <w:pStyle w:val="56"/>
        <w:spacing w:line="360" w:lineRule="auto"/>
        <w:ind w:firstLine="420"/>
      </w:pPr>
      <w:r>
        <w:rPr>
          <w:rFonts w:hint="eastAsia"/>
        </w:rPr>
        <w:t>应加强与环保、水务、应急管理、信息化等部门的协调配合，实现信息共享与联合响应。必要时，可引入第三方技术服务机构参与系统建设、运维和评估，提高整体管理水平。</w:t>
      </w:r>
    </w:p>
    <w:bookmarkEnd w:id="26"/>
    <w:p w14:paraId="1A410BC6">
      <w:pPr>
        <w:pStyle w:val="56"/>
        <w:ind w:firstLine="0" w:firstLineChars="0"/>
        <w:jc w:val="center"/>
      </w:pPr>
      <w:bookmarkStart w:id="57" w:name="BookMark8"/>
      <w:r>
        <w:drawing>
          <wp:inline distT="0" distB="0" distL="0" distR="0">
            <wp:extent cx="1485900" cy="317500"/>
            <wp:effectExtent l="0" t="0" r="0" b="6350"/>
            <wp:docPr id="937101984" name="图片 3"/>
            <wp:cNvGraphicFramePr/>
            <a:graphic xmlns:a="http://schemas.openxmlformats.org/drawingml/2006/main">
              <a:graphicData uri="http://schemas.openxmlformats.org/drawingml/2006/picture">
                <pic:pic xmlns:pic="http://schemas.openxmlformats.org/drawingml/2006/picture">
                  <pic:nvPicPr>
                    <pic:cNvPr id="937101984"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D19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4C6E">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0695">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19FB">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E86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26BF">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D9C0">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4634">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A3DD">
    <w:pPr>
      <w:pStyle w:val="61"/>
    </w:pPr>
    <w:r>
      <w:fldChar w:fldCharType="begin"/>
    </w:r>
    <w:r>
      <w:instrText xml:space="preserve"> STYLEREF  标准文件_文件编号  \* MERGEFORMAT </w:instrText>
    </w:r>
    <w:r>
      <w:fldChar w:fldCharType="separate"/>
    </w:r>
    <w:r>
      <w:t>T/XJBX 0076—2025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1B1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0076—2025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906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0076—2025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6155">
    <w:pPr>
      <w:pStyle w:val="61"/>
    </w:pPr>
    <w:r>
      <w:fldChar w:fldCharType="begin"/>
    </w:r>
    <w:r>
      <w:instrText xml:space="preserve"> STYLEREF  标准文件_文件编号  \* MERGEFORMAT </w:instrText>
    </w:r>
    <w:r>
      <w:fldChar w:fldCharType="separate"/>
    </w:r>
    <w:r>
      <w:t>T/XJBX 0076—2025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744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0076—2025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5F63">
    <w:pPr>
      <w:pStyle w:val="61"/>
    </w:pPr>
    <w:r>
      <w:fldChar w:fldCharType="begin"/>
    </w:r>
    <w:r>
      <w:instrText xml:space="preserve"> STYLEREF  标准文件_文件编号  \* MERGEFORMAT </w:instrText>
    </w:r>
    <w:r>
      <w:fldChar w:fldCharType="separate"/>
    </w:r>
    <w:r>
      <w:t>T/XJBX 0076—2025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EC4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0076—2025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7B1"/>
    <w:rsid w:val="001260B7"/>
    <w:rsid w:val="001265CB"/>
    <w:rsid w:val="001321C6"/>
    <w:rsid w:val="001325C4"/>
    <w:rsid w:val="00133010"/>
    <w:rsid w:val="001338EE"/>
    <w:rsid w:val="00133AAE"/>
    <w:rsid w:val="00135323"/>
    <w:rsid w:val="001356C4"/>
    <w:rsid w:val="001363F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A6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0B7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AB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AF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B49"/>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02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714"/>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03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2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06B"/>
    <w:rsid w:val="00CA2D1B"/>
    <w:rsid w:val="00CA375D"/>
    <w:rsid w:val="00CA662A"/>
    <w:rsid w:val="00CA7AFD"/>
    <w:rsid w:val="00CA7C3C"/>
    <w:rsid w:val="00CB0189"/>
    <w:rsid w:val="00CB0BA2"/>
    <w:rsid w:val="00CB1A42"/>
    <w:rsid w:val="00CB1B0C"/>
    <w:rsid w:val="00CB2C0B"/>
    <w:rsid w:val="00CB452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DFF"/>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052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10CDB48D">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0743220F">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4D5FC7A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571AF9"/>
    <w:rsid w:val="008878C3"/>
    <w:rsid w:val="00AE1DC6"/>
    <w:rsid w:val="00CA1FD5"/>
    <w:rsid w:val="00E2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3050</Words>
  <Characters>3369</Characters>
  <Lines>52</Lines>
  <Paragraphs>14</Paragraphs>
  <TotalTime>52</TotalTime>
  <ScaleCrop>false</ScaleCrop>
  <LinksUpToDate>false</LinksUpToDate>
  <CharactersWithSpaces>3458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2025-08-09T12:45:00Z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2025-08-11T06:36:54Z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135E57C9031E4EA38D4195FCDB66A954_12</vt:lpwstr>
  </property>
</Properties>
</file>