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93.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93.020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 1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P 10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74"/>
            </w:textInput>
          </w:ffData>
        </w:fldChar>
      </w:r>
      <w:bookmarkStart w:id="6" w:name="NSTD_CODE_F"/>
      <w:r>
        <w:instrText xml:space="preserve"> FORMTEXT </w:instrText>
      </w:r>
      <w:r>
        <w:fldChar w:fldCharType="separate"/>
      </w:r>
      <w:r>
        <w:t>0074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1EB3F114">
      <w:pPr>
        <w:pStyle w:val="197"/>
        <w:framePr w:h="6974" w:hRule="exact" w:wrap="around" w:x="1419" w:anchorLock="1"/>
      </w:pPr>
      <w:r>
        <w:rPr>
          <w:rFonts w:hint="eastAsia"/>
        </w:rPr>
        <w:fldChar w:fldCharType="begin">
          <w:ffData>
            <w:name w:val="CSTD_NAME"/>
            <w:enabled/>
            <w:calcOnExit w:val="0"/>
            <w:textInput>
              <w:default w:val="岩土工程勘察数据采集与信息化处理技术规程"/>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岩土工程勘察数据采集与信息化处理</w:t>
      </w:r>
    </w:p>
    <w:p w14:paraId="73594FE6">
      <w:pPr>
        <w:pStyle w:val="197"/>
        <w:framePr w:h="6974" w:hRule="exact" w:wrap="around" w:x="1419" w:anchorLock="1"/>
      </w:pPr>
      <w:r>
        <w:rPr>
          <w:rFonts w:hint="eastAsia"/>
        </w:rPr>
        <w:t>技术规程</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Code of practice for geotechnical survey data collection and digital processing"/>
            </w:textInput>
          </w:ffData>
        </w:fldChar>
      </w:r>
      <w:bookmarkStart w:id="10" w:name="ESTD_NAME"/>
      <w:r>
        <w:rPr>
          <w:rFonts w:hint="eastAsia" w:ascii="黑体" w:hAnsi="黑体" w:eastAsia="黑体"/>
          <w:szCs w:val="28"/>
        </w:rPr>
        <w:instrText xml:space="preserve"> </w:instrText>
      </w:r>
      <w:r>
        <w:rPr>
          <w:rFonts w:ascii="黑体" w:hAnsi="黑体" w:eastAsia="黑体"/>
          <w:szCs w:val="28"/>
        </w:rPr>
        <w:instrText xml:space="preserve">FORMTEXT</w:instrText>
      </w:r>
      <w:r>
        <w:rPr>
          <w:rFonts w:hint="eastAsia" w:ascii="黑体" w:hAnsi="黑体" w:eastAsia="黑体"/>
          <w:szCs w:val="28"/>
        </w:rPr>
        <w:instrText xml:space="preserve"> </w:instrText>
      </w:r>
      <w:r>
        <w:rPr>
          <w:rFonts w:hint="eastAsia" w:ascii="黑体" w:hAnsi="黑体" w:eastAsia="黑体"/>
          <w:szCs w:val="28"/>
        </w:rPr>
        <w:fldChar w:fldCharType="separate"/>
      </w:r>
      <w:r>
        <w:rPr>
          <w:rFonts w:hint="eastAsia" w:ascii="黑体" w:hAnsi="黑体" w:eastAsia="黑体"/>
          <w:szCs w:val="28"/>
        </w:rPr>
        <w:t>Code of practice for geotechnical survey data collection and digital processing</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1826198">
      <w:pPr>
        <w:pStyle w:val="91"/>
        <w:spacing w:after="360"/>
      </w:pPr>
      <w:bookmarkStart w:id="21" w:name="BookMark1"/>
      <w:r>
        <w:rPr>
          <w:rFonts w:hint="eastAsia"/>
          <w:spacing w:val="320"/>
        </w:rPr>
        <w:t>目</w:t>
      </w:r>
      <w:r>
        <w:rPr>
          <w:rFonts w:hint="eastAsia"/>
        </w:rPr>
        <w:t>次</w:t>
      </w:r>
    </w:p>
    <w:p w14:paraId="550F8967">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"_Toc205746766"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_Toc205746766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0170A5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"_Toc205746767"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_Toc205746767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1EF5526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"_Toc205746768"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_Toc205746768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465F66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"_Toc205746769"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_Toc205746769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A9C85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_Toc205746770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A77C16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"_Toc205746771"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_Toc205746771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4308F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"_Toc205746772" </w:instrText>
      </w:r>
      <w:r>
        <w:fldChar w:fldCharType="separate"/>
      </w:r>
      <w:r>
        <w:rPr>
          <w:rStyle w:val="32"/>
          <w:rFonts w:hint="eastAsia"/>
        </w:rPr>
        <w:t>5</w:t>
      </w:r>
      <w:r>
        <w:rPr>
          <w:rStyle w:val="32"/>
        </w:rPr>
        <w:t xml:space="preserve"> </w:t>
      </w:r>
      <w:r>
        <w:rPr>
          <w:rStyle w:val="32"/>
          <w:rFonts w:hint="eastAsia"/>
        </w:rPr>
        <w:t xml:space="preserve"> 数据采集</w:t>
      </w:r>
      <w:r>
        <w:rPr>
          <w:rFonts w:hint="eastAsia"/>
        </w:rPr>
        <w:tab/>
      </w:r>
      <w:r>
        <w:rPr>
          <w:rFonts w:hint="eastAsia"/>
        </w:rPr>
        <w:fldChar w:fldCharType="begin"/>
      </w:r>
      <w:r>
        <w:rPr>
          <w:rFonts w:hint="eastAsia"/>
        </w:rPr>
        <w:instrText xml:space="preserve"> </w:instrText>
      </w:r>
      <w:r>
        <w:instrText xml:space="preserve">PAGEREF _Toc205746772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9BC04A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"_Toc205746773" </w:instrText>
      </w:r>
      <w:r>
        <w:fldChar w:fldCharType="separate"/>
      </w:r>
      <w:r>
        <w:rPr>
          <w:rStyle w:val="32"/>
          <w:rFonts w:hint="eastAsia"/>
        </w:rPr>
        <w:t>6</w:t>
      </w:r>
      <w:r>
        <w:rPr>
          <w:rStyle w:val="32"/>
        </w:rPr>
        <w:t xml:space="preserve"> </w:t>
      </w:r>
      <w:r>
        <w:rPr>
          <w:rStyle w:val="32"/>
          <w:rFonts w:hint="eastAsia"/>
        </w:rPr>
        <w:t xml:space="preserve"> 信息化处理</w:t>
      </w:r>
      <w:r>
        <w:rPr>
          <w:rFonts w:hint="eastAsia"/>
        </w:rPr>
        <w:tab/>
      </w:r>
      <w:r>
        <w:rPr>
          <w:rFonts w:hint="eastAsia"/>
        </w:rPr>
        <w:fldChar w:fldCharType="begin"/>
      </w:r>
      <w:r>
        <w:rPr>
          <w:rFonts w:hint="eastAsia"/>
        </w:rPr>
        <w:instrText xml:space="preserve"> </w:instrText>
      </w:r>
      <w:r>
        <w:instrText xml:space="preserve">PAGEREF _Toc205746773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D0B96D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"_Toc205746774" </w:instrText>
      </w:r>
      <w:r>
        <w:fldChar w:fldCharType="separate"/>
      </w:r>
      <w:r>
        <w:rPr>
          <w:rStyle w:val="32"/>
          <w:rFonts w:hint="eastAsia"/>
        </w:rPr>
        <w:t>7</w:t>
      </w:r>
      <w:r>
        <w:rPr>
          <w:rStyle w:val="32"/>
        </w:rPr>
        <w:t xml:space="preserve"> </w:t>
      </w:r>
      <w:r>
        <w:rPr>
          <w:rStyle w:val="32"/>
          <w:rFonts w:hint="eastAsia"/>
        </w:rPr>
        <w:t xml:space="preserve"> 成果输出</w:t>
      </w:r>
      <w:r>
        <w:rPr>
          <w:rFonts w:hint="eastAsia"/>
        </w:rPr>
        <w:tab/>
      </w:r>
      <w:r>
        <w:rPr>
          <w:rFonts w:hint="eastAsia"/>
        </w:rPr>
        <w:fldChar w:fldCharType="begin"/>
      </w:r>
      <w:r>
        <w:rPr>
          <w:rFonts w:hint="eastAsia"/>
        </w:rPr>
        <w:instrText xml:space="preserve"> </w:instrText>
      </w:r>
      <w:r>
        <w:instrText xml:space="preserve">PAGEREF _Toc205746774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0A5BE7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"_Toc205746775" </w:instrText>
      </w:r>
      <w:r>
        <w:fldChar w:fldCharType="separate"/>
      </w:r>
      <w:r>
        <w:rPr>
          <w:rStyle w:val="32"/>
          <w:rFonts w:hint="eastAsia"/>
        </w:rPr>
        <w:t>8</w:t>
      </w:r>
      <w:r>
        <w:rPr>
          <w:rStyle w:val="32"/>
        </w:rPr>
        <w:t xml:space="preserve"> </w:t>
      </w:r>
      <w:r>
        <w:rPr>
          <w:rStyle w:val="32"/>
          <w:rFonts w:hint="eastAsia"/>
        </w:rPr>
        <w:t xml:space="preserve"> 成果质量检验</w:t>
      </w:r>
      <w:r>
        <w:rPr>
          <w:rFonts w:hint="eastAsia"/>
        </w:rPr>
        <w:tab/>
      </w:r>
      <w:r>
        <w:rPr>
          <w:rFonts w:hint="eastAsia"/>
        </w:rPr>
        <w:fldChar w:fldCharType="begin"/>
      </w:r>
      <w:r>
        <w:rPr>
          <w:rFonts w:hint="eastAsia"/>
        </w:rPr>
        <w:instrText xml:space="preserve"> </w:instrText>
      </w:r>
      <w:r>
        <w:instrText xml:space="preserve">PAGEREF _Toc205746775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187F24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"_Toc205746776" </w:instrText>
      </w:r>
      <w:r>
        <w:fldChar w:fldCharType="separate"/>
      </w:r>
      <w:r>
        <w:rPr>
          <w:rStyle w:val="32"/>
          <w:rFonts w:hint="eastAsia"/>
        </w:rPr>
        <w:t>9</w:t>
      </w:r>
      <w:r>
        <w:rPr>
          <w:rStyle w:val="32"/>
        </w:rPr>
        <w:t xml:space="preserve"> </w:t>
      </w:r>
      <w:r>
        <w:rPr>
          <w:rStyle w:val="32"/>
          <w:rFonts w:hint="eastAsia"/>
        </w:rPr>
        <w:t xml:space="preserve"> 数据安全与保密</w:t>
      </w:r>
      <w:r>
        <w:rPr>
          <w:rFonts w:hint="eastAsia"/>
        </w:rPr>
        <w:tab/>
      </w:r>
      <w:r>
        <w:rPr>
          <w:rFonts w:hint="eastAsia"/>
        </w:rPr>
        <w:fldChar w:fldCharType="begin"/>
      </w:r>
      <w:r>
        <w:rPr>
          <w:rFonts w:hint="eastAsia"/>
        </w:rPr>
        <w:instrText xml:space="preserve"> </w:instrText>
      </w:r>
      <w:r>
        <w:instrText xml:space="preserve">PAGEREF _Toc205746776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765957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"_Toc205746777" </w:instrText>
      </w:r>
      <w:r>
        <w:fldChar w:fldCharType="separate"/>
      </w:r>
      <w:r>
        <w:rPr>
          <w:rStyle w:val="32"/>
          <w:rFonts w:hint="eastAsia"/>
        </w:rPr>
        <w:t>10</w:t>
      </w:r>
      <w:r>
        <w:rPr>
          <w:rStyle w:val="32"/>
        </w:rPr>
        <w:t xml:space="preserve"> </w:t>
      </w:r>
      <w:r>
        <w:rPr>
          <w:rStyle w:val="32"/>
          <w:rFonts w:hint="eastAsia"/>
        </w:rPr>
        <w:t xml:space="preserve"> 运行维护</w:t>
      </w:r>
      <w:r>
        <w:rPr>
          <w:rFonts w:hint="eastAsia"/>
        </w:rPr>
        <w:tab/>
      </w:r>
      <w:r>
        <w:rPr>
          <w:rFonts w:hint="eastAsia"/>
        </w:rPr>
        <w:fldChar w:fldCharType="begin"/>
      </w:r>
      <w:r>
        <w:rPr>
          <w:rFonts w:hint="eastAsia"/>
        </w:rPr>
        <w:instrText xml:space="preserve"> </w:instrText>
      </w:r>
      <w:r>
        <w:instrText xml:space="preserve">PAGEREF _Toc205746777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1CB7930">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746766"/>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3021025">
      <w:pPr>
        <w:pStyle w:val="56"/>
        <w:spacing w:line="360" w:lineRule="auto"/>
        <w:ind w:firstLine="420"/>
      </w:pPr>
      <w:r>
        <w:rPr>
          <w:rFonts w:hint="eastAsia"/>
        </w:rPr>
        <w:t>本文件起草单位：华北地质勘查局第四地质大队。</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本文件主要起草人：刘海兵。</w:t>
      </w:r>
      <w:bookmarkStart w:id="59" w:name="_GoBack"/>
      <w:bookmarkEnd w:id="59"/>
    </w:p>
    <w:bookmarkEnd w:id="23"/>
    <w:p w14:paraId="66D0A2F3">
      <w:pPr>
        <w:pStyle w:val="89"/>
        <w:spacing w:after="360"/>
      </w:pPr>
      <w:bookmarkStart w:id="24" w:name="_Toc205746767"/>
      <w:bookmarkStart w:id="25" w:name="BookMark3"/>
      <w:r>
        <w:rPr>
          <w:spacing w:val="320"/>
        </w:rPr>
        <w:t>引</w:t>
      </w:r>
      <w:r>
        <w:t>言</w:t>
      </w:r>
      <w:bookmarkEnd w:id="24"/>
    </w:p>
    <w:p w14:paraId="4B7DA9DB">
      <w:pPr>
        <w:pStyle w:val="56"/>
        <w:spacing w:line="360" w:lineRule="auto"/>
        <w:ind w:firstLine="420"/>
      </w:pPr>
      <w:r>
        <w:rPr>
          <w:rFonts w:hint="eastAsia"/>
        </w:rPr>
        <w:t>岩土工程勘察是工程建设前期的重要环节，其数据采集质量和信息化处理水平直接影响工程设计、施工和后期运维的安全性与经济性。随着信息化、数字化和智能化技术的快速发展，传统的人工记录和手工计算方式已难以满足高效、精准和可追溯的数据管理需求。</w:t>
      </w:r>
    </w:p>
    <w:p w14:paraId="633F1957">
      <w:pPr>
        <w:pStyle w:val="56"/>
        <w:spacing w:line="360" w:lineRule="auto"/>
        <w:ind w:firstLine="420"/>
      </w:pPr>
      <w:r>
        <w:rPr>
          <w:rFonts w:hint="eastAsia"/>
        </w:rPr>
        <w:t>通过引入现代测绘、传感器、物联网、大数据和云计算等技术，岩土工程勘察数据采集与信息化处理能够实现实时监测、自动化记录、多源数据融合和智能分析，为工程设计提供更加全面、准确和动态的地质信息支持。同时，信息化处理还可实现数据标准化存储、跨平台共享与可视化展示，提高勘察成果的应用价值与管理水平。</w:t>
      </w:r>
    </w:p>
    <w:p w14:paraId="41C59179">
      <w:pPr>
        <w:pStyle w:val="56"/>
        <w:spacing w:line="360" w:lineRule="auto"/>
        <w:ind w:firstLine="420"/>
      </w:pPr>
      <w:r>
        <w:rPr>
          <w:rFonts w:hint="eastAsia"/>
        </w:rPr>
        <w:t>本文件旨在规范岩土工程勘察数据采集与信息化处理的全过程技术要求，涵盖采集设备与方法、数据质量控制、信息化处理流程、数据存储与安全管理、成果表达与共享等方面，为工程建设、科研及相关管理部门提供统一的技术依据。</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3C919CDD">
          <w:pPr>
            <w:pStyle w:val="177"/>
            <w:spacing w:after="0"/>
          </w:pPr>
          <w:bookmarkStart w:id="27" w:name="NEW_STAND_NAME"/>
          <w:r>
            <w:rPr>
              <w:rFonts w:hint="eastAsia"/>
            </w:rPr>
            <w:t>岩土工程勘察数据采集与信息化处理</w:t>
          </w:r>
        </w:p>
        <w:p w14:paraId="7D4E3E1F">
          <w:pPr>
            <w:pStyle w:val="177"/>
            <w:spacing w:before="0"/>
          </w:pPr>
          <w:r>
            <w:rPr>
              <w:rFonts w:hint="eastAsia"/>
            </w:rPr>
            <w:t>技术规程</w:t>
          </w:r>
        </w:p>
      </w:sdtContent>
    </w:sdt>
    <w:bookmarkEnd w:id="27"/>
    <w:p w14:paraId="3DB22445">
      <w:pPr>
        <w:pStyle w:val="104"/>
        <w:spacing w:before="240" w:after="240" w:line="360" w:lineRule="auto"/>
      </w:pPr>
      <w:bookmarkStart w:id="28" w:name="_Toc26718930"/>
      <w:bookmarkStart w:id="29" w:name="_Toc26986530"/>
      <w:bookmarkStart w:id="30" w:name="_Toc97192964"/>
      <w:bookmarkStart w:id="31" w:name="_Toc17233325"/>
      <w:bookmarkStart w:id="32" w:name="_Toc17233333"/>
      <w:bookmarkStart w:id="33" w:name="_Toc205746768"/>
      <w:bookmarkStart w:id="34" w:name="_Toc26648465"/>
      <w:bookmarkStart w:id="35" w:name="_Toc26986771"/>
      <w:bookmarkStart w:id="36" w:name="_Toc24884218"/>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56334EDC">
      <w:pPr>
        <w:pStyle w:val="56"/>
        <w:spacing w:line="360" w:lineRule="auto"/>
        <w:ind w:firstLine="420"/>
      </w:pPr>
      <w:bookmarkStart w:id="38" w:name="_Toc24884212"/>
      <w:bookmarkStart w:id="39" w:name="_Toc17233326"/>
      <w:bookmarkStart w:id="40" w:name="_Toc17233334"/>
      <w:bookmarkStart w:id="41" w:name="_Toc26648466"/>
      <w:bookmarkStart w:id="42" w:name="_Toc24884219"/>
      <w:r>
        <w:rPr>
          <w:rFonts w:hint="eastAsia"/>
        </w:rPr>
        <w:t>本文件规定了岩土工程勘察数据采集与信息化处理的总体原则、数据采集、信息化处理、成果输出、成果质量检验、数据安全与保密、运行维护等内容。</w:t>
      </w:r>
    </w:p>
    <w:p w14:paraId="76265264">
      <w:pPr>
        <w:pStyle w:val="56"/>
        <w:spacing w:line="360" w:lineRule="auto"/>
        <w:ind w:firstLine="420"/>
      </w:pPr>
      <w:r>
        <w:rPr>
          <w:rFonts w:hint="eastAsia"/>
        </w:rPr>
        <w:t>本文件适用于建筑、市政、水利、交通、能源等工程项目的岩土工程勘察工作，也可供科研、教学和地质资源管理等领域参考使用。</w:t>
      </w:r>
    </w:p>
    <w:p w14:paraId="3733B2AD">
      <w:pPr>
        <w:pStyle w:val="104"/>
        <w:spacing w:before="240" w:after="240" w:line="360" w:lineRule="auto"/>
      </w:pPr>
      <w:bookmarkStart w:id="43" w:name="_Toc26718931"/>
      <w:bookmarkStart w:id="44" w:name="_Toc26986772"/>
      <w:bookmarkStart w:id="45" w:name="_Toc97192965"/>
      <w:bookmarkStart w:id="46" w:name="_Toc26986531"/>
      <w:bookmarkStart w:id="47" w:name="_Toc20574676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8322D0">
      <w:pPr>
        <w:pStyle w:val="56"/>
        <w:spacing w:line="360" w:lineRule="auto"/>
        <w:ind w:firstLine="420"/>
      </w:pPr>
      <w:r>
        <w:rPr>
          <w:rFonts w:hint="eastAsia"/>
        </w:rPr>
        <w:t>GB 50021 岩土工程勘察规范</w:t>
      </w:r>
    </w:p>
    <w:p w14:paraId="07A7F860">
      <w:pPr>
        <w:pStyle w:val="56"/>
        <w:spacing w:line="360" w:lineRule="auto"/>
        <w:ind w:firstLine="420"/>
      </w:pPr>
      <w:r>
        <w:rPr>
          <w:rFonts w:hint="eastAsia"/>
        </w:rPr>
        <w:t>GB 50026 工程测量标准</w:t>
      </w:r>
    </w:p>
    <w:p w14:paraId="2D5A9CE9">
      <w:pPr>
        <w:pStyle w:val="56"/>
        <w:spacing w:line="360" w:lineRule="auto"/>
        <w:ind w:firstLine="420"/>
      </w:pPr>
      <w:r>
        <w:rPr>
          <w:rFonts w:hint="eastAsia"/>
        </w:rPr>
        <w:t>GB 50218 工程岩体分级标准</w:t>
      </w:r>
    </w:p>
    <w:p w14:paraId="2F3E8F52">
      <w:pPr>
        <w:pStyle w:val="56"/>
        <w:spacing w:line="360" w:lineRule="auto"/>
        <w:ind w:firstLine="420"/>
      </w:pPr>
      <w:r>
        <w:rPr>
          <w:rFonts w:hint="eastAsia"/>
        </w:rPr>
        <w:t>GB/T 50123 土工试验方法标准</w:t>
      </w:r>
    </w:p>
    <w:p w14:paraId="5AF1D95D">
      <w:pPr>
        <w:pStyle w:val="56"/>
        <w:spacing w:line="360" w:lineRule="auto"/>
        <w:ind w:firstLine="420"/>
      </w:pPr>
      <w:r>
        <w:rPr>
          <w:rFonts w:hint="eastAsia"/>
        </w:rPr>
        <w:t>GB/T 50266 工程岩体试验方法标准</w:t>
      </w:r>
    </w:p>
    <w:p w14:paraId="1FCB83D5">
      <w:pPr>
        <w:pStyle w:val="56"/>
        <w:spacing w:line="360" w:lineRule="auto"/>
        <w:ind w:firstLine="420"/>
      </w:pPr>
      <w:r>
        <w:rPr>
          <w:rFonts w:hint="eastAsia"/>
        </w:rPr>
        <w:t>GB/T 50326 建设工程项目管理规范</w:t>
      </w:r>
    </w:p>
    <w:p w14:paraId="51F02A4E">
      <w:pPr>
        <w:pStyle w:val="104"/>
        <w:spacing w:before="240" w:after="240" w:line="360" w:lineRule="auto"/>
      </w:pPr>
      <w:bookmarkStart w:id="48" w:name="_Toc97192966"/>
      <w:bookmarkStart w:id="49" w:name="_Toc205746770"/>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A71D3D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岩土工程勘察数据 </w:t>
      </w:r>
      <w:r>
        <w:rPr>
          <w:rFonts w:ascii="黑体" w:hAnsi="黑体" w:eastAsia="黑体"/>
        </w:rPr>
        <w:t>geotechnical engineering investigation data</w:t>
      </w:r>
    </w:p>
    <w:p w14:paraId="0BD84D93">
      <w:pPr>
        <w:pStyle w:val="56"/>
        <w:spacing w:line="360" w:lineRule="auto"/>
        <w:ind w:firstLine="420"/>
      </w:pPr>
      <w:r>
        <w:rPr>
          <w:rFonts w:hint="eastAsia"/>
        </w:rPr>
        <w:t>在岩土工程勘察过程中通过现场测试、取样、实验分析等方式获取的描述地层结构、物理力学性质、水文地质条件等信息的数据集合。</w:t>
      </w:r>
    </w:p>
    <w:p w14:paraId="332EF5C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信息化处理 </w:t>
      </w:r>
      <w:r>
        <w:rPr>
          <w:rFonts w:ascii="黑体" w:hAnsi="黑体" w:eastAsia="黑体"/>
        </w:rPr>
        <w:t>information processing</w:t>
      </w:r>
    </w:p>
    <w:p w14:paraId="2B971A80">
      <w:pPr>
        <w:pStyle w:val="56"/>
        <w:spacing w:line="360" w:lineRule="auto"/>
        <w:ind w:firstLine="420"/>
      </w:pPr>
      <w:r>
        <w:rPr>
          <w:rFonts w:hint="eastAsia"/>
        </w:rPr>
        <w:t>利用计算机技术、数据分析方法及信息管理系统，对采集的岩土工程勘察数据进行整理、分析、存储、可视化及共享的过程。</w:t>
      </w:r>
    </w:p>
    <w:p w14:paraId="665177A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三维地质模型 </w:t>
      </w:r>
      <w:r>
        <w:rPr>
          <w:rFonts w:ascii="黑体" w:hAnsi="黑体" w:eastAsia="黑体"/>
        </w:rPr>
        <w:t>three-dimensional geological model</w:t>
      </w:r>
    </w:p>
    <w:p w14:paraId="11ED0D72">
      <w:pPr>
        <w:pStyle w:val="56"/>
        <w:spacing w:line="360" w:lineRule="auto"/>
        <w:ind w:firstLine="420"/>
      </w:pPr>
      <w:r>
        <w:rPr>
          <w:rFonts w:hint="eastAsia"/>
        </w:rPr>
        <w:t>基于勘察数据和地质解释结果建立的三维空间可视化地质结构模型，用于展示地层分布、构造特征和物理力学参数分布。</w:t>
      </w:r>
    </w:p>
    <w:p w14:paraId="705871CF">
      <w:pPr>
        <w:pStyle w:val="104"/>
        <w:spacing w:before="240" w:after="240" w:line="360" w:lineRule="auto"/>
      </w:pPr>
      <w:bookmarkStart w:id="51" w:name="_Toc205746771"/>
      <w:r>
        <w:rPr>
          <w:rFonts w:hint="eastAsia"/>
        </w:rPr>
        <w:t>总体原则</w:t>
      </w:r>
      <w:bookmarkEnd w:id="51"/>
    </w:p>
    <w:p w14:paraId="0C130BD0">
      <w:pPr>
        <w:pStyle w:val="105"/>
        <w:spacing w:before="120" w:after="120" w:line="360" w:lineRule="auto"/>
      </w:pPr>
      <w:r>
        <w:rPr>
          <w:rFonts w:hint="eastAsia"/>
        </w:rPr>
        <w:t>科学性原则</w:t>
      </w:r>
    </w:p>
    <w:p w14:paraId="51B8D68B">
      <w:pPr>
        <w:pStyle w:val="56"/>
        <w:spacing w:line="360" w:lineRule="auto"/>
        <w:ind w:firstLine="420"/>
      </w:pPr>
      <w:r>
        <w:rPr>
          <w:rFonts w:hint="eastAsia"/>
        </w:rPr>
        <w:t>岩土工程勘察数据采集与信息化处理应建立在充分的科学依据之上，所选用的勘察方法、采集设备和处理技术应符合国家标准、行业规范和工程实际需求。采集过程应严格遵循地质勘察原理与试验方法标准，确保采集数据能真实反映地层特征、物理力学性质及水文地质条件。在数据处理阶段，应优先采用经过验证的计算算法和分析模型，并通过多源数据交叉验证提高成果的可靠性。</w:t>
      </w:r>
    </w:p>
    <w:p w14:paraId="43DCE7A9">
      <w:pPr>
        <w:pStyle w:val="105"/>
        <w:spacing w:before="120" w:after="120" w:line="360" w:lineRule="auto"/>
      </w:pPr>
      <w:r>
        <w:rPr>
          <w:rFonts w:hint="eastAsia"/>
        </w:rPr>
        <w:t>系统性原则</w:t>
      </w:r>
    </w:p>
    <w:p w14:paraId="0CB00D86">
      <w:pPr>
        <w:pStyle w:val="56"/>
        <w:spacing w:line="360" w:lineRule="auto"/>
        <w:ind w:firstLine="420"/>
      </w:pPr>
      <w:r>
        <w:rPr>
          <w:rFonts w:hint="eastAsia"/>
        </w:rPr>
        <w:t>数据采集与信息化处理应作为一个完整的系统工程进行统筹规划，涵盖任务设计、现场采集、样品检测、数据录入、信息化处理、成果表达与存档等全链条环节。各环节应做到衔接顺畅、标准一致、信息互通，避免重复采集或数据缺失。系统性还要求在项目初期制定数据管理方案，明确数据流转路径和接口标准，实现全过程的信息化闭环管理。</w:t>
      </w:r>
    </w:p>
    <w:p w14:paraId="756AB99E">
      <w:pPr>
        <w:pStyle w:val="105"/>
        <w:spacing w:before="120" w:after="120" w:line="360" w:lineRule="auto"/>
      </w:pPr>
      <w:r>
        <w:rPr>
          <w:rFonts w:hint="eastAsia"/>
        </w:rPr>
        <w:t>实时性原则</w:t>
      </w:r>
    </w:p>
    <w:p w14:paraId="1A5FC7C7">
      <w:pPr>
        <w:pStyle w:val="56"/>
        <w:spacing w:line="360" w:lineRule="auto"/>
        <w:ind w:firstLine="420"/>
      </w:pPr>
      <w:r>
        <w:rPr>
          <w:rFonts w:hint="eastAsia"/>
        </w:rPr>
        <w:t>在条件允许的情况下，应采用具备实时或准实时传输功能的采集设备与通信技术，实现现场数据即时上传至数据管理平台，便于监控数据质量和进度。实时性原则可显著提升异常数据的发现与纠正效率，减少返工风险。例如，在钻探取样、原位测试等过程中，系统应能即时显示关键参数（如孔深、贯入阻力、地下水位等），并对超出预设阈值的情况进行预警。</w:t>
      </w:r>
    </w:p>
    <w:p w14:paraId="31D9F4CD">
      <w:pPr>
        <w:pStyle w:val="105"/>
        <w:spacing w:before="120" w:after="120" w:line="360" w:lineRule="auto"/>
      </w:pPr>
      <w:r>
        <w:rPr>
          <w:rFonts w:hint="eastAsia"/>
        </w:rPr>
        <w:t>标准化原则</w:t>
      </w:r>
    </w:p>
    <w:p w14:paraId="119139E9">
      <w:pPr>
        <w:pStyle w:val="56"/>
        <w:spacing w:line="360" w:lineRule="auto"/>
        <w:ind w:firstLine="420"/>
      </w:pPr>
      <w:r>
        <w:rPr>
          <w:rFonts w:hint="eastAsia"/>
        </w:rPr>
        <w:t>为确保数据的可比性与可共享性，应在项目实施前明确统一的数据标准，包括坐标系统、编码规则、数据格式、文件命名方式和属性字段定义。不同采集团队、不同时间和不同设备生成的数据必须符合统一的技术要求，以便在后续的融合、分析和模型构建中无缝对接。标准化还应延伸到成果输出阶段，确保报告、图表、数据库等成果符合国家和行业标准。</w:t>
      </w:r>
    </w:p>
    <w:p w14:paraId="18D51C71">
      <w:pPr>
        <w:pStyle w:val="105"/>
        <w:spacing w:before="120" w:after="120" w:line="360" w:lineRule="auto"/>
      </w:pPr>
      <w:r>
        <w:rPr>
          <w:rFonts w:hint="eastAsia"/>
        </w:rPr>
        <w:t>安全性原则</w:t>
      </w:r>
    </w:p>
    <w:p w14:paraId="42B0D4E5">
      <w:pPr>
        <w:pStyle w:val="56"/>
        <w:spacing w:line="360" w:lineRule="auto"/>
        <w:ind w:firstLine="420"/>
      </w:pPr>
      <w:r>
        <w:rPr>
          <w:rFonts w:hint="eastAsia"/>
        </w:rPr>
        <w:t>数据在采集、传输、存储、处理和共享全过程中应采取必要的安全防护措施。对于核心数据，应采用加密存储与加密传输技术，防止未经授权的访问和篡改；应建立数据备份制度，采用本地与云端双备份方式，确保在设备损坏或系统故障情况下能够快速恢复。数据安全性管理还应包括访问权限分级制度和操作日志追踪，确保责任可追溯。</w:t>
      </w:r>
    </w:p>
    <w:p w14:paraId="123A8894">
      <w:pPr>
        <w:pStyle w:val="105"/>
        <w:spacing w:before="120" w:after="120" w:line="360" w:lineRule="auto"/>
      </w:pPr>
      <w:r>
        <w:rPr>
          <w:rFonts w:hint="eastAsia"/>
        </w:rPr>
        <w:t>可视化原则</w:t>
      </w:r>
    </w:p>
    <w:p w14:paraId="6A965D78">
      <w:pPr>
        <w:pStyle w:val="56"/>
        <w:spacing w:line="360" w:lineRule="auto"/>
        <w:ind w:firstLine="420"/>
      </w:pPr>
      <w:r>
        <w:rPr>
          <w:rFonts w:hint="eastAsia"/>
        </w:rPr>
        <w:t>信息化处理成果应注重直观表达，利用二维平面图、剖面图、三维地质模型、虚拟现实（VR）和增强现实（AR）等技术，使地质信息以形象化的方式呈现，便于设计、施工及管理人员理解和应用。可视化不仅提升成果的可读性，也有助于在方案讨论、技术交底和公众展示中提高沟通效率。</w:t>
      </w:r>
    </w:p>
    <w:p w14:paraId="236C8309">
      <w:pPr>
        <w:pStyle w:val="105"/>
        <w:spacing w:before="120" w:after="120" w:line="360" w:lineRule="auto"/>
      </w:pPr>
      <w:r>
        <w:rPr>
          <w:rFonts w:hint="eastAsia"/>
        </w:rPr>
        <w:t>持续改进原则</w:t>
      </w:r>
    </w:p>
    <w:p w14:paraId="4E298868">
      <w:pPr>
        <w:pStyle w:val="56"/>
        <w:spacing w:line="360" w:lineRule="auto"/>
        <w:ind w:firstLine="420"/>
      </w:pPr>
      <w:r>
        <w:rPr>
          <w:rFonts w:hint="eastAsia"/>
        </w:rPr>
        <w:t>应根据项目实施经验、技术发展趋势和相关标准的更新，对数据采集方法、信息化处理流程和管理机制进行定期评估与优化。持续改进可通过引入新型传感器、升级数据处理软件、优化数据库结构、提高模型构建精度等方式实现。应建立反馈机制，将数据使用部门的意见和实际工程中的表现作为改进的重要依据。</w:t>
      </w:r>
    </w:p>
    <w:p w14:paraId="788F8A49">
      <w:pPr>
        <w:pStyle w:val="104"/>
        <w:spacing w:before="240" w:after="240" w:line="360" w:lineRule="auto"/>
      </w:pPr>
      <w:bookmarkStart w:id="52" w:name="_Toc205746772"/>
      <w:r>
        <w:rPr>
          <w:rFonts w:hint="eastAsia"/>
        </w:rPr>
        <w:t>数据采集</w:t>
      </w:r>
      <w:bookmarkEnd w:id="52"/>
    </w:p>
    <w:p w14:paraId="1AD4A40A">
      <w:pPr>
        <w:pStyle w:val="105"/>
        <w:spacing w:before="120" w:after="120" w:line="360" w:lineRule="auto"/>
      </w:pPr>
      <w:r>
        <w:rPr>
          <w:rFonts w:hint="eastAsia"/>
        </w:rPr>
        <w:t>采集前准备</w:t>
      </w:r>
    </w:p>
    <w:p w14:paraId="03AF57E7">
      <w:pPr>
        <w:pStyle w:val="56"/>
        <w:spacing w:line="360" w:lineRule="auto"/>
        <w:ind w:firstLine="420"/>
        <w:rPr>
          <w:rFonts w:hint="eastAsia"/>
        </w:rPr>
      </w:pPr>
      <w:r>
        <w:rPr>
          <w:rFonts w:hint="eastAsia"/>
        </w:rPr>
        <w:t>数据采集是岩土工程勘察工作的核心环节，其质量直接决定信息化处理成果的可靠性。本章对采集准备、设备配置、采集方法、精度控制等提出具体要求。</w:t>
      </w:r>
    </w:p>
    <w:p w14:paraId="6AA5C528">
      <w:pPr>
        <w:pStyle w:val="56"/>
        <w:spacing w:line="360" w:lineRule="auto"/>
        <w:ind w:firstLine="420"/>
      </w:pPr>
      <w:r>
        <w:rPr>
          <w:rFonts w:hint="eastAsia"/>
        </w:rPr>
        <w:t>在数据采集前，应依据勘察任务书和勘察设计文件，明确采集目标、采集范围、精度要求和数据类型。应完成以下工作：</w:t>
      </w:r>
    </w:p>
    <w:p w14:paraId="5CBACCB3">
      <w:pPr>
        <w:pStyle w:val="132"/>
        <w:spacing w:line="360" w:lineRule="auto"/>
      </w:pPr>
      <w:r>
        <w:rPr>
          <w:rFonts w:hint="eastAsia"/>
        </w:rPr>
        <w:t>对采集区域进行现场踏勘，确认地形条件和交通状况；</w:t>
      </w:r>
    </w:p>
    <w:p w14:paraId="49F520D5">
      <w:pPr>
        <w:pStyle w:val="132"/>
        <w:spacing w:line="360" w:lineRule="auto"/>
      </w:pPr>
      <w:r>
        <w:rPr>
          <w:rFonts w:hint="eastAsia"/>
        </w:rPr>
        <w:t>检查采集设备的完好性与校准状态；</w:t>
      </w:r>
    </w:p>
    <w:p w14:paraId="0C87062C">
      <w:pPr>
        <w:pStyle w:val="132"/>
        <w:spacing w:line="360" w:lineRule="auto"/>
      </w:pPr>
      <w:r>
        <w:rPr>
          <w:rFonts w:hint="eastAsia"/>
        </w:rPr>
        <w:t>制定采集方案与质量控制计划；</w:t>
      </w:r>
    </w:p>
    <w:p w14:paraId="4BFF8932">
      <w:pPr>
        <w:pStyle w:val="132"/>
        <w:spacing w:line="360" w:lineRule="auto"/>
      </w:pPr>
      <w:r>
        <w:rPr>
          <w:rFonts w:hint="eastAsia"/>
        </w:rPr>
        <w:t>配备充足的备份设备与耗材。</w:t>
      </w:r>
    </w:p>
    <w:p w14:paraId="031A2C17">
      <w:pPr>
        <w:pStyle w:val="105"/>
        <w:spacing w:before="120" w:after="120" w:line="360" w:lineRule="auto"/>
      </w:pPr>
      <w:r>
        <w:rPr>
          <w:rFonts w:hint="eastAsia"/>
        </w:rPr>
        <w:t>设备配置要求</w:t>
      </w:r>
    </w:p>
    <w:p w14:paraId="1E1A11F3">
      <w:pPr>
        <w:pStyle w:val="56"/>
        <w:spacing w:line="360" w:lineRule="auto"/>
        <w:ind w:firstLine="420"/>
      </w:pPr>
      <w:r>
        <w:rPr>
          <w:rFonts w:hint="eastAsia"/>
        </w:rPr>
        <w:t>采集设备应符合国家及行业标准，精度等级应满足勘察任务的要求。常用设备包括钻探设备、原位测试仪器、取样器、地球物理探测仪、GPS/GNSS 定位系统、数据采集终端等。</w:t>
      </w:r>
    </w:p>
    <w:p w14:paraId="692F5578">
      <w:pPr>
        <w:pStyle w:val="56"/>
        <w:spacing w:line="360" w:lineRule="auto"/>
        <w:ind w:firstLine="420"/>
      </w:pPr>
      <w:r>
        <w:rPr>
          <w:rFonts w:hint="eastAsia"/>
        </w:rPr>
        <w:t>为便于选择和配置，列出了常用采集设备及主要技术指标，如表1所示：</w:t>
      </w:r>
    </w:p>
    <w:p w14:paraId="2A62EE40">
      <w:pPr>
        <w:pStyle w:val="112"/>
        <w:spacing w:before="120" w:after="120" w:line="360" w:lineRule="auto"/>
      </w:pPr>
      <w:r>
        <w:rPr>
          <w:rFonts w:hint="eastAsia"/>
        </w:rPr>
        <w:t>常用数据采集设备及技术指标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15436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4" w:type="dxa"/>
            <w:tcBorders>
              <w:top w:val="single" w:color="auto" w:sz="8" w:space="0"/>
              <w:bottom w:val="single" w:color="auto" w:sz="8" w:space="0"/>
            </w:tcBorders>
          </w:tcPr>
          <w:p w14:paraId="08BD4A2C">
            <w:pPr>
              <w:pStyle w:val="178"/>
            </w:pPr>
            <w:r>
              <w:rPr>
                <w:rFonts w:hint="eastAsia"/>
              </w:rPr>
              <w:t>设备类型</w:t>
            </w:r>
          </w:p>
        </w:tc>
        <w:tc>
          <w:tcPr>
            <w:tcW w:w="2333" w:type="dxa"/>
            <w:tcBorders>
              <w:top w:val="single" w:color="auto" w:sz="8" w:space="0"/>
              <w:bottom w:val="single" w:color="auto" w:sz="8" w:space="0"/>
            </w:tcBorders>
          </w:tcPr>
          <w:p w14:paraId="60D31E2C">
            <w:pPr>
              <w:pStyle w:val="178"/>
            </w:pPr>
            <w:r>
              <w:rPr>
                <w:rFonts w:hint="eastAsia"/>
              </w:rPr>
              <w:t>主要用途</w:t>
            </w:r>
          </w:p>
        </w:tc>
        <w:tc>
          <w:tcPr>
            <w:tcW w:w="2333" w:type="dxa"/>
            <w:tcBorders>
              <w:top w:val="single" w:color="auto" w:sz="8" w:space="0"/>
              <w:bottom w:val="single" w:color="auto" w:sz="8" w:space="0"/>
            </w:tcBorders>
          </w:tcPr>
          <w:p w14:paraId="1E3973ED">
            <w:pPr>
              <w:pStyle w:val="178"/>
            </w:pPr>
            <w:r>
              <w:rPr>
                <w:rFonts w:hint="eastAsia"/>
              </w:rPr>
              <w:t>技术指标</w:t>
            </w:r>
          </w:p>
        </w:tc>
        <w:tc>
          <w:tcPr>
            <w:tcW w:w="2334" w:type="dxa"/>
            <w:tcBorders>
              <w:top w:val="single" w:color="auto" w:sz="8" w:space="0"/>
              <w:bottom w:val="single" w:color="auto" w:sz="8" w:space="0"/>
            </w:tcBorders>
          </w:tcPr>
          <w:p w14:paraId="1D20FAD4">
            <w:pPr>
              <w:pStyle w:val="178"/>
            </w:pPr>
            <w:r>
              <w:rPr>
                <w:rFonts w:hint="eastAsia"/>
              </w:rPr>
              <w:t>校准周期</w:t>
            </w:r>
          </w:p>
        </w:tc>
      </w:tr>
      <w:tr w14:paraId="2F34C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tcPr>
          <w:p w14:paraId="559B46C2">
            <w:pPr>
              <w:pStyle w:val="178"/>
            </w:pPr>
            <w:r>
              <w:rPr>
                <w:rFonts w:hint="eastAsia"/>
              </w:rPr>
              <w:t>GPS/GNSS定位仪</w:t>
            </w:r>
          </w:p>
        </w:tc>
        <w:tc>
          <w:tcPr>
            <w:tcW w:w="2333" w:type="dxa"/>
            <w:tcBorders>
              <w:top w:val="single" w:color="auto" w:sz="8" w:space="0"/>
            </w:tcBorders>
          </w:tcPr>
          <w:p w14:paraId="40F66255">
            <w:pPr>
              <w:pStyle w:val="178"/>
            </w:pPr>
            <w:r>
              <w:rPr>
                <w:rFonts w:hint="eastAsia"/>
              </w:rPr>
              <w:t>点位坐标测量</w:t>
            </w:r>
          </w:p>
        </w:tc>
        <w:tc>
          <w:tcPr>
            <w:tcW w:w="2333" w:type="dxa"/>
            <w:tcBorders>
              <w:top w:val="single" w:color="auto" w:sz="8" w:space="0"/>
            </w:tcBorders>
          </w:tcPr>
          <w:p w14:paraId="47273942">
            <w:pPr>
              <w:pStyle w:val="178"/>
            </w:pPr>
            <w:r>
              <w:rPr>
                <w:rFonts w:hint="eastAsia"/>
              </w:rPr>
              <w:t>平面精度≤±5cm</w:t>
            </w:r>
          </w:p>
        </w:tc>
        <w:tc>
          <w:tcPr>
            <w:tcW w:w="2334" w:type="dxa"/>
            <w:tcBorders>
              <w:top w:val="single" w:color="auto" w:sz="8" w:space="0"/>
            </w:tcBorders>
          </w:tcPr>
          <w:p w14:paraId="46CC85C6">
            <w:pPr>
              <w:pStyle w:val="178"/>
            </w:pPr>
            <w:r>
              <w:rPr>
                <w:rFonts w:hint="eastAsia"/>
              </w:rPr>
              <w:t>6个月</w:t>
            </w:r>
          </w:p>
        </w:tc>
      </w:tr>
      <w:tr w14:paraId="092AF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Pr>
          <w:p w14:paraId="17A4A650">
            <w:pPr>
              <w:pStyle w:val="178"/>
            </w:pPr>
            <w:r>
              <w:rPr>
                <w:rFonts w:hint="eastAsia"/>
              </w:rPr>
              <w:t>全站仪</w:t>
            </w:r>
          </w:p>
        </w:tc>
        <w:tc>
          <w:tcPr>
            <w:tcW w:w="2333" w:type="dxa"/>
          </w:tcPr>
          <w:p w14:paraId="228D04FC">
            <w:pPr>
              <w:pStyle w:val="178"/>
            </w:pPr>
            <w:r>
              <w:rPr>
                <w:rFonts w:hint="eastAsia"/>
              </w:rPr>
              <w:t>地形与构筑物测量</w:t>
            </w:r>
          </w:p>
        </w:tc>
        <w:tc>
          <w:tcPr>
            <w:tcW w:w="2333" w:type="dxa"/>
          </w:tcPr>
          <w:p w14:paraId="1704FAAF">
            <w:pPr>
              <w:pStyle w:val="178"/>
            </w:pPr>
            <w:r>
              <w:rPr>
                <w:rFonts w:hint="eastAsia"/>
              </w:rPr>
              <w:t>测距精度±(2mm+2ppm)</w:t>
            </w:r>
          </w:p>
        </w:tc>
        <w:tc>
          <w:tcPr>
            <w:tcW w:w="2334" w:type="dxa"/>
          </w:tcPr>
          <w:p w14:paraId="3511DBD3">
            <w:pPr>
              <w:pStyle w:val="178"/>
            </w:pPr>
            <w:r>
              <w:rPr>
                <w:rFonts w:hint="eastAsia"/>
              </w:rPr>
              <w:t>12个月</w:t>
            </w:r>
          </w:p>
        </w:tc>
      </w:tr>
      <w:tr w14:paraId="02AA7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Pr>
          <w:p w14:paraId="5021FD18">
            <w:pPr>
              <w:pStyle w:val="178"/>
            </w:pPr>
            <w:r>
              <w:rPr>
                <w:rFonts w:hint="eastAsia"/>
              </w:rPr>
              <w:t>静力触探仪</w:t>
            </w:r>
          </w:p>
        </w:tc>
        <w:tc>
          <w:tcPr>
            <w:tcW w:w="2333" w:type="dxa"/>
          </w:tcPr>
          <w:p w14:paraId="42F76CB7">
            <w:pPr>
              <w:pStyle w:val="178"/>
            </w:pPr>
            <w:r>
              <w:rPr>
                <w:rFonts w:hint="eastAsia"/>
              </w:rPr>
              <w:t>原位力学参数测试</w:t>
            </w:r>
          </w:p>
        </w:tc>
        <w:tc>
          <w:tcPr>
            <w:tcW w:w="2333" w:type="dxa"/>
          </w:tcPr>
          <w:p w14:paraId="29129102">
            <w:pPr>
              <w:pStyle w:val="178"/>
            </w:pPr>
            <w:r>
              <w:rPr>
                <w:rFonts w:hint="eastAsia"/>
              </w:rPr>
              <w:t>分辨率0.01MPa</w:t>
            </w:r>
          </w:p>
        </w:tc>
        <w:tc>
          <w:tcPr>
            <w:tcW w:w="2334" w:type="dxa"/>
          </w:tcPr>
          <w:p w14:paraId="4851BC1D">
            <w:pPr>
              <w:pStyle w:val="178"/>
            </w:pPr>
            <w:r>
              <w:rPr>
                <w:rFonts w:hint="eastAsia"/>
              </w:rPr>
              <w:t>每次作业前</w:t>
            </w:r>
          </w:p>
        </w:tc>
      </w:tr>
    </w:tbl>
    <w:p w14:paraId="453060DA">
      <w:pPr>
        <w:pStyle w:val="56"/>
        <w:spacing w:before="120" w:beforeLines="50" w:after="120" w:afterLines="50"/>
        <w:ind w:firstLine="0" w:firstLineChars="0"/>
        <w:jc w:val="center"/>
        <w:rPr>
          <w:rFonts w:ascii="黑体" w:hAnsi="黑体" w:eastAsia="黑体"/>
        </w:rPr>
      </w:pPr>
      <w:r>
        <w:rPr>
          <w:rFonts w:hint="eastAsia" w:ascii="黑体" w:hAnsi="黑体" w:eastAsia="黑体"/>
        </w:rPr>
        <w:t>表1  常用数据采集设备及技术指标</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7B9E4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tcPr>
          <w:p w14:paraId="6C0063AF">
            <w:pPr>
              <w:pStyle w:val="178"/>
            </w:pPr>
            <w:r>
              <w:rPr>
                <w:rFonts w:hint="eastAsia"/>
              </w:rPr>
              <w:t>设备类型</w:t>
            </w:r>
          </w:p>
        </w:tc>
        <w:tc>
          <w:tcPr>
            <w:tcW w:w="2333" w:type="dxa"/>
            <w:tcBorders>
              <w:top w:val="single" w:color="auto" w:sz="8" w:space="0"/>
              <w:bottom w:val="single" w:color="auto" w:sz="8" w:space="0"/>
            </w:tcBorders>
          </w:tcPr>
          <w:p w14:paraId="65FD1E44">
            <w:pPr>
              <w:pStyle w:val="178"/>
            </w:pPr>
            <w:r>
              <w:rPr>
                <w:rFonts w:hint="eastAsia"/>
              </w:rPr>
              <w:t>主要用途</w:t>
            </w:r>
          </w:p>
        </w:tc>
        <w:tc>
          <w:tcPr>
            <w:tcW w:w="2333" w:type="dxa"/>
            <w:tcBorders>
              <w:top w:val="single" w:color="auto" w:sz="8" w:space="0"/>
              <w:bottom w:val="single" w:color="auto" w:sz="8" w:space="0"/>
            </w:tcBorders>
          </w:tcPr>
          <w:p w14:paraId="3A7F13E9">
            <w:pPr>
              <w:pStyle w:val="178"/>
            </w:pPr>
            <w:r>
              <w:rPr>
                <w:rFonts w:hint="eastAsia"/>
              </w:rPr>
              <w:t>技术指标</w:t>
            </w:r>
          </w:p>
        </w:tc>
        <w:tc>
          <w:tcPr>
            <w:tcW w:w="2334" w:type="dxa"/>
            <w:tcBorders>
              <w:top w:val="single" w:color="auto" w:sz="8" w:space="0"/>
              <w:bottom w:val="single" w:color="auto" w:sz="8" w:space="0"/>
            </w:tcBorders>
          </w:tcPr>
          <w:p w14:paraId="382B9920">
            <w:pPr>
              <w:pStyle w:val="178"/>
            </w:pPr>
            <w:r>
              <w:rPr>
                <w:rFonts w:hint="eastAsia"/>
              </w:rPr>
              <w:t>校准周期</w:t>
            </w:r>
          </w:p>
        </w:tc>
      </w:tr>
      <w:tr w14:paraId="54E41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Pr>
          <w:p w14:paraId="4F239583">
            <w:pPr>
              <w:pStyle w:val="178"/>
            </w:pPr>
            <w:r>
              <w:rPr>
                <w:rFonts w:hint="eastAsia"/>
              </w:rPr>
              <w:t>钻机</w:t>
            </w:r>
          </w:p>
        </w:tc>
        <w:tc>
          <w:tcPr>
            <w:tcW w:w="2333" w:type="dxa"/>
          </w:tcPr>
          <w:p w14:paraId="232BB48F">
            <w:pPr>
              <w:pStyle w:val="178"/>
            </w:pPr>
            <w:r>
              <w:rPr>
                <w:rFonts w:hint="eastAsia"/>
              </w:rPr>
              <w:t>取样与地层揭露</w:t>
            </w:r>
          </w:p>
        </w:tc>
        <w:tc>
          <w:tcPr>
            <w:tcW w:w="2333" w:type="dxa"/>
          </w:tcPr>
          <w:p w14:paraId="5EBA8FFD">
            <w:pPr>
              <w:pStyle w:val="178"/>
            </w:pPr>
            <w:r>
              <w:rPr>
                <w:rFonts w:hint="eastAsia"/>
              </w:rPr>
              <w:t>孔深精度±0.1m</w:t>
            </w:r>
          </w:p>
        </w:tc>
        <w:tc>
          <w:tcPr>
            <w:tcW w:w="2334" w:type="dxa"/>
          </w:tcPr>
          <w:p w14:paraId="3632C609">
            <w:pPr>
              <w:pStyle w:val="178"/>
            </w:pPr>
            <w:r>
              <w:rPr>
                <w:rFonts w:hint="eastAsia"/>
              </w:rPr>
              <w:t>每季度</w:t>
            </w:r>
          </w:p>
        </w:tc>
      </w:tr>
      <w:tr w14:paraId="318C0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Pr>
          <w:p w14:paraId="4DEE2B52">
            <w:pPr>
              <w:pStyle w:val="178"/>
            </w:pPr>
            <w:r>
              <w:rPr>
                <w:rFonts w:hint="eastAsia"/>
              </w:rPr>
              <w:t>地质雷达</w:t>
            </w:r>
          </w:p>
        </w:tc>
        <w:tc>
          <w:tcPr>
            <w:tcW w:w="2333" w:type="dxa"/>
          </w:tcPr>
          <w:p w14:paraId="4500B6B7">
            <w:pPr>
              <w:pStyle w:val="178"/>
            </w:pPr>
            <w:r>
              <w:rPr>
                <w:rFonts w:hint="eastAsia"/>
              </w:rPr>
              <w:t>地下构造探测</w:t>
            </w:r>
          </w:p>
        </w:tc>
        <w:tc>
          <w:tcPr>
            <w:tcW w:w="2333" w:type="dxa"/>
          </w:tcPr>
          <w:p w14:paraId="476E60B9">
            <w:pPr>
              <w:pStyle w:val="178"/>
            </w:pPr>
            <w:r>
              <w:rPr>
                <w:rFonts w:hint="eastAsia"/>
              </w:rPr>
              <w:t>分辨率≤0.1m</w:t>
            </w:r>
          </w:p>
        </w:tc>
        <w:tc>
          <w:tcPr>
            <w:tcW w:w="2334" w:type="dxa"/>
          </w:tcPr>
          <w:p w14:paraId="708175AA">
            <w:pPr>
              <w:pStyle w:val="178"/>
            </w:pPr>
            <w:r>
              <w:rPr>
                <w:rFonts w:hint="eastAsia"/>
              </w:rPr>
              <w:t>每季度</w:t>
            </w:r>
          </w:p>
        </w:tc>
      </w:tr>
    </w:tbl>
    <w:p w14:paraId="3D1A612D">
      <w:pPr>
        <w:pStyle w:val="105"/>
        <w:spacing w:before="120" w:after="120" w:line="360" w:lineRule="auto"/>
      </w:pPr>
      <w:r>
        <w:rPr>
          <w:rFonts w:hint="eastAsia"/>
        </w:rPr>
        <w:t>数据采集方法</w:t>
      </w:r>
    </w:p>
    <w:p w14:paraId="380EE17A">
      <w:pPr>
        <w:pStyle w:val="56"/>
        <w:spacing w:line="360" w:lineRule="auto"/>
        <w:ind w:firstLine="420"/>
      </w:pPr>
      <w:r>
        <w:rPr>
          <w:rFonts w:hint="eastAsia"/>
        </w:rPr>
        <w:t>数据采集方法应根据勘察类型、地质条件和技术要求选用，包括：</w:t>
      </w:r>
    </w:p>
    <w:p w14:paraId="70CA35A1">
      <w:pPr>
        <w:pStyle w:val="132"/>
        <w:spacing w:line="360" w:lineRule="auto"/>
      </w:pPr>
      <w:r>
        <w:rPr>
          <w:rFonts w:hint="eastAsia"/>
        </w:rPr>
        <w:t>钻探与取样：采用回转钻进、冲击钻进、静压取样等方法获取土样、岩样，样品应按编号封装，并附采样记录；</w:t>
      </w:r>
    </w:p>
    <w:p w14:paraId="5940A366">
      <w:pPr>
        <w:pStyle w:val="132"/>
        <w:spacing w:line="360" w:lineRule="auto"/>
      </w:pPr>
      <w:r>
        <w:rPr>
          <w:rFonts w:hint="eastAsia"/>
        </w:rPr>
        <w:t>原位测试：包括标准贯入试验、静力触探、十字板剪切试验等，测试过程应记录原始读数和试验条件；</w:t>
      </w:r>
    </w:p>
    <w:p w14:paraId="0DB7F344">
      <w:pPr>
        <w:pStyle w:val="132"/>
        <w:spacing w:line="360" w:lineRule="auto"/>
      </w:pPr>
      <w:r>
        <w:rPr>
          <w:rFonts w:hint="eastAsia"/>
        </w:rPr>
        <w:t>地球物理探测：如地质雷达、电阻率测量、地震波探测等，应与钻探成果进行对比验证；</w:t>
      </w:r>
    </w:p>
    <w:p w14:paraId="305AD961">
      <w:pPr>
        <w:pStyle w:val="132"/>
        <w:spacing w:line="360" w:lineRule="auto"/>
      </w:pPr>
      <w:r>
        <w:rPr>
          <w:rFonts w:hint="eastAsia"/>
        </w:rPr>
        <w:t>水文地质观测：包括地下水位监测、水质采样与分析，观测周期和方法应满足设计要求。</w:t>
      </w:r>
    </w:p>
    <w:p w14:paraId="2E8C77C7">
      <w:pPr>
        <w:pStyle w:val="105"/>
        <w:spacing w:before="120" w:after="120" w:line="360" w:lineRule="auto"/>
      </w:pPr>
      <w:r>
        <w:rPr>
          <w:rFonts w:hint="eastAsia"/>
        </w:rPr>
        <w:t>数据精度与质量控制</w:t>
      </w:r>
    </w:p>
    <w:p w14:paraId="5DDBCAE2">
      <w:pPr>
        <w:pStyle w:val="56"/>
        <w:spacing w:line="360" w:lineRule="auto"/>
        <w:ind w:firstLine="420"/>
      </w:pPr>
      <w:r>
        <w:rPr>
          <w:rFonts w:hint="eastAsia"/>
        </w:rPr>
        <w:t>在采集过程中，应实时检查数据的完整性与合理性。关键数据应采用双重记录方式，并在采集现场进行初步复核。对出现异常的数据，应立即复测或记录原因。</w:t>
      </w:r>
    </w:p>
    <w:p w14:paraId="540325C7">
      <w:pPr>
        <w:pStyle w:val="56"/>
        <w:spacing w:line="360" w:lineRule="auto"/>
        <w:ind w:firstLine="420"/>
      </w:pPr>
      <w:r>
        <w:rPr>
          <w:rFonts w:hint="eastAsia"/>
        </w:rPr>
        <w:t>为明确精度控制要求，不同类型数据的精度要求及控制措施如表2所示：</w:t>
      </w:r>
    </w:p>
    <w:p w14:paraId="0F48701E">
      <w:pPr>
        <w:pStyle w:val="112"/>
        <w:spacing w:before="120" w:after="120" w:line="360" w:lineRule="auto"/>
      </w:pPr>
      <w:r>
        <w:rPr>
          <w:rFonts w:hint="eastAsia"/>
        </w:rPr>
        <w:t>数据精度要求与控制措施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2268"/>
        <w:gridCol w:w="4524"/>
      </w:tblGrid>
      <w:tr w14:paraId="4B223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bottom w:val="single" w:color="auto" w:sz="8" w:space="0"/>
            </w:tcBorders>
          </w:tcPr>
          <w:p w14:paraId="6226B1F8">
            <w:pPr>
              <w:pStyle w:val="178"/>
            </w:pPr>
            <w:r>
              <w:rPr>
                <w:rFonts w:hint="eastAsia"/>
              </w:rPr>
              <w:t>数据类型</w:t>
            </w:r>
          </w:p>
        </w:tc>
        <w:tc>
          <w:tcPr>
            <w:tcW w:w="2268" w:type="dxa"/>
            <w:tcBorders>
              <w:top w:val="single" w:color="auto" w:sz="8" w:space="0"/>
              <w:bottom w:val="single" w:color="auto" w:sz="8" w:space="0"/>
            </w:tcBorders>
          </w:tcPr>
          <w:p w14:paraId="01865283">
            <w:pPr>
              <w:pStyle w:val="178"/>
            </w:pPr>
            <w:r>
              <w:rPr>
                <w:rFonts w:hint="eastAsia"/>
              </w:rPr>
              <w:t>精度要求</w:t>
            </w:r>
          </w:p>
        </w:tc>
        <w:tc>
          <w:tcPr>
            <w:tcW w:w="4524" w:type="dxa"/>
            <w:tcBorders>
              <w:top w:val="single" w:color="auto" w:sz="8" w:space="0"/>
              <w:bottom w:val="single" w:color="auto" w:sz="8" w:space="0"/>
            </w:tcBorders>
          </w:tcPr>
          <w:p w14:paraId="19180FC8">
            <w:pPr>
              <w:pStyle w:val="178"/>
            </w:pPr>
            <w:r>
              <w:rPr>
                <w:rFonts w:hint="eastAsia"/>
              </w:rPr>
              <w:t>控制措施</w:t>
            </w:r>
          </w:p>
        </w:tc>
      </w:tr>
      <w:tr w14:paraId="7DF72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Borders>
              <w:top w:val="single" w:color="auto" w:sz="8" w:space="0"/>
            </w:tcBorders>
          </w:tcPr>
          <w:p w14:paraId="7B472806">
            <w:pPr>
              <w:pStyle w:val="178"/>
            </w:pPr>
            <w:r>
              <w:rPr>
                <w:rFonts w:hint="eastAsia"/>
              </w:rPr>
              <w:t>平面坐标</w:t>
            </w:r>
          </w:p>
        </w:tc>
        <w:tc>
          <w:tcPr>
            <w:tcW w:w="2268" w:type="dxa"/>
            <w:tcBorders>
              <w:top w:val="single" w:color="auto" w:sz="8" w:space="0"/>
            </w:tcBorders>
          </w:tcPr>
          <w:p w14:paraId="73D771C0">
            <w:pPr>
              <w:pStyle w:val="178"/>
            </w:pPr>
            <w:r>
              <w:rPr>
                <w:rFonts w:hint="eastAsia"/>
              </w:rPr>
              <w:t>≤±5cm</w:t>
            </w:r>
          </w:p>
        </w:tc>
        <w:tc>
          <w:tcPr>
            <w:tcW w:w="4524" w:type="dxa"/>
            <w:tcBorders>
              <w:top w:val="single" w:color="auto" w:sz="8" w:space="0"/>
            </w:tcBorders>
          </w:tcPr>
          <w:p w14:paraId="2B33D175">
            <w:pPr>
              <w:pStyle w:val="178"/>
            </w:pPr>
            <w:r>
              <w:rPr>
                <w:rFonts w:hint="eastAsia"/>
              </w:rPr>
              <w:t>使用差分GNSS，采集前校验基准站</w:t>
            </w:r>
          </w:p>
        </w:tc>
      </w:tr>
      <w:tr w14:paraId="7C49E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0ED1EC83">
            <w:pPr>
              <w:pStyle w:val="178"/>
            </w:pPr>
            <w:r>
              <w:rPr>
                <w:rFonts w:hint="eastAsia"/>
              </w:rPr>
              <w:t>高程</w:t>
            </w:r>
          </w:p>
        </w:tc>
        <w:tc>
          <w:tcPr>
            <w:tcW w:w="2268" w:type="dxa"/>
          </w:tcPr>
          <w:p w14:paraId="266B205A">
            <w:pPr>
              <w:pStyle w:val="178"/>
            </w:pPr>
            <w:r>
              <w:rPr>
                <w:rFonts w:hint="eastAsia"/>
              </w:rPr>
              <w:t>≤±3cm</w:t>
            </w:r>
          </w:p>
        </w:tc>
        <w:tc>
          <w:tcPr>
            <w:tcW w:w="4524" w:type="dxa"/>
          </w:tcPr>
          <w:p w14:paraId="76C4F076">
            <w:pPr>
              <w:pStyle w:val="178"/>
            </w:pPr>
            <w:r>
              <w:rPr>
                <w:rFonts w:hint="eastAsia"/>
              </w:rPr>
              <w:t>使用水准仪，闭合差控制在允许范围</w:t>
            </w:r>
          </w:p>
        </w:tc>
      </w:tr>
      <w:tr w14:paraId="5A165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396CC25F">
            <w:pPr>
              <w:pStyle w:val="178"/>
            </w:pPr>
            <w:r>
              <w:rPr>
                <w:rFonts w:hint="eastAsia"/>
              </w:rPr>
              <w:t>钻孔深度</w:t>
            </w:r>
          </w:p>
        </w:tc>
        <w:tc>
          <w:tcPr>
            <w:tcW w:w="2268" w:type="dxa"/>
          </w:tcPr>
          <w:p w14:paraId="1C6993CD">
            <w:pPr>
              <w:pStyle w:val="178"/>
            </w:pPr>
            <w:r>
              <w:rPr>
                <w:rFonts w:hint="eastAsia"/>
              </w:rPr>
              <w:t>≤±0.1m</w:t>
            </w:r>
          </w:p>
        </w:tc>
        <w:tc>
          <w:tcPr>
            <w:tcW w:w="4524" w:type="dxa"/>
          </w:tcPr>
          <w:p w14:paraId="1957D86C">
            <w:pPr>
              <w:pStyle w:val="178"/>
            </w:pPr>
            <w:r>
              <w:rPr>
                <w:rFonts w:hint="eastAsia"/>
              </w:rPr>
              <w:t>设立深度标尺，分段复核</w:t>
            </w:r>
          </w:p>
        </w:tc>
      </w:tr>
      <w:tr w14:paraId="0BE7C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26E7C6B0">
            <w:pPr>
              <w:pStyle w:val="178"/>
            </w:pPr>
            <w:r>
              <w:rPr>
                <w:rFonts w:hint="eastAsia"/>
              </w:rPr>
              <w:t>原位测试参数</w:t>
            </w:r>
          </w:p>
        </w:tc>
        <w:tc>
          <w:tcPr>
            <w:tcW w:w="2268" w:type="dxa"/>
          </w:tcPr>
          <w:p w14:paraId="24BE1126">
            <w:pPr>
              <w:pStyle w:val="178"/>
            </w:pPr>
            <w:r>
              <w:rPr>
                <w:rFonts w:hint="eastAsia"/>
              </w:rPr>
              <w:t>≤±2%</w:t>
            </w:r>
          </w:p>
        </w:tc>
        <w:tc>
          <w:tcPr>
            <w:tcW w:w="4524" w:type="dxa"/>
          </w:tcPr>
          <w:p w14:paraId="2AA4B606">
            <w:pPr>
              <w:pStyle w:val="178"/>
            </w:pPr>
            <w:r>
              <w:rPr>
                <w:rFonts w:hint="eastAsia"/>
              </w:rPr>
              <w:t>定期校准测试设备，双人同步记录</w:t>
            </w:r>
          </w:p>
        </w:tc>
      </w:tr>
      <w:tr w14:paraId="4E9EE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542" w:type="dxa"/>
          </w:tcPr>
          <w:p w14:paraId="55F5DD40">
            <w:pPr>
              <w:pStyle w:val="178"/>
            </w:pPr>
            <w:r>
              <w:rPr>
                <w:rFonts w:hint="eastAsia"/>
              </w:rPr>
              <w:t>地球物理探测数据</w:t>
            </w:r>
          </w:p>
        </w:tc>
        <w:tc>
          <w:tcPr>
            <w:tcW w:w="2268" w:type="dxa"/>
          </w:tcPr>
          <w:p w14:paraId="5435C7BA">
            <w:pPr>
              <w:pStyle w:val="178"/>
            </w:pPr>
            <w:r>
              <w:rPr>
                <w:rFonts w:hint="eastAsia"/>
              </w:rPr>
              <w:t>≤±5%</w:t>
            </w:r>
          </w:p>
        </w:tc>
        <w:tc>
          <w:tcPr>
            <w:tcW w:w="4524" w:type="dxa"/>
          </w:tcPr>
          <w:p w14:paraId="2E3BFE7E">
            <w:pPr>
              <w:pStyle w:val="178"/>
            </w:pPr>
            <w:r>
              <w:rPr>
                <w:rFonts w:hint="eastAsia"/>
              </w:rPr>
              <w:t>多次测量取平均值，与钻探数据比对</w:t>
            </w:r>
          </w:p>
        </w:tc>
      </w:tr>
    </w:tbl>
    <w:p w14:paraId="7550E9C5">
      <w:pPr>
        <w:pStyle w:val="105"/>
        <w:spacing w:before="120" w:after="120" w:line="360" w:lineRule="auto"/>
      </w:pPr>
      <w:r>
        <w:rPr>
          <w:rFonts w:hint="eastAsia"/>
        </w:rPr>
        <w:t>数据记录与存储</w:t>
      </w:r>
    </w:p>
    <w:p w14:paraId="285226B2">
      <w:pPr>
        <w:pStyle w:val="56"/>
        <w:spacing w:line="360" w:lineRule="auto"/>
        <w:ind w:firstLine="420"/>
      </w:pPr>
      <w:r>
        <w:rPr>
          <w:rFonts w:hint="eastAsia"/>
        </w:rPr>
        <w:t>所有采集数据应采用电子化记录方式，并同步保存至现场数据终端及云端服务器，确保数据的安全性和可追溯性。记录内容应包括采集日期、采集人员、设备型号、测点位置、测试条件和原始读数。</w:t>
      </w:r>
    </w:p>
    <w:p w14:paraId="7DDF0CA7">
      <w:pPr>
        <w:pStyle w:val="104"/>
        <w:spacing w:before="240" w:after="240" w:line="360" w:lineRule="auto"/>
      </w:pPr>
      <w:bookmarkStart w:id="53" w:name="_Toc205746773"/>
      <w:r>
        <w:rPr>
          <w:rFonts w:hint="eastAsia"/>
        </w:rPr>
        <w:t>信息化处理</w:t>
      </w:r>
      <w:bookmarkEnd w:id="53"/>
    </w:p>
    <w:p w14:paraId="779F19AE">
      <w:pPr>
        <w:pStyle w:val="105"/>
        <w:spacing w:before="120" w:after="120" w:line="360" w:lineRule="auto"/>
      </w:pPr>
      <w:r>
        <w:rPr>
          <w:rFonts w:hint="eastAsia"/>
        </w:rPr>
        <w:t>数据录入与格式统一</w:t>
      </w:r>
    </w:p>
    <w:p w14:paraId="2DA92531">
      <w:pPr>
        <w:pStyle w:val="56"/>
        <w:spacing w:line="360" w:lineRule="auto"/>
        <w:ind w:firstLine="420"/>
      </w:pPr>
      <w:r>
        <w:rPr>
          <w:rFonts w:hint="eastAsia"/>
        </w:rPr>
        <w:t>所有采集数据应在采集完成后第一时间录入信息化管理系统，录入过程必须遵守统一的坐标系统、编码规则、字段命名和单位制。不同来源的数据在录入前应进行格式转换，确保与数据库结构兼容。录入人员应对照原始记录逐项核对，避免数据遗漏、重复或错误。</w:t>
      </w:r>
    </w:p>
    <w:p w14:paraId="45BDC0CD">
      <w:pPr>
        <w:pStyle w:val="105"/>
        <w:spacing w:before="120" w:after="120" w:line="360" w:lineRule="auto"/>
      </w:pPr>
      <w:r>
        <w:rPr>
          <w:rFonts w:hint="eastAsia"/>
        </w:rPr>
        <w:t>数据清洗与预处理</w:t>
      </w:r>
    </w:p>
    <w:p w14:paraId="1B9A5CF4">
      <w:pPr>
        <w:pStyle w:val="56"/>
        <w:spacing w:line="360" w:lineRule="auto"/>
        <w:ind w:firstLine="420"/>
      </w:pPr>
      <w:r>
        <w:rPr>
          <w:rFonts w:hint="eastAsia"/>
        </w:rPr>
        <w:t>录入完成的数据必须经过清洗和预处理，以消除因采集误差、单位换算或记录疏漏导致的异常：</w:t>
      </w:r>
    </w:p>
    <w:p w14:paraId="1582FA2A">
      <w:pPr>
        <w:pStyle w:val="132"/>
        <w:spacing w:line="360" w:lineRule="auto"/>
      </w:pPr>
      <w:r>
        <w:rPr>
          <w:rFonts w:hint="eastAsia"/>
        </w:rPr>
        <w:t>异常值应通过统计分析和现场记录比对进行判定并标记；</w:t>
      </w:r>
    </w:p>
    <w:p w14:paraId="5FA72868">
      <w:pPr>
        <w:pStyle w:val="132"/>
        <w:spacing w:line="360" w:lineRule="auto"/>
      </w:pPr>
      <w:r>
        <w:rPr>
          <w:rFonts w:hint="eastAsia"/>
        </w:rPr>
        <w:t>缺失值应根据现场条件、相邻测点数据或历史数据进行合理补充；</w:t>
      </w:r>
    </w:p>
    <w:p w14:paraId="09D8A7FF">
      <w:pPr>
        <w:pStyle w:val="132"/>
        <w:spacing w:line="360" w:lineRule="auto"/>
      </w:pPr>
      <w:r>
        <w:rPr>
          <w:rFonts w:hint="eastAsia"/>
        </w:rPr>
        <w:t>坐标和高程数据必须进行统一配准，确保空间位置的一致性。</w:t>
      </w:r>
    </w:p>
    <w:p w14:paraId="50E38007">
      <w:pPr>
        <w:pStyle w:val="105"/>
        <w:spacing w:before="120" w:after="120" w:line="360" w:lineRule="auto"/>
      </w:pPr>
      <w:r>
        <w:rPr>
          <w:rFonts w:hint="eastAsia"/>
        </w:rPr>
        <w:t>多源数据融合</w:t>
      </w:r>
    </w:p>
    <w:p w14:paraId="42B3713F">
      <w:pPr>
        <w:pStyle w:val="56"/>
        <w:spacing w:line="360" w:lineRule="auto"/>
        <w:ind w:firstLine="420"/>
      </w:pPr>
      <w:r>
        <w:rPr>
          <w:rFonts w:hint="eastAsia"/>
        </w:rPr>
        <w:t>来自钻探、原位测试、室内试验、地球物理探测、遥感测绘等不同途径的数据，应在统一的坐标系和时间基准下进行整合。融合过程应确保属性信息、空间信息和时间信息的完整匹配。对于不同精度或不同时间段的数据，应采用加权融合或优先级规则处理，避免信息冲突。</w:t>
      </w:r>
    </w:p>
    <w:p w14:paraId="6A4643F7">
      <w:pPr>
        <w:pStyle w:val="105"/>
        <w:spacing w:before="120" w:after="120" w:line="360" w:lineRule="auto"/>
      </w:pPr>
      <w:r>
        <w:rPr>
          <w:rFonts w:hint="eastAsia"/>
        </w:rPr>
        <w:t>数据分析与计算</w:t>
      </w:r>
    </w:p>
    <w:p w14:paraId="24AA3911">
      <w:pPr>
        <w:pStyle w:val="56"/>
        <w:spacing w:line="360" w:lineRule="auto"/>
        <w:ind w:firstLine="420"/>
      </w:pPr>
      <w:r>
        <w:rPr>
          <w:rFonts w:hint="eastAsia"/>
        </w:rPr>
        <w:t>处理系统应具备勘察常用的分析与计算功能，包括：</w:t>
      </w:r>
    </w:p>
    <w:p w14:paraId="33B66EF3">
      <w:pPr>
        <w:pStyle w:val="132"/>
        <w:spacing w:line="360" w:lineRule="auto"/>
      </w:pPr>
      <w:r>
        <w:rPr>
          <w:rFonts w:hint="eastAsia"/>
        </w:rPr>
        <w:t>地层划分与界面确定；</w:t>
      </w:r>
    </w:p>
    <w:p w14:paraId="23627209">
      <w:pPr>
        <w:pStyle w:val="132"/>
        <w:spacing w:line="360" w:lineRule="auto"/>
      </w:pPr>
      <w:r>
        <w:rPr>
          <w:rFonts w:hint="eastAsia"/>
        </w:rPr>
        <w:t>岩土物理力学参数统计与分布分析；</w:t>
      </w:r>
    </w:p>
    <w:p w14:paraId="0BE2B3A5">
      <w:pPr>
        <w:pStyle w:val="132"/>
        <w:spacing w:line="360" w:lineRule="auto"/>
      </w:pPr>
      <w:r>
        <w:rPr>
          <w:rFonts w:hint="eastAsia"/>
        </w:rPr>
        <w:t>水文地质条件分析；</w:t>
      </w:r>
    </w:p>
    <w:p w14:paraId="47453051">
      <w:pPr>
        <w:pStyle w:val="132"/>
        <w:spacing w:line="360" w:lineRule="auto"/>
      </w:pPr>
      <w:r>
        <w:rPr>
          <w:rFonts w:hint="eastAsia"/>
        </w:rPr>
        <w:t>地质构造解释与稳定性分析；</w:t>
      </w:r>
    </w:p>
    <w:p w14:paraId="03789000">
      <w:pPr>
        <w:pStyle w:val="132"/>
        <w:spacing w:line="360" w:lineRule="auto"/>
      </w:pPr>
      <w:r>
        <w:rPr>
          <w:rFonts w:hint="eastAsia"/>
        </w:rPr>
        <w:t>基础承载力、沉降量、边坡安全系数等工程参数计算。</w:t>
      </w:r>
    </w:p>
    <w:p w14:paraId="7A9B0FC5">
      <w:pPr>
        <w:pStyle w:val="56"/>
        <w:spacing w:line="360" w:lineRule="auto"/>
        <w:ind w:firstLine="420"/>
      </w:pPr>
      <w:r>
        <w:rPr>
          <w:rFonts w:hint="eastAsia"/>
        </w:rPr>
        <w:t>所有计算步骤应记录所用方法、公式、输入参数及计算结果，并保存至项目数据库以便复查。</w:t>
      </w:r>
    </w:p>
    <w:p w14:paraId="359D0CCD">
      <w:pPr>
        <w:pStyle w:val="105"/>
        <w:spacing w:before="120" w:after="120" w:line="360" w:lineRule="auto"/>
      </w:pPr>
      <w:r>
        <w:rPr>
          <w:rFonts w:hint="eastAsia"/>
        </w:rPr>
        <w:t>可视化成果生成</w:t>
      </w:r>
    </w:p>
    <w:p w14:paraId="6500E159">
      <w:pPr>
        <w:pStyle w:val="56"/>
        <w:spacing w:line="360" w:lineRule="auto"/>
        <w:ind w:firstLine="420"/>
      </w:pPr>
      <w:r>
        <w:rPr>
          <w:rFonts w:hint="eastAsia"/>
        </w:rPr>
        <w:t>处理结果应以二维图、剖面图、三维地质模型、参数分布图等形式直观展示。图件必须标注比例尺、坐标系、图例及关键要素位置。对于重要工程或复杂地质条件，可采用三维可视化平台或BIM集成展示，实现交互式浏览和多视角分析。</w:t>
      </w:r>
    </w:p>
    <w:p w14:paraId="2B9B2A9A">
      <w:pPr>
        <w:pStyle w:val="105"/>
        <w:spacing w:before="120" w:after="120" w:line="360" w:lineRule="auto"/>
      </w:pPr>
      <w:r>
        <w:rPr>
          <w:rFonts w:hint="eastAsia"/>
        </w:rPr>
        <w:t>数据存储与备份</w:t>
      </w:r>
    </w:p>
    <w:p w14:paraId="4AFBB581">
      <w:pPr>
        <w:pStyle w:val="56"/>
        <w:spacing w:line="360" w:lineRule="auto"/>
        <w:ind w:firstLine="420"/>
      </w:pPr>
      <w:r>
        <w:rPr>
          <w:rFonts w:hint="eastAsia"/>
        </w:rPr>
        <w:t>信息化处理完成的数据和成果应按阶段归档，存储在安全的数据库中，并同时进行本地与云端备份。备份频率不应低于每周一次，重要数据应实行实时或每日自动备份。所有存储设备应具备防篡改功能，并记录访问与修改日志，确保数据安全可追溯。</w:t>
      </w:r>
    </w:p>
    <w:p w14:paraId="584AF283">
      <w:pPr>
        <w:pStyle w:val="104"/>
        <w:spacing w:before="240" w:after="240" w:line="360" w:lineRule="auto"/>
      </w:pPr>
      <w:bookmarkStart w:id="54" w:name="_Toc205746774"/>
      <w:r>
        <w:rPr>
          <w:rFonts w:hint="eastAsia"/>
        </w:rPr>
        <w:t>成果输出</w:t>
      </w:r>
      <w:bookmarkEnd w:id="54"/>
    </w:p>
    <w:p w14:paraId="032FB1DC">
      <w:pPr>
        <w:pStyle w:val="105"/>
        <w:spacing w:before="120" w:after="120" w:line="360" w:lineRule="auto"/>
      </w:pPr>
      <w:r>
        <w:rPr>
          <w:rFonts w:hint="eastAsia"/>
        </w:rPr>
        <w:t>成果文件组成</w:t>
      </w:r>
    </w:p>
    <w:p w14:paraId="7C4B518A">
      <w:pPr>
        <w:pStyle w:val="56"/>
        <w:spacing w:line="360" w:lineRule="auto"/>
        <w:ind w:firstLine="420"/>
      </w:pPr>
      <w:r>
        <w:rPr>
          <w:rFonts w:hint="eastAsia"/>
        </w:rPr>
        <w:t>成果输出是岩土工程勘察数据采集与信息化处理的收尾与交付环节，其质量不仅反映勘察工作的技术水平，还直接关系到成果在工程设计、施工、监测和运维等阶段的实际应用效果。高质量的成果应兼具完整性、准确性、可追溯性和易读性。</w:t>
      </w:r>
    </w:p>
    <w:p w14:paraId="57C6EA03">
      <w:pPr>
        <w:pStyle w:val="56"/>
        <w:spacing w:line="360" w:lineRule="auto"/>
        <w:ind w:firstLine="420"/>
      </w:pPr>
      <w:r>
        <w:rPr>
          <w:rFonts w:hint="eastAsia"/>
        </w:rPr>
        <w:t>成果文件应覆盖勘察工作全过程，包括：</w:t>
      </w:r>
    </w:p>
    <w:p w14:paraId="43BB8EF5">
      <w:pPr>
        <w:pStyle w:val="132"/>
        <w:spacing w:line="360" w:lineRule="auto"/>
      </w:pPr>
      <w:r>
        <w:rPr>
          <w:rFonts w:hint="eastAsia"/>
        </w:rPr>
        <w:t>勘察报告：系统说明勘察任务完成情况、采用的技术方法、主要发现、数据分析结果、结论及建议；</w:t>
      </w:r>
    </w:p>
    <w:p w14:paraId="6D45998E">
      <w:pPr>
        <w:pStyle w:val="132"/>
        <w:spacing w:line="360" w:lineRule="auto"/>
      </w:pPr>
      <w:r>
        <w:rPr>
          <w:rFonts w:hint="eastAsia"/>
        </w:rPr>
        <w:t>原始记录与数据文件：以标准化格式保存原始采集数据、观测记录、实验记录，确保可长期调用和复查；</w:t>
      </w:r>
    </w:p>
    <w:p w14:paraId="606452E8">
      <w:pPr>
        <w:pStyle w:val="132"/>
        <w:spacing w:line="360" w:lineRule="auto"/>
      </w:pPr>
      <w:r>
        <w:rPr>
          <w:rFonts w:hint="eastAsia"/>
        </w:rPr>
        <w:t>各类图件：全面展示平面位置、地质剖面、地层分布、参数变化及地质构造特征；</w:t>
      </w:r>
    </w:p>
    <w:p w14:paraId="7BB58CB2">
      <w:pPr>
        <w:pStyle w:val="132"/>
        <w:spacing w:line="360" w:lineRule="auto"/>
      </w:pPr>
      <w:r>
        <w:rPr>
          <w:rFonts w:hint="eastAsia"/>
        </w:rPr>
        <w:t>技术说明书：补充特殊工艺流程、非标准方法的使用原因及关键参数选取依据。</w:t>
      </w:r>
    </w:p>
    <w:p w14:paraId="791DA8F1">
      <w:pPr>
        <w:pStyle w:val="56"/>
        <w:spacing w:line="360" w:lineRule="auto"/>
        <w:ind w:firstLine="420"/>
      </w:pPr>
      <w:r>
        <w:rPr>
          <w:rFonts w:hint="eastAsia"/>
        </w:rPr>
        <w:t>成果文件应做到“图、文、表、数据”相互印证，确保信息一致性和完整性。</w:t>
      </w:r>
    </w:p>
    <w:p w14:paraId="1BF0AB3E">
      <w:pPr>
        <w:pStyle w:val="105"/>
        <w:spacing w:before="120" w:after="120" w:line="360" w:lineRule="auto"/>
      </w:pPr>
      <w:r>
        <w:rPr>
          <w:rFonts w:hint="eastAsia"/>
        </w:rPr>
        <w:t>图件编制要求</w:t>
      </w:r>
    </w:p>
    <w:p w14:paraId="7AE62338">
      <w:pPr>
        <w:pStyle w:val="56"/>
        <w:spacing w:line="360" w:lineRule="auto"/>
        <w:ind w:firstLine="420"/>
      </w:pPr>
      <w:r>
        <w:rPr>
          <w:rFonts w:hint="eastAsia"/>
        </w:rPr>
        <w:t>所有图件应符合现行行业制图规范，必须明确标注比例尺、坐标系、图例和主要特征。颜色、线型及符号应在全套成果中统一，确保不同类型要素直观易辨。对于大型或复杂工程，应增加三维地质模型和动态剖面，以增强地质信息的可视化效果。</w:t>
      </w:r>
    </w:p>
    <w:p w14:paraId="1F311F19">
      <w:pPr>
        <w:pStyle w:val="105"/>
        <w:spacing w:before="120" w:after="120" w:line="360" w:lineRule="auto"/>
      </w:pPr>
      <w:r>
        <w:rPr>
          <w:rFonts w:hint="eastAsia"/>
        </w:rPr>
        <w:t>数据文件格式要求</w:t>
      </w:r>
    </w:p>
    <w:p w14:paraId="3A82C9DD">
      <w:pPr>
        <w:pStyle w:val="56"/>
        <w:spacing w:line="360" w:lineRule="auto"/>
        <w:ind w:firstLine="420"/>
      </w:pPr>
      <w:r>
        <w:rPr>
          <w:rFonts w:hint="eastAsia"/>
        </w:rPr>
        <w:t>数据文件应优先采用开放、通用的数据格式，以便跨平台使用和长期保存。每个数据文件应配套完整的元数据说明，记录数据的来源、采集时间、处理方法、精度等级和版本信息。对于大体量数据，应建立索引和分级管理机制，确保检索高效、调用方便。</w:t>
      </w:r>
    </w:p>
    <w:p w14:paraId="43BAC585">
      <w:pPr>
        <w:pStyle w:val="105"/>
        <w:spacing w:before="120" w:after="120" w:line="360" w:lineRule="auto"/>
      </w:pPr>
      <w:r>
        <w:rPr>
          <w:rFonts w:hint="eastAsia"/>
        </w:rPr>
        <w:t>提交与交付方式</w:t>
      </w:r>
    </w:p>
    <w:p w14:paraId="6F386657">
      <w:pPr>
        <w:pStyle w:val="56"/>
        <w:spacing w:line="360" w:lineRule="auto"/>
        <w:ind w:firstLine="420"/>
      </w:pPr>
      <w:r>
        <w:rPr>
          <w:rFonts w:hint="eastAsia"/>
        </w:rPr>
        <w:t>成果提交应包括纸质版和电子版两种形式。纸质版应装订成册，版面清晰，结构规范；电子版应存储于防篡改介质中，并加密传输或通过安全平台交付，确保数据在传递过程中不被破坏或泄露。</w:t>
      </w:r>
    </w:p>
    <w:p w14:paraId="6025E22F">
      <w:pPr>
        <w:pStyle w:val="104"/>
        <w:spacing w:before="240" w:after="240" w:line="360" w:lineRule="auto"/>
      </w:pPr>
      <w:bookmarkStart w:id="55" w:name="_Toc205746775"/>
      <w:r>
        <w:rPr>
          <w:rFonts w:hint="eastAsia"/>
        </w:rPr>
        <w:t>成果质量检验</w:t>
      </w:r>
      <w:bookmarkEnd w:id="55"/>
    </w:p>
    <w:p w14:paraId="44167EFA">
      <w:pPr>
        <w:pStyle w:val="105"/>
        <w:spacing w:before="120" w:after="120"/>
      </w:pPr>
      <w:r>
        <w:rPr>
          <w:rFonts w:hint="eastAsia"/>
        </w:rPr>
        <w:t>检验目标与范围</w:t>
      </w:r>
    </w:p>
    <w:p w14:paraId="2E120713">
      <w:pPr>
        <w:pStyle w:val="56"/>
        <w:spacing w:line="360" w:lineRule="auto"/>
        <w:ind w:firstLine="420"/>
      </w:pPr>
      <w:r>
        <w:rPr>
          <w:rFonts w:hint="eastAsia"/>
        </w:rPr>
        <w:t>质量检验的目标是全面确认成果的完整性、精度、一致性和表达正确性，确保成果满足设计、施工及运维的实际需求。检验范围涵盖报告、图件、原始记录、数据文件、元数据说明等全部交付成果。</w:t>
      </w:r>
    </w:p>
    <w:p w14:paraId="78A4134E">
      <w:pPr>
        <w:pStyle w:val="105"/>
        <w:spacing w:before="120" w:after="120" w:line="360" w:lineRule="auto"/>
      </w:pPr>
      <w:r>
        <w:rPr>
          <w:rFonts w:hint="eastAsia"/>
        </w:rPr>
        <w:t>检验内容与方法</w:t>
      </w:r>
    </w:p>
    <w:p w14:paraId="49858ABA">
      <w:pPr>
        <w:pStyle w:val="56"/>
        <w:spacing w:line="360" w:lineRule="auto"/>
        <w:ind w:firstLine="420"/>
      </w:pPr>
      <w:r>
        <w:rPr>
          <w:rFonts w:hint="eastAsia"/>
        </w:rPr>
        <w:t>检验内容包括但不限于以下方面：</w:t>
      </w:r>
    </w:p>
    <w:p w14:paraId="4986AEEC">
      <w:pPr>
        <w:pStyle w:val="132"/>
        <w:spacing w:line="360" w:lineRule="auto"/>
      </w:pPr>
      <w:r>
        <w:rPr>
          <w:rFonts w:hint="eastAsia"/>
        </w:rPr>
        <w:t>完整性：检查成果文件是否齐全，是否覆盖任务书要求的所有工作内容；</w:t>
      </w:r>
    </w:p>
    <w:p w14:paraId="1F2DB044">
      <w:pPr>
        <w:pStyle w:val="132"/>
        <w:spacing w:line="360" w:lineRule="auto"/>
      </w:pPr>
      <w:r>
        <w:rPr>
          <w:rFonts w:hint="eastAsia"/>
        </w:rPr>
        <w:t>精度：验证测量、计算结果是否达到设计和规范规定的精度要求；</w:t>
      </w:r>
    </w:p>
    <w:p w14:paraId="60D49A4F">
      <w:pPr>
        <w:pStyle w:val="132"/>
        <w:spacing w:line="360" w:lineRule="auto"/>
      </w:pPr>
      <w:r>
        <w:rPr>
          <w:rFonts w:hint="eastAsia"/>
        </w:rPr>
        <w:t>一致性：核对报告、图件、数据文件间的数值、符号、标注是否一致；</w:t>
      </w:r>
    </w:p>
    <w:p w14:paraId="01D802CA">
      <w:pPr>
        <w:pStyle w:val="132"/>
        <w:spacing w:line="360" w:lineRule="auto"/>
      </w:pPr>
      <w:r>
        <w:rPr>
          <w:rFonts w:hint="eastAsia"/>
        </w:rPr>
        <w:t>表达正确性：检查制图符号、比例尺、坐标系统、单位和文字说明是否准确。</w:t>
      </w:r>
    </w:p>
    <w:p w14:paraId="43E9FC64">
      <w:pPr>
        <w:pStyle w:val="56"/>
        <w:spacing w:line="360" w:lineRule="auto"/>
        <w:ind w:firstLine="420"/>
      </w:pPr>
      <w:r>
        <w:rPr>
          <w:rFonts w:hint="eastAsia"/>
        </w:rPr>
        <w:t>表3所示的成果质量检验的主要项目、检查方法和判定标准，可作为执行参考：</w:t>
      </w:r>
    </w:p>
    <w:p w14:paraId="5FD2A2EB">
      <w:pPr>
        <w:pStyle w:val="112"/>
        <w:spacing w:before="120" w:after="120" w:line="360" w:lineRule="auto"/>
      </w:pPr>
      <w:r>
        <w:rPr>
          <w:rFonts w:hint="eastAsia"/>
        </w:rPr>
        <w:t>成果质量检验内容与方法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694"/>
        <w:gridCol w:w="2615"/>
        <w:gridCol w:w="2334"/>
      </w:tblGrid>
      <w:tr w14:paraId="6AD99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3DDDBEF3">
            <w:pPr>
              <w:pStyle w:val="178"/>
            </w:pPr>
            <w:r>
              <w:rPr>
                <w:rFonts w:hint="eastAsia"/>
              </w:rPr>
              <w:t>检验项目</w:t>
            </w:r>
          </w:p>
        </w:tc>
        <w:tc>
          <w:tcPr>
            <w:tcW w:w="2694" w:type="dxa"/>
            <w:tcBorders>
              <w:top w:val="single" w:color="auto" w:sz="8" w:space="0"/>
              <w:bottom w:val="single" w:color="auto" w:sz="8" w:space="0"/>
            </w:tcBorders>
          </w:tcPr>
          <w:p w14:paraId="7EF3476A">
            <w:pPr>
              <w:pStyle w:val="178"/>
            </w:pPr>
            <w:r>
              <w:rPr>
                <w:rFonts w:hint="eastAsia"/>
              </w:rPr>
              <w:t>检查内容</w:t>
            </w:r>
          </w:p>
        </w:tc>
        <w:tc>
          <w:tcPr>
            <w:tcW w:w="2615" w:type="dxa"/>
            <w:tcBorders>
              <w:top w:val="single" w:color="auto" w:sz="8" w:space="0"/>
              <w:bottom w:val="single" w:color="auto" w:sz="8" w:space="0"/>
            </w:tcBorders>
          </w:tcPr>
          <w:p w14:paraId="5607B73A">
            <w:pPr>
              <w:pStyle w:val="178"/>
            </w:pPr>
            <w:r>
              <w:rPr>
                <w:rFonts w:hint="eastAsia"/>
              </w:rPr>
              <w:t>检验方法</w:t>
            </w:r>
          </w:p>
        </w:tc>
        <w:tc>
          <w:tcPr>
            <w:tcW w:w="2334" w:type="dxa"/>
            <w:tcBorders>
              <w:top w:val="single" w:color="auto" w:sz="8" w:space="0"/>
              <w:bottom w:val="single" w:color="auto" w:sz="8" w:space="0"/>
            </w:tcBorders>
          </w:tcPr>
          <w:p w14:paraId="010D0085">
            <w:pPr>
              <w:pStyle w:val="178"/>
            </w:pPr>
            <w:r>
              <w:rPr>
                <w:rFonts w:hint="eastAsia"/>
              </w:rPr>
              <w:t>判定标准</w:t>
            </w:r>
          </w:p>
        </w:tc>
      </w:tr>
      <w:tr w14:paraId="7A517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38746DB1">
            <w:pPr>
              <w:pStyle w:val="178"/>
            </w:pPr>
            <w:r>
              <w:rPr>
                <w:rFonts w:hint="eastAsia"/>
              </w:rPr>
              <w:t>完整性</w:t>
            </w:r>
          </w:p>
        </w:tc>
        <w:tc>
          <w:tcPr>
            <w:tcW w:w="2694" w:type="dxa"/>
            <w:tcBorders>
              <w:top w:val="single" w:color="auto" w:sz="8" w:space="0"/>
            </w:tcBorders>
          </w:tcPr>
          <w:p w14:paraId="65A0DE2A">
            <w:pPr>
              <w:pStyle w:val="178"/>
            </w:pPr>
            <w:r>
              <w:rPr>
                <w:rFonts w:hint="eastAsia"/>
              </w:rPr>
              <w:t>成果文件是否齐全</w:t>
            </w:r>
          </w:p>
        </w:tc>
        <w:tc>
          <w:tcPr>
            <w:tcW w:w="2615" w:type="dxa"/>
            <w:tcBorders>
              <w:top w:val="single" w:color="auto" w:sz="8" w:space="0"/>
            </w:tcBorders>
          </w:tcPr>
          <w:p w14:paraId="6777DA4E">
            <w:pPr>
              <w:pStyle w:val="178"/>
            </w:pPr>
            <w:r>
              <w:rPr>
                <w:rFonts w:hint="eastAsia"/>
              </w:rPr>
              <w:t>核对任务书与成果清单</w:t>
            </w:r>
          </w:p>
        </w:tc>
        <w:tc>
          <w:tcPr>
            <w:tcW w:w="2334" w:type="dxa"/>
            <w:tcBorders>
              <w:top w:val="single" w:color="auto" w:sz="8" w:space="0"/>
            </w:tcBorders>
          </w:tcPr>
          <w:p w14:paraId="7BFED57F">
            <w:pPr>
              <w:pStyle w:val="178"/>
            </w:pPr>
            <w:r>
              <w:rPr>
                <w:rFonts w:hint="eastAsia"/>
              </w:rPr>
              <w:t>无缺项</w:t>
            </w:r>
          </w:p>
        </w:tc>
      </w:tr>
      <w:tr w14:paraId="64AAF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14E5441">
            <w:pPr>
              <w:pStyle w:val="178"/>
            </w:pPr>
            <w:r>
              <w:rPr>
                <w:rFonts w:hint="eastAsia"/>
              </w:rPr>
              <w:t>精度</w:t>
            </w:r>
          </w:p>
        </w:tc>
        <w:tc>
          <w:tcPr>
            <w:tcW w:w="2694" w:type="dxa"/>
          </w:tcPr>
          <w:p w14:paraId="5502F517">
            <w:pPr>
              <w:pStyle w:val="178"/>
            </w:pPr>
            <w:r>
              <w:rPr>
                <w:rFonts w:hint="eastAsia"/>
              </w:rPr>
              <w:t>测量、计算是否达标</w:t>
            </w:r>
          </w:p>
        </w:tc>
        <w:tc>
          <w:tcPr>
            <w:tcW w:w="2615" w:type="dxa"/>
          </w:tcPr>
          <w:p w14:paraId="6D814506">
            <w:pPr>
              <w:pStyle w:val="178"/>
            </w:pPr>
            <w:r>
              <w:rPr>
                <w:rFonts w:hint="eastAsia"/>
              </w:rPr>
              <w:t>复核原始记录和计算过程</w:t>
            </w:r>
          </w:p>
        </w:tc>
        <w:tc>
          <w:tcPr>
            <w:tcW w:w="2334" w:type="dxa"/>
          </w:tcPr>
          <w:p w14:paraId="1341F6EF">
            <w:pPr>
              <w:pStyle w:val="178"/>
            </w:pPr>
            <w:r>
              <w:rPr>
                <w:rFonts w:hint="eastAsia"/>
              </w:rPr>
              <w:t>符合精度要求</w:t>
            </w:r>
          </w:p>
        </w:tc>
      </w:tr>
      <w:tr w14:paraId="2A179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EBD8759">
            <w:pPr>
              <w:pStyle w:val="178"/>
            </w:pPr>
            <w:r>
              <w:rPr>
                <w:rFonts w:hint="eastAsia"/>
              </w:rPr>
              <w:t>一致性</w:t>
            </w:r>
          </w:p>
        </w:tc>
        <w:tc>
          <w:tcPr>
            <w:tcW w:w="2694" w:type="dxa"/>
          </w:tcPr>
          <w:p w14:paraId="17FE2931">
            <w:pPr>
              <w:pStyle w:val="178"/>
            </w:pPr>
            <w:r>
              <w:rPr>
                <w:rFonts w:hint="eastAsia"/>
              </w:rPr>
              <w:t>文件间信息是否一致</w:t>
            </w:r>
          </w:p>
        </w:tc>
        <w:tc>
          <w:tcPr>
            <w:tcW w:w="2615" w:type="dxa"/>
          </w:tcPr>
          <w:p w14:paraId="0C7EF7B3">
            <w:pPr>
              <w:pStyle w:val="178"/>
            </w:pPr>
            <w:r>
              <w:rPr>
                <w:rFonts w:hint="eastAsia"/>
              </w:rPr>
              <w:t>跨文件比对</w:t>
            </w:r>
          </w:p>
        </w:tc>
        <w:tc>
          <w:tcPr>
            <w:tcW w:w="2334" w:type="dxa"/>
          </w:tcPr>
          <w:p w14:paraId="7DF138A8">
            <w:pPr>
              <w:pStyle w:val="178"/>
            </w:pPr>
            <w:r>
              <w:rPr>
                <w:rFonts w:hint="eastAsia"/>
              </w:rPr>
              <w:t>无冲突</w:t>
            </w:r>
          </w:p>
        </w:tc>
      </w:tr>
      <w:tr w14:paraId="160FA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6567690F">
            <w:pPr>
              <w:pStyle w:val="178"/>
            </w:pPr>
            <w:r>
              <w:rPr>
                <w:rFonts w:hint="eastAsia"/>
              </w:rPr>
              <w:t>表达正确性</w:t>
            </w:r>
          </w:p>
        </w:tc>
        <w:tc>
          <w:tcPr>
            <w:tcW w:w="2694" w:type="dxa"/>
          </w:tcPr>
          <w:p w14:paraId="4B365331">
            <w:pPr>
              <w:pStyle w:val="178"/>
            </w:pPr>
            <w:r>
              <w:rPr>
                <w:rFonts w:hint="eastAsia"/>
              </w:rPr>
              <w:t>符号、坐标、单位是否正确</w:t>
            </w:r>
          </w:p>
        </w:tc>
        <w:tc>
          <w:tcPr>
            <w:tcW w:w="2615" w:type="dxa"/>
          </w:tcPr>
          <w:p w14:paraId="7E226A78">
            <w:pPr>
              <w:pStyle w:val="178"/>
            </w:pPr>
            <w:r>
              <w:rPr>
                <w:rFonts w:hint="eastAsia"/>
              </w:rPr>
              <w:t>对照制图规范与标准</w:t>
            </w:r>
          </w:p>
        </w:tc>
        <w:tc>
          <w:tcPr>
            <w:tcW w:w="2334" w:type="dxa"/>
          </w:tcPr>
          <w:p w14:paraId="095B7E79">
            <w:pPr>
              <w:pStyle w:val="178"/>
            </w:pPr>
            <w:r>
              <w:rPr>
                <w:rFonts w:hint="eastAsia"/>
              </w:rPr>
              <w:t>符合规范要求</w:t>
            </w:r>
          </w:p>
        </w:tc>
      </w:tr>
    </w:tbl>
    <w:p w14:paraId="40791605">
      <w:pPr>
        <w:pStyle w:val="105"/>
        <w:spacing w:before="120" w:after="120" w:line="360" w:lineRule="auto"/>
      </w:pPr>
      <w:r>
        <w:rPr>
          <w:rFonts w:hint="eastAsia"/>
        </w:rPr>
        <w:t>检验程序</w:t>
      </w:r>
    </w:p>
    <w:p w14:paraId="004EA320">
      <w:pPr>
        <w:pStyle w:val="56"/>
        <w:spacing w:line="360" w:lineRule="auto"/>
        <w:ind w:firstLine="420"/>
      </w:pPr>
      <w:r>
        <w:rPr>
          <w:rFonts w:hint="eastAsia"/>
        </w:rPr>
        <w:t>检验程序分为三个阶段：</w:t>
      </w:r>
    </w:p>
    <w:p w14:paraId="6FEDF10D">
      <w:pPr>
        <w:pStyle w:val="174"/>
        <w:spacing w:line="360" w:lineRule="auto"/>
      </w:pPr>
      <w:r>
        <w:rPr>
          <w:rFonts w:hint="eastAsia"/>
        </w:rPr>
        <w:t>自检：由数据采集与处理人员完成，及时发现并纠正明显问题；</w:t>
      </w:r>
    </w:p>
    <w:p w14:paraId="00CB558F">
      <w:pPr>
        <w:pStyle w:val="174"/>
        <w:spacing w:line="360" w:lineRule="auto"/>
      </w:pPr>
      <w:r>
        <w:rPr>
          <w:rFonts w:hint="eastAsia"/>
        </w:rPr>
        <w:t>复检：由项目内部质量管理人员进行系统性检查，确保成果全面达标；</w:t>
      </w:r>
    </w:p>
    <w:p w14:paraId="2FE9C01C">
      <w:pPr>
        <w:pStyle w:val="174"/>
        <w:spacing w:line="360" w:lineRule="auto"/>
      </w:pPr>
      <w:r>
        <w:rPr>
          <w:rFonts w:hint="eastAsia"/>
        </w:rPr>
        <w:t>终检：由具备资质的第三方或主管部门实施，形成正式检验结论。</w:t>
      </w:r>
    </w:p>
    <w:p w14:paraId="65677DB3">
      <w:pPr>
        <w:pStyle w:val="56"/>
        <w:spacing w:line="360" w:lineRule="auto"/>
        <w:ind w:firstLine="420"/>
      </w:pPr>
      <w:r>
        <w:rPr>
          <w:rFonts w:hint="eastAsia"/>
        </w:rPr>
        <w:t>每个阶段的检验过程应形成书面记录，并对不合格项进行闭环整改，整改完成后必须复核确认。</w:t>
      </w:r>
    </w:p>
    <w:p w14:paraId="295E2122">
      <w:pPr>
        <w:pStyle w:val="105"/>
        <w:spacing w:before="120" w:after="120" w:line="360" w:lineRule="auto"/>
      </w:pPr>
      <w:r>
        <w:rPr>
          <w:rFonts w:hint="eastAsia"/>
        </w:rPr>
        <w:t>问题整改与复核</w:t>
      </w:r>
    </w:p>
    <w:p w14:paraId="1B29EE5E">
      <w:pPr>
        <w:pStyle w:val="56"/>
        <w:spacing w:line="360" w:lineRule="auto"/>
        <w:ind w:firstLine="420"/>
      </w:pPr>
      <w:r>
        <w:rPr>
          <w:rFonts w:hint="eastAsia"/>
        </w:rPr>
        <w:t>检验中发现的问题应根据严重程度分类处理：</w:t>
      </w:r>
    </w:p>
    <w:p w14:paraId="4CE0FA8C">
      <w:pPr>
        <w:pStyle w:val="187"/>
        <w:spacing w:line="360" w:lineRule="auto"/>
      </w:pPr>
      <w:r>
        <w:rPr>
          <w:rFonts w:hint="eastAsia"/>
        </w:rPr>
        <w:t>一般问题应在24小时内整改并复查；</w:t>
      </w:r>
    </w:p>
    <w:p w14:paraId="7A840BA4">
      <w:pPr>
        <w:pStyle w:val="187"/>
        <w:spacing w:line="360" w:lineRule="auto"/>
      </w:pPr>
      <w:r>
        <w:rPr>
          <w:rFonts w:hint="eastAsia"/>
        </w:rPr>
        <w:t>重大问题应立即停止使用相关成果，完成整改后经终检确认合格方可交付。</w:t>
      </w:r>
    </w:p>
    <w:p w14:paraId="3A63F2AC">
      <w:pPr>
        <w:pStyle w:val="56"/>
        <w:spacing w:line="360" w:lineRule="auto"/>
        <w:ind w:firstLine="420"/>
      </w:pPr>
      <w:r>
        <w:rPr>
          <w:rFonts w:hint="eastAsia"/>
        </w:rPr>
        <w:t>整改记录应与成果一并归档保存，作为质量追溯的重要依据。</w:t>
      </w:r>
    </w:p>
    <w:p w14:paraId="43EB6687">
      <w:pPr>
        <w:pStyle w:val="104"/>
        <w:spacing w:before="240" w:after="240" w:line="360" w:lineRule="auto"/>
      </w:pPr>
      <w:bookmarkStart w:id="56" w:name="_Toc205746776"/>
      <w:r>
        <w:rPr>
          <w:rFonts w:hint="eastAsia"/>
        </w:rPr>
        <w:t>数据安全与保密</w:t>
      </w:r>
      <w:bookmarkEnd w:id="56"/>
    </w:p>
    <w:p w14:paraId="726EEF83">
      <w:pPr>
        <w:pStyle w:val="105"/>
        <w:spacing w:before="120" w:after="120" w:line="360" w:lineRule="auto"/>
      </w:pPr>
      <w:r>
        <w:rPr>
          <w:rFonts w:hint="eastAsia"/>
        </w:rPr>
        <w:t>安全管理原则</w:t>
      </w:r>
    </w:p>
    <w:p w14:paraId="24E75CE4">
      <w:pPr>
        <w:pStyle w:val="56"/>
        <w:spacing w:line="360" w:lineRule="auto"/>
        <w:ind w:firstLine="420"/>
      </w:pPr>
      <w:r>
        <w:rPr>
          <w:rFonts w:hint="eastAsia"/>
        </w:rPr>
        <w:t>数据管理应遵循“分级保护、授权访问、全程监控”的原则，确保任何未经授权的人员无法获取、篡改或删除敏感信息。所有安全措施应覆盖数据的采集端、传输通道、存储介质及使用终端。</w:t>
      </w:r>
    </w:p>
    <w:p w14:paraId="61802C23">
      <w:pPr>
        <w:pStyle w:val="105"/>
        <w:spacing w:before="120" w:after="120" w:line="360" w:lineRule="auto"/>
      </w:pPr>
      <w:r>
        <w:rPr>
          <w:rFonts w:hint="eastAsia"/>
        </w:rPr>
        <w:t>数据保密分级</w:t>
      </w:r>
    </w:p>
    <w:p w14:paraId="0D2A2AE3">
      <w:pPr>
        <w:pStyle w:val="56"/>
        <w:spacing w:line="360" w:lineRule="auto"/>
        <w:ind w:firstLine="420"/>
      </w:pPr>
      <w:r>
        <w:rPr>
          <w:rFonts w:hint="eastAsia"/>
        </w:rPr>
        <w:t>勘察数据应根据内容敏感性、工程重要性及法律法规要求进行保密分级。数据保密等级及主要管理措施，项目执行时的参考依据见表4。</w:t>
      </w:r>
    </w:p>
    <w:p w14:paraId="50DA1B58">
      <w:pPr>
        <w:pStyle w:val="112"/>
        <w:spacing w:before="120" w:after="120" w:line="360" w:lineRule="auto"/>
      </w:pPr>
      <w:r>
        <w:rPr>
          <w:rFonts w:hint="eastAsia"/>
        </w:rPr>
        <w:t>数据保密分级与管理措施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686"/>
        <w:gridCol w:w="3957"/>
      </w:tblGrid>
      <w:tr w14:paraId="6F7C3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691" w:type="dxa"/>
            <w:tcBorders>
              <w:top w:val="single" w:color="auto" w:sz="8" w:space="0"/>
              <w:bottom w:val="single" w:color="auto" w:sz="8" w:space="0"/>
            </w:tcBorders>
          </w:tcPr>
          <w:p w14:paraId="1AF3509D">
            <w:pPr>
              <w:pStyle w:val="178"/>
            </w:pPr>
            <w:r>
              <w:rPr>
                <w:rFonts w:hint="eastAsia"/>
              </w:rPr>
              <w:t>保密等级</w:t>
            </w:r>
          </w:p>
        </w:tc>
        <w:tc>
          <w:tcPr>
            <w:tcW w:w="3686" w:type="dxa"/>
            <w:tcBorders>
              <w:top w:val="single" w:color="auto" w:sz="8" w:space="0"/>
              <w:bottom w:val="single" w:color="auto" w:sz="8" w:space="0"/>
            </w:tcBorders>
          </w:tcPr>
          <w:p w14:paraId="03684558">
            <w:pPr>
              <w:pStyle w:val="178"/>
            </w:pPr>
            <w:r>
              <w:rPr>
                <w:rFonts w:hint="eastAsia"/>
              </w:rPr>
              <w:t>数据类型</w:t>
            </w:r>
          </w:p>
        </w:tc>
        <w:tc>
          <w:tcPr>
            <w:tcW w:w="3957" w:type="dxa"/>
            <w:tcBorders>
              <w:top w:val="single" w:color="auto" w:sz="8" w:space="0"/>
              <w:bottom w:val="single" w:color="auto" w:sz="8" w:space="0"/>
            </w:tcBorders>
          </w:tcPr>
          <w:p w14:paraId="5238FE2F">
            <w:pPr>
              <w:pStyle w:val="178"/>
            </w:pPr>
            <w:r>
              <w:rPr>
                <w:rFonts w:hint="eastAsia"/>
              </w:rPr>
              <w:t>主要管理措施</w:t>
            </w:r>
          </w:p>
        </w:tc>
      </w:tr>
      <w:tr w14:paraId="194A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0BD46A2C">
            <w:pPr>
              <w:pStyle w:val="178"/>
            </w:pPr>
            <w:r>
              <w:rPr>
                <w:rFonts w:hint="eastAsia"/>
              </w:rPr>
              <w:t>一级（高度保密）</w:t>
            </w:r>
          </w:p>
        </w:tc>
        <w:tc>
          <w:tcPr>
            <w:tcW w:w="3686" w:type="dxa"/>
            <w:tcBorders>
              <w:top w:val="single" w:color="auto" w:sz="8" w:space="0"/>
            </w:tcBorders>
          </w:tcPr>
          <w:p w14:paraId="6EF9CC42">
            <w:pPr>
              <w:pStyle w:val="178"/>
            </w:pPr>
            <w:r>
              <w:rPr>
                <w:rFonts w:hint="eastAsia"/>
              </w:rPr>
              <w:t>涉及国家安全、重大工程基础地质数据</w:t>
            </w:r>
          </w:p>
        </w:tc>
        <w:tc>
          <w:tcPr>
            <w:tcW w:w="3957" w:type="dxa"/>
            <w:tcBorders>
              <w:top w:val="single" w:color="auto" w:sz="8" w:space="0"/>
            </w:tcBorders>
          </w:tcPr>
          <w:p w14:paraId="001DFB9D">
            <w:pPr>
              <w:pStyle w:val="178"/>
            </w:pPr>
            <w:r>
              <w:rPr>
                <w:rFonts w:hint="eastAsia"/>
              </w:rPr>
              <w:t>专用加密存储、限定访问名单、物理隔离网络</w:t>
            </w:r>
          </w:p>
        </w:tc>
      </w:tr>
      <w:tr w14:paraId="34AA2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55152B67">
            <w:pPr>
              <w:pStyle w:val="178"/>
            </w:pPr>
            <w:r>
              <w:rPr>
                <w:rFonts w:hint="eastAsia"/>
              </w:rPr>
              <w:t>二级（中度保密）</w:t>
            </w:r>
          </w:p>
        </w:tc>
        <w:tc>
          <w:tcPr>
            <w:tcW w:w="3686" w:type="dxa"/>
          </w:tcPr>
          <w:p w14:paraId="282EF248">
            <w:pPr>
              <w:pStyle w:val="178"/>
            </w:pPr>
            <w:r>
              <w:rPr>
                <w:rFonts w:hint="eastAsia"/>
              </w:rPr>
              <w:t>工程设计相关勘察数据、承载力参数</w:t>
            </w:r>
          </w:p>
        </w:tc>
        <w:tc>
          <w:tcPr>
            <w:tcW w:w="3957" w:type="dxa"/>
          </w:tcPr>
          <w:p w14:paraId="2C11745F">
            <w:pPr>
              <w:pStyle w:val="178"/>
            </w:pPr>
            <w:r>
              <w:rPr>
                <w:rFonts w:hint="eastAsia"/>
              </w:rPr>
              <w:t>加密存储、权限控制、定期访问审计</w:t>
            </w:r>
          </w:p>
        </w:tc>
      </w:tr>
      <w:tr w14:paraId="179E0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7FA1D67A">
            <w:pPr>
              <w:pStyle w:val="178"/>
            </w:pPr>
            <w:r>
              <w:rPr>
                <w:rFonts w:hint="eastAsia"/>
              </w:rPr>
              <w:t>三级（一般保密）</w:t>
            </w:r>
          </w:p>
        </w:tc>
        <w:tc>
          <w:tcPr>
            <w:tcW w:w="3686" w:type="dxa"/>
          </w:tcPr>
          <w:p w14:paraId="7EAE143B">
            <w:pPr>
              <w:pStyle w:val="178"/>
            </w:pPr>
            <w:r>
              <w:rPr>
                <w:rFonts w:hint="eastAsia"/>
              </w:rPr>
              <w:t>公开发布前的基础测量数据、原始记录</w:t>
            </w:r>
          </w:p>
        </w:tc>
        <w:tc>
          <w:tcPr>
            <w:tcW w:w="3957" w:type="dxa"/>
          </w:tcPr>
          <w:p w14:paraId="774B1CD5">
            <w:pPr>
              <w:pStyle w:val="178"/>
            </w:pPr>
            <w:r>
              <w:rPr>
                <w:rFonts w:hint="eastAsia"/>
              </w:rPr>
              <w:t>限制性共享、传输加密、防篡改措施</w:t>
            </w:r>
          </w:p>
        </w:tc>
      </w:tr>
    </w:tbl>
    <w:p w14:paraId="67E2BD5C">
      <w:pPr>
        <w:pStyle w:val="105"/>
        <w:spacing w:before="120" w:after="120" w:line="360" w:lineRule="auto"/>
      </w:pPr>
      <w:r>
        <w:rPr>
          <w:rFonts w:hint="eastAsia"/>
        </w:rPr>
        <w:t>存储与备份安全</w:t>
      </w:r>
    </w:p>
    <w:p w14:paraId="00876A9C">
      <w:pPr>
        <w:pStyle w:val="56"/>
        <w:spacing w:line="360" w:lineRule="auto"/>
        <w:ind w:firstLine="630" w:firstLineChars="300"/>
      </w:pPr>
      <w:r>
        <w:rPr>
          <w:rFonts w:hint="eastAsia"/>
        </w:rPr>
        <w:t>数据应存储于安全的数据库系统中，并采用本地与云端双重备份。备份周期不应低于每周一次，重要数据建议每日自动备份。存储系统应具备访问日志记录和防篡改功能，定期进行恢复演练。</w:t>
      </w:r>
    </w:p>
    <w:p w14:paraId="4DBF6A33">
      <w:pPr>
        <w:pStyle w:val="105"/>
        <w:spacing w:before="120" w:after="120" w:line="360" w:lineRule="auto"/>
      </w:pPr>
      <w:r>
        <w:rPr>
          <w:rFonts w:hint="eastAsia"/>
        </w:rPr>
        <w:t>传输与共享安全</w:t>
      </w:r>
    </w:p>
    <w:p w14:paraId="4359FE7E">
      <w:pPr>
        <w:pStyle w:val="56"/>
        <w:spacing w:line="360" w:lineRule="auto"/>
        <w:ind w:firstLine="630" w:firstLineChars="300"/>
      </w:pPr>
      <w:r>
        <w:rPr>
          <w:rFonts w:hint="eastAsia"/>
        </w:rPr>
        <w:t>数据传输应使用加密协议或专用物理介质，并通过校验机制确保文件完整性。对外共享应通过安全授权平台进行，记录共享时间、对象及数据范围，严禁私自复制或外传。</w:t>
      </w:r>
    </w:p>
    <w:p w14:paraId="0105E56B">
      <w:pPr>
        <w:pStyle w:val="105"/>
        <w:spacing w:before="120" w:after="120" w:line="360" w:lineRule="auto"/>
      </w:pPr>
      <w:r>
        <w:rPr>
          <w:rFonts w:hint="eastAsia"/>
        </w:rPr>
        <w:t>保密责任与追溯</w:t>
      </w:r>
    </w:p>
    <w:p w14:paraId="47E3196F">
      <w:pPr>
        <w:pStyle w:val="56"/>
        <w:spacing w:line="360" w:lineRule="auto"/>
        <w:ind w:firstLine="630" w:firstLineChars="300"/>
      </w:pPr>
      <w:r>
        <w:rPr>
          <w:rFonts w:hint="eastAsia"/>
        </w:rPr>
        <w:t>项目经理为数据安全第一责任人，应建立保密责任制度，明确各岗位的数据管理职责。任何泄密、篡改或丢失事件都必须立即报告，并启动应急处置与追责机制。所有事件处理记录应长期保存，确保可追溯。</w:t>
      </w:r>
    </w:p>
    <w:p w14:paraId="7108BB79">
      <w:pPr>
        <w:pStyle w:val="104"/>
        <w:spacing w:before="240" w:after="240" w:line="360" w:lineRule="auto"/>
      </w:pPr>
      <w:bookmarkStart w:id="57" w:name="_Toc205746777"/>
      <w:r>
        <w:rPr>
          <w:rFonts w:hint="eastAsia"/>
        </w:rPr>
        <w:t>运行维护</w:t>
      </w:r>
      <w:bookmarkEnd w:id="57"/>
    </w:p>
    <w:p w14:paraId="5664806D">
      <w:pPr>
        <w:pStyle w:val="105"/>
        <w:spacing w:before="120" w:after="120" w:line="360" w:lineRule="auto"/>
      </w:pPr>
      <w:r>
        <w:rPr>
          <w:rFonts w:hint="eastAsia"/>
        </w:rPr>
        <w:t>日常运行管理</w:t>
      </w:r>
    </w:p>
    <w:p w14:paraId="689FAF0F">
      <w:pPr>
        <w:pStyle w:val="56"/>
        <w:spacing w:line="360" w:lineRule="auto"/>
        <w:ind w:firstLine="630" w:firstLineChars="300"/>
      </w:pPr>
      <w:r>
        <w:rPr>
          <w:rFonts w:hint="eastAsia"/>
        </w:rPr>
        <w:t>系统运行应遵循“预防为主、持续监测、及时处理”的原则。应建立运行管理制度，明确运行参数监控、故障报告、数据备份等工作流程。运行期间，应定期检查数据传输状态、数据库连接、计算模块和可视化功能是否正常，发现异常应立即处置。</w:t>
      </w:r>
    </w:p>
    <w:p w14:paraId="4CEAEA5C">
      <w:pPr>
        <w:pStyle w:val="105"/>
        <w:spacing w:before="120" w:after="120" w:line="360" w:lineRule="auto"/>
      </w:pPr>
      <w:r>
        <w:rPr>
          <w:rFonts w:hint="eastAsia"/>
        </w:rPr>
        <w:t>设备维护</w:t>
      </w:r>
    </w:p>
    <w:p w14:paraId="6B2D97C6">
      <w:pPr>
        <w:pStyle w:val="56"/>
        <w:spacing w:line="360" w:lineRule="auto"/>
        <w:ind w:firstLine="420"/>
      </w:pPr>
      <w:r>
        <w:rPr>
          <w:rFonts w:hint="eastAsia"/>
        </w:rPr>
        <w:t>所有采集与处理设备应按照制造商说明书和有关规定定期维护与校准：</w:t>
      </w:r>
    </w:p>
    <w:p w14:paraId="4228514F">
      <w:pPr>
        <w:pStyle w:val="132"/>
        <w:spacing w:line="360" w:lineRule="auto"/>
      </w:pPr>
      <w:r>
        <w:rPr>
          <w:rFonts w:hint="eastAsia"/>
        </w:rPr>
        <w:t>对钻探、测试和测绘设备，应进行周期性精度检测；</w:t>
      </w:r>
    </w:p>
    <w:p w14:paraId="436B94C2">
      <w:pPr>
        <w:pStyle w:val="132"/>
        <w:spacing w:line="360" w:lineRule="auto"/>
      </w:pPr>
      <w:r>
        <w:rPr>
          <w:rFonts w:hint="eastAsia"/>
        </w:rPr>
        <w:t>对服务器、存储介质和网络设备，应定期清理灰尘、检测运行温度及网络稳定性；</w:t>
      </w:r>
    </w:p>
    <w:p w14:paraId="7C082EB9">
      <w:pPr>
        <w:pStyle w:val="132"/>
        <w:spacing w:line="360" w:lineRule="auto"/>
      </w:pPr>
      <w:r>
        <w:rPr>
          <w:rFonts w:hint="eastAsia"/>
        </w:rPr>
        <w:t>校准和维护记录应存档保存，以便追溯。</w:t>
      </w:r>
    </w:p>
    <w:p w14:paraId="3F532869">
      <w:pPr>
        <w:pStyle w:val="105"/>
        <w:spacing w:before="120" w:after="120" w:line="360" w:lineRule="auto"/>
      </w:pPr>
      <w:r>
        <w:rPr>
          <w:rFonts w:hint="eastAsia"/>
        </w:rPr>
        <w:t>系统升级与优化</w:t>
      </w:r>
    </w:p>
    <w:p w14:paraId="74422267">
      <w:pPr>
        <w:pStyle w:val="56"/>
        <w:spacing w:line="360" w:lineRule="auto"/>
        <w:ind w:firstLine="630" w:firstLineChars="300"/>
      </w:pPr>
      <w:r>
        <w:rPr>
          <w:rFonts w:hint="eastAsia"/>
        </w:rPr>
        <w:t>信息化处理系统应根据技术发展和项目需求定期升级，包括软件功能更新、数据库结构优化、算法改进等。升级前应进行风险评估和数据备份，升级后应开展功能测试，确保系统稳定运行。</w:t>
      </w:r>
    </w:p>
    <w:p w14:paraId="231F8B5C">
      <w:pPr>
        <w:pStyle w:val="105"/>
        <w:spacing w:before="120" w:after="120" w:line="360" w:lineRule="auto"/>
      </w:pPr>
      <w:r>
        <w:rPr>
          <w:rFonts w:hint="eastAsia"/>
        </w:rPr>
        <w:t>应急处置</w:t>
      </w:r>
    </w:p>
    <w:p w14:paraId="0C320D5C">
      <w:pPr>
        <w:pStyle w:val="56"/>
        <w:spacing w:line="360" w:lineRule="auto"/>
        <w:ind w:firstLine="630" w:firstLineChars="300"/>
      </w:pPr>
      <w:r>
        <w:rPr>
          <w:rFonts w:hint="eastAsia"/>
        </w:rPr>
        <w:t>应建立系统故障应急预案，包括硬件故障、网络中断、数据损坏、网络攻击等应急处置流程：</w:t>
      </w:r>
    </w:p>
    <w:p w14:paraId="1CBC82FD">
      <w:pPr>
        <w:pStyle w:val="132"/>
        <w:spacing w:line="360" w:lineRule="auto"/>
      </w:pPr>
      <w:r>
        <w:rPr>
          <w:rFonts w:hint="eastAsia"/>
        </w:rPr>
        <w:t>轻微故障应在2小时内恢复；</w:t>
      </w:r>
    </w:p>
    <w:p w14:paraId="39A64430">
      <w:pPr>
        <w:pStyle w:val="132"/>
        <w:spacing w:line="360" w:lineRule="auto"/>
      </w:pPr>
      <w:r>
        <w:rPr>
          <w:rFonts w:hint="eastAsia"/>
        </w:rPr>
        <w:t>重大故障应在24小时内完成临时修复，并制定长期整改措施；</w:t>
      </w:r>
    </w:p>
    <w:p w14:paraId="2C59061A">
      <w:pPr>
        <w:pStyle w:val="132"/>
        <w:spacing w:line="360" w:lineRule="auto"/>
      </w:pPr>
      <w:r>
        <w:rPr>
          <w:rFonts w:hint="eastAsia"/>
        </w:rPr>
        <w:t>故障处理全过程应有详细记录，并纳入运行评估。</w:t>
      </w:r>
    </w:p>
    <w:p w14:paraId="7053ECC7">
      <w:pPr>
        <w:pStyle w:val="105"/>
        <w:spacing w:before="120" w:after="120" w:line="360" w:lineRule="auto"/>
      </w:pPr>
      <w:r>
        <w:rPr>
          <w:rFonts w:hint="eastAsia"/>
        </w:rPr>
        <w:t>运行评估与改进</w:t>
      </w:r>
    </w:p>
    <w:p w14:paraId="55119B73">
      <w:pPr>
        <w:pStyle w:val="56"/>
        <w:spacing w:line="360" w:lineRule="auto"/>
        <w:ind w:firstLine="630" w:firstLineChars="300"/>
      </w:pPr>
      <w:r>
        <w:rPr>
          <w:rFonts w:hint="eastAsia"/>
        </w:rPr>
        <w:t>应每年至少一次对运行与维护情况进行评估，内容包括系统可用率、数据处理效率、故障发生率和用户满意度。评估结果应作为系统优化、设备更新和培训计划调整的重要依据。</w:t>
      </w:r>
    </w:p>
    <w:bookmarkEnd w:id="26"/>
    <w:p w14:paraId="6CB339B7">
      <w:pPr>
        <w:pStyle w:val="56"/>
        <w:ind w:firstLine="0" w:firstLineChars="0"/>
        <w:jc w:val="center"/>
      </w:pPr>
      <w:bookmarkStart w:id="58" w:name="BookMark8"/>
      <w:r>
        <w:rPr>
          <w:rFonts w:hint="eastAsia"/>
        </w:rPr>
        <w:drawing>
          <wp:inline distT="0" distB="0" distL="0" distR="0">
            <wp:extent cx="1485900" cy="317500"/>
            <wp:effectExtent l="0" t="0" r="0" b="6350"/>
            <wp:docPr id="1612729444" name="图片 3"/>
            <wp:cNvGraphicFramePr/>
            <a:graphic xmlns:a="http://schemas.openxmlformats.org/drawingml/2006/main">
              <a:graphicData uri="http://schemas.openxmlformats.org/drawingml/2006/picture">
                <pic:pic xmlns:pic="http://schemas.openxmlformats.org/drawingml/2006/picture">
                  <pic:nvPicPr>
                    <pic:cNvPr id="1612729444"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AB3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D052">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E8B0">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98D1">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9E1A">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480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C411">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D3BC">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2F27">
    <w:pPr>
      <w:pStyle w:val="61"/>
    </w:pPr>
    <w:r>
      <w:fldChar w:fldCharType="begin"/>
    </w:r>
    <w:r>
      <w:instrText xml:space="preserve"> STYLEREF  标准文件_文件编号  \* MERGEFORMAT </w:instrText>
    </w:r>
    <w:r>
      <w:fldChar w:fldCharType="separate"/>
    </w:r>
    <w:r>
      <w:t>T/XJBX 0074—2025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308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0074—2025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1CF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0074—2025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0074—2025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9A3C">
    <w:pPr>
      <w:pStyle w:val="61"/>
    </w:pPr>
    <w:r>
      <w:fldChar w:fldCharType="begin"/>
    </w:r>
    <w:r>
      <w:instrText xml:space="preserve"> STYLEREF  标准文件_文件编号  \* MERGEFORMAT </w:instrText>
    </w:r>
    <w:r>
      <w:fldChar w:fldCharType="separate"/>
    </w:r>
    <w:r>
      <w:t>T/XJBX 0074—2025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17F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0074—2025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90DE">
    <w:pPr>
      <w:pStyle w:val="61"/>
    </w:pPr>
    <w:r>
      <w:fldChar w:fldCharType="begin"/>
    </w:r>
    <w:r>
      <w:instrText xml:space="preserve"> STYLEREF  标准文件_文件编号  \* MERGEFORMAT </w:instrText>
    </w:r>
    <w:r>
      <w:fldChar w:fldCharType="separate"/>
    </w:r>
    <w:r>
      <w:t>T/XJBX 0074—2025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D06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0074—2025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DF4"/>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062"/>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C59"/>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98F"/>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C90"/>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03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AA7"/>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5CB"/>
    <w:rsid w:val="00CE0C4F"/>
    <w:rsid w:val="00CE30EA"/>
    <w:rsid w:val="00CF048A"/>
    <w:rsid w:val="00CF155A"/>
    <w:rsid w:val="00CF1C9F"/>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6EB"/>
    <w:rsid w:val="00D77031"/>
    <w:rsid w:val="00D814C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A8C"/>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610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C612429">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415B244E">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A429B7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5E6634"/>
    <w:rsid w:val="00AE1DC6"/>
    <w:rsid w:val="00E07735"/>
    <w:rsid w:val="00F35A8C"/>
    <w:rsid w:val="00F9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5063</Words>
  <Characters>5349</Characters>
  <Lines>58</Lines>
  <Paragraphs>16</Paragraphs>
  <TotalTime>58</TotalTime>
  <ScaleCrop>false</ScaleCrop>
  <LinksUpToDate>false</LinksUpToDate>
  <CharactersWithSpaces>5433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2025-08-10T10:42:00Z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2025-08-11T06:35:47Z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24D7618824EC401C9FB6698AD287DBFE_12</vt:lpwstr>
  </property>
</Properties>
</file>