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13.0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13.040.01</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Z 0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1"/>
            </w:textInput>
          </w:ffData>
        </w:fldChar>
      </w:r>
      <w:bookmarkStart w:id="6" w:name="NSTD_CODE_F"/>
      <w:r>
        <w:instrText xml:space="preserve"> FORMTEXT </w:instrText>
      </w:r>
      <w:r>
        <w:fldChar w:fldCharType="separate"/>
      </w:r>
      <w:r>
        <w:t>0071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hint="eastAsia" w:ascii="黑体" w:hAnsi="黑体" w:eastAsia="黑体"/>
          <w:b w:val="0"/>
          <w:bCs w:val="0"/>
          <w:w w:val="100"/>
        </w:rPr>
      </w:pPr>
    </w:p>
    <w:p w14:paraId="5E1315B7">
      <w:pPr>
        <w:pStyle w:val="197"/>
        <w:framePr w:h="6974" w:hRule="exact" w:wrap="around" w:x="1419" w:anchorLock="1"/>
        <w:rPr>
          <w:rFonts w:hint="eastAsia"/>
        </w:rPr>
      </w:pPr>
      <w:r>
        <w:fldChar w:fldCharType="begin">
          <w:ffData>
            <w:name w:val="CSTD_NAME"/>
            <w:enabled/>
            <w:calcOnExit w:val="0"/>
            <w:textInput>
              <w:default w:val="水与大气环境监测设备智能化运维技术规程"/>
            </w:textInput>
          </w:ffData>
        </w:fldChar>
      </w:r>
      <w:bookmarkStart w:id="9" w:name="CSTD_NAME"/>
      <w:r>
        <w:instrText xml:space="preserve"> FORMTEXT </w:instrText>
      </w:r>
      <w:r>
        <w:fldChar w:fldCharType="separate"/>
      </w:r>
      <w:r>
        <w:t>水与大气环境监测设备智能化运维</w:t>
      </w:r>
    </w:p>
    <w:p w14:paraId="73594FE6">
      <w:pPr>
        <w:pStyle w:val="197"/>
        <w:framePr w:h="6974" w:hRule="exact" w:wrap="around" w:x="1419" w:anchorLock="1"/>
        <w:rPr>
          <w:rFonts w:hint="eastAsia"/>
        </w:rPr>
      </w:pPr>
      <w:r>
        <w:t>技术规程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intelligent operation and maintenance of water and atmospheric environmental monitoring equipment"/>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Code of practice for intelligent operation and maintenance of water and atmospheric environmental monitoring equipment</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DA244F3">
      <w:pPr>
        <w:pStyle w:val="91"/>
        <w:spacing w:after="360"/>
      </w:pPr>
      <w:bookmarkStart w:id="21" w:name="BookMark1"/>
      <w:r>
        <w:rPr>
          <w:rFonts w:hint="eastAsia"/>
          <w:spacing w:val="320"/>
        </w:rPr>
        <w:t>目</w:t>
      </w:r>
      <w:r>
        <w:rPr>
          <w:rFonts w:hint="eastAsia"/>
        </w:rPr>
        <w:t>次</w:t>
      </w:r>
    </w:p>
    <w:p w14:paraId="6A941463">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"_Toc205757514" </w:instrText>
      </w:r>
      <w:r>
        <w:fldChar w:fldCharType="separate"/>
      </w:r>
      <w:r>
        <w:rPr>
          <w:rStyle w:val="32"/>
        </w:rPr>
        <w:t>前言</w:t>
      </w:r>
      <w:r>
        <w:tab/>
      </w:r>
      <w:r>
        <w:fldChar w:fldCharType="begin"/>
      </w:r>
      <w:r>
        <w:instrText xml:space="preserve"> PAGEREF _Toc205757514 \h </w:instrText>
      </w:r>
      <w:r>
        <w:fldChar w:fldCharType="separate"/>
      </w:r>
      <w:r>
        <w:t>III</w:t>
      </w:r>
      <w:r>
        <w:fldChar w:fldCharType="end"/>
      </w:r>
      <w:r>
        <w:fldChar w:fldCharType="end"/>
      </w:r>
    </w:p>
    <w:p w14:paraId="4DDF15F8">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"_Toc205757515" </w:instrText>
      </w:r>
      <w:r>
        <w:fldChar w:fldCharType="separate"/>
      </w:r>
      <w:r>
        <w:rPr>
          <w:rStyle w:val="32"/>
        </w:rPr>
        <w:t>引言</w:t>
      </w:r>
      <w:r>
        <w:tab/>
      </w:r>
      <w:r>
        <w:fldChar w:fldCharType="begin"/>
      </w:r>
      <w:r>
        <w:instrText xml:space="preserve"> PAGEREF _Toc205757515 \h </w:instrText>
      </w:r>
      <w:r>
        <w:fldChar w:fldCharType="separate"/>
      </w:r>
      <w:r>
        <w:t>V</w:t>
      </w:r>
      <w:r>
        <w:fldChar w:fldCharType="end"/>
      </w:r>
      <w:r>
        <w:fldChar w:fldCharType="end"/>
      </w:r>
    </w:p>
    <w:p w14:paraId="025ABC8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"_Toc205757516" </w:instrText>
      </w:r>
      <w:r>
        <w:fldChar w:fldCharType="separate"/>
      </w:r>
      <w:r>
        <w:rPr>
          <w:rStyle w:val="32"/>
        </w:rPr>
        <w:t>1  范围</w:t>
      </w:r>
      <w:r>
        <w:tab/>
      </w:r>
      <w:r>
        <w:fldChar w:fldCharType="begin"/>
      </w:r>
      <w:r>
        <w:instrText xml:space="preserve"> PAGEREF _Toc205757516 \h </w:instrText>
      </w:r>
      <w:r>
        <w:fldChar w:fldCharType="separate"/>
      </w:r>
      <w:r>
        <w:t>1</w:t>
      </w:r>
      <w:r>
        <w:fldChar w:fldCharType="end"/>
      </w:r>
      <w:r>
        <w:fldChar w:fldCharType="end"/>
      </w:r>
    </w:p>
    <w:p w14:paraId="6DFFADC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"_Toc205757517" </w:instrText>
      </w:r>
      <w:r>
        <w:fldChar w:fldCharType="separate"/>
      </w:r>
      <w:r>
        <w:rPr>
          <w:rStyle w:val="32"/>
        </w:rPr>
        <w:t>2  规范性引用文件</w:t>
      </w:r>
      <w:r>
        <w:tab/>
      </w:r>
      <w:r>
        <w:fldChar w:fldCharType="begin"/>
      </w:r>
      <w:r>
        <w:instrText xml:space="preserve"> PAGEREF _Toc205757517 \h </w:instrText>
      </w:r>
      <w:r>
        <w:fldChar w:fldCharType="separate"/>
      </w:r>
      <w:r>
        <w:t>1</w:t>
      </w:r>
      <w:r>
        <w:fldChar w:fldCharType="end"/>
      </w:r>
      <w:r>
        <w:fldChar w:fldCharType="end"/>
      </w:r>
    </w:p>
    <w:p w14:paraId="04B9CB17">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"_Toc205757518" </w:instrText>
      </w:r>
      <w:r>
        <w:fldChar w:fldCharType="separate"/>
      </w:r>
      <w:r>
        <w:rPr>
          <w:rStyle w:val="32"/>
        </w:rPr>
        <w:t>3  术语和定义</w:t>
      </w:r>
      <w:r>
        <w:tab/>
      </w:r>
      <w:r>
        <w:fldChar w:fldCharType="begin"/>
      </w:r>
      <w:r>
        <w:instrText xml:space="preserve"> PAGEREF _Toc205757518 \h </w:instrText>
      </w:r>
      <w:r>
        <w:fldChar w:fldCharType="separate"/>
      </w:r>
      <w:r>
        <w:t>1</w:t>
      </w:r>
      <w:r>
        <w:fldChar w:fldCharType="end"/>
      </w:r>
      <w:r>
        <w:fldChar w:fldCharType="end"/>
      </w:r>
    </w:p>
    <w:p w14:paraId="66B0F337">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"_Toc205757519" </w:instrText>
      </w:r>
      <w:r>
        <w:fldChar w:fldCharType="separate"/>
      </w:r>
      <w:r>
        <w:rPr>
          <w:rStyle w:val="32"/>
        </w:rPr>
        <w:t>4  总则</w:t>
      </w:r>
      <w:r>
        <w:tab/>
      </w:r>
      <w:r>
        <w:fldChar w:fldCharType="begin"/>
      </w:r>
      <w:r>
        <w:instrText xml:space="preserve"> PAGEREF _Toc205757519 \h </w:instrText>
      </w:r>
      <w:r>
        <w:fldChar w:fldCharType="separate"/>
      </w:r>
      <w:r>
        <w:t>2</w:t>
      </w:r>
      <w:r>
        <w:fldChar w:fldCharType="end"/>
      </w:r>
      <w:r>
        <w:fldChar w:fldCharType="end"/>
      </w:r>
    </w:p>
    <w:p w14:paraId="2D6F783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"_Toc205757520" </w:instrText>
      </w:r>
      <w:r>
        <w:fldChar w:fldCharType="separate"/>
      </w:r>
      <w:r>
        <w:rPr>
          <w:rStyle w:val="32"/>
        </w:rPr>
        <w:t>5  系统架构与功能要求</w:t>
      </w:r>
      <w:r>
        <w:tab/>
      </w:r>
      <w:r>
        <w:fldChar w:fldCharType="begin"/>
      </w:r>
      <w:r>
        <w:instrText xml:space="preserve"> PAGEREF _Toc205757520 \h </w:instrText>
      </w:r>
      <w:r>
        <w:fldChar w:fldCharType="separate"/>
      </w:r>
      <w:r>
        <w:t>2</w:t>
      </w:r>
      <w:r>
        <w:fldChar w:fldCharType="end"/>
      </w:r>
      <w:r>
        <w:fldChar w:fldCharType="end"/>
      </w:r>
    </w:p>
    <w:p w14:paraId="2863E41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"_Toc205757521" </w:instrText>
      </w:r>
      <w:r>
        <w:fldChar w:fldCharType="separate"/>
      </w:r>
      <w:r>
        <w:rPr>
          <w:rStyle w:val="32"/>
        </w:rPr>
        <w:t>6  数据管理与信息交互</w:t>
      </w:r>
      <w:r>
        <w:tab/>
      </w:r>
      <w:r>
        <w:fldChar w:fldCharType="begin"/>
      </w:r>
      <w:r>
        <w:instrText xml:space="preserve"> PAGEREF _Toc205757521 \h </w:instrText>
      </w:r>
      <w:r>
        <w:fldChar w:fldCharType="separate"/>
      </w:r>
      <w:r>
        <w:t>3</w:t>
      </w:r>
      <w:r>
        <w:fldChar w:fldCharType="end"/>
      </w:r>
      <w:r>
        <w:fldChar w:fldCharType="end"/>
      </w:r>
    </w:p>
    <w:p w14:paraId="1B3342B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"_Toc205757522" </w:instrText>
      </w:r>
      <w:r>
        <w:fldChar w:fldCharType="separate"/>
      </w:r>
      <w:r>
        <w:rPr>
          <w:rStyle w:val="32"/>
        </w:rPr>
        <w:t>7  运维流程与响应机制</w:t>
      </w:r>
      <w:r>
        <w:tab/>
      </w:r>
      <w:r>
        <w:fldChar w:fldCharType="begin"/>
      </w:r>
      <w:r>
        <w:instrText xml:space="preserve"> PAGEREF _Toc205757522 \h </w:instrText>
      </w:r>
      <w:r>
        <w:fldChar w:fldCharType="separate"/>
      </w:r>
      <w:r>
        <w:t>4</w:t>
      </w:r>
      <w:r>
        <w:fldChar w:fldCharType="end"/>
      </w:r>
      <w:r>
        <w:fldChar w:fldCharType="end"/>
      </w:r>
    </w:p>
    <w:p w14:paraId="18925A7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"_Toc205757523" </w:instrText>
      </w:r>
      <w:r>
        <w:fldChar w:fldCharType="separate"/>
      </w:r>
      <w:r>
        <w:rPr>
          <w:rStyle w:val="32"/>
        </w:rPr>
        <w:t>8  系统安全与维护管理</w:t>
      </w:r>
      <w:r>
        <w:tab/>
      </w:r>
      <w:r>
        <w:fldChar w:fldCharType="begin"/>
      </w:r>
      <w:r>
        <w:instrText xml:space="preserve"> PAGEREF _Toc205757523 \h </w:instrText>
      </w:r>
      <w:r>
        <w:fldChar w:fldCharType="separate"/>
      </w:r>
      <w:r>
        <w:t>5</w:t>
      </w:r>
      <w:r>
        <w:fldChar w:fldCharType="end"/>
      </w:r>
      <w:r>
        <w:fldChar w:fldCharType="end"/>
      </w:r>
    </w:p>
    <w:p w14:paraId="41A4683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"_Toc205757524" </w:instrText>
      </w:r>
      <w:r>
        <w:fldChar w:fldCharType="separate"/>
      </w:r>
      <w:r>
        <w:rPr>
          <w:rStyle w:val="32"/>
        </w:rPr>
        <w:t>9  人员培训与应急演练</w:t>
      </w:r>
      <w:r>
        <w:tab/>
      </w:r>
      <w:r>
        <w:fldChar w:fldCharType="begin"/>
      </w:r>
      <w:r>
        <w:instrText xml:space="preserve"> PAGEREF _Toc205757524 \h </w:instrText>
      </w:r>
      <w:r>
        <w:fldChar w:fldCharType="separate"/>
      </w:r>
      <w:r>
        <w:t>6</w:t>
      </w:r>
      <w:r>
        <w:fldChar w:fldCharType="end"/>
      </w:r>
      <w:r>
        <w:fldChar w:fldCharType="end"/>
      </w:r>
    </w:p>
    <w:p w14:paraId="5B3F8EB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"_Toc205757525" </w:instrText>
      </w:r>
      <w:r>
        <w:fldChar w:fldCharType="separate"/>
      </w:r>
      <w:r>
        <w:rPr>
          <w:rStyle w:val="32"/>
        </w:rPr>
        <w:t>10  应急事件记录与追溯管理</w:t>
      </w:r>
      <w:r>
        <w:tab/>
      </w:r>
      <w:r>
        <w:fldChar w:fldCharType="begin"/>
      </w:r>
      <w:r>
        <w:instrText xml:space="preserve"> PAGEREF _Toc205757525 \h </w:instrText>
      </w:r>
      <w:r>
        <w:fldChar w:fldCharType="separate"/>
      </w:r>
      <w:r>
        <w:t>7</w:t>
      </w:r>
      <w:r>
        <w:fldChar w:fldCharType="end"/>
      </w:r>
      <w:r>
        <w:fldChar w:fldCharType="end"/>
      </w:r>
    </w:p>
    <w:p w14:paraId="30525F1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"_Toc205757526" </w:instrText>
      </w:r>
      <w:r>
        <w:fldChar w:fldCharType="separate"/>
      </w:r>
      <w:r>
        <w:rPr>
          <w:rStyle w:val="32"/>
        </w:rPr>
        <w:t>11  系统评估与持续优化</w:t>
      </w:r>
      <w:r>
        <w:tab/>
      </w:r>
      <w:r>
        <w:fldChar w:fldCharType="begin"/>
      </w:r>
      <w:r>
        <w:instrText xml:space="preserve"> PAGEREF _Toc205757526 \h </w:instrText>
      </w:r>
      <w:r>
        <w:fldChar w:fldCharType="separate"/>
      </w:r>
      <w:r>
        <w:t>8</w:t>
      </w:r>
      <w:r>
        <w:fldChar w:fldCharType="end"/>
      </w:r>
      <w:r>
        <w:fldChar w:fldCharType="end"/>
      </w:r>
    </w:p>
    <w:p w14:paraId="54B54D76">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751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本文件起草单位：山东新航工程项目咨询有限公司。</w:t>
      </w:r>
    </w:p>
    <w:p w14:paraId="55F4A5D1">
      <w:pPr>
        <w:pStyle w:val="56"/>
        <w:spacing w:line="360" w:lineRule="auto"/>
        <w:ind w:firstLine="420"/>
      </w:pPr>
      <w:r>
        <w:rPr>
          <w:rFonts w:hint="eastAsia"/>
        </w:rPr>
        <w:t>本文件主要起草人：刘沙沙。</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757515"/>
      <w:bookmarkStart w:id="25" w:name="BookMark3"/>
      <w:r>
        <w:rPr>
          <w:spacing w:val="320"/>
        </w:rPr>
        <w:t>引</w:t>
      </w:r>
      <w:r>
        <w:t>言</w:t>
      </w:r>
      <w:bookmarkEnd w:id="24"/>
    </w:p>
    <w:p w14:paraId="6AEB42A6">
      <w:pPr>
        <w:pStyle w:val="56"/>
        <w:spacing w:line="360" w:lineRule="auto"/>
        <w:ind w:firstLine="420"/>
      </w:pPr>
      <w:r>
        <w:rPr>
          <w:rFonts w:hint="eastAsia"/>
        </w:rPr>
        <w:t>水与大气环境监测设备是环境保护、污染防治和生态管理的重要技术支撑，其运行的稳定性、数据的准确性直接关系到环境质量评估与决策管理的科学性。随着监测需求的不断扩大和技术手段的快速发展，监测设备正由传统人工运维向智能化、信息化和网络化方向转变。</w:t>
      </w:r>
    </w:p>
    <w:p w14:paraId="76011113">
      <w:pPr>
        <w:pStyle w:val="56"/>
        <w:spacing w:line="360" w:lineRule="auto"/>
        <w:ind w:firstLine="420"/>
      </w:pPr>
      <w:r>
        <w:rPr>
          <w:rFonts w:hint="eastAsia"/>
        </w:rPr>
        <w:t>在实际应用中，传统的设备运维方式存在反应滞后、维护效率低、数据异常发现不及时等问题，无法满足当前对环境监测的高频率、高精度和实时化要求。智能化运维技术依托物联网、云计算、大数据分析和人工智能等手段，实现设备运行状态的实时监测、故障自动诊断、远程运维调度、预测性维护和全过程管理，有助于提高设备可用率、降低维护成本并延长设备寿命。</w:t>
      </w:r>
    </w:p>
    <w:p w14:paraId="6A9F9DCA">
      <w:pPr>
        <w:pStyle w:val="56"/>
        <w:spacing w:line="360" w:lineRule="auto"/>
        <w:ind w:firstLine="420"/>
      </w:pPr>
      <w:r>
        <w:rPr>
          <w:rFonts w:hint="eastAsia"/>
        </w:rPr>
        <w:t>制定本文件旨在规范水与大气环境监测设备智能化运维的技术要求、管理流程和实施方法，明确各环节的职责分工与技术规范，保障监测设备长期稳定运行和监测数据的科学可靠。本文件注重先进性与可操作性相结合，强调与现行法律法规、国家标准及行业规范的衔接，适用于各级环境监测机构、设备制造商、运维服务单位和相关管理部门在设备智能化运维过程中的参考和执行。</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hint="eastAsia" w:ascii="黑体" w:hAnsi="黑体" w:eastAsia="黑体"/>
          <w:sz w:val="32"/>
          <w:szCs w:val="32"/>
        </w:rPr>
      </w:pPr>
      <w:bookmarkStart w:id="26" w:name="BookMark4"/>
    </w:p>
    <w:p w14:paraId="71484A10">
      <w:pPr>
        <w:spacing w:line="20" w:lineRule="exact"/>
        <w:jc w:val="center"/>
        <w:rPr>
          <w:rFonts w:hint="eastAsia" w:ascii="黑体" w:hAnsi="黑体" w:eastAsia="黑体"/>
          <w:sz w:val="32"/>
          <w:szCs w:val="32"/>
        </w:rPr>
      </w:pPr>
    </w:p>
    <w:sdt>
      <w:sdtPr>
        <w:tag w:val="NEW_STAND_NAME"/>
        <w:id w:val="595910757"/>
        <w:lock w:val="sdtLocked"/>
        <w:placeholder>
          <w:docPart w:val="012FB321F5A4443D9AFC61825E0F0C38"/>
        </w:placeholder>
      </w:sdtPr>
      <w:sdtContent>
        <w:p w14:paraId="138F3AEC">
          <w:pPr>
            <w:pStyle w:val="177"/>
            <w:spacing w:after="0"/>
            <w:rPr>
              <w:rFonts w:hint="eastAsia"/>
            </w:rPr>
          </w:pPr>
          <w:bookmarkStart w:id="27" w:name="NEW_STAND_NAME"/>
          <w:r>
            <w:rPr>
              <w:rFonts w:hint="eastAsia"/>
            </w:rPr>
            <w:t>水与大气环境监测设备智能化运维</w:t>
          </w:r>
        </w:p>
        <w:p w14:paraId="7D4E3E1F">
          <w:pPr>
            <w:pStyle w:val="177"/>
            <w:spacing w:before="0"/>
            <w:rPr>
              <w:rFonts w:hint="eastAsia"/>
            </w:rPr>
          </w:pPr>
          <w:r>
            <w:rPr>
              <w:rFonts w:hint="eastAsia"/>
            </w:rPr>
            <w:t>技术规程</w:t>
          </w:r>
        </w:p>
      </w:sdtContent>
    </w:sdt>
    <w:bookmarkEnd w:id="27"/>
    <w:p w14:paraId="3DB22445">
      <w:pPr>
        <w:pStyle w:val="104"/>
        <w:spacing w:before="240" w:after="240" w:line="360" w:lineRule="auto"/>
      </w:pPr>
      <w:bookmarkStart w:id="28" w:name="_Toc17233325"/>
      <w:bookmarkStart w:id="29" w:name="_Toc205757516"/>
      <w:bookmarkStart w:id="30" w:name="_Toc26986530"/>
      <w:bookmarkStart w:id="31" w:name="_Toc24884218"/>
      <w:bookmarkStart w:id="32" w:name="_Toc17233333"/>
      <w:bookmarkStart w:id="33" w:name="_Toc26718930"/>
      <w:bookmarkStart w:id="34" w:name="_Toc97192964"/>
      <w:bookmarkStart w:id="35" w:name="_Toc26648465"/>
      <w:bookmarkStart w:id="36" w:name="_Toc24884211"/>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15B3BF00">
      <w:pPr>
        <w:pStyle w:val="56"/>
        <w:spacing w:line="360" w:lineRule="auto"/>
        <w:ind w:firstLine="420"/>
      </w:pPr>
      <w:bookmarkStart w:id="38" w:name="_Toc17233326"/>
      <w:bookmarkStart w:id="39" w:name="_Toc24884212"/>
      <w:bookmarkStart w:id="40" w:name="_Toc26648466"/>
      <w:bookmarkStart w:id="41" w:name="_Toc17233334"/>
      <w:bookmarkStart w:id="42" w:name="_Toc24884219"/>
      <w:r>
        <w:rPr>
          <w:rFonts w:hint="eastAsia"/>
        </w:rPr>
        <w:t>本文件规定了水与大气环境监测设备智能化运维的系统架构与功能要求、数据管理与信息交互、数据管理与信息交互、系统安全与维护管理、人员培训与应急演练、应急事件记录与追溯管理以及系统评估与持续优化等内容。</w:t>
      </w:r>
    </w:p>
    <w:p w14:paraId="11F066CC">
      <w:pPr>
        <w:pStyle w:val="56"/>
        <w:spacing w:line="360" w:lineRule="auto"/>
        <w:ind w:firstLine="420"/>
      </w:pPr>
      <w:r>
        <w:rPr>
          <w:rFonts w:hint="eastAsia"/>
        </w:rPr>
        <w:t>本文件适用于采用智能化技术手段开展水质监测、大气质量监测、污染源在线监测、气象要素监测等设备的运行维护工作。所涉及的设备包括但不限于水质自动监测站、大气自动监测站、污染源在线监测系统、气象观测仪器及相关配套设施。</w:t>
      </w:r>
    </w:p>
    <w:p w14:paraId="76265264">
      <w:pPr>
        <w:pStyle w:val="56"/>
        <w:spacing w:line="360" w:lineRule="auto"/>
        <w:ind w:firstLine="420"/>
      </w:pPr>
      <w:r>
        <w:rPr>
          <w:rFonts w:hint="eastAsia"/>
        </w:rPr>
        <w:t>本文件适用于环境监测机构、设备制造商、第三方运维服务机构、环境管理部门等在水与大气环境监测设备智能化运维过程中的设计、实施、管理和考核工作。</w:t>
      </w:r>
    </w:p>
    <w:p w14:paraId="3733B2AD">
      <w:pPr>
        <w:pStyle w:val="104"/>
        <w:spacing w:before="240" w:after="240" w:line="360" w:lineRule="auto"/>
      </w:pPr>
      <w:bookmarkStart w:id="43" w:name="_Toc205757517"/>
      <w:bookmarkStart w:id="44" w:name="_Toc26986772"/>
      <w:bookmarkStart w:id="45" w:name="_Toc26718931"/>
      <w:bookmarkStart w:id="46" w:name="_Toc97192965"/>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430304">
      <w:pPr>
        <w:pStyle w:val="56"/>
        <w:spacing w:line="360" w:lineRule="auto"/>
        <w:ind w:firstLine="420"/>
      </w:pPr>
      <w:r>
        <w:rPr>
          <w:rFonts w:hint="eastAsia"/>
        </w:rPr>
        <w:t>GB/T 1.1—2</w:t>
      </w:r>
      <w:r>
        <w:t>020</w:t>
      </w:r>
      <w:r>
        <w:rPr>
          <w:rFonts w:hint="eastAsia"/>
        </w:rPr>
        <w:t xml:space="preserve"> 标准化工作导则 </w:t>
      </w:r>
      <w:r>
        <w:t xml:space="preserve"> </w:t>
      </w:r>
      <w:r>
        <w:rPr>
          <w:rFonts w:hint="eastAsia"/>
        </w:rPr>
        <w:t>第1部分：标准化文件的结构和起草规则</w:t>
      </w:r>
    </w:p>
    <w:p w14:paraId="0456E01C">
      <w:pPr>
        <w:pStyle w:val="56"/>
        <w:spacing w:line="360" w:lineRule="auto"/>
        <w:ind w:firstLine="420"/>
      </w:pPr>
      <w:r>
        <w:t>GB/T 191</w:t>
      </w:r>
      <w:r>
        <w:rPr>
          <w:rFonts w:hint="eastAsia"/>
        </w:rPr>
        <w:t>—</w:t>
      </w:r>
      <w:r>
        <w:t xml:space="preserve">2008 </w:t>
      </w:r>
      <w:r>
        <w:rPr>
          <w:rFonts w:hint="eastAsia"/>
        </w:rPr>
        <w:t>包装储运图示标志</w:t>
      </w:r>
    </w:p>
    <w:p w14:paraId="27585BE3">
      <w:pPr>
        <w:pStyle w:val="56"/>
        <w:spacing w:line="360" w:lineRule="auto"/>
        <w:ind w:firstLine="420"/>
      </w:pPr>
      <w:r>
        <w:t>HJ 630</w:t>
      </w:r>
      <w:r>
        <w:rPr>
          <w:rFonts w:hint="eastAsia"/>
        </w:rPr>
        <w:t>—</w:t>
      </w:r>
      <w:r>
        <w:t xml:space="preserve">2011 </w:t>
      </w:r>
      <w:r>
        <w:rPr>
          <w:rFonts w:hint="eastAsia"/>
        </w:rPr>
        <w:t>环境监测质量管理技术导则</w:t>
      </w:r>
    </w:p>
    <w:p w14:paraId="7C5364EF">
      <w:pPr>
        <w:pStyle w:val="56"/>
        <w:spacing w:line="360" w:lineRule="auto"/>
        <w:ind w:firstLine="420"/>
      </w:pPr>
      <w:r>
        <w:t>HJ/T 193</w:t>
      </w:r>
      <w:r>
        <w:rPr>
          <w:rFonts w:hint="eastAsia"/>
        </w:rPr>
        <w:t>—</w:t>
      </w:r>
      <w:r>
        <w:t>2005</w:t>
      </w:r>
      <w:r>
        <w:rPr>
          <w:rFonts w:hint="eastAsia"/>
        </w:rPr>
        <w:t xml:space="preserve"> 环境空气质量自动监测技术规范</w:t>
      </w:r>
    </w:p>
    <w:p w14:paraId="51F02A4E">
      <w:pPr>
        <w:pStyle w:val="104"/>
        <w:spacing w:before="240" w:after="240" w:line="360" w:lineRule="auto"/>
      </w:pPr>
      <w:bookmarkStart w:id="48" w:name="_Toc205757518"/>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1746B6C4">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智能化运维 intelligent operation and maintenance</w:t>
      </w:r>
    </w:p>
    <w:p w14:paraId="0EDE37A7">
      <w:pPr>
        <w:pStyle w:val="56"/>
        <w:spacing w:line="360" w:lineRule="auto"/>
        <w:ind w:firstLine="420"/>
      </w:pPr>
      <w:r>
        <w:rPr>
          <w:rFonts w:hint="eastAsia"/>
        </w:rPr>
        <w:t>利用物联网、云计算、大数据、人工智能等技术，对监测设备进行运行状态实时监控、数据分析、故障诊断、远程维护和预测性维修的综合管理方式。</w:t>
      </w:r>
    </w:p>
    <w:p w14:paraId="539FB35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远程监控平台 remote monitoring platform</w:t>
      </w:r>
    </w:p>
    <w:p w14:paraId="30AF4202">
      <w:pPr>
        <w:pStyle w:val="56"/>
        <w:spacing w:line="360" w:lineRule="auto"/>
        <w:ind w:firstLine="420"/>
      </w:pPr>
      <w:r>
        <w:rPr>
          <w:rFonts w:hint="eastAsia"/>
        </w:rPr>
        <w:t>基于网络和信息技术，对分布式监测设备进行集中管理、运行监控、数据采集与分析，并支持远程控制与维护的系统平台。</w:t>
      </w:r>
    </w:p>
    <w:p w14:paraId="3AC5F02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预测性维护 predictive maintenance</w:t>
      </w:r>
    </w:p>
    <w:p w14:paraId="569B9802">
      <w:pPr>
        <w:pStyle w:val="56"/>
        <w:spacing w:line="360" w:lineRule="auto"/>
        <w:ind w:firstLine="420"/>
      </w:pPr>
      <w:r>
        <w:rPr>
          <w:rFonts w:hint="eastAsia"/>
        </w:rPr>
        <w:t>通过对设备运行数据进行分析，预测设备可能发生的故障或性能衰退，从而提前采取维护措施，避免突发故障和停机。</w:t>
      </w:r>
    </w:p>
    <w:p w14:paraId="29E432D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状态监测 condition monitoring</w:t>
      </w:r>
    </w:p>
    <w:p w14:paraId="32803229">
      <w:pPr>
        <w:pStyle w:val="56"/>
        <w:spacing w:line="360" w:lineRule="auto"/>
        <w:ind w:firstLine="420"/>
      </w:pPr>
      <w:r>
        <w:rPr>
          <w:rFonts w:hint="eastAsia"/>
        </w:rPr>
        <w:t>利用传感器和数据采集技术，对设备运行参数（如温度、压力、电流、振动等）进行实时测量，以判断设备健康状态的过程。</w:t>
      </w:r>
    </w:p>
    <w:p w14:paraId="5A5D7C9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数据采集与传输 data acquisition and transmission</w:t>
      </w:r>
    </w:p>
    <w:p w14:paraId="4F81F1B1">
      <w:pPr>
        <w:pStyle w:val="56"/>
        <w:spacing w:line="360" w:lineRule="auto"/>
        <w:ind w:firstLine="420"/>
      </w:pPr>
      <w:r>
        <w:rPr>
          <w:rFonts w:hint="eastAsia"/>
        </w:rPr>
        <w:t>利用传感器、采集终端和通信网络，将监测设备采集的数据实时或定时传输至远程监控平台的过程。</w:t>
      </w:r>
    </w:p>
    <w:p w14:paraId="7C8D647F">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设备全生命周期管理 equipment lifecycle management</w:t>
      </w:r>
    </w:p>
    <w:p w14:paraId="57554EA0">
      <w:pPr>
        <w:pStyle w:val="56"/>
        <w:spacing w:line="360" w:lineRule="auto"/>
        <w:ind w:firstLine="420"/>
      </w:pPr>
      <w:r>
        <w:rPr>
          <w:rFonts w:hint="eastAsia"/>
        </w:rPr>
        <w:t>涵盖设备从采购、安装、调试、运行、维护直至报废的全过程管理，旨在优化设备使用效益和延长使用寿命。</w:t>
      </w:r>
    </w:p>
    <w:p w14:paraId="1EEAF6AE">
      <w:pPr>
        <w:pStyle w:val="104"/>
        <w:spacing w:before="240" w:after="240" w:line="360" w:lineRule="auto"/>
      </w:pPr>
      <w:bookmarkStart w:id="51" w:name="_Toc205757519"/>
      <w:r>
        <w:rPr>
          <w:rFonts w:hint="eastAsia"/>
        </w:rPr>
        <w:t>总则</w:t>
      </w:r>
      <w:bookmarkEnd w:id="51"/>
    </w:p>
    <w:p w14:paraId="06E1AA41">
      <w:pPr>
        <w:pStyle w:val="162"/>
        <w:spacing w:line="360" w:lineRule="auto"/>
      </w:pPr>
      <w:r>
        <w:rPr>
          <w:rFonts w:hint="eastAsia"/>
        </w:rPr>
        <w:t>本规程适用于各类水与大气环境监测设备的智能化运维，应遵循安全可靠、科学高效、预防为主、持续改进的原则，确保监测设备运行稳定、数据准确和响应及时。</w:t>
      </w:r>
    </w:p>
    <w:p w14:paraId="1CD9401C">
      <w:pPr>
        <w:pStyle w:val="162"/>
        <w:spacing w:line="360" w:lineRule="auto"/>
      </w:pPr>
      <w:r>
        <w:rPr>
          <w:rFonts w:hint="eastAsia"/>
        </w:rPr>
        <w:t>智能化运维应与设备的安装调试、日常管理、质量控制及应急处置等环节相衔接，形成全过程、闭环化的管理模式。</w:t>
      </w:r>
    </w:p>
    <w:p w14:paraId="3FF72200">
      <w:pPr>
        <w:pStyle w:val="162"/>
        <w:spacing w:line="360" w:lineRule="auto"/>
      </w:pPr>
      <w:r>
        <w:rPr>
          <w:rFonts w:hint="eastAsia"/>
        </w:rPr>
        <w:t>运维系统建设应充分利用物联网、云计算、大数据、人工智能等先进技术，实现运行状态实时监测、数据自动采集与分析、故障自动诊断、远程运维调度及预测性维护。</w:t>
      </w:r>
    </w:p>
    <w:p w14:paraId="5FDE8B8C">
      <w:pPr>
        <w:pStyle w:val="162"/>
        <w:spacing w:line="360" w:lineRule="auto"/>
      </w:pPr>
      <w:r>
        <w:rPr>
          <w:rFonts w:hint="eastAsia"/>
        </w:rPr>
        <w:t>运维单位应建立健全责任体系，明确管理职责、技术要求和考核标准，并配备具备相应专业能力的技术人员及必要的运维工具。</w:t>
      </w:r>
    </w:p>
    <w:p w14:paraId="448E5CD4">
      <w:pPr>
        <w:pStyle w:val="162"/>
        <w:spacing w:line="360" w:lineRule="auto"/>
      </w:pPr>
      <w:r>
        <w:rPr>
          <w:rFonts w:hint="eastAsia"/>
        </w:rPr>
        <w:t>智能化运维活动应符合国家及行业现行的法律、法规、规章和标准的要求，并结合监测任务特点、设备类型及运行环境，制定针对性的实施方案。</w:t>
      </w:r>
    </w:p>
    <w:p w14:paraId="11ED0D72">
      <w:pPr>
        <w:pStyle w:val="162"/>
        <w:spacing w:line="360" w:lineRule="auto"/>
      </w:pPr>
      <w:r>
        <w:rPr>
          <w:rFonts w:hint="eastAsia"/>
        </w:rPr>
        <w:t>在设备运行状态监测、数据处理与传输过程中，应采取必要的网络安全和信息保护措施，防止数据泄露、篡改及非法访问。</w:t>
      </w:r>
    </w:p>
    <w:p w14:paraId="1E4F4930">
      <w:pPr>
        <w:pStyle w:val="104"/>
        <w:spacing w:before="240" w:after="240" w:line="360" w:lineRule="auto"/>
      </w:pPr>
      <w:bookmarkStart w:id="52" w:name="_Toc205757520"/>
      <w:r>
        <w:rPr>
          <w:rFonts w:hint="eastAsia"/>
        </w:rPr>
        <w:t>系统架构与功能要求</w:t>
      </w:r>
      <w:bookmarkEnd w:id="52"/>
    </w:p>
    <w:p w14:paraId="3529FC5B">
      <w:pPr>
        <w:pStyle w:val="105"/>
        <w:spacing w:before="120" w:after="120" w:line="360" w:lineRule="auto"/>
      </w:pPr>
      <w:r>
        <w:rPr>
          <w:rFonts w:hint="eastAsia"/>
        </w:rPr>
        <w:t>总体架构</w:t>
      </w:r>
    </w:p>
    <w:p w14:paraId="26C308F9">
      <w:pPr>
        <w:pStyle w:val="56"/>
        <w:spacing w:line="360" w:lineRule="auto"/>
        <w:ind w:firstLine="420"/>
      </w:pPr>
      <w:r>
        <w:rPr>
          <w:rFonts w:hint="eastAsia"/>
        </w:rPr>
        <w:t>水与大气环境监测设备智能化运维系统应由感知层、网络传输层、平台处理层和应用层构成，形成从现场数据采集、传输、分析到运维决策与执行的完整闭环。各层主要功能见表1。</w:t>
      </w:r>
    </w:p>
    <w:p w14:paraId="5268C15A">
      <w:pPr>
        <w:pStyle w:val="112"/>
        <w:spacing w:before="120" w:after="120" w:line="360" w:lineRule="auto"/>
      </w:pPr>
      <w:r>
        <w:rPr>
          <w:rFonts w:hint="eastAsia"/>
        </w:rPr>
        <w:t>水与大气环境监测设备智能化运维系统各层主要功能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6ACBB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vAlign w:val="center"/>
          </w:tcPr>
          <w:p w14:paraId="3526C80E">
            <w:pPr>
              <w:pStyle w:val="178"/>
            </w:pPr>
            <w:r>
              <w:rPr>
                <w:rFonts w:hint="eastAsia"/>
              </w:rPr>
              <w:t>系统层级</w:t>
            </w:r>
          </w:p>
        </w:tc>
        <w:tc>
          <w:tcPr>
            <w:tcW w:w="3822" w:type="dxa"/>
            <w:tcBorders>
              <w:top w:val="single" w:color="auto" w:sz="8" w:space="0"/>
              <w:bottom w:val="single" w:color="auto" w:sz="8" w:space="0"/>
            </w:tcBorders>
            <w:vAlign w:val="center"/>
          </w:tcPr>
          <w:p w14:paraId="2BD59994">
            <w:pPr>
              <w:pStyle w:val="178"/>
            </w:pPr>
            <w:r>
              <w:rPr>
                <w:rFonts w:hint="eastAsia"/>
              </w:rPr>
              <w:t>主要构成</w:t>
            </w:r>
          </w:p>
        </w:tc>
        <w:tc>
          <w:tcPr>
            <w:tcW w:w="3112" w:type="dxa"/>
            <w:tcBorders>
              <w:top w:val="single" w:color="auto" w:sz="8" w:space="0"/>
              <w:bottom w:val="single" w:color="auto" w:sz="8" w:space="0"/>
            </w:tcBorders>
            <w:vAlign w:val="center"/>
          </w:tcPr>
          <w:p w14:paraId="3C718A19">
            <w:pPr>
              <w:pStyle w:val="178"/>
            </w:pPr>
            <w:r>
              <w:rPr>
                <w:rFonts w:hint="eastAsia"/>
              </w:rPr>
              <w:t>核心功能</w:t>
            </w:r>
          </w:p>
        </w:tc>
      </w:tr>
      <w:tr w14:paraId="0FC80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vAlign w:val="center"/>
          </w:tcPr>
          <w:p w14:paraId="245BC695">
            <w:pPr>
              <w:pStyle w:val="178"/>
            </w:pPr>
            <w:r>
              <w:rPr>
                <w:rFonts w:hint="eastAsia"/>
              </w:rPr>
              <w:t>感知层</w:t>
            </w:r>
          </w:p>
        </w:tc>
        <w:tc>
          <w:tcPr>
            <w:tcW w:w="3822" w:type="dxa"/>
            <w:tcBorders>
              <w:top w:val="single" w:color="auto" w:sz="8" w:space="0"/>
            </w:tcBorders>
            <w:vAlign w:val="center"/>
          </w:tcPr>
          <w:p w14:paraId="6FDE00B1">
            <w:pPr>
              <w:pStyle w:val="178"/>
            </w:pPr>
            <w:r>
              <w:rPr>
                <w:rFonts w:hint="eastAsia"/>
              </w:rPr>
              <w:t>传感器、采集终端、监控摄像机、状态检测模块</w:t>
            </w:r>
          </w:p>
        </w:tc>
        <w:tc>
          <w:tcPr>
            <w:tcW w:w="3112" w:type="dxa"/>
            <w:tcBorders>
              <w:top w:val="single" w:color="auto" w:sz="8" w:space="0"/>
            </w:tcBorders>
            <w:vAlign w:val="center"/>
          </w:tcPr>
          <w:p w14:paraId="32CD79D7">
            <w:pPr>
              <w:pStyle w:val="178"/>
            </w:pPr>
            <w:r>
              <w:rPr>
                <w:rFonts w:hint="eastAsia"/>
              </w:rPr>
              <w:t>实时采集设备运行参数、水质/大气监测数据、现场环境信息；具备故障自检和异常报警功能</w:t>
            </w:r>
          </w:p>
        </w:tc>
      </w:tr>
      <w:tr w14:paraId="42D5B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vAlign w:val="center"/>
          </w:tcPr>
          <w:p w14:paraId="08493D62">
            <w:pPr>
              <w:pStyle w:val="178"/>
            </w:pPr>
            <w:r>
              <w:rPr>
                <w:rFonts w:hint="eastAsia"/>
              </w:rPr>
              <w:t>网络传输层</w:t>
            </w:r>
          </w:p>
        </w:tc>
        <w:tc>
          <w:tcPr>
            <w:tcW w:w="3822" w:type="dxa"/>
            <w:vAlign w:val="center"/>
          </w:tcPr>
          <w:p w14:paraId="7CC485A1">
            <w:pPr>
              <w:pStyle w:val="178"/>
            </w:pPr>
            <w:r>
              <w:rPr>
                <w:rFonts w:hint="eastAsia"/>
              </w:rPr>
              <w:t>有线网络、无线通信模块、卫星通信终端</w:t>
            </w:r>
          </w:p>
        </w:tc>
        <w:tc>
          <w:tcPr>
            <w:tcW w:w="3112" w:type="dxa"/>
            <w:vAlign w:val="center"/>
          </w:tcPr>
          <w:p w14:paraId="1A477810">
            <w:pPr>
              <w:pStyle w:val="178"/>
            </w:pPr>
            <w:r>
              <w:rPr>
                <w:rFonts w:hint="eastAsia"/>
              </w:rPr>
              <w:t>保障数据稳定传输；支持多种通信协议；具备冗余链路和自动切换功能</w:t>
            </w:r>
          </w:p>
        </w:tc>
      </w:tr>
      <w:tr w14:paraId="6A406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vAlign w:val="center"/>
          </w:tcPr>
          <w:p w14:paraId="1C4CA68E">
            <w:pPr>
              <w:pStyle w:val="178"/>
            </w:pPr>
            <w:r>
              <w:rPr>
                <w:rFonts w:hint="eastAsia"/>
              </w:rPr>
              <w:t>平台处理层</w:t>
            </w:r>
          </w:p>
        </w:tc>
        <w:tc>
          <w:tcPr>
            <w:tcW w:w="3822" w:type="dxa"/>
            <w:vAlign w:val="center"/>
          </w:tcPr>
          <w:p w14:paraId="439E5D4B">
            <w:pPr>
              <w:pStyle w:val="178"/>
            </w:pPr>
            <w:r>
              <w:rPr>
                <w:rFonts w:hint="eastAsia"/>
              </w:rPr>
              <w:t>数据处理服务器、云平台、大数据分析引擎</w:t>
            </w:r>
          </w:p>
        </w:tc>
        <w:tc>
          <w:tcPr>
            <w:tcW w:w="3112" w:type="dxa"/>
            <w:vAlign w:val="center"/>
          </w:tcPr>
          <w:p w14:paraId="2D6DD991">
            <w:pPr>
              <w:pStyle w:val="178"/>
            </w:pPr>
            <w:r>
              <w:rPr>
                <w:rFonts w:hint="eastAsia"/>
              </w:rPr>
              <w:t>数据存储、清洗与分析；运行状态评估；故障自动诊断；维护策略生成</w:t>
            </w:r>
          </w:p>
        </w:tc>
      </w:tr>
      <w:tr w14:paraId="66D7D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vAlign w:val="center"/>
          </w:tcPr>
          <w:p w14:paraId="4405BFA9">
            <w:pPr>
              <w:pStyle w:val="178"/>
            </w:pPr>
            <w:r>
              <w:rPr>
                <w:rFonts w:hint="eastAsia"/>
              </w:rPr>
              <w:t>应用层</w:t>
            </w:r>
          </w:p>
        </w:tc>
        <w:tc>
          <w:tcPr>
            <w:tcW w:w="3822" w:type="dxa"/>
            <w:vAlign w:val="center"/>
          </w:tcPr>
          <w:p w14:paraId="2B968A64">
            <w:pPr>
              <w:pStyle w:val="178"/>
            </w:pPr>
            <w:r>
              <w:rPr>
                <w:rFonts w:hint="eastAsia"/>
              </w:rPr>
              <w:t>运维管理终端、移动APP、可视化监控界面</w:t>
            </w:r>
          </w:p>
        </w:tc>
        <w:tc>
          <w:tcPr>
            <w:tcW w:w="3112" w:type="dxa"/>
            <w:vAlign w:val="center"/>
          </w:tcPr>
          <w:p w14:paraId="4947E98E">
            <w:pPr>
              <w:pStyle w:val="178"/>
            </w:pPr>
            <w:r>
              <w:rPr>
                <w:rFonts w:hint="eastAsia"/>
              </w:rPr>
              <w:t>运维任务管理；远程控制与调度；预警信息推送；运维报告生成</w:t>
            </w:r>
          </w:p>
        </w:tc>
      </w:tr>
    </w:tbl>
    <w:p w14:paraId="3DD79C2E">
      <w:pPr>
        <w:pStyle w:val="105"/>
        <w:spacing w:before="120" w:after="120" w:line="360" w:lineRule="auto"/>
      </w:pPr>
      <w:r>
        <w:rPr>
          <w:rFonts w:hint="eastAsia"/>
        </w:rPr>
        <w:t>感知层要求</w:t>
      </w:r>
    </w:p>
    <w:p w14:paraId="138F5FEA">
      <w:pPr>
        <w:pStyle w:val="56"/>
        <w:spacing w:line="360" w:lineRule="auto"/>
        <w:ind w:firstLine="420"/>
      </w:pPr>
      <w:r>
        <w:rPr>
          <w:rFonts w:hint="eastAsia"/>
        </w:rPr>
        <w:t>感知层设备应能够在不同环境条件下稳定运行，并具备自动采集与上传功能。监测数据应符合精度和分辨率的技术规范要求。</w:t>
      </w:r>
    </w:p>
    <w:p w14:paraId="283D921C">
      <w:pPr>
        <w:pStyle w:val="105"/>
        <w:spacing w:before="120" w:after="120" w:line="360" w:lineRule="auto"/>
      </w:pPr>
      <w:r>
        <w:rPr>
          <w:rFonts w:hint="eastAsia"/>
        </w:rPr>
        <w:t>网络传输层要求</w:t>
      </w:r>
    </w:p>
    <w:p w14:paraId="5D1AFBA2">
      <w:pPr>
        <w:pStyle w:val="56"/>
        <w:spacing w:line="360" w:lineRule="auto"/>
        <w:ind w:firstLine="420"/>
      </w:pPr>
      <w:r>
        <w:rPr>
          <w:rFonts w:hint="eastAsia"/>
        </w:rPr>
        <w:t>传输网络应具有高可靠性和低延迟特性，必要时应采用双链路或多链路冗余设计。传输过程中应进行数据加密，防止信息泄露和篡改。</w:t>
      </w:r>
    </w:p>
    <w:p w14:paraId="49C472B7">
      <w:pPr>
        <w:pStyle w:val="105"/>
        <w:spacing w:before="120" w:after="120" w:line="360" w:lineRule="auto"/>
      </w:pPr>
      <w:r>
        <w:rPr>
          <w:rFonts w:hint="eastAsia"/>
        </w:rPr>
        <w:t>平台处理层要求</w:t>
      </w:r>
    </w:p>
    <w:p w14:paraId="1071BA5D">
      <w:pPr>
        <w:pStyle w:val="56"/>
        <w:spacing w:line="360" w:lineRule="auto"/>
        <w:ind w:firstLine="420"/>
      </w:pPr>
      <w:r>
        <w:rPr>
          <w:rFonts w:hint="eastAsia"/>
        </w:rPr>
        <w:t>平台应支持多源数据融合与分析，能够根据设备状态和历史运行数据进行故障预测与健康评估，并为运维决策提供科学依据。</w:t>
      </w:r>
    </w:p>
    <w:p w14:paraId="0E4DF49C">
      <w:pPr>
        <w:pStyle w:val="105"/>
        <w:spacing w:before="120" w:after="120" w:line="360" w:lineRule="auto"/>
      </w:pPr>
      <w:r>
        <w:rPr>
          <w:rFonts w:hint="eastAsia"/>
        </w:rPr>
        <w:t>应用层要求</w:t>
      </w:r>
    </w:p>
    <w:p w14:paraId="5FADB872">
      <w:pPr>
        <w:pStyle w:val="56"/>
        <w:spacing w:line="360" w:lineRule="auto"/>
        <w:ind w:firstLine="420"/>
      </w:pPr>
      <w:r>
        <w:rPr>
          <w:rFonts w:hint="eastAsia"/>
        </w:rPr>
        <w:t>应用层应为不同角色（管理人员、运维人员、监管部门）提供权限分级的操作界面，实现任务派发、进度跟踪和结果归档。</w:t>
      </w:r>
    </w:p>
    <w:p w14:paraId="11A1D847">
      <w:pPr>
        <w:pStyle w:val="105"/>
        <w:spacing w:before="120" w:after="120" w:line="360" w:lineRule="auto"/>
      </w:pPr>
      <w:r>
        <w:rPr>
          <w:rFonts w:hint="eastAsia"/>
        </w:rPr>
        <w:t>安全防护</w:t>
      </w:r>
    </w:p>
    <w:p w14:paraId="08F2C528">
      <w:pPr>
        <w:pStyle w:val="56"/>
        <w:spacing w:line="360" w:lineRule="auto"/>
        <w:ind w:firstLine="420"/>
      </w:pPr>
      <w:r>
        <w:rPr>
          <w:rFonts w:hint="eastAsia"/>
        </w:rPr>
        <w:t>系统各层应采取相应的网络安全与物理安全措施，包括防火墙、入侵检测、权限管理、防盗防破坏等，确保系统在运行周期内的安全性和稳定性。</w:t>
      </w:r>
    </w:p>
    <w:p w14:paraId="77C122A9">
      <w:pPr>
        <w:pStyle w:val="104"/>
        <w:spacing w:before="240" w:after="240" w:line="360" w:lineRule="auto"/>
      </w:pPr>
      <w:bookmarkStart w:id="53" w:name="_Toc205757521"/>
      <w:r>
        <w:rPr>
          <w:rFonts w:hint="eastAsia"/>
        </w:rPr>
        <w:t>数据管理与信息交互</w:t>
      </w:r>
      <w:bookmarkEnd w:id="53"/>
    </w:p>
    <w:p w14:paraId="235635F3">
      <w:pPr>
        <w:pStyle w:val="105"/>
        <w:spacing w:before="120" w:after="120" w:line="360" w:lineRule="auto"/>
      </w:pPr>
      <w:r>
        <w:rPr>
          <w:rFonts w:hint="eastAsia"/>
        </w:rPr>
        <w:t>总体要求</w:t>
      </w:r>
    </w:p>
    <w:p w14:paraId="3D606AAB">
      <w:pPr>
        <w:pStyle w:val="56"/>
        <w:spacing w:line="360" w:lineRule="auto"/>
        <w:ind w:firstLine="420"/>
      </w:pPr>
      <w:r>
        <w:rPr>
          <w:rFonts w:hint="eastAsia"/>
        </w:rPr>
        <w:t>数据管理与信息交互应确保水与大气环境监测设备在运维过程中的信息准确、传输及时、安全可控。数据采集、存储、传输和调用应符合相关国家标准及行业规范，并满足环境监测业务的需要。</w:t>
      </w:r>
    </w:p>
    <w:p w14:paraId="212E3407">
      <w:pPr>
        <w:pStyle w:val="105"/>
        <w:spacing w:before="120" w:after="120" w:line="360" w:lineRule="auto"/>
      </w:pPr>
      <w:r>
        <w:rPr>
          <w:rFonts w:hint="eastAsia"/>
        </w:rPr>
        <w:t>数据采集要求</w:t>
      </w:r>
    </w:p>
    <w:p w14:paraId="048EAD9D">
      <w:pPr>
        <w:pStyle w:val="56"/>
        <w:spacing w:line="360" w:lineRule="auto"/>
        <w:ind w:firstLine="420"/>
      </w:pPr>
      <w:r>
        <w:rPr>
          <w:rFonts w:hint="eastAsia"/>
        </w:rPr>
        <w:t>系统应采集设备运行状态数据、监测数据、维护记录、报警信息等内容，采集频率和精度应符合监测任务要求。典型的数据采集类别及内容见表2。</w:t>
      </w:r>
    </w:p>
    <w:p w14:paraId="54DAF7CE">
      <w:pPr>
        <w:pStyle w:val="112"/>
        <w:spacing w:before="120" w:after="120" w:line="360" w:lineRule="auto"/>
      </w:pPr>
      <w:r>
        <w:rPr>
          <w:rFonts w:hint="eastAsia"/>
        </w:rPr>
        <w:t>水与大气环境监测设备智能化运维数据采集类别及内容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22AA4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5D3CDAFA">
            <w:pPr>
              <w:pStyle w:val="178"/>
            </w:pPr>
            <w:r>
              <w:rPr>
                <w:rFonts w:hint="eastAsia"/>
              </w:rPr>
              <w:t>数据类别</w:t>
            </w:r>
          </w:p>
        </w:tc>
        <w:tc>
          <w:tcPr>
            <w:tcW w:w="2333" w:type="dxa"/>
            <w:tcBorders>
              <w:top w:val="single" w:color="auto" w:sz="8" w:space="0"/>
              <w:bottom w:val="single" w:color="auto" w:sz="8" w:space="0"/>
            </w:tcBorders>
            <w:vAlign w:val="center"/>
          </w:tcPr>
          <w:p w14:paraId="02A99E03">
            <w:pPr>
              <w:pStyle w:val="178"/>
            </w:pPr>
            <w:r>
              <w:rPr>
                <w:rFonts w:hint="eastAsia"/>
              </w:rPr>
              <w:t>主要内容</w:t>
            </w:r>
          </w:p>
        </w:tc>
        <w:tc>
          <w:tcPr>
            <w:tcW w:w="2333" w:type="dxa"/>
            <w:tcBorders>
              <w:top w:val="single" w:color="auto" w:sz="8" w:space="0"/>
              <w:bottom w:val="single" w:color="auto" w:sz="8" w:space="0"/>
            </w:tcBorders>
            <w:vAlign w:val="center"/>
          </w:tcPr>
          <w:p w14:paraId="401F8FDD">
            <w:pPr>
              <w:pStyle w:val="178"/>
            </w:pPr>
            <w:r>
              <w:rPr>
                <w:rFonts w:hint="eastAsia"/>
              </w:rPr>
              <w:t>采集频率</w:t>
            </w:r>
          </w:p>
        </w:tc>
        <w:tc>
          <w:tcPr>
            <w:tcW w:w="2334" w:type="dxa"/>
            <w:tcBorders>
              <w:top w:val="single" w:color="auto" w:sz="8" w:space="0"/>
              <w:bottom w:val="single" w:color="auto" w:sz="8" w:space="0"/>
            </w:tcBorders>
            <w:vAlign w:val="center"/>
          </w:tcPr>
          <w:p w14:paraId="15DEE2AA">
            <w:pPr>
              <w:pStyle w:val="178"/>
            </w:pPr>
            <w:r>
              <w:rPr>
                <w:rFonts w:hint="eastAsia"/>
              </w:rPr>
              <w:t>精度要求</w:t>
            </w:r>
          </w:p>
        </w:tc>
      </w:tr>
      <w:tr w14:paraId="70484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78AF83A6">
            <w:pPr>
              <w:pStyle w:val="178"/>
            </w:pPr>
            <w:r>
              <w:rPr>
                <w:rFonts w:hint="eastAsia"/>
              </w:rPr>
              <w:t>设备运行状态数据</w:t>
            </w:r>
          </w:p>
        </w:tc>
        <w:tc>
          <w:tcPr>
            <w:tcW w:w="2333" w:type="dxa"/>
            <w:tcBorders>
              <w:top w:val="single" w:color="auto" w:sz="8" w:space="0"/>
            </w:tcBorders>
            <w:vAlign w:val="center"/>
          </w:tcPr>
          <w:p w14:paraId="005A68C0">
            <w:pPr>
              <w:pStyle w:val="178"/>
            </w:pPr>
            <w:r>
              <w:rPr>
                <w:rFonts w:hint="eastAsia"/>
              </w:rPr>
              <w:t>电源状态、运行时间、关键部件温度、电流、电压等</w:t>
            </w:r>
          </w:p>
        </w:tc>
        <w:tc>
          <w:tcPr>
            <w:tcW w:w="2333" w:type="dxa"/>
            <w:tcBorders>
              <w:top w:val="single" w:color="auto" w:sz="8" w:space="0"/>
            </w:tcBorders>
            <w:vAlign w:val="center"/>
          </w:tcPr>
          <w:p w14:paraId="27714187">
            <w:pPr>
              <w:pStyle w:val="178"/>
            </w:pPr>
            <w:r>
              <w:rPr>
                <w:rFonts w:hint="eastAsia"/>
              </w:rPr>
              <w:t>实时或定时</w:t>
            </w:r>
          </w:p>
        </w:tc>
        <w:tc>
          <w:tcPr>
            <w:tcW w:w="2334" w:type="dxa"/>
            <w:tcBorders>
              <w:top w:val="single" w:color="auto" w:sz="8" w:space="0"/>
            </w:tcBorders>
            <w:vAlign w:val="center"/>
          </w:tcPr>
          <w:p w14:paraId="3EEB9F3A">
            <w:pPr>
              <w:pStyle w:val="178"/>
            </w:pPr>
            <w:r>
              <w:rPr>
                <w:rFonts w:hint="eastAsia"/>
              </w:rPr>
              <w:t>误差≤1%</w:t>
            </w:r>
          </w:p>
        </w:tc>
      </w:tr>
      <w:tr w14:paraId="694C4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07FF9B7">
            <w:pPr>
              <w:pStyle w:val="178"/>
            </w:pPr>
            <w:r>
              <w:rPr>
                <w:rFonts w:hint="eastAsia"/>
              </w:rPr>
              <w:t>监测数据</w:t>
            </w:r>
          </w:p>
        </w:tc>
        <w:tc>
          <w:tcPr>
            <w:tcW w:w="2333" w:type="dxa"/>
            <w:vAlign w:val="center"/>
          </w:tcPr>
          <w:p w14:paraId="689BAD88">
            <w:pPr>
              <w:pStyle w:val="178"/>
            </w:pPr>
            <w:r>
              <w:rPr>
                <w:rFonts w:hint="eastAsia"/>
              </w:rPr>
              <w:t>水质参数（</w:t>
            </w:r>
            <w:r>
              <w:t>pH</w:t>
            </w:r>
            <w:r>
              <w:rPr>
                <w:rFonts w:hint="eastAsia"/>
              </w:rPr>
              <w:t>、溶解氧、浊度等）、大气参数（</w:t>
            </w:r>
            <w:r>
              <w:t>PM2.5</w:t>
            </w:r>
            <w:r>
              <w:rPr>
                <w:rFonts w:hint="eastAsia"/>
              </w:rPr>
              <w:t>、</w:t>
            </w:r>
            <w:r>
              <w:t>SO</w:t>
            </w:r>
            <w:r>
              <w:rPr>
                <w:rFonts w:ascii="Times New Roman"/>
              </w:rPr>
              <w:t>₂</w:t>
            </w:r>
            <w:r>
              <w:rPr>
                <w:rFonts w:hint="eastAsia"/>
              </w:rPr>
              <w:t>、</w:t>
            </w:r>
            <w:r>
              <w:t>NO</w:t>
            </w:r>
            <w:r>
              <w:rPr>
                <w:rFonts w:ascii="Times New Roman"/>
              </w:rPr>
              <w:t>₂</w:t>
            </w:r>
            <w:r>
              <w:rPr>
                <w:rFonts w:hint="eastAsia"/>
              </w:rPr>
              <w:t>等）</w:t>
            </w:r>
          </w:p>
        </w:tc>
        <w:tc>
          <w:tcPr>
            <w:tcW w:w="2333" w:type="dxa"/>
            <w:vAlign w:val="center"/>
          </w:tcPr>
          <w:p w14:paraId="375D2242">
            <w:pPr>
              <w:pStyle w:val="178"/>
            </w:pPr>
            <w:r>
              <w:rPr>
                <w:rFonts w:hint="eastAsia"/>
              </w:rPr>
              <w:t>实时或按监测计划</w:t>
            </w:r>
          </w:p>
        </w:tc>
        <w:tc>
          <w:tcPr>
            <w:tcW w:w="2334" w:type="dxa"/>
            <w:vAlign w:val="center"/>
          </w:tcPr>
          <w:p w14:paraId="0AF80E61">
            <w:pPr>
              <w:pStyle w:val="178"/>
            </w:pPr>
            <w:r>
              <w:rPr>
                <w:rFonts w:hint="eastAsia"/>
              </w:rPr>
              <w:t>符合监测标准精度</w:t>
            </w:r>
          </w:p>
        </w:tc>
      </w:tr>
      <w:tr w14:paraId="28C59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F7B6EC0">
            <w:pPr>
              <w:pStyle w:val="178"/>
            </w:pPr>
            <w:r>
              <w:rPr>
                <w:rFonts w:hint="eastAsia"/>
              </w:rPr>
              <w:t>维护记录</w:t>
            </w:r>
          </w:p>
        </w:tc>
        <w:tc>
          <w:tcPr>
            <w:tcW w:w="2333" w:type="dxa"/>
            <w:vAlign w:val="center"/>
          </w:tcPr>
          <w:p w14:paraId="2D548123">
            <w:pPr>
              <w:pStyle w:val="178"/>
            </w:pPr>
            <w:r>
              <w:rPr>
                <w:rFonts w:hint="eastAsia"/>
              </w:rPr>
              <w:t>维护日期、维护内容、更换部件、维护人员</w:t>
            </w:r>
          </w:p>
        </w:tc>
        <w:tc>
          <w:tcPr>
            <w:tcW w:w="2333" w:type="dxa"/>
            <w:vAlign w:val="center"/>
          </w:tcPr>
          <w:p w14:paraId="1DEAD6D6">
            <w:pPr>
              <w:pStyle w:val="178"/>
            </w:pPr>
            <w:r>
              <w:rPr>
                <w:rFonts w:hint="eastAsia"/>
              </w:rPr>
              <w:t>每次维护</w:t>
            </w:r>
          </w:p>
        </w:tc>
        <w:tc>
          <w:tcPr>
            <w:tcW w:w="2334" w:type="dxa"/>
            <w:vAlign w:val="center"/>
          </w:tcPr>
          <w:p w14:paraId="55408F48">
            <w:pPr>
              <w:pStyle w:val="178"/>
            </w:pPr>
            <w:r>
              <w:rPr>
                <w:rFonts w:hint="eastAsia"/>
              </w:rPr>
              <w:t>信息完整</w:t>
            </w:r>
          </w:p>
        </w:tc>
      </w:tr>
      <w:tr w14:paraId="1DE23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F6C843D">
            <w:pPr>
              <w:pStyle w:val="178"/>
            </w:pPr>
            <w:r>
              <w:rPr>
                <w:rFonts w:hint="eastAsia"/>
              </w:rPr>
              <w:t>报警信息</w:t>
            </w:r>
          </w:p>
        </w:tc>
        <w:tc>
          <w:tcPr>
            <w:tcW w:w="2333" w:type="dxa"/>
            <w:vAlign w:val="center"/>
          </w:tcPr>
          <w:p w14:paraId="4119FC57">
            <w:pPr>
              <w:pStyle w:val="178"/>
            </w:pPr>
            <w:r>
              <w:rPr>
                <w:rFonts w:hint="eastAsia"/>
              </w:rPr>
              <w:t>报警类型、时间、位置、原因</w:t>
            </w:r>
          </w:p>
        </w:tc>
        <w:tc>
          <w:tcPr>
            <w:tcW w:w="2333" w:type="dxa"/>
            <w:vAlign w:val="center"/>
          </w:tcPr>
          <w:p w14:paraId="1CF269D4">
            <w:pPr>
              <w:pStyle w:val="178"/>
            </w:pPr>
            <w:r>
              <w:rPr>
                <w:rFonts w:hint="eastAsia"/>
              </w:rPr>
              <w:t>实时</w:t>
            </w:r>
          </w:p>
        </w:tc>
        <w:tc>
          <w:tcPr>
            <w:tcW w:w="2334" w:type="dxa"/>
            <w:vAlign w:val="center"/>
          </w:tcPr>
          <w:p w14:paraId="1AD2A3CA">
            <w:pPr>
              <w:pStyle w:val="178"/>
            </w:pPr>
            <w:r>
              <w:rPr>
                <w:rFonts w:hint="eastAsia"/>
              </w:rPr>
              <w:t>精确到秒</w:t>
            </w:r>
          </w:p>
        </w:tc>
      </w:tr>
    </w:tbl>
    <w:p w14:paraId="7B897D98">
      <w:pPr>
        <w:pStyle w:val="105"/>
        <w:spacing w:before="120" w:after="120" w:line="360" w:lineRule="auto"/>
      </w:pPr>
      <w:r>
        <w:rPr>
          <w:rFonts w:hint="eastAsia"/>
        </w:rPr>
        <w:t>数据存储与备份</w:t>
      </w:r>
    </w:p>
    <w:p w14:paraId="64A4257B">
      <w:pPr>
        <w:pStyle w:val="56"/>
        <w:spacing w:line="360" w:lineRule="auto"/>
        <w:ind w:firstLine="420"/>
      </w:pPr>
      <w:r>
        <w:rPr>
          <w:rFonts w:hint="eastAsia"/>
        </w:rPr>
        <w:t>所有数据应在平台统一存储，并建立分级权限管理。关键数据应按规定周期备份，并在异地存放副本，防止数据丢失。</w:t>
      </w:r>
    </w:p>
    <w:p w14:paraId="6AECC981">
      <w:pPr>
        <w:pStyle w:val="105"/>
        <w:spacing w:before="120" w:after="120" w:line="360" w:lineRule="auto"/>
      </w:pPr>
      <w:r>
        <w:rPr>
          <w:rFonts w:hint="eastAsia"/>
        </w:rPr>
        <w:t>信息交互要求</w:t>
      </w:r>
    </w:p>
    <w:p w14:paraId="18FB3A00">
      <w:pPr>
        <w:pStyle w:val="56"/>
        <w:spacing w:line="360" w:lineRule="auto"/>
        <w:ind w:firstLine="420"/>
      </w:pPr>
      <w:r>
        <w:rPr>
          <w:rFonts w:hint="eastAsia"/>
        </w:rPr>
        <w:t>信息交互应实现监测站点、运维平台、监管部门之间的数据互通和任务协同，支持标准化接口和多种通信协议。典型信息交互流程见表3。</w:t>
      </w:r>
    </w:p>
    <w:p w14:paraId="2EA5A7E4">
      <w:pPr>
        <w:pStyle w:val="112"/>
        <w:spacing w:before="120" w:after="120" w:line="360" w:lineRule="auto"/>
      </w:pPr>
      <w:r>
        <w:rPr>
          <w:rFonts w:hint="eastAsia"/>
        </w:rPr>
        <w:t>水与大气环境监测设备智能化运维信息交互流程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66618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vAlign w:val="center"/>
          </w:tcPr>
          <w:p w14:paraId="5B0B8A30">
            <w:pPr>
              <w:pStyle w:val="178"/>
            </w:pPr>
            <w:r>
              <w:rPr>
                <w:rFonts w:hint="eastAsia"/>
              </w:rPr>
              <w:t>流程阶段</w:t>
            </w:r>
          </w:p>
        </w:tc>
        <w:tc>
          <w:tcPr>
            <w:tcW w:w="1867" w:type="dxa"/>
            <w:tcBorders>
              <w:top w:val="single" w:color="auto" w:sz="8" w:space="0"/>
              <w:bottom w:val="single" w:color="auto" w:sz="8" w:space="0"/>
            </w:tcBorders>
            <w:vAlign w:val="center"/>
          </w:tcPr>
          <w:p w14:paraId="64C149BF">
            <w:pPr>
              <w:pStyle w:val="178"/>
            </w:pPr>
            <w:r>
              <w:rPr>
                <w:rFonts w:hint="eastAsia"/>
              </w:rPr>
              <w:t>发送方</w:t>
            </w:r>
          </w:p>
        </w:tc>
        <w:tc>
          <w:tcPr>
            <w:tcW w:w="1867" w:type="dxa"/>
            <w:tcBorders>
              <w:top w:val="single" w:color="auto" w:sz="8" w:space="0"/>
              <w:bottom w:val="single" w:color="auto" w:sz="8" w:space="0"/>
            </w:tcBorders>
            <w:vAlign w:val="center"/>
          </w:tcPr>
          <w:p w14:paraId="66371D52">
            <w:pPr>
              <w:pStyle w:val="178"/>
            </w:pPr>
            <w:r>
              <w:rPr>
                <w:rFonts w:hint="eastAsia"/>
              </w:rPr>
              <w:t>接收方</w:t>
            </w:r>
          </w:p>
        </w:tc>
        <w:tc>
          <w:tcPr>
            <w:tcW w:w="1867" w:type="dxa"/>
            <w:tcBorders>
              <w:top w:val="single" w:color="auto" w:sz="8" w:space="0"/>
              <w:bottom w:val="single" w:color="auto" w:sz="8" w:space="0"/>
            </w:tcBorders>
            <w:vAlign w:val="center"/>
          </w:tcPr>
          <w:p w14:paraId="6B6CB312">
            <w:pPr>
              <w:pStyle w:val="178"/>
            </w:pPr>
            <w:r>
              <w:rPr>
                <w:rFonts w:hint="eastAsia"/>
              </w:rPr>
              <w:t>信息内容</w:t>
            </w:r>
          </w:p>
        </w:tc>
        <w:tc>
          <w:tcPr>
            <w:tcW w:w="1867" w:type="dxa"/>
            <w:tcBorders>
              <w:top w:val="single" w:color="auto" w:sz="8" w:space="0"/>
              <w:bottom w:val="single" w:color="auto" w:sz="8" w:space="0"/>
            </w:tcBorders>
            <w:vAlign w:val="center"/>
          </w:tcPr>
          <w:p w14:paraId="441EA30A">
            <w:pPr>
              <w:pStyle w:val="178"/>
            </w:pPr>
            <w:r>
              <w:rPr>
                <w:rFonts w:hint="eastAsia"/>
              </w:rPr>
              <w:t>响应时限</w:t>
            </w:r>
          </w:p>
        </w:tc>
      </w:tr>
      <w:tr w14:paraId="61396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vAlign w:val="center"/>
          </w:tcPr>
          <w:p w14:paraId="4680542F">
            <w:pPr>
              <w:pStyle w:val="178"/>
            </w:pPr>
            <w:r>
              <w:rPr>
                <w:rFonts w:hint="eastAsia"/>
              </w:rPr>
              <w:t>数据采集</w:t>
            </w:r>
          </w:p>
        </w:tc>
        <w:tc>
          <w:tcPr>
            <w:tcW w:w="1867" w:type="dxa"/>
            <w:tcBorders>
              <w:top w:val="single" w:color="auto" w:sz="8" w:space="0"/>
            </w:tcBorders>
            <w:vAlign w:val="center"/>
          </w:tcPr>
          <w:p w14:paraId="442A5EDF">
            <w:pPr>
              <w:pStyle w:val="178"/>
            </w:pPr>
            <w:r>
              <w:rPr>
                <w:rFonts w:hint="eastAsia"/>
              </w:rPr>
              <w:t>监测设备</w:t>
            </w:r>
          </w:p>
        </w:tc>
        <w:tc>
          <w:tcPr>
            <w:tcW w:w="1867" w:type="dxa"/>
            <w:tcBorders>
              <w:top w:val="single" w:color="auto" w:sz="8" w:space="0"/>
            </w:tcBorders>
            <w:vAlign w:val="center"/>
          </w:tcPr>
          <w:p w14:paraId="28867C03">
            <w:pPr>
              <w:pStyle w:val="178"/>
            </w:pPr>
            <w:r>
              <w:rPr>
                <w:rFonts w:hint="eastAsia"/>
              </w:rPr>
              <w:t>运维平台</w:t>
            </w:r>
          </w:p>
        </w:tc>
        <w:tc>
          <w:tcPr>
            <w:tcW w:w="1867" w:type="dxa"/>
            <w:tcBorders>
              <w:top w:val="single" w:color="auto" w:sz="8" w:space="0"/>
            </w:tcBorders>
            <w:vAlign w:val="center"/>
          </w:tcPr>
          <w:p w14:paraId="4A504140">
            <w:pPr>
              <w:pStyle w:val="178"/>
            </w:pPr>
            <w:r>
              <w:rPr>
                <w:rFonts w:hint="eastAsia"/>
              </w:rPr>
              <w:t>运行状态数据、监测数据</w:t>
            </w:r>
          </w:p>
        </w:tc>
        <w:tc>
          <w:tcPr>
            <w:tcW w:w="1867" w:type="dxa"/>
            <w:tcBorders>
              <w:top w:val="single" w:color="auto" w:sz="8" w:space="0"/>
            </w:tcBorders>
            <w:vAlign w:val="center"/>
          </w:tcPr>
          <w:p w14:paraId="03E41D01">
            <w:pPr>
              <w:pStyle w:val="178"/>
            </w:pPr>
            <w:r>
              <w:rPr>
                <w:rFonts w:hint="eastAsia"/>
              </w:rPr>
              <w:t>实时</w:t>
            </w:r>
          </w:p>
        </w:tc>
      </w:tr>
      <w:tr w14:paraId="22FA2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712FE82C">
            <w:pPr>
              <w:pStyle w:val="178"/>
            </w:pPr>
            <w:r>
              <w:rPr>
                <w:rFonts w:hint="eastAsia"/>
              </w:rPr>
              <w:t>故障报警</w:t>
            </w:r>
          </w:p>
        </w:tc>
        <w:tc>
          <w:tcPr>
            <w:tcW w:w="1867" w:type="dxa"/>
            <w:vAlign w:val="center"/>
          </w:tcPr>
          <w:p w14:paraId="55EAD266">
            <w:pPr>
              <w:pStyle w:val="178"/>
            </w:pPr>
            <w:r>
              <w:rPr>
                <w:rFonts w:hint="eastAsia"/>
              </w:rPr>
              <w:t>监测设备</w:t>
            </w:r>
          </w:p>
        </w:tc>
        <w:tc>
          <w:tcPr>
            <w:tcW w:w="1867" w:type="dxa"/>
            <w:vAlign w:val="center"/>
          </w:tcPr>
          <w:p w14:paraId="2C967AFB">
            <w:pPr>
              <w:pStyle w:val="178"/>
            </w:pPr>
            <w:r>
              <w:rPr>
                <w:rFonts w:hint="eastAsia"/>
              </w:rPr>
              <w:t>运维平台、运维人员</w:t>
            </w:r>
          </w:p>
        </w:tc>
        <w:tc>
          <w:tcPr>
            <w:tcW w:w="1867" w:type="dxa"/>
            <w:vAlign w:val="center"/>
          </w:tcPr>
          <w:p w14:paraId="23F8C68D">
            <w:pPr>
              <w:pStyle w:val="178"/>
            </w:pPr>
            <w:r>
              <w:rPr>
                <w:rFonts w:hint="eastAsia"/>
              </w:rPr>
              <w:t>报警类型、位置、时间</w:t>
            </w:r>
          </w:p>
        </w:tc>
        <w:tc>
          <w:tcPr>
            <w:tcW w:w="1867" w:type="dxa"/>
            <w:vAlign w:val="center"/>
          </w:tcPr>
          <w:p w14:paraId="19E5E11F">
            <w:pPr>
              <w:pStyle w:val="178"/>
            </w:pPr>
            <w:r>
              <w:rPr>
                <w:rFonts w:hint="eastAsia"/>
              </w:rPr>
              <w:t>≤5秒</w:t>
            </w:r>
          </w:p>
        </w:tc>
      </w:tr>
      <w:tr w14:paraId="6519A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72318206">
            <w:pPr>
              <w:pStyle w:val="178"/>
            </w:pPr>
            <w:r>
              <w:rPr>
                <w:rFonts w:hint="eastAsia"/>
              </w:rPr>
              <w:t>任务派发</w:t>
            </w:r>
          </w:p>
        </w:tc>
        <w:tc>
          <w:tcPr>
            <w:tcW w:w="1867" w:type="dxa"/>
            <w:vAlign w:val="center"/>
          </w:tcPr>
          <w:p w14:paraId="7056136B">
            <w:pPr>
              <w:pStyle w:val="178"/>
            </w:pPr>
            <w:r>
              <w:rPr>
                <w:rFonts w:hint="eastAsia"/>
              </w:rPr>
              <w:t>运维平台</w:t>
            </w:r>
          </w:p>
        </w:tc>
        <w:tc>
          <w:tcPr>
            <w:tcW w:w="1867" w:type="dxa"/>
            <w:vAlign w:val="center"/>
          </w:tcPr>
          <w:p w14:paraId="3133D7CC">
            <w:pPr>
              <w:pStyle w:val="178"/>
            </w:pPr>
            <w:r>
              <w:rPr>
                <w:rFonts w:hint="eastAsia"/>
              </w:rPr>
              <w:t>运维人员</w:t>
            </w:r>
          </w:p>
        </w:tc>
        <w:tc>
          <w:tcPr>
            <w:tcW w:w="1867" w:type="dxa"/>
            <w:vAlign w:val="center"/>
          </w:tcPr>
          <w:p w14:paraId="2CEA848D">
            <w:pPr>
              <w:pStyle w:val="178"/>
            </w:pPr>
            <w:r>
              <w:rPr>
                <w:rFonts w:hint="eastAsia"/>
              </w:rPr>
              <w:t>故障信息、任务指令</w:t>
            </w:r>
          </w:p>
        </w:tc>
        <w:tc>
          <w:tcPr>
            <w:tcW w:w="1867" w:type="dxa"/>
            <w:vAlign w:val="center"/>
          </w:tcPr>
          <w:p w14:paraId="3BEBEE17">
            <w:pPr>
              <w:pStyle w:val="178"/>
            </w:pPr>
            <w:r>
              <w:rPr>
                <w:rFonts w:hint="eastAsia"/>
              </w:rPr>
              <w:t>≤60秒</w:t>
            </w:r>
          </w:p>
        </w:tc>
      </w:tr>
      <w:tr w14:paraId="37D1C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24EEAFDC">
            <w:pPr>
              <w:pStyle w:val="178"/>
            </w:pPr>
            <w:r>
              <w:rPr>
                <w:rFonts w:hint="eastAsia"/>
              </w:rPr>
              <w:t>状态反馈</w:t>
            </w:r>
          </w:p>
        </w:tc>
        <w:tc>
          <w:tcPr>
            <w:tcW w:w="1867" w:type="dxa"/>
            <w:vAlign w:val="center"/>
          </w:tcPr>
          <w:p w14:paraId="73DD5446">
            <w:pPr>
              <w:pStyle w:val="178"/>
            </w:pPr>
            <w:r>
              <w:rPr>
                <w:rFonts w:hint="eastAsia"/>
              </w:rPr>
              <w:t>运维人员</w:t>
            </w:r>
          </w:p>
        </w:tc>
        <w:tc>
          <w:tcPr>
            <w:tcW w:w="1867" w:type="dxa"/>
            <w:vAlign w:val="center"/>
          </w:tcPr>
          <w:p w14:paraId="0CF6FAF8">
            <w:pPr>
              <w:pStyle w:val="178"/>
            </w:pPr>
            <w:r>
              <w:rPr>
                <w:rFonts w:hint="eastAsia"/>
              </w:rPr>
              <w:t>运维平台</w:t>
            </w:r>
          </w:p>
        </w:tc>
        <w:tc>
          <w:tcPr>
            <w:tcW w:w="1867" w:type="dxa"/>
            <w:vAlign w:val="center"/>
          </w:tcPr>
          <w:p w14:paraId="7A06A12E">
            <w:pPr>
              <w:pStyle w:val="178"/>
            </w:pPr>
            <w:r>
              <w:rPr>
                <w:rFonts w:hint="eastAsia"/>
              </w:rPr>
              <w:t>处置进度、结果</w:t>
            </w:r>
          </w:p>
        </w:tc>
        <w:tc>
          <w:tcPr>
            <w:tcW w:w="1867" w:type="dxa"/>
            <w:vAlign w:val="center"/>
          </w:tcPr>
          <w:p w14:paraId="6B625E8A">
            <w:pPr>
              <w:pStyle w:val="178"/>
            </w:pPr>
            <w:r>
              <w:rPr>
                <w:rFonts w:hint="eastAsia"/>
              </w:rPr>
              <w:t>实时</w:t>
            </w:r>
          </w:p>
        </w:tc>
      </w:tr>
      <w:tr w14:paraId="0107C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05985257">
            <w:pPr>
              <w:pStyle w:val="178"/>
            </w:pPr>
            <w:r>
              <w:rPr>
                <w:rFonts w:hint="eastAsia"/>
              </w:rPr>
              <w:t>结果归档</w:t>
            </w:r>
          </w:p>
        </w:tc>
        <w:tc>
          <w:tcPr>
            <w:tcW w:w="1867" w:type="dxa"/>
            <w:vAlign w:val="center"/>
          </w:tcPr>
          <w:p w14:paraId="3F9B8FB3">
            <w:pPr>
              <w:pStyle w:val="178"/>
            </w:pPr>
            <w:r>
              <w:rPr>
                <w:rFonts w:hint="eastAsia"/>
              </w:rPr>
              <w:t>运维平台</w:t>
            </w:r>
          </w:p>
        </w:tc>
        <w:tc>
          <w:tcPr>
            <w:tcW w:w="1867" w:type="dxa"/>
            <w:vAlign w:val="center"/>
          </w:tcPr>
          <w:p w14:paraId="4DE4936E">
            <w:pPr>
              <w:pStyle w:val="178"/>
            </w:pPr>
            <w:r>
              <w:rPr>
                <w:rFonts w:hint="eastAsia"/>
              </w:rPr>
              <w:t>监管部门</w:t>
            </w:r>
          </w:p>
        </w:tc>
        <w:tc>
          <w:tcPr>
            <w:tcW w:w="1867" w:type="dxa"/>
            <w:vAlign w:val="center"/>
          </w:tcPr>
          <w:p w14:paraId="54F8AECA">
            <w:pPr>
              <w:pStyle w:val="178"/>
            </w:pPr>
            <w:r>
              <w:rPr>
                <w:rFonts w:hint="eastAsia"/>
              </w:rPr>
              <w:t>维护记录、处置报告</w:t>
            </w:r>
          </w:p>
        </w:tc>
        <w:tc>
          <w:tcPr>
            <w:tcW w:w="1867" w:type="dxa"/>
            <w:vAlign w:val="center"/>
          </w:tcPr>
          <w:p w14:paraId="63564E54">
            <w:pPr>
              <w:pStyle w:val="178"/>
            </w:pPr>
            <w:r>
              <w:rPr>
                <w:rFonts w:hint="eastAsia"/>
              </w:rPr>
              <w:t>任务完成后5分钟内</w:t>
            </w:r>
          </w:p>
        </w:tc>
      </w:tr>
    </w:tbl>
    <w:p w14:paraId="583455E5">
      <w:pPr>
        <w:pStyle w:val="105"/>
        <w:spacing w:before="120" w:after="120" w:line="360" w:lineRule="auto"/>
      </w:pPr>
      <w:r>
        <w:rPr>
          <w:rFonts w:hint="eastAsia"/>
        </w:rPr>
        <w:t>数据安全与隐私保护</w:t>
      </w:r>
    </w:p>
    <w:p w14:paraId="4E298868">
      <w:pPr>
        <w:pStyle w:val="56"/>
        <w:spacing w:line="360" w:lineRule="auto"/>
        <w:ind w:firstLine="420"/>
      </w:pPr>
      <w:r>
        <w:rPr>
          <w:rFonts w:hint="eastAsia"/>
        </w:rPr>
        <w:t>数据传输应加密处理，存储应防篡改，并采取访问控制措施。涉及敏感信息的，应进行脱敏处理并限制访问权限。</w:t>
      </w:r>
    </w:p>
    <w:p w14:paraId="30619317">
      <w:pPr>
        <w:pStyle w:val="104"/>
        <w:spacing w:before="240" w:after="240" w:line="360" w:lineRule="auto"/>
      </w:pPr>
      <w:bookmarkStart w:id="54" w:name="_Toc205757522"/>
      <w:r>
        <w:rPr>
          <w:rFonts w:hint="eastAsia"/>
        </w:rPr>
        <w:t>运维流程与响应机制</w:t>
      </w:r>
      <w:bookmarkEnd w:id="54"/>
    </w:p>
    <w:p w14:paraId="0AC800BE">
      <w:pPr>
        <w:pStyle w:val="105"/>
        <w:spacing w:before="120" w:after="120" w:line="360" w:lineRule="auto"/>
      </w:pPr>
      <w:r>
        <w:rPr>
          <w:rFonts w:hint="eastAsia"/>
        </w:rPr>
        <w:t>总体要求</w:t>
      </w:r>
    </w:p>
    <w:p w14:paraId="35D1248F">
      <w:pPr>
        <w:pStyle w:val="56"/>
        <w:spacing w:line="360" w:lineRule="auto"/>
        <w:ind w:firstLine="420"/>
      </w:pPr>
      <w:r>
        <w:rPr>
          <w:rFonts w:hint="eastAsia"/>
        </w:rPr>
        <w:t>运维流程应覆盖设备运行监控、故障发现、任务派发、现场处置、结果反馈及归档的全过程。响应机制应确保各环节衔接顺畅、信息传递及时、责任落实到位，最大限度减少设备停机时间和监测数据缺失。</w:t>
      </w:r>
    </w:p>
    <w:p w14:paraId="0F4324F8">
      <w:pPr>
        <w:pStyle w:val="105"/>
        <w:spacing w:before="120" w:after="120" w:line="360" w:lineRule="auto"/>
      </w:pPr>
      <w:r>
        <w:rPr>
          <w:rFonts w:hint="eastAsia"/>
        </w:rPr>
        <w:t>运维流程</w:t>
      </w:r>
    </w:p>
    <w:p w14:paraId="1DEDE49C">
      <w:pPr>
        <w:pStyle w:val="56"/>
        <w:spacing w:line="360" w:lineRule="auto"/>
        <w:ind w:firstLine="420"/>
      </w:pPr>
      <w:r>
        <w:rPr>
          <w:rFonts w:hint="eastAsia"/>
        </w:rPr>
        <w:t>水与大气环境监测设备智能化运维流程通常包括运行监控、故障报警、诊断分析、任务调度、现场处置和结果反馈六个阶段。各阶段的主要任务见表4。</w:t>
      </w:r>
    </w:p>
    <w:p w14:paraId="1158736D">
      <w:pPr>
        <w:pStyle w:val="112"/>
        <w:spacing w:before="120" w:after="120" w:line="360" w:lineRule="auto"/>
      </w:pPr>
      <w:r>
        <w:rPr>
          <w:rFonts w:hint="eastAsia"/>
        </w:rPr>
        <w:t>水与大气环境监测设备智能化运维流程及主要任务</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18D51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6659A411">
            <w:pPr>
              <w:pStyle w:val="178"/>
            </w:pPr>
            <w:r>
              <w:rPr>
                <w:rFonts w:hint="eastAsia"/>
              </w:rPr>
              <w:t>阶段</w:t>
            </w:r>
          </w:p>
        </w:tc>
        <w:tc>
          <w:tcPr>
            <w:tcW w:w="2333" w:type="dxa"/>
            <w:tcBorders>
              <w:top w:val="single" w:color="auto" w:sz="8" w:space="0"/>
              <w:bottom w:val="single" w:color="auto" w:sz="8" w:space="0"/>
            </w:tcBorders>
            <w:vAlign w:val="center"/>
          </w:tcPr>
          <w:p w14:paraId="17F815F7">
            <w:pPr>
              <w:pStyle w:val="178"/>
            </w:pPr>
            <w:r>
              <w:rPr>
                <w:rFonts w:hint="eastAsia"/>
              </w:rPr>
              <w:t>主要任务</w:t>
            </w:r>
          </w:p>
        </w:tc>
        <w:tc>
          <w:tcPr>
            <w:tcW w:w="2333" w:type="dxa"/>
            <w:tcBorders>
              <w:top w:val="single" w:color="auto" w:sz="8" w:space="0"/>
              <w:bottom w:val="single" w:color="auto" w:sz="8" w:space="0"/>
            </w:tcBorders>
            <w:vAlign w:val="center"/>
          </w:tcPr>
          <w:p w14:paraId="236F6CE3">
            <w:pPr>
              <w:pStyle w:val="178"/>
            </w:pPr>
            <w:r>
              <w:rPr>
                <w:rFonts w:hint="eastAsia"/>
              </w:rPr>
              <w:t>责任主体</w:t>
            </w:r>
          </w:p>
        </w:tc>
        <w:tc>
          <w:tcPr>
            <w:tcW w:w="2334" w:type="dxa"/>
            <w:tcBorders>
              <w:top w:val="single" w:color="auto" w:sz="8" w:space="0"/>
              <w:bottom w:val="single" w:color="auto" w:sz="8" w:space="0"/>
            </w:tcBorders>
            <w:vAlign w:val="center"/>
          </w:tcPr>
          <w:p w14:paraId="04B1173C">
            <w:pPr>
              <w:pStyle w:val="178"/>
            </w:pPr>
            <w:r>
              <w:rPr>
                <w:rFonts w:hint="eastAsia"/>
              </w:rPr>
              <w:t>时效要求</w:t>
            </w:r>
          </w:p>
        </w:tc>
      </w:tr>
      <w:tr w14:paraId="22B13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4238D499">
            <w:pPr>
              <w:pStyle w:val="178"/>
            </w:pPr>
            <w:r>
              <w:rPr>
                <w:rFonts w:hint="eastAsia"/>
              </w:rPr>
              <w:t>运行监控</w:t>
            </w:r>
          </w:p>
        </w:tc>
        <w:tc>
          <w:tcPr>
            <w:tcW w:w="2333" w:type="dxa"/>
            <w:tcBorders>
              <w:top w:val="single" w:color="auto" w:sz="8" w:space="0"/>
            </w:tcBorders>
            <w:vAlign w:val="center"/>
          </w:tcPr>
          <w:p w14:paraId="1940D6D0">
            <w:pPr>
              <w:pStyle w:val="178"/>
            </w:pPr>
            <w:r>
              <w:rPr>
                <w:rFonts w:hint="eastAsia"/>
              </w:rPr>
              <w:t>实时监测设备运行状态和监测数据</w:t>
            </w:r>
          </w:p>
        </w:tc>
        <w:tc>
          <w:tcPr>
            <w:tcW w:w="2333" w:type="dxa"/>
            <w:tcBorders>
              <w:top w:val="single" w:color="auto" w:sz="8" w:space="0"/>
            </w:tcBorders>
            <w:vAlign w:val="center"/>
          </w:tcPr>
          <w:p w14:paraId="677DAC3F">
            <w:pPr>
              <w:pStyle w:val="178"/>
            </w:pPr>
            <w:r>
              <w:rPr>
                <w:rFonts w:hint="eastAsia"/>
              </w:rPr>
              <w:t>运维平台</w:t>
            </w:r>
          </w:p>
        </w:tc>
        <w:tc>
          <w:tcPr>
            <w:tcW w:w="2334" w:type="dxa"/>
            <w:tcBorders>
              <w:top w:val="single" w:color="auto" w:sz="8" w:space="0"/>
            </w:tcBorders>
            <w:vAlign w:val="center"/>
          </w:tcPr>
          <w:p w14:paraId="5B45E00D">
            <w:pPr>
              <w:pStyle w:val="178"/>
            </w:pPr>
            <w:r>
              <w:rPr>
                <w:rFonts w:hint="eastAsia"/>
              </w:rPr>
              <w:t>全时段</w:t>
            </w:r>
          </w:p>
        </w:tc>
      </w:tr>
      <w:tr w14:paraId="4294B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0312B5F6">
            <w:pPr>
              <w:pStyle w:val="178"/>
            </w:pPr>
            <w:r>
              <w:rPr>
                <w:rFonts w:hint="eastAsia"/>
              </w:rPr>
              <w:t>故障报警</w:t>
            </w:r>
          </w:p>
        </w:tc>
        <w:tc>
          <w:tcPr>
            <w:tcW w:w="2333" w:type="dxa"/>
            <w:vAlign w:val="center"/>
          </w:tcPr>
          <w:p w14:paraId="7FDB51C4">
            <w:pPr>
              <w:pStyle w:val="178"/>
            </w:pPr>
            <w:r>
              <w:rPr>
                <w:rFonts w:hint="eastAsia"/>
              </w:rPr>
              <w:t>自动触发或人工上报设备异常信息</w:t>
            </w:r>
          </w:p>
        </w:tc>
        <w:tc>
          <w:tcPr>
            <w:tcW w:w="2333" w:type="dxa"/>
            <w:vAlign w:val="center"/>
          </w:tcPr>
          <w:p w14:paraId="1BDCBD46">
            <w:pPr>
              <w:pStyle w:val="178"/>
            </w:pPr>
            <w:r>
              <w:rPr>
                <w:rFonts w:hint="eastAsia"/>
              </w:rPr>
              <w:t>监测设备/运维人员</w:t>
            </w:r>
          </w:p>
        </w:tc>
        <w:tc>
          <w:tcPr>
            <w:tcW w:w="2334" w:type="dxa"/>
            <w:vAlign w:val="center"/>
          </w:tcPr>
          <w:p w14:paraId="7E55F494">
            <w:pPr>
              <w:pStyle w:val="178"/>
            </w:pPr>
            <w:r>
              <w:rPr>
                <w:rFonts w:hint="eastAsia"/>
              </w:rPr>
              <w:t>≤5秒</w:t>
            </w:r>
          </w:p>
        </w:tc>
      </w:tr>
      <w:tr w14:paraId="0EE99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5F202D41">
            <w:pPr>
              <w:pStyle w:val="178"/>
            </w:pPr>
            <w:r>
              <w:rPr>
                <w:rFonts w:hint="eastAsia"/>
              </w:rPr>
              <w:t>诊断分析</w:t>
            </w:r>
          </w:p>
        </w:tc>
        <w:tc>
          <w:tcPr>
            <w:tcW w:w="2333" w:type="dxa"/>
            <w:vAlign w:val="center"/>
          </w:tcPr>
          <w:p w14:paraId="7075050E">
            <w:pPr>
              <w:pStyle w:val="178"/>
            </w:pPr>
            <w:r>
              <w:rPr>
                <w:rFonts w:hint="eastAsia"/>
              </w:rPr>
              <w:t>分析故障类型、原因及影响范围</w:t>
            </w:r>
          </w:p>
        </w:tc>
        <w:tc>
          <w:tcPr>
            <w:tcW w:w="2333" w:type="dxa"/>
            <w:vAlign w:val="center"/>
          </w:tcPr>
          <w:p w14:paraId="544FE03F">
            <w:pPr>
              <w:pStyle w:val="178"/>
            </w:pPr>
            <w:r>
              <w:rPr>
                <w:rFonts w:hint="eastAsia"/>
              </w:rPr>
              <w:t>运维平台</w:t>
            </w:r>
          </w:p>
        </w:tc>
        <w:tc>
          <w:tcPr>
            <w:tcW w:w="2334" w:type="dxa"/>
            <w:vAlign w:val="center"/>
          </w:tcPr>
          <w:p w14:paraId="175ABBF6">
            <w:pPr>
              <w:pStyle w:val="178"/>
            </w:pPr>
            <w:r>
              <w:rPr>
                <w:rFonts w:hint="eastAsia"/>
              </w:rPr>
              <w:t>≤30秒</w:t>
            </w:r>
          </w:p>
        </w:tc>
      </w:tr>
      <w:tr w14:paraId="1DAB7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2190DC4">
            <w:pPr>
              <w:pStyle w:val="178"/>
            </w:pPr>
            <w:r>
              <w:rPr>
                <w:rFonts w:hint="eastAsia"/>
              </w:rPr>
              <w:t>任务调度</w:t>
            </w:r>
          </w:p>
        </w:tc>
        <w:tc>
          <w:tcPr>
            <w:tcW w:w="2333" w:type="dxa"/>
            <w:vAlign w:val="center"/>
          </w:tcPr>
          <w:p w14:paraId="0631EFE0">
            <w:pPr>
              <w:pStyle w:val="178"/>
            </w:pPr>
            <w:r>
              <w:rPr>
                <w:rFonts w:hint="eastAsia"/>
              </w:rPr>
              <w:t>根据位置和资源派发任务至就近运维人员</w:t>
            </w:r>
          </w:p>
        </w:tc>
        <w:tc>
          <w:tcPr>
            <w:tcW w:w="2333" w:type="dxa"/>
            <w:vAlign w:val="center"/>
          </w:tcPr>
          <w:p w14:paraId="44CC056B">
            <w:pPr>
              <w:pStyle w:val="178"/>
            </w:pPr>
            <w:r>
              <w:rPr>
                <w:rFonts w:hint="eastAsia"/>
              </w:rPr>
              <w:t>运维平台</w:t>
            </w:r>
          </w:p>
        </w:tc>
        <w:tc>
          <w:tcPr>
            <w:tcW w:w="2334" w:type="dxa"/>
            <w:vAlign w:val="center"/>
          </w:tcPr>
          <w:p w14:paraId="61F8B7AE">
            <w:pPr>
              <w:pStyle w:val="178"/>
            </w:pPr>
            <w:r>
              <w:rPr>
                <w:rFonts w:hint="eastAsia"/>
              </w:rPr>
              <w:t>≤60秒</w:t>
            </w:r>
          </w:p>
        </w:tc>
      </w:tr>
      <w:tr w14:paraId="2FFA3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5624F0FA">
            <w:pPr>
              <w:pStyle w:val="178"/>
            </w:pPr>
            <w:r>
              <w:rPr>
                <w:rFonts w:hint="eastAsia"/>
              </w:rPr>
              <w:t>现场处置</w:t>
            </w:r>
          </w:p>
        </w:tc>
        <w:tc>
          <w:tcPr>
            <w:tcW w:w="2333" w:type="dxa"/>
            <w:vAlign w:val="center"/>
          </w:tcPr>
          <w:p w14:paraId="623D88E6">
            <w:pPr>
              <w:pStyle w:val="178"/>
            </w:pPr>
            <w:r>
              <w:rPr>
                <w:rFonts w:hint="eastAsia"/>
              </w:rPr>
              <w:t>到达现场并完成维修或更换部件</w:t>
            </w:r>
          </w:p>
        </w:tc>
        <w:tc>
          <w:tcPr>
            <w:tcW w:w="2333" w:type="dxa"/>
            <w:vAlign w:val="center"/>
          </w:tcPr>
          <w:p w14:paraId="6DB9D6D7">
            <w:pPr>
              <w:pStyle w:val="178"/>
            </w:pPr>
            <w:r>
              <w:rPr>
                <w:rFonts w:hint="eastAsia"/>
              </w:rPr>
              <w:t>运维人员</w:t>
            </w:r>
          </w:p>
        </w:tc>
        <w:tc>
          <w:tcPr>
            <w:tcW w:w="2334" w:type="dxa"/>
            <w:vAlign w:val="center"/>
          </w:tcPr>
          <w:p w14:paraId="0D73D68B">
            <w:pPr>
              <w:pStyle w:val="178"/>
            </w:pPr>
            <w:r>
              <w:rPr>
                <w:rFonts w:hint="eastAsia"/>
              </w:rPr>
              <w:t>按任务要求</w:t>
            </w:r>
          </w:p>
        </w:tc>
      </w:tr>
      <w:tr w14:paraId="0D594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E0DC222">
            <w:pPr>
              <w:pStyle w:val="178"/>
            </w:pPr>
            <w:r>
              <w:rPr>
                <w:rFonts w:hint="eastAsia"/>
              </w:rPr>
              <w:t>结果反馈</w:t>
            </w:r>
          </w:p>
        </w:tc>
        <w:tc>
          <w:tcPr>
            <w:tcW w:w="2333" w:type="dxa"/>
            <w:vAlign w:val="center"/>
          </w:tcPr>
          <w:p w14:paraId="60DD570F">
            <w:pPr>
              <w:pStyle w:val="178"/>
            </w:pPr>
            <w:r>
              <w:rPr>
                <w:rFonts w:hint="eastAsia"/>
              </w:rPr>
              <w:t>提交维修结果、更新系统状态并归档</w:t>
            </w:r>
          </w:p>
        </w:tc>
        <w:tc>
          <w:tcPr>
            <w:tcW w:w="2333" w:type="dxa"/>
            <w:vAlign w:val="center"/>
          </w:tcPr>
          <w:p w14:paraId="2661C9F2">
            <w:pPr>
              <w:pStyle w:val="178"/>
            </w:pPr>
            <w:r>
              <w:rPr>
                <w:rFonts w:hint="eastAsia"/>
              </w:rPr>
              <w:t>运维人员/平台</w:t>
            </w:r>
          </w:p>
        </w:tc>
        <w:tc>
          <w:tcPr>
            <w:tcW w:w="2334" w:type="dxa"/>
            <w:vAlign w:val="center"/>
          </w:tcPr>
          <w:p w14:paraId="108D072F">
            <w:pPr>
              <w:pStyle w:val="178"/>
            </w:pPr>
            <w:r>
              <w:rPr>
                <w:rFonts w:hint="eastAsia"/>
              </w:rPr>
              <w:t>任务完成后5分钟内</w:t>
            </w:r>
          </w:p>
        </w:tc>
      </w:tr>
    </w:tbl>
    <w:p w14:paraId="7AB707E0">
      <w:pPr>
        <w:pStyle w:val="105"/>
        <w:spacing w:before="120" w:after="120" w:line="360" w:lineRule="auto"/>
      </w:pPr>
      <w:r>
        <w:rPr>
          <w:rFonts w:hint="eastAsia"/>
        </w:rPr>
        <w:t>响应机制</w:t>
      </w:r>
    </w:p>
    <w:p w14:paraId="5AB62677">
      <w:pPr>
        <w:pStyle w:val="56"/>
        <w:spacing w:line="360" w:lineRule="auto"/>
        <w:ind w:firstLine="420"/>
      </w:pPr>
      <w:r>
        <w:rPr>
          <w:rFonts w:hint="eastAsia"/>
        </w:rPr>
        <w:t>响应机制应实现自动化、智能化与人工干预的有机结合，具体包括：</w:t>
      </w:r>
    </w:p>
    <w:p w14:paraId="14A7BA85">
      <w:pPr>
        <w:pStyle w:val="132"/>
        <w:spacing w:line="360" w:lineRule="auto"/>
      </w:pPr>
      <w:r>
        <w:rPr>
          <w:rFonts w:hint="eastAsia"/>
        </w:rPr>
        <w:t>自动推送故障报警至运维人员和管理人员；</w:t>
      </w:r>
    </w:p>
    <w:p w14:paraId="1F3C8C70">
      <w:pPr>
        <w:pStyle w:val="132"/>
        <w:spacing w:line="360" w:lineRule="auto"/>
      </w:pPr>
      <w:r>
        <w:rPr>
          <w:rFonts w:hint="eastAsia"/>
        </w:rPr>
        <w:t>平台根据故障类型自动生成处置方案并调度资源；</w:t>
      </w:r>
    </w:p>
    <w:p w14:paraId="06D18100">
      <w:pPr>
        <w:pStyle w:val="132"/>
        <w:spacing w:line="360" w:lineRule="auto"/>
      </w:pPr>
      <w:r>
        <w:rPr>
          <w:rFonts w:hint="eastAsia"/>
        </w:rPr>
        <w:t>在现场处置过程中实时采集进度信息并更新至平台；</w:t>
      </w:r>
    </w:p>
    <w:p w14:paraId="178DA40C">
      <w:pPr>
        <w:pStyle w:val="132"/>
        <w:spacing w:line="360" w:lineRule="auto"/>
      </w:pPr>
      <w:r>
        <w:rPr>
          <w:rFonts w:hint="eastAsia"/>
        </w:rPr>
        <w:t>对重大设备故障启动应急响应预案，确保数据采集不中断。</w:t>
      </w:r>
    </w:p>
    <w:p w14:paraId="02D9C750">
      <w:pPr>
        <w:pStyle w:val="105"/>
        <w:spacing w:before="120" w:after="120" w:line="360" w:lineRule="auto"/>
      </w:pPr>
      <w:r>
        <w:rPr>
          <w:rFonts w:hint="eastAsia"/>
        </w:rPr>
        <w:t>异常处理</w:t>
      </w:r>
    </w:p>
    <w:p w14:paraId="2A62EE40">
      <w:pPr>
        <w:pStyle w:val="56"/>
        <w:spacing w:line="360" w:lineRule="auto"/>
        <w:ind w:firstLine="420"/>
      </w:pPr>
      <w:r>
        <w:rPr>
          <w:rFonts w:hint="eastAsia"/>
        </w:rPr>
        <w:t>在通信中断、关键部件损坏或自然灾害等特殊情况下，应立即启用备用设备或临时监测方案，保障监测工作的连续性，并在系统恢复后进行数据补录和验证。</w:t>
      </w:r>
    </w:p>
    <w:p w14:paraId="5A03C23A">
      <w:pPr>
        <w:pStyle w:val="104"/>
        <w:spacing w:before="240" w:after="240" w:line="360" w:lineRule="auto"/>
      </w:pPr>
      <w:bookmarkStart w:id="55" w:name="_Toc205757523"/>
      <w:r>
        <w:rPr>
          <w:rFonts w:hint="eastAsia"/>
        </w:rPr>
        <w:t>系统安全与维护管理</w:t>
      </w:r>
      <w:bookmarkEnd w:id="55"/>
    </w:p>
    <w:p w14:paraId="54EE78DA">
      <w:pPr>
        <w:pStyle w:val="105"/>
        <w:spacing w:before="120" w:after="120" w:line="360" w:lineRule="auto"/>
      </w:pPr>
      <w:r>
        <w:rPr>
          <w:rFonts w:hint="eastAsia"/>
        </w:rPr>
        <w:t>总体要求</w:t>
      </w:r>
    </w:p>
    <w:p w14:paraId="5B9F2008">
      <w:pPr>
        <w:pStyle w:val="56"/>
        <w:spacing w:line="360" w:lineRule="auto"/>
        <w:ind w:firstLine="420"/>
      </w:pPr>
      <w:r>
        <w:rPr>
          <w:rFonts w:hint="eastAsia"/>
        </w:rPr>
        <w:t>系统安全与维护管理应覆盖硬件设备、软件平台、网络通信和数据安全等方面，确保水与大气环境监测设备在全生命周期内稳定、可靠运行，减少因设备故障或安全事件导致的监测中断。</w:t>
      </w:r>
    </w:p>
    <w:p w14:paraId="4FE98991">
      <w:pPr>
        <w:pStyle w:val="105"/>
        <w:spacing w:before="120" w:after="120" w:line="360" w:lineRule="auto"/>
      </w:pPr>
      <w:r>
        <w:rPr>
          <w:rFonts w:hint="eastAsia"/>
        </w:rPr>
        <w:t>设备安全管理</w:t>
      </w:r>
    </w:p>
    <w:p w14:paraId="78AB5FCE">
      <w:pPr>
        <w:pStyle w:val="56"/>
        <w:spacing w:line="360" w:lineRule="auto"/>
        <w:ind w:firstLine="420"/>
      </w:pPr>
      <w:r>
        <w:rPr>
          <w:rFonts w:hint="eastAsia"/>
        </w:rPr>
        <w:t>定期检查传感器、采集终端、数据传输装置和配套设施的运行状态。</w:t>
      </w:r>
    </w:p>
    <w:p w14:paraId="215030D0">
      <w:pPr>
        <w:pStyle w:val="56"/>
        <w:spacing w:line="360" w:lineRule="auto"/>
        <w:ind w:firstLine="420"/>
      </w:pPr>
      <w:r>
        <w:rPr>
          <w:rFonts w:hint="eastAsia"/>
        </w:rPr>
        <w:t>对关键部件建立备品备件库，确保突发故障可快速更换。</w:t>
      </w:r>
    </w:p>
    <w:p w14:paraId="2C69372C">
      <w:pPr>
        <w:pStyle w:val="56"/>
        <w:spacing w:line="360" w:lineRule="auto"/>
        <w:ind w:firstLine="420"/>
      </w:pPr>
      <w:r>
        <w:rPr>
          <w:rFonts w:hint="eastAsia"/>
        </w:rPr>
        <w:t>现场安装设备应具备防尘、防水、防腐蚀、防雷击等防护能力，并根据使用环境采取相应的加固措施。</w:t>
      </w:r>
    </w:p>
    <w:p w14:paraId="6656ED8F">
      <w:pPr>
        <w:pStyle w:val="105"/>
        <w:spacing w:before="120" w:after="120" w:line="360" w:lineRule="auto"/>
      </w:pPr>
      <w:r>
        <w:rPr>
          <w:rFonts w:hint="eastAsia"/>
        </w:rPr>
        <w:t>软件与平台维护</w:t>
      </w:r>
    </w:p>
    <w:p w14:paraId="6ACEAF9C">
      <w:pPr>
        <w:pStyle w:val="56"/>
        <w:spacing w:line="360" w:lineRule="auto"/>
        <w:ind w:firstLine="420"/>
      </w:pPr>
      <w:r>
        <w:rPr>
          <w:rFonts w:hint="eastAsia"/>
        </w:rPr>
        <w:t>定期升级操作系统、数据库及应用程序，修复已知漏洞并优化性能。</w:t>
      </w:r>
    </w:p>
    <w:p w14:paraId="5DAA7D8A">
      <w:pPr>
        <w:pStyle w:val="56"/>
        <w:spacing w:line="360" w:lineRule="auto"/>
        <w:ind w:firstLine="420"/>
      </w:pPr>
      <w:r>
        <w:rPr>
          <w:rFonts w:hint="eastAsia"/>
        </w:rPr>
        <w:t>升级前应完成数据备份，升级后应开展功能验证和稳定性测试。</w:t>
      </w:r>
    </w:p>
    <w:p w14:paraId="1C8C7243">
      <w:pPr>
        <w:pStyle w:val="56"/>
        <w:spacing w:line="360" w:lineRule="auto"/>
        <w:ind w:firstLine="420"/>
      </w:pPr>
      <w:r>
        <w:rPr>
          <w:rFonts w:hint="eastAsia"/>
        </w:rPr>
        <w:t>平台应具备高可用架构和自动故障切换能力，保障运行连续性。</w:t>
      </w:r>
    </w:p>
    <w:p w14:paraId="7B7C0821">
      <w:pPr>
        <w:pStyle w:val="105"/>
        <w:spacing w:before="120" w:after="120" w:line="360" w:lineRule="auto"/>
      </w:pPr>
      <w:r>
        <w:rPr>
          <w:rFonts w:hint="eastAsia"/>
        </w:rPr>
        <w:t>网络与数据安全</w:t>
      </w:r>
    </w:p>
    <w:p w14:paraId="169BF4E6">
      <w:pPr>
        <w:pStyle w:val="56"/>
        <w:spacing w:line="360" w:lineRule="auto"/>
        <w:ind w:firstLine="420"/>
      </w:pPr>
      <w:r>
        <w:rPr>
          <w:rFonts w:hint="eastAsia"/>
        </w:rPr>
        <w:t>数据传输应采用加密协议，防止窃取、篡改和泄露。</w:t>
      </w:r>
    </w:p>
    <w:p w14:paraId="6C73C8B4">
      <w:pPr>
        <w:pStyle w:val="56"/>
        <w:spacing w:line="360" w:lineRule="auto"/>
        <w:ind w:firstLine="420"/>
      </w:pPr>
      <w:r>
        <w:rPr>
          <w:rFonts w:hint="eastAsia"/>
        </w:rPr>
        <w:t>网络设备应部署防火墙、入侵检测和防病毒系统。</w:t>
      </w:r>
    </w:p>
    <w:p w14:paraId="3F186E05">
      <w:pPr>
        <w:pStyle w:val="56"/>
        <w:spacing w:line="360" w:lineRule="auto"/>
        <w:ind w:firstLine="420"/>
      </w:pPr>
      <w:r>
        <w:rPr>
          <w:rFonts w:hint="eastAsia"/>
        </w:rPr>
        <w:t>涉及敏感信息的，应进行脱敏处理，并根据权限等级限制访问。</w:t>
      </w:r>
    </w:p>
    <w:p w14:paraId="1A0E47BF">
      <w:pPr>
        <w:pStyle w:val="105"/>
        <w:spacing w:before="120" w:after="120" w:line="360" w:lineRule="auto"/>
      </w:pPr>
      <w:r>
        <w:rPr>
          <w:rFonts w:hint="eastAsia"/>
        </w:rPr>
        <w:t>维护计划与记录</w:t>
      </w:r>
    </w:p>
    <w:p w14:paraId="30E3395D">
      <w:pPr>
        <w:pStyle w:val="56"/>
        <w:spacing w:line="360" w:lineRule="auto"/>
        <w:ind w:firstLine="420"/>
      </w:pPr>
      <w:r>
        <w:rPr>
          <w:rFonts w:hint="eastAsia"/>
        </w:rPr>
        <w:t>典型的维护任务和周期见表5。</w:t>
      </w:r>
    </w:p>
    <w:p w14:paraId="1507F645">
      <w:pPr>
        <w:pStyle w:val="112"/>
        <w:spacing w:before="120" w:after="120" w:line="360" w:lineRule="auto"/>
      </w:pPr>
      <w:r>
        <w:rPr>
          <w:rFonts w:hint="eastAsia"/>
        </w:rPr>
        <w:t>水与大气环境监测设备智能化运维系统维护任务与周期</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696E0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3151E032">
            <w:pPr>
              <w:pStyle w:val="178"/>
            </w:pPr>
            <w:r>
              <w:rPr>
                <w:rFonts w:hint="eastAsia"/>
              </w:rPr>
              <w:t>维护任务</w:t>
            </w:r>
          </w:p>
        </w:tc>
        <w:tc>
          <w:tcPr>
            <w:tcW w:w="2333" w:type="dxa"/>
            <w:tcBorders>
              <w:top w:val="single" w:color="auto" w:sz="8" w:space="0"/>
              <w:bottom w:val="single" w:color="auto" w:sz="8" w:space="0"/>
            </w:tcBorders>
            <w:vAlign w:val="center"/>
          </w:tcPr>
          <w:p w14:paraId="2D129FF4">
            <w:pPr>
              <w:pStyle w:val="178"/>
            </w:pPr>
            <w:r>
              <w:rPr>
                <w:rFonts w:hint="eastAsia"/>
              </w:rPr>
              <w:t>主要内容</w:t>
            </w:r>
          </w:p>
        </w:tc>
        <w:tc>
          <w:tcPr>
            <w:tcW w:w="2333" w:type="dxa"/>
            <w:tcBorders>
              <w:top w:val="single" w:color="auto" w:sz="8" w:space="0"/>
              <w:bottom w:val="single" w:color="auto" w:sz="8" w:space="0"/>
            </w:tcBorders>
            <w:vAlign w:val="center"/>
          </w:tcPr>
          <w:p w14:paraId="3E8F198D">
            <w:pPr>
              <w:pStyle w:val="178"/>
            </w:pPr>
            <w:r>
              <w:rPr>
                <w:rFonts w:hint="eastAsia"/>
              </w:rPr>
              <w:t>周期</w:t>
            </w:r>
          </w:p>
        </w:tc>
        <w:tc>
          <w:tcPr>
            <w:tcW w:w="2334" w:type="dxa"/>
            <w:tcBorders>
              <w:top w:val="single" w:color="auto" w:sz="8" w:space="0"/>
              <w:bottom w:val="single" w:color="auto" w:sz="8" w:space="0"/>
            </w:tcBorders>
            <w:vAlign w:val="center"/>
          </w:tcPr>
          <w:p w14:paraId="12D3FBC2">
            <w:pPr>
              <w:pStyle w:val="178"/>
            </w:pPr>
            <w:r>
              <w:rPr>
                <w:rFonts w:hint="eastAsia"/>
              </w:rPr>
              <w:t>责任主体</w:t>
            </w:r>
          </w:p>
        </w:tc>
      </w:tr>
      <w:tr w14:paraId="1CEE2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3D96E111">
            <w:pPr>
              <w:pStyle w:val="178"/>
            </w:pPr>
            <w:r>
              <w:rPr>
                <w:rFonts w:hint="eastAsia"/>
              </w:rPr>
              <w:t>设备巡检</w:t>
            </w:r>
          </w:p>
        </w:tc>
        <w:tc>
          <w:tcPr>
            <w:tcW w:w="2333" w:type="dxa"/>
            <w:tcBorders>
              <w:top w:val="single" w:color="auto" w:sz="8" w:space="0"/>
            </w:tcBorders>
            <w:vAlign w:val="center"/>
          </w:tcPr>
          <w:p w14:paraId="604524F6">
            <w:pPr>
              <w:pStyle w:val="178"/>
            </w:pPr>
            <w:r>
              <w:rPr>
                <w:rFonts w:hint="eastAsia"/>
              </w:rPr>
              <w:t>检查硬件运行状态、连接情况、防护设施</w:t>
            </w:r>
          </w:p>
        </w:tc>
        <w:tc>
          <w:tcPr>
            <w:tcW w:w="2333" w:type="dxa"/>
            <w:tcBorders>
              <w:top w:val="single" w:color="auto" w:sz="8" w:space="0"/>
            </w:tcBorders>
            <w:vAlign w:val="center"/>
          </w:tcPr>
          <w:p w14:paraId="57A7DEC3">
            <w:pPr>
              <w:pStyle w:val="178"/>
            </w:pPr>
            <w:r>
              <w:rPr>
                <w:rFonts w:hint="eastAsia"/>
              </w:rPr>
              <w:t>每月</w:t>
            </w:r>
          </w:p>
        </w:tc>
        <w:tc>
          <w:tcPr>
            <w:tcW w:w="2334" w:type="dxa"/>
            <w:tcBorders>
              <w:top w:val="single" w:color="auto" w:sz="8" w:space="0"/>
            </w:tcBorders>
            <w:vAlign w:val="center"/>
          </w:tcPr>
          <w:p w14:paraId="5E19C02C">
            <w:pPr>
              <w:pStyle w:val="178"/>
            </w:pPr>
            <w:r>
              <w:rPr>
                <w:rFonts w:hint="eastAsia"/>
              </w:rPr>
              <w:t>运维单位</w:t>
            </w:r>
          </w:p>
        </w:tc>
      </w:tr>
      <w:tr w14:paraId="70E76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8B2608E">
            <w:pPr>
              <w:pStyle w:val="178"/>
            </w:pPr>
            <w:r>
              <w:rPr>
                <w:rFonts w:hint="eastAsia"/>
              </w:rPr>
              <w:t>系统备份</w:t>
            </w:r>
          </w:p>
        </w:tc>
        <w:tc>
          <w:tcPr>
            <w:tcW w:w="2333" w:type="dxa"/>
            <w:vAlign w:val="center"/>
          </w:tcPr>
          <w:p w14:paraId="6E2F1B46">
            <w:pPr>
              <w:pStyle w:val="178"/>
            </w:pPr>
            <w:r>
              <w:rPr>
                <w:rFonts w:hint="eastAsia"/>
              </w:rPr>
              <w:t>备份监测数据、配置文件、日志</w:t>
            </w:r>
          </w:p>
        </w:tc>
        <w:tc>
          <w:tcPr>
            <w:tcW w:w="2333" w:type="dxa"/>
            <w:vAlign w:val="center"/>
          </w:tcPr>
          <w:p w14:paraId="203637A8">
            <w:pPr>
              <w:pStyle w:val="178"/>
            </w:pPr>
            <w:r>
              <w:rPr>
                <w:rFonts w:hint="eastAsia"/>
              </w:rPr>
              <w:t>每周</w:t>
            </w:r>
          </w:p>
        </w:tc>
        <w:tc>
          <w:tcPr>
            <w:tcW w:w="2334" w:type="dxa"/>
            <w:vAlign w:val="center"/>
          </w:tcPr>
          <w:p w14:paraId="5B01D8CF">
            <w:pPr>
              <w:pStyle w:val="178"/>
            </w:pPr>
            <w:r>
              <w:rPr>
                <w:rFonts w:hint="eastAsia"/>
              </w:rPr>
              <w:t>平台运维单位</w:t>
            </w:r>
          </w:p>
        </w:tc>
      </w:tr>
      <w:tr w14:paraId="568CC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76FFBE1">
            <w:pPr>
              <w:pStyle w:val="178"/>
            </w:pPr>
            <w:r>
              <w:rPr>
                <w:rFonts w:hint="eastAsia"/>
              </w:rPr>
              <w:t>软件升级</w:t>
            </w:r>
          </w:p>
        </w:tc>
        <w:tc>
          <w:tcPr>
            <w:tcW w:w="2333" w:type="dxa"/>
            <w:vAlign w:val="center"/>
          </w:tcPr>
          <w:p w14:paraId="1E1ECDEB">
            <w:pPr>
              <w:pStyle w:val="178"/>
            </w:pPr>
            <w:r>
              <w:rPr>
                <w:rFonts w:hint="eastAsia"/>
              </w:rPr>
              <w:t>更新操作系统和应用程序</w:t>
            </w:r>
          </w:p>
        </w:tc>
        <w:tc>
          <w:tcPr>
            <w:tcW w:w="2333" w:type="dxa"/>
            <w:vAlign w:val="center"/>
          </w:tcPr>
          <w:p w14:paraId="1ECE687F">
            <w:pPr>
              <w:pStyle w:val="178"/>
            </w:pPr>
            <w:r>
              <w:rPr>
                <w:rFonts w:hint="eastAsia"/>
              </w:rPr>
              <w:t>每季度或必要时</w:t>
            </w:r>
          </w:p>
        </w:tc>
        <w:tc>
          <w:tcPr>
            <w:tcW w:w="2334" w:type="dxa"/>
            <w:vAlign w:val="center"/>
          </w:tcPr>
          <w:p w14:paraId="6F8B857C">
            <w:pPr>
              <w:pStyle w:val="178"/>
            </w:pPr>
            <w:r>
              <w:rPr>
                <w:rFonts w:hint="eastAsia"/>
              </w:rPr>
              <w:t>平台运维单位</w:t>
            </w:r>
          </w:p>
        </w:tc>
      </w:tr>
      <w:tr w14:paraId="5027E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728D237B">
            <w:pPr>
              <w:pStyle w:val="178"/>
            </w:pPr>
            <w:r>
              <w:rPr>
                <w:rFonts w:hint="eastAsia"/>
              </w:rPr>
              <w:t>网络安全检测</w:t>
            </w:r>
          </w:p>
        </w:tc>
        <w:tc>
          <w:tcPr>
            <w:tcW w:w="2333" w:type="dxa"/>
            <w:vAlign w:val="center"/>
          </w:tcPr>
          <w:p w14:paraId="2B972A9C">
            <w:pPr>
              <w:pStyle w:val="178"/>
            </w:pPr>
            <w:r>
              <w:rPr>
                <w:rFonts w:hint="eastAsia"/>
              </w:rPr>
              <w:t>漏洞扫描、入侵检测、防病毒更新</w:t>
            </w:r>
          </w:p>
        </w:tc>
        <w:tc>
          <w:tcPr>
            <w:tcW w:w="2333" w:type="dxa"/>
            <w:vAlign w:val="center"/>
          </w:tcPr>
          <w:p w14:paraId="614A5F23">
            <w:pPr>
              <w:pStyle w:val="178"/>
            </w:pPr>
            <w:r>
              <w:rPr>
                <w:rFonts w:hint="eastAsia"/>
              </w:rPr>
              <w:t>每季度</w:t>
            </w:r>
          </w:p>
        </w:tc>
        <w:tc>
          <w:tcPr>
            <w:tcW w:w="2334" w:type="dxa"/>
            <w:vAlign w:val="center"/>
          </w:tcPr>
          <w:p w14:paraId="7D30B1F4">
            <w:pPr>
              <w:pStyle w:val="178"/>
            </w:pPr>
            <w:r>
              <w:rPr>
                <w:rFonts w:hint="eastAsia"/>
              </w:rPr>
              <w:t>平台运维单位</w:t>
            </w:r>
          </w:p>
        </w:tc>
      </w:tr>
      <w:tr w14:paraId="249BB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50632C0">
            <w:pPr>
              <w:pStyle w:val="178"/>
            </w:pPr>
            <w:r>
              <w:rPr>
                <w:rFonts w:hint="eastAsia"/>
              </w:rPr>
              <w:t>应急演练</w:t>
            </w:r>
          </w:p>
        </w:tc>
        <w:tc>
          <w:tcPr>
            <w:tcW w:w="2333" w:type="dxa"/>
            <w:vAlign w:val="center"/>
          </w:tcPr>
          <w:p w14:paraId="79D5C1DE">
            <w:pPr>
              <w:pStyle w:val="178"/>
            </w:pPr>
            <w:r>
              <w:rPr>
                <w:rFonts w:hint="eastAsia"/>
              </w:rPr>
              <w:t>模拟设备故障应急处置流程</w:t>
            </w:r>
          </w:p>
        </w:tc>
        <w:tc>
          <w:tcPr>
            <w:tcW w:w="2333" w:type="dxa"/>
            <w:vAlign w:val="center"/>
          </w:tcPr>
          <w:p w14:paraId="187B64DA">
            <w:pPr>
              <w:pStyle w:val="178"/>
            </w:pPr>
            <w:r>
              <w:rPr>
                <w:rFonts w:hint="eastAsia"/>
              </w:rPr>
              <w:t>每半年</w:t>
            </w:r>
          </w:p>
        </w:tc>
        <w:tc>
          <w:tcPr>
            <w:tcW w:w="2334" w:type="dxa"/>
            <w:vAlign w:val="center"/>
          </w:tcPr>
          <w:p w14:paraId="50D8B4C5">
            <w:pPr>
              <w:pStyle w:val="178"/>
            </w:pPr>
            <w:r>
              <w:rPr>
                <w:rFonts w:hint="eastAsia"/>
              </w:rPr>
              <w:t>运维单位、管理部门</w:t>
            </w:r>
          </w:p>
        </w:tc>
      </w:tr>
    </w:tbl>
    <w:p w14:paraId="231E8F0A">
      <w:pPr>
        <w:pStyle w:val="105"/>
        <w:spacing w:before="120" w:after="120" w:line="360" w:lineRule="auto"/>
      </w:pPr>
      <w:r>
        <w:rPr>
          <w:rFonts w:hint="eastAsia"/>
        </w:rPr>
        <w:t>应急保障</w:t>
      </w:r>
    </w:p>
    <w:p w14:paraId="305AD961">
      <w:pPr>
        <w:pStyle w:val="56"/>
        <w:spacing w:line="360" w:lineRule="auto"/>
        <w:ind w:firstLine="420"/>
      </w:pPr>
      <w:r>
        <w:rPr>
          <w:rFonts w:hint="eastAsia"/>
        </w:rPr>
        <w:t>应制定针对硬件故障、软件异常、网络中断及极端天气等情况的应急预案，确保在突发事件中能够快速响应并恢复系统运行。</w:t>
      </w:r>
    </w:p>
    <w:p w14:paraId="516D5670">
      <w:pPr>
        <w:pStyle w:val="104"/>
        <w:spacing w:before="240" w:after="240" w:line="360" w:lineRule="auto"/>
      </w:pPr>
      <w:bookmarkStart w:id="56" w:name="_Toc205757524"/>
      <w:r>
        <w:rPr>
          <w:rFonts w:hint="eastAsia"/>
        </w:rPr>
        <w:t>人员培训与应急演练</w:t>
      </w:r>
      <w:bookmarkEnd w:id="56"/>
    </w:p>
    <w:p w14:paraId="2D6F7F65">
      <w:pPr>
        <w:pStyle w:val="105"/>
        <w:spacing w:before="120" w:after="120" w:line="360" w:lineRule="auto"/>
      </w:pPr>
      <w:r>
        <w:rPr>
          <w:rFonts w:hint="eastAsia"/>
        </w:rPr>
        <w:t>总体要求</w:t>
      </w:r>
    </w:p>
    <w:p w14:paraId="29771C9C">
      <w:pPr>
        <w:pStyle w:val="56"/>
        <w:spacing w:line="360" w:lineRule="auto"/>
        <w:ind w:firstLine="420"/>
      </w:pPr>
      <w:r>
        <w:rPr>
          <w:rFonts w:hint="eastAsia"/>
        </w:rPr>
        <w:t>水与大气环境监测设备智能化运维涉及多类设备和多项技术，相关人员应经过系统化培训和定期演练，确保熟练掌握设备操作、平台使用、数据管理及应急处置能力。</w:t>
      </w:r>
    </w:p>
    <w:p w14:paraId="386194EC">
      <w:pPr>
        <w:pStyle w:val="105"/>
        <w:spacing w:before="120" w:after="120" w:line="360" w:lineRule="auto"/>
      </w:pPr>
      <w:r>
        <w:rPr>
          <w:rFonts w:hint="eastAsia"/>
        </w:rPr>
        <w:t>培训内容</w:t>
      </w:r>
    </w:p>
    <w:p w14:paraId="129AE15A">
      <w:pPr>
        <w:pStyle w:val="56"/>
        <w:spacing w:line="360" w:lineRule="auto"/>
        <w:ind w:firstLine="420"/>
      </w:pPr>
      <w:r>
        <w:rPr>
          <w:rFonts w:hint="eastAsia"/>
        </w:rPr>
        <w:t>培训应覆盖设备基础知识、运维操作规程、故障诊断方法、数据安全管理以及应急处置流程。培训计划应结合岗位需求制定，确保不同层级人员均具备相应能力。</w:t>
      </w:r>
    </w:p>
    <w:p w14:paraId="2AA7D490">
      <w:pPr>
        <w:pStyle w:val="105"/>
        <w:spacing w:before="120" w:after="120" w:line="360" w:lineRule="auto"/>
      </w:pPr>
      <w:r>
        <w:rPr>
          <w:rFonts w:hint="eastAsia"/>
        </w:rPr>
        <w:t>培训方式</w:t>
      </w:r>
    </w:p>
    <w:p w14:paraId="03925682">
      <w:pPr>
        <w:pStyle w:val="56"/>
        <w:spacing w:line="360" w:lineRule="auto"/>
        <w:ind w:firstLine="420"/>
      </w:pPr>
      <w:r>
        <w:rPr>
          <w:rFonts w:hint="eastAsia"/>
        </w:rPr>
        <w:t>培训可采用集中授课、在线课程、现场操作示范、模拟演练等多种方式，必要时可邀请设备制造商或第三方技术服务机构提供专项培训。培训结束后应进行考核，并将考核结果纳入人员绩效评价。</w:t>
      </w:r>
    </w:p>
    <w:p w14:paraId="3CB156D7">
      <w:pPr>
        <w:pStyle w:val="105"/>
        <w:spacing w:before="120" w:after="120" w:line="360" w:lineRule="auto"/>
      </w:pPr>
      <w:r>
        <w:rPr>
          <w:rFonts w:hint="eastAsia"/>
        </w:rPr>
        <w:t>应急演练要求</w:t>
      </w:r>
    </w:p>
    <w:p w14:paraId="7A5D538A">
      <w:pPr>
        <w:pStyle w:val="56"/>
        <w:spacing w:line="360" w:lineRule="auto"/>
        <w:ind w:firstLine="420"/>
      </w:pPr>
      <w:r>
        <w:rPr>
          <w:rFonts w:hint="eastAsia"/>
        </w:rPr>
        <w:t>应急演练应模拟设备故障、通信中断、极端天气影响等典型突发事件，涵盖报警触发、任务调度、现场处置、数据补录、恢复运行等全流程。演练形式可包括单站点演练、多站点联合演练和跨部门联合演练。</w:t>
      </w:r>
    </w:p>
    <w:p w14:paraId="59DFD6C8">
      <w:pPr>
        <w:pStyle w:val="105"/>
        <w:spacing w:before="120" w:after="120" w:line="360" w:lineRule="auto"/>
      </w:pPr>
      <w:r>
        <w:rPr>
          <w:rFonts w:hint="eastAsia"/>
        </w:rPr>
        <w:t>演练评估与改进</w:t>
      </w:r>
    </w:p>
    <w:p w14:paraId="7B3FA4CC">
      <w:pPr>
        <w:pStyle w:val="56"/>
        <w:spacing w:line="360" w:lineRule="auto"/>
        <w:ind w:firstLine="420"/>
      </w:pPr>
      <w:r>
        <w:rPr>
          <w:rFonts w:hint="eastAsia"/>
        </w:rPr>
        <w:t>演练结束后，应对反应速度、处置效果、信息传递效率等进行评估，分析不足并制定改进措施。评估报告应存档，并作为优化运维流程和提升人员能力的依据。</w:t>
      </w:r>
    </w:p>
    <w:p w14:paraId="73ABDA3C">
      <w:pPr>
        <w:pStyle w:val="104"/>
        <w:spacing w:before="240" w:after="240" w:line="360" w:lineRule="auto"/>
      </w:pPr>
      <w:bookmarkStart w:id="57" w:name="_Toc205757525"/>
      <w:r>
        <w:rPr>
          <w:rFonts w:hint="eastAsia"/>
        </w:rPr>
        <w:t>应急事件记录与追溯管理</w:t>
      </w:r>
      <w:bookmarkEnd w:id="57"/>
    </w:p>
    <w:p w14:paraId="0DFD28F2">
      <w:pPr>
        <w:pStyle w:val="105"/>
        <w:spacing w:before="120" w:after="120" w:line="360" w:lineRule="auto"/>
      </w:pPr>
      <w:r>
        <w:rPr>
          <w:rFonts w:hint="eastAsia"/>
        </w:rPr>
        <w:t>总体要求</w:t>
      </w:r>
    </w:p>
    <w:p w14:paraId="44188F59">
      <w:pPr>
        <w:pStyle w:val="56"/>
        <w:spacing w:line="360" w:lineRule="auto"/>
        <w:ind w:firstLine="420"/>
      </w:pPr>
      <w:r>
        <w:rPr>
          <w:rFonts w:hint="eastAsia"/>
        </w:rPr>
        <w:t>应急事件记录与追溯管理应覆盖从事件发生到处置完成的全过程，确保事件信息真实、完整、可追溯，为事后分析和流程改进提供依据。</w:t>
      </w:r>
    </w:p>
    <w:p w14:paraId="234F811A">
      <w:pPr>
        <w:pStyle w:val="105"/>
        <w:spacing w:before="120" w:after="120" w:line="360" w:lineRule="auto"/>
      </w:pPr>
      <w:r>
        <w:rPr>
          <w:rFonts w:hint="eastAsia"/>
        </w:rPr>
        <w:t>记录内容</w:t>
      </w:r>
    </w:p>
    <w:p w14:paraId="3C1893E5">
      <w:pPr>
        <w:pStyle w:val="56"/>
        <w:spacing w:line="360" w:lineRule="auto"/>
        <w:ind w:firstLine="420"/>
      </w:pPr>
      <w:r>
        <w:rPr>
          <w:rFonts w:hint="eastAsia"/>
        </w:rPr>
        <w:t>应急事件记录应包括事件发生时间、地点、设备编号、事件类型、报警方式、处置过程、处置结果以及参与人员等信息。必要时应附加现场照片、视频、监测数据及相关分析结果。</w:t>
      </w:r>
    </w:p>
    <w:p w14:paraId="7931D36F">
      <w:pPr>
        <w:pStyle w:val="105"/>
        <w:spacing w:before="120" w:after="120" w:line="360" w:lineRule="auto"/>
      </w:pPr>
      <w:r>
        <w:rPr>
          <w:rFonts w:hint="eastAsia"/>
        </w:rPr>
        <w:t>记录方式</w:t>
      </w:r>
    </w:p>
    <w:p w14:paraId="07893A52">
      <w:pPr>
        <w:pStyle w:val="56"/>
        <w:spacing w:line="360" w:lineRule="auto"/>
        <w:ind w:firstLine="420"/>
      </w:pPr>
      <w:r>
        <w:rPr>
          <w:rFonts w:hint="eastAsia"/>
        </w:rPr>
        <w:t>智能化运维平台应具备自动记录功能，对报警触发、任务派发、处置过程、数据恢复等环节进行实时记录。运维人员应补充现场处置细节和特殊情况说明，确保信息完整准确。</w:t>
      </w:r>
    </w:p>
    <w:p w14:paraId="28CAFB11">
      <w:pPr>
        <w:pStyle w:val="105"/>
        <w:spacing w:before="120" w:after="120" w:line="360" w:lineRule="auto"/>
      </w:pPr>
      <w:r>
        <w:rPr>
          <w:rFonts w:hint="eastAsia"/>
        </w:rPr>
        <w:t>信息归档</w:t>
      </w:r>
    </w:p>
    <w:p w14:paraId="0E0E8A14">
      <w:pPr>
        <w:pStyle w:val="56"/>
        <w:spacing w:line="360" w:lineRule="auto"/>
        <w:ind w:firstLine="420"/>
      </w:pPr>
      <w:r>
        <w:rPr>
          <w:rFonts w:hint="eastAsia"/>
        </w:rPr>
        <w:t>应急事件记录应按照统一的分类和编码规则进行归档，存储在安全的数据库中，并设置访问权限。归档期限应符合国家及行业相关规定。</w:t>
      </w:r>
    </w:p>
    <w:p w14:paraId="011F1CFB">
      <w:pPr>
        <w:pStyle w:val="105"/>
        <w:spacing w:before="120" w:after="120" w:line="360" w:lineRule="auto"/>
      </w:pPr>
      <w:r>
        <w:rPr>
          <w:rFonts w:hint="eastAsia"/>
        </w:rPr>
        <w:t>追溯管理</w:t>
      </w:r>
    </w:p>
    <w:p w14:paraId="21A78714">
      <w:pPr>
        <w:pStyle w:val="56"/>
        <w:spacing w:line="360" w:lineRule="auto"/>
        <w:ind w:firstLine="420"/>
      </w:pPr>
      <w:r>
        <w:rPr>
          <w:rFonts w:hint="eastAsia"/>
        </w:rPr>
        <w:t>平台应具备事件检索功能，支持按时间、设备类型、事件类型、责任单位等条件快速查询。查询结果应支持可视化展示，并能导出报表用于分析。</w:t>
      </w:r>
    </w:p>
    <w:p w14:paraId="18B0BCDF">
      <w:pPr>
        <w:pStyle w:val="105"/>
        <w:spacing w:before="120" w:after="120" w:line="360" w:lineRule="auto"/>
      </w:pPr>
      <w:r>
        <w:rPr>
          <w:rFonts w:hint="eastAsia"/>
        </w:rPr>
        <w:t>事后分析</w:t>
      </w:r>
    </w:p>
    <w:p w14:paraId="4F4A7B3C">
      <w:pPr>
        <w:pStyle w:val="56"/>
        <w:spacing w:line="360" w:lineRule="auto"/>
        <w:ind w:firstLine="420"/>
      </w:pPr>
      <w:r>
        <w:rPr>
          <w:rFonts w:hint="eastAsia"/>
        </w:rPr>
        <w:t>对于重大或典型应急事件，应组织相关单位进行复盘分析，评估响应效率、处置效果及存在问题，并提出优化建议，纳入后续运维流程改进中。</w:t>
      </w:r>
    </w:p>
    <w:p w14:paraId="67926814">
      <w:pPr>
        <w:pStyle w:val="104"/>
        <w:spacing w:before="240" w:after="240" w:line="360" w:lineRule="auto"/>
      </w:pPr>
      <w:bookmarkStart w:id="58" w:name="_Toc205757526"/>
      <w:r>
        <w:rPr>
          <w:rFonts w:hint="eastAsia"/>
        </w:rPr>
        <w:t>系统评估与持续优化</w:t>
      </w:r>
      <w:bookmarkEnd w:id="58"/>
    </w:p>
    <w:p w14:paraId="4FD4C027">
      <w:pPr>
        <w:pStyle w:val="105"/>
        <w:spacing w:before="120" w:after="120" w:line="360" w:lineRule="auto"/>
      </w:pPr>
      <w:r>
        <w:rPr>
          <w:rFonts w:hint="eastAsia"/>
        </w:rPr>
        <w:t>总体要求</w:t>
      </w:r>
    </w:p>
    <w:p w14:paraId="2FDC86D7">
      <w:pPr>
        <w:pStyle w:val="56"/>
        <w:spacing w:line="360" w:lineRule="auto"/>
        <w:ind w:firstLine="420"/>
      </w:pPr>
      <w:r>
        <w:rPr>
          <w:rFonts w:hint="eastAsia"/>
        </w:rPr>
        <w:t>水与大气环境监测设备智能化运维系统应建立定期评估和持续优化机制，通过技术检测、运行分析和用户反馈，不断提升系统的稳定性、准确性和智能化水平。</w:t>
      </w:r>
    </w:p>
    <w:p w14:paraId="040A880D">
      <w:pPr>
        <w:pStyle w:val="105"/>
        <w:spacing w:before="120" w:after="120" w:line="360" w:lineRule="auto"/>
      </w:pPr>
      <w:r>
        <w:rPr>
          <w:rFonts w:hint="eastAsia"/>
        </w:rPr>
        <w:t>评估内容</w:t>
      </w:r>
    </w:p>
    <w:p w14:paraId="23121E03">
      <w:pPr>
        <w:pStyle w:val="56"/>
        <w:spacing w:line="360" w:lineRule="auto"/>
        <w:ind w:firstLine="420"/>
      </w:pPr>
      <w:r>
        <w:rPr>
          <w:rFonts w:hint="eastAsia"/>
        </w:rPr>
        <w:t>评估应涵盖硬件设备运行状况、软件平台稳定性、数据传输与处理效率、监测数据准确性、故障响应速度、任务完成率以及系统安全性等方面。</w:t>
      </w:r>
    </w:p>
    <w:p w14:paraId="2E93A0D9">
      <w:pPr>
        <w:pStyle w:val="105"/>
        <w:spacing w:before="120" w:after="120" w:line="360" w:lineRule="auto"/>
      </w:pPr>
      <w:r>
        <w:rPr>
          <w:rFonts w:hint="eastAsia"/>
        </w:rPr>
        <w:t>评估方法</w:t>
      </w:r>
    </w:p>
    <w:p w14:paraId="708E7561">
      <w:pPr>
        <w:pStyle w:val="56"/>
        <w:spacing w:line="360" w:lineRule="auto"/>
        <w:ind w:firstLine="420"/>
      </w:pPr>
      <w:r>
        <w:rPr>
          <w:rFonts w:hint="eastAsia"/>
        </w:rPr>
        <w:t>可采用性能测试、模拟演练、运行日志分析、数据对比验证、用户满意度调查和专家评审等方法，必要时引入第三方机构开展独立评估。</w:t>
      </w:r>
    </w:p>
    <w:p w14:paraId="5D73B3A0">
      <w:pPr>
        <w:pStyle w:val="105"/>
        <w:spacing w:before="120" w:after="120" w:line="360" w:lineRule="auto"/>
      </w:pPr>
      <w:r>
        <w:rPr>
          <w:rFonts w:hint="eastAsia"/>
        </w:rPr>
        <w:t>优化措施</w:t>
      </w:r>
    </w:p>
    <w:p w14:paraId="3ABEFB8F">
      <w:pPr>
        <w:pStyle w:val="56"/>
        <w:spacing w:line="360" w:lineRule="auto"/>
        <w:ind w:firstLine="420"/>
      </w:pPr>
      <w:r>
        <w:rPr>
          <w:rFonts w:hint="eastAsia"/>
        </w:rPr>
        <w:t>根据评估结果，应制定针对性的优化计划，包括硬件升级、软件功能改进、网络优化、数据安全加固和运维流程调整等，并设定明确的时间表与责任分工。</w:t>
      </w:r>
    </w:p>
    <w:p w14:paraId="7045C23E">
      <w:pPr>
        <w:pStyle w:val="105"/>
        <w:spacing w:before="120" w:after="120" w:line="360" w:lineRule="auto"/>
      </w:pPr>
      <w:r>
        <w:rPr>
          <w:rFonts w:hint="eastAsia"/>
        </w:rPr>
        <w:t>持续改进机制</w:t>
      </w:r>
    </w:p>
    <w:p w14:paraId="3F39C2A1">
      <w:pPr>
        <w:pStyle w:val="56"/>
        <w:spacing w:line="360" w:lineRule="auto"/>
        <w:ind w:firstLine="420"/>
      </w:pPr>
      <w:r>
        <w:rPr>
          <w:rFonts w:hint="eastAsia"/>
        </w:rPr>
        <w:t>应将系统评估与优化措施纳入年度工作计划，并与培训演练、设备维护等环节形成联动，确保优化措施落实到位。对于具有普遍性的问题，应形成标准化解决方案并推广应用。</w:t>
      </w:r>
    </w:p>
    <w:p w14:paraId="79829FD8">
      <w:pPr>
        <w:pStyle w:val="105"/>
        <w:spacing w:before="120" w:after="120" w:line="360" w:lineRule="auto"/>
      </w:pPr>
      <w:r>
        <w:rPr>
          <w:rFonts w:hint="eastAsia"/>
        </w:rPr>
        <w:t>技术升级与创新</w:t>
      </w:r>
    </w:p>
    <w:p w14:paraId="285226B2">
      <w:pPr>
        <w:pStyle w:val="56"/>
        <w:spacing w:line="360" w:lineRule="auto"/>
        <w:ind w:firstLine="420"/>
      </w:pPr>
      <w:r>
        <w:rPr>
          <w:rFonts w:hint="eastAsia"/>
        </w:rPr>
        <w:t>应跟踪物联网、大数据、人工智能等新技术的发展趋势，结合环境监测业务需求，适时引入先进技术和新方法，提升系统智能化水平和运维效率。在引入新技术时，应确保与现有系统的兼容性和安全性。</w:t>
      </w:r>
    </w:p>
    <w:bookmarkEnd w:id="26"/>
    <w:p w14:paraId="63E9C6BB">
      <w:pPr>
        <w:pStyle w:val="56"/>
        <w:ind w:firstLine="0" w:firstLineChars="0"/>
        <w:jc w:val="center"/>
      </w:pPr>
      <w:bookmarkStart w:id="59" w:name="BookMark8"/>
      <w:r>
        <w:drawing>
          <wp:inline distT="0" distB="0" distL="0" distR="0">
            <wp:extent cx="1485900" cy="317500"/>
            <wp:effectExtent l="0" t="0" r="0" b="6350"/>
            <wp:docPr id="1584138214" name="图片 1"/>
            <wp:cNvGraphicFramePr/>
            <a:graphic xmlns:a="http://schemas.openxmlformats.org/drawingml/2006/main">
              <a:graphicData uri="http://schemas.openxmlformats.org/drawingml/2006/picture">
                <pic:pic xmlns:pic="http://schemas.openxmlformats.org/drawingml/2006/picture">
                  <pic:nvPicPr>
                    <pic:cNvPr id="1584138214"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D50C">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0F0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14F2">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1801">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3A9E">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D64B">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3442">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BF24">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A13B">
    <w:pPr>
      <w:pStyle w:val="61"/>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4636">
    <w:pPr>
      <w:pStyle w:val="62"/>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BC5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6FC9">
    <w:pPr>
      <w:pStyle w:val="61"/>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AF78">
    <w:pPr>
      <w:pStyle w:val="62"/>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1AEE">
    <w:pPr>
      <w:pStyle w:val="61"/>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901D">
    <w:pPr>
      <w:pStyle w:val="62"/>
      <w:rPr>
        <w:rFonts w:hint="eastAsia"/>
      </w:rPr>
    </w:pPr>
    <w:r>
      <w:fldChar w:fldCharType="begin"/>
    </w:r>
    <w:r>
      <w:instrText xml:space="preserve"> STYLEREF  标准文件_文件编号 \* MERGEFORMAT </w:instrText>
    </w:r>
    <w:r>
      <w:fldChar w:fldCharType="separate"/>
    </w:r>
    <w:r>
      <w:t>T/XJBX 0071—2025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7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6CB"/>
    <w:rsid w:val="00490A89"/>
    <w:rsid w:val="00490AB4"/>
    <w:rsid w:val="00492F02"/>
    <w:rsid w:val="004939AE"/>
    <w:rsid w:val="00497B52"/>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B0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1AA"/>
    <w:rsid w:val="00A83D8D"/>
    <w:rsid w:val="00A8446B"/>
    <w:rsid w:val="00A84721"/>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7B"/>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4A7"/>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095"/>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7DA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7E97EB4">
          <w:pPr>
            <w:pStyle w:val="5"/>
            <w:rPr>
              <w:rFonts w:hint="eastAsia"/>
            </w:rPr>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35A824B">
          <w:pPr>
            <w:pStyle w:val="6"/>
            <w:rPr>
              <w:rFonts w:hint="eastAsia"/>
            </w:rPr>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7DE098E">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A2D88"/>
    <w:rsid w:val="007E7260"/>
    <w:rsid w:val="00AE1DC6"/>
    <w:rsid w:val="00C934A7"/>
    <w:rsid w:val="00E53428"/>
    <w:rsid w:val="00EF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3288</Words>
  <Characters>3615</Characters>
  <Lines>114</Lines>
  <Paragraphs>342</Paragraphs>
  <TotalTime>34</TotalTime>
  <ScaleCrop>false</ScaleCrop>
  <LinksUpToDate>false</LinksUpToDate>
  <CharactersWithSpaces>3710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2025-08-11T06:33:52Z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0EE878C425C54573BFD3BD4BCEC1D8CE_12</vt:lpwstr>
  </property>
</Properties>
</file>