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13.040.01</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Z 0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2"/>
            </w:textInput>
          </w:ffData>
        </w:fldChar>
      </w:r>
      <w:bookmarkStart w:id="6" w:name="NSTD_CODE_F"/>
      <w:r>
        <w:instrText xml:space="preserve"> FORMTEXT </w:instrText>
      </w:r>
      <w:r>
        <w:fldChar w:fldCharType="separate"/>
      </w:r>
      <w:r>
        <w:t>0072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76EA0E2">
      <w:pPr>
        <w:pStyle w:val="197"/>
        <w:framePr w:h="6974" w:hRule="exact" w:wrap="around" w:x="1419" w:anchorLock="1"/>
      </w:pPr>
      <w:r>
        <w:fldChar w:fldCharType="begin">
          <w:ffData>
            <w:name w:val="CSTD_NAME"/>
            <w:enabled/>
            <w:calcOnExit w:val="0"/>
            <w:textInput>
              <w:default w:val="水和大气环境监测质量控制与溯源管理导则"/>
            </w:textInput>
          </w:ffData>
        </w:fldChar>
      </w:r>
      <w:bookmarkStart w:id="9" w:name="CSTD_NAME"/>
      <w:r>
        <w:instrText xml:space="preserve"> FORMTEXT </w:instrText>
      </w:r>
      <w:r>
        <w:fldChar w:fldCharType="separate"/>
      </w:r>
      <w:r>
        <w:t>水和大气环境监测质量控制</w:t>
      </w:r>
    </w:p>
    <w:p w14:paraId="73594FE6">
      <w:pPr>
        <w:pStyle w:val="197"/>
        <w:framePr w:h="6974" w:hRule="exact" w:wrap="around" w:x="1419" w:anchorLock="1"/>
      </w:pPr>
      <w:r>
        <w:t>与溯源管理导则</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quality control and traceability management of water and atmospheric environmental monitor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quality control and traceability management of water and atmospheric environmental monitoring</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DBF4163">
      <w:pPr>
        <w:pStyle w:val="91"/>
        <w:spacing w:after="360"/>
        <w:rPr>
          <w:rFonts w:hint="eastAsia"/>
        </w:rPr>
      </w:pPr>
      <w:bookmarkStart w:id="21" w:name="BookMark1"/>
      <w:r>
        <w:rPr>
          <w:rFonts w:hint="eastAsia"/>
          <w:spacing w:val="320"/>
        </w:rPr>
        <w:t>目</w:t>
      </w:r>
      <w:r>
        <w:rPr>
          <w:rFonts w:hint="eastAsia"/>
        </w:rPr>
        <w:t>次</w:t>
      </w:r>
    </w:p>
    <w:p w14:paraId="253F583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"_Toc205759284" </w:instrText>
      </w:r>
      <w:r>
        <w:fldChar w:fldCharType="separate"/>
      </w:r>
      <w:r>
        <w:rPr>
          <w:rStyle w:val="32"/>
        </w:rPr>
        <w:t>前言</w:t>
      </w:r>
      <w:r>
        <w:tab/>
      </w:r>
      <w:r>
        <w:fldChar w:fldCharType="begin"/>
      </w:r>
      <w:r>
        <w:instrText xml:space="preserve"> PAGEREF _Toc205759284 \h </w:instrText>
      </w:r>
      <w:r>
        <w:fldChar w:fldCharType="separate"/>
      </w:r>
      <w:r>
        <w:t>III</w:t>
      </w:r>
      <w:r>
        <w:fldChar w:fldCharType="end"/>
      </w:r>
      <w:r>
        <w:fldChar w:fldCharType="end"/>
      </w:r>
    </w:p>
    <w:p w14:paraId="0A27952A">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"_Toc205759285" </w:instrText>
      </w:r>
      <w:r>
        <w:fldChar w:fldCharType="separate"/>
      </w:r>
      <w:r>
        <w:rPr>
          <w:rStyle w:val="32"/>
        </w:rPr>
        <w:t>引言</w:t>
      </w:r>
      <w:r>
        <w:tab/>
      </w:r>
      <w:r>
        <w:fldChar w:fldCharType="begin"/>
      </w:r>
      <w:r>
        <w:instrText xml:space="preserve"> PAGEREF _Toc205759285 \h </w:instrText>
      </w:r>
      <w:r>
        <w:fldChar w:fldCharType="separate"/>
      </w:r>
      <w:r>
        <w:t>V</w:t>
      </w:r>
      <w:r>
        <w:fldChar w:fldCharType="end"/>
      </w:r>
      <w:r>
        <w:fldChar w:fldCharType="end"/>
      </w:r>
    </w:p>
    <w:p w14:paraId="2B9230AB">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"_Toc205759286" </w:instrText>
      </w:r>
      <w:r>
        <w:fldChar w:fldCharType="separate"/>
      </w:r>
      <w:r>
        <w:rPr>
          <w:rStyle w:val="32"/>
        </w:rPr>
        <w:t>1  范围</w:t>
      </w:r>
      <w:r>
        <w:tab/>
      </w:r>
      <w:r>
        <w:fldChar w:fldCharType="begin"/>
      </w:r>
      <w:r>
        <w:instrText xml:space="preserve"> PAGEREF _Toc205759286 \h </w:instrText>
      </w:r>
      <w:r>
        <w:fldChar w:fldCharType="separate"/>
      </w:r>
      <w:r>
        <w:t>1</w:t>
      </w:r>
      <w:r>
        <w:fldChar w:fldCharType="end"/>
      </w:r>
      <w:r>
        <w:fldChar w:fldCharType="end"/>
      </w:r>
    </w:p>
    <w:p w14:paraId="2261E3BE">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"_Toc205759287" </w:instrText>
      </w:r>
      <w:r>
        <w:fldChar w:fldCharType="separate"/>
      </w:r>
      <w:r>
        <w:rPr>
          <w:rStyle w:val="32"/>
        </w:rPr>
        <w:t>2  规范性引用文件</w:t>
      </w:r>
      <w:r>
        <w:tab/>
      </w:r>
      <w:r>
        <w:fldChar w:fldCharType="begin"/>
      </w:r>
      <w:r>
        <w:instrText xml:space="preserve"> PAGEREF _Toc205759287 \h </w:instrText>
      </w:r>
      <w:r>
        <w:fldChar w:fldCharType="separate"/>
      </w:r>
      <w:r>
        <w:t>1</w:t>
      </w:r>
      <w:r>
        <w:fldChar w:fldCharType="end"/>
      </w:r>
      <w:r>
        <w:fldChar w:fldCharType="end"/>
      </w:r>
    </w:p>
    <w:p w14:paraId="206ABEC6">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"_Toc205759288" </w:instrText>
      </w:r>
      <w:r>
        <w:fldChar w:fldCharType="separate"/>
      </w:r>
      <w:r>
        <w:rPr>
          <w:rStyle w:val="32"/>
        </w:rPr>
        <w:t>3  术语和定义</w:t>
      </w:r>
      <w:r>
        <w:tab/>
      </w:r>
      <w:r>
        <w:fldChar w:fldCharType="begin"/>
      </w:r>
      <w:r>
        <w:instrText xml:space="preserve"> PAGEREF _Toc205759288 \h </w:instrText>
      </w:r>
      <w:r>
        <w:fldChar w:fldCharType="separate"/>
      </w:r>
      <w:r>
        <w:t>1</w:t>
      </w:r>
      <w:r>
        <w:fldChar w:fldCharType="end"/>
      </w:r>
      <w:r>
        <w:fldChar w:fldCharType="end"/>
      </w:r>
    </w:p>
    <w:p w14:paraId="3A258819">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"_Toc205759289" </w:instrText>
      </w:r>
      <w:r>
        <w:fldChar w:fldCharType="separate"/>
      </w:r>
      <w:r>
        <w:rPr>
          <w:rStyle w:val="32"/>
        </w:rPr>
        <w:t>4  总则</w:t>
      </w:r>
      <w:r>
        <w:tab/>
      </w:r>
      <w:r>
        <w:fldChar w:fldCharType="begin"/>
      </w:r>
      <w:r>
        <w:instrText xml:space="preserve"> PAGEREF _Toc205759289 \h </w:instrText>
      </w:r>
      <w:r>
        <w:fldChar w:fldCharType="separate"/>
      </w:r>
      <w:r>
        <w:t>2</w:t>
      </w:r>
      <w:r>
        <w:fldChar w:fldCharType="end"/>
      </w:r>
      <w:r>
        <w:fldChar w:fldCharType="end"/>
      </w:r>
    </w:p>
    <w:p w14:paraId="4CE2FC93">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"_Toc205759290" </w:instrText>
      </w:r>
      <w:r>
        <w:fldChar w:fldCharType="separate"/>
      </w:r>
      <w:r>
        <w:rPr>
          <w:rStyle w:val="32"/>
        </w:rPr>
        <w:t>5  质量控制要求</w:t>
      </w:r>
      <w:r>
        <w:tab/>
      </w:r>
      <w:r>
        <w:fldChar w:fldCharType="begin"/>
      </w:r>
      <w:r>
        <w:instrText xml:space="preserve"> PAGEREF _Toc205759290 \h </w:instrText>
      </w:r>
      <w:r>
        <w:fldChar w:fldCharType="separate"/>
      </w:r>
      <w:r>
        <w:t>2</w:t>
      </w:r>
      <w:r>
        <w:fldChar w:fldCharType="end"/>
      </w:r>
      <w:r>
        <w:fldChar w:fldCharType="end"/>
      </w:r>
    </w:p>
    <w:p w14:paraId="3B0076E8">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"_Toc205759291" </w:instrText>
      </w:r>
      <w:r>
        <w:fldChar w:fldCharType="separate"/>
      </w:r>
      <w:r>
        <w:rPr>
          <w:rStyle w:val="32"/>
        </w:rPr>
        <w:t>6  溯源管理要求</w:t>
      </w:r>
      <w:r>
        <w:tab/>
      </w:r>
      <w:r>
        <w:fldChar w:fldCharType="begin"/>
      </w:r>
      <w:r>
        <w:instrText xml:space="preserve"> PAGEREF _Toc205759291 \h </w:instrText>
      </w:r>
      <w:r>
        <w:fldChar w:fldCharType="separate"/>
      </w:r>
      <w:r>
        <w:t>3</w:t>
      </w:r>
      <w:r>
        <w:fldChar w:fldCharType="end"/>
      </w:r>
      <w:r>
        <w:fldChar w:fldCharType="end"/>
      </w:r>
    </w:p>
    <w:p w14:paraId="1BDE8484">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"_Toc205759292" </w:instrText>
      </w:r>
      <w:r>
        <w:fldChar w:fldCharType="separate"/>
      </w:r>
      <w:r>
        <w:rPr>
          <w:rStyle w:val="32"/>
        </w:rPr>
        <w:t>7  实施与监督</w:t>
      </w:r>
      <w:r>
        <w:tab/>
      </w:r>
      <w:r>
        <w:fldChar w:fldCharType="begin"/>
      </w:r>
      <w:r>
        <w:instrText xml:space="preserve"> PAGEREF _Toc205759292 \h </w:instrText>
      </w:r>
      <w:r>
        <w:fldChar w:fldCharType="separate"/>
      </w:r>
      <w:r>
        <w:t>4</w:t>
      </w:r>
      <w:r>
        <w:fldChar w:fldCharType="end"/>
      </w:r>
      <w:r>
        <w:fldChar w:fldCharType="end"/>
      </w:r>
    </w:p>
    <w:p w14:paraId="428E7473">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"_Toc205759293" </w:instrText>
      </w:r>
      <w:r>
        <w:fldChar w:fldCharType="separate"/>
      </w:r>
      <w:r>
        <w:rPr>
          <w:rStyle w:val="32"/>
        </w:rPr>
        <w:t>8  持续改进与评估</w:t>
      </w:r>
      <w:r>
        <w:tab/>
      </w:r>
      <w:r>
        <w:fldChar w:fldCharType="begin"/>
      </w:r>
      <w:r>
        <w:instrText xml:space="preserve"> PAGEREF _Toc205759293 \h </w:instrText>
      </w:r>
      <w:r>
        <w:fldChar w:fldCharType="separate"/>
      </w:r>
      <w:r>
        <w:t>5</w:t>
      </w:r>
      <w:r>
        <w:fldChar w:fldCharType="end"/>
      </w:r>
      <w:r>
        <w:fldChar w:fldCharType="end"/>
      </w:r>
    </w:p>
    <w:p w14:paraId="6E1637F7">
      <w:pPr>
        <w:pStyle w:val="19"/>
        <w:tabs>
          <w:tab w:val="right" w:leader="dot" w:pos="9344"/>
        </w:tabs>
        <w:rPr>
          <w:rFonts w:asciiTheme="minorHAnsi" w:hAnsiTheme="minorHAnsi" w:eastAsiaTheme="minorEastAsia" w:cstheme="minorBidi"/>
          <w:szCs w:val="22"/>
        </w:rPr>
      </w:pPr>
      <w:r>
        <w:fldChar w:fldCharType="begin"/>
      </w:r>
      <w:r>
        <w:instrText xml:space="preserve"> HYPERLINK \l "_Toc205759294" </w:instrText>
      </w:r>
      <w:r>
        <w:fldChar w:fldCharType="separate"/>
      </w:r>
      <w:r>
        <w:rPr>
          <w:rStyle w:val="32"/>
        </w:rPr>
        <w:t>9  数据安全与信息管理</w:t>
      </w:r>
      <w:r>
        <w:tab/>
      </w:r>
      <w:r>
        <w:fldChar w:fldCharType="begin"/>
      </w:r>
      <w:r>
        <w:instrText xml:space="preserve"> PAGEREF _Toc205759294 \h </w:instrText>
      </w:r>
      <w:r>
        <w:fldChar w:fldCharType="separate"/>
      </w:r>
      <w:r>
        <w:t>6</w:t>
      </w:r>
      <w:r>
        <w:fldChar w:fldCharType="end"/>
      </w:r>
      <w:r>
        <w:fldChar w:fldCharType="end"/>
      </w:r>
    </w:p>
    <w:p w14:paraId="176EB44A">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928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本文件起草单位：大地环境治理有限公司。</w:t>
      </w:r>
    </w:p>
    <w:p w14:paraId="67A81F58">
      <w:pPr>
        <w:pStyle w:val="56"/>
        <w:spacing w:line="360" w:lineRule="auto"/>
        <w:ind w:firstLine="420"/>
      </w:pPr>
      <w:r>
        <w:rPr>
          <w:rFonts w:hint="eastAsia"/>
        </w:rPr>
        <w:t>本文件主要起草人：郑林静。</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759285"/>
      <w:bookmarkStart w:id="25" w:name="BookMark3"/>
      <w:r>
        <w:rPr>
          <w:spacing w:val="320"/>
        </w:rPr>
        <w:t>引</w:t>
      </w:r>
      <w:r>
        <w:t>言</w:t>
      </w:r>
      <w:bookmarkEnd w:id="24"/>
    </w:p>
    <w:p w14:paraId="5AA286F2">
      <w:pPr>
        <w:pStyle w:val="56"/>
        <w:spacing w:line="360" w:lineRule="auto"/>
        <w:ind w:firstLine="420"/>
        <w:rPr>
          <w:rFonts w:hint="eastAsia"/>
        </w:rPr>
      </w:pPr>
      <w:r>
        <w:rPr>
          <w:rFonts w:hint="eastAsia"/>
        </w:rPr>
        <w:t>水和大气环境监测是生态环境管理、污染防治和公共健康保护的重要技术基础，其监测数据的科学性、准确性和可比性直接关系到环境质量评价与政策决策的有效性。质量控制与溯源管理是保障监测数据可信度的核心环节，通过规范监测全过程的质量管理活动以及建立科学的溯源体系，可有效提高监测数据的一致性、可追溯性和国际可比性。</w:t>
      </w:r>
    </w:p>
    <w:p w14:paraId="68AA27D5">
      <w:pPr>
        <w:pStyle w:val="56"/>
        <w:spacing w:line="360" w:lineRule="auto"/>
        <w:ind w:firstLine="420"/>
        <w:rPr>
          <w:rFonts w:hint="eastAsia"/>
        </w:rPr>
      </w:pPr>
      <w:r>
        <w:rPr>
          <w:rFonts w:hint="eastAsia"/>
        </w:rPr>
        <w:t>当前，随着监测网络的持续扩展和技术手段的不断升级，水和大气环境监测系统呈现出多站点、多设备、多参数的特征，数据来源更加多元，监测环境更加复杂。在此背景下，传统质量控制模式存在执行不统一、数据可追溯性不足、溯源链条不完整等问题，亟需建立统一的质量控制与溯源管理导则，为各类监测活动提供技术规范和管理依据。</w:t>
      </w:r>
    </w:p>
    <w:p w14:paraId="7F4A69FE">
      <w:pPr>
        <w:pStyle w:val="56"/>
        <w:spacing w:line="360" w:lineRule="auto"/>
        <w:ind w:firstLine="420"/>
      </w:pPr>
      <w:r>
        <w:rPr>
          <w:rFonts w:hint="eastAsia"/>
        </w:rPr>
        <w:t>本文件的制定旨在明确水和大气环境监测中质量控制与溯源管理的总体要求、技术方法、实施流程与评价标准，规范实验室检测、现场监测、数据传输与处理等全过程的质量管理活动，并构建符合国家及国际标准的溯源体系，确保监测结果的科学性和可比性。本文件强调可操作性与先进性相结合，适用于各级环境监测机构、第三方检测单位、设备制造商及相关管理部门在水和大气环境监测质量控制与溯源管理中的实施与考核工作。</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6E254ECD">
          <w:pPr>
            <w:pStyle w:val="177"/>
            <w:spacing w:after="0"/>
            <w:rPr>
              <w:rFonts w:hint="eastAsia"/>
            </w:rPr>
          </w:pPr>
          <w:bookmarkStart w:id="27" w:name="NEW_STAND_NAME"/>
          <w:r>
            <w:rPr>
              <w:rFonts w:hint="eastAsia"/>
            </w:rPr>
            <w:t>水和大气环境监测质量控制</w:t>
          </w:r>
        </w:p>
        <w:p w14:paraId="7D4E3E1F">
          <w:pPr>
            <w:pStyle w:val="177"/>
            <w:spacing w:before="0"/>
          </w:pPr>
          <w:r>
            <w:rPr>
              <w:rFonts w:hint="eastAsia"/>
            </w:rPr>
            <w:t>与溯源管理导则</w:t>
          </w:r>
        </w:p>
      </w:sdtContent>
    </w:sdt>
    <w:bookmarkEnd w:id="27"/>
    <w:p w14:paraId="3DB22445">
      <w:pPr>
        <w:pStyle w:val="104"/>
        <w:spacing w:before="240" w:after="240" w:line="360" w:lineRule="auto"/>
      </w:pPr>
      <w:bookmarkStart w:id="28" w:name="_Toc17233333"/>
      <w:bookmarkStart w:id="29" w:name="_Toc17233325"/>
      <w:bookmarkStart w:id="30" w:name="_Toc24884211"/>
      <w:bookmarkStart w:id="31" w:name="_Toc24884218"/>
      <w:bookmarkStart w:id="32" w:name="_Toc26648465"/>
      <w:bookmarkStart w:id="33" w:name="_Toc26986530"/>
      <w:bookmarkStart w:id="34" w:name="_Toc26718930"/>
      <w:bookmarkStart w:id="35" w:name="_Toc26986771"/>
      <w:bookmarkStart w:id="36" w:name="_Toc97192964"/>
      <w:bookmarkStart w:id="37" w:name="_Toc205759286"/>
      <w:r>
        <w:rPr>
          <w:rFonts w:hint="eastAsia"/>
        </w:rPr>
        <w:t>范围</w:t>
      </w:r>
      <w:bookmarkEnd w:id="28"/>
      <w:bookmarkEnd w:id="29"/>
      <w:bookmarkEnd w:id="30"/>
      <w:bookmarkEnd w:id="31"/>
      <w:bookmarkEnd w:id="32"/>
      <w:bookmarkEnd w:id="33"/>
      <w:bookmarkEnd w:id="34"/>
      <w:bookmarkEnd w:id="35"/>
      <w:bookmarkEnd w:id="36"/>
      <w:bookmarkEnd w:id="37"/>
    </w:p>
    <w:p w14:paraId="3A783D9A">
      <w:pPr>
        <w:pStyle w:val="56"/>
        <w:spacing w:line="360" w:lineRule="auto"/>
        <w:ind w:firstLine="420"/>
        <w:rPr>
          <w:rFonts w:hint="eastAsia"/>
        </w:rPr>
      </w:pPr>
      <w:bookmarkStart w:id="38" w:name="_Toc24884219"/>
      <w:bookmarkStart w:id="39" w:name="_Toc26648466"/>
      <w:bookmarkStart w:id="40" w:name="_Toc24884212"/>
      <w:bookmarkStart w:id="41" w:name="_Toc17233334"/>
      <w:bookmarkStart w:id="42" w:name="_Toc17233326"/>
      <w:r>
        <w:rPr>
          <w:rFonts w:hint="eastAsia"/>
        </w:rPr>
        <w:t>本文件规定了水和大气环境监测质量控制与溯源管理的质量控制要求、溯源管理要求、实施与监督、持续改进与评估及数据安全与信息管理等内容。</w:t>
      </w:r>
    </w:p>
    <w:p w14:paraId="7E2FDF2B">
      <w:pPr>
        <w:pStyle w:val="56"/>
        <w:spacing w:line="360" w:lineRule="auto"/>
        <w:ind w:firstLine="420"/>
        <w:rPr>
          <w:rFonts w:hint="eastAsia"/>
        </w:rPr>
      </w:pPr>
      <w:r>
        <w:rPr>
          <w:rFonts w:hint="eastAsia"/>
        </w:rPr>
        <w:t>本文件适用于水质监测（含地表水、地下水、饮用水源、污废水等）和大气监测（含环境空气、污染源废气、气象要素等）全过程的质量控制与溯源管理，包括实验室分析、现场监测、在线监测系统运行、数据采集与处理等环节。</w:t>
      </w:r>
    </w:p>
    <w:p w14:paraId="20CB4DEF">
      <w:pPr>
        <w:pStyle w:val="56"/>
        <w:spacing w:line="360" w:lineRule="auto"/>
        <w:ind w:firstLine="420"/>
        <w:rPr>
          <w:rFonts w:hint="eastAsia"/>
        </w:rPr>
      </w:pPr>
      <w:r>
        <w:rPr>
          <w:rFonts w:hint="eastAsia"/>
        </w:rPr>
        <w:t>本文件适用于各级生态环境监测机构、第三方检测机构、污染源自动监控设施运营单位、设备制造商及环境管理部门在质量控制与溯源管理工作中的设计、实施和监督考核，也可供科研机构和行业协会在相关研究与技术推广中参考使用。</w:t>
      </w:r>
    </w:p>
    <w:p w14:paraId="3733B2AD">
      <w:pPr>
        <w:pStyle w:val="104"/>
        <w:spacing w:before="240" w:after="240" w:line="360" w:lineRule="auto"/>
      </w:pPr>
      <w:bookmarkStart w:id="43" w:name="_Toc26718931"/>
      <w:bookmarkStart w:id="44" w:name="_Toc26986531"/>
      <w:bookmarkStart w:id="45" w:name="_Toc26986772"/>
      <w:bookmarkStart w:id="46" w:name="_Toc97192965"/>
      <w:bookmarkStart w:id="47" w:name="_Toc20575928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F37898">
      <w:pPr>
        <w:pStyle w:val="56"/>
        <w:spacing w:line="360" w:lineRule="auto"/>
        <w:ind w:firstLine="420"/>
        <w:rPr>
          <w:rFonts w:hint="eastAsia"/>
        </w:rPr>
      </w:pPr>
      <w:r>
        <w:rPr>
          <w:rFonts w:hint="eastAsia"/>
        </w:rPr>
        <w:t>GB/T 1.1—2020 标准化工作导则  第1部分：标准化文件的结构和起草规则</w:t>
      </w:r>
    </w:p>
    <w:p w14:paraId="4766518F">
      <w:pPr>
        <w:pStyle w:val="56"/>
        <w:spacing w:line="360" w:lineRule="auto"/>
        <w:ind w:firstLine="420"/>
        <w:rPr>
          <w:rFonts w:hint="eastAsia"/>
        </w:rPr>
      </w:pPr>
      <w:r>
        <w:rPr>
          <w:rFonts w:hint="eastAsia"/>
        </w:rPr>
        <w:t>GB/T 191—2008 包装储运图示标志</w:t>
      </w:r>
    </w:p>
    <w:p w14:paraId="3B53BBFB">
      <w:pPr>
        <w:pStyle w:val="56"/>
        <w:spacing w:line="360" w:lineRule="auto"/>
        <w:ind w:firstLine="420"/>
        <w:rPr>
          <w:rFonts w:hint="eastAsia"/>
        </w:rPr>
      </w:pPr>
      <w:r>
        <w:rPr>
          <w:rFonts w:hint="eastAsia"/>
        </w:rPr>
        <w:t>HJ 630—2011 环境监测质量管理技术导则</w:t>
      </w:r>
    </w:p>
    <w:p w14:paraId="07A7F860">
      <w:pPr>
        <w:pStyle w:val="56"/>
        <w:spacing w:line="360" w:lineRule="auto"/>
        <w:ind w:firstLine="420"/>
      </w:pPr>
      <w:r>
        <w:rPr>
          <w:rFonts w:hint="eastAsia"/>
        </w:rPr>
        <w:t>HJ/T 193—2005 环境空气质量自动监测技术规范</w:t>
      </w:r>
    </w:p>
    <w:p w14:paraId="51F02A4E">
      <w:pPr>
        <w:pStyle w:val="104"/>
        <w:spacing w:before="240" w:after="240" w:line="360" w:lineRule="auto"/>
      </w:pPr>
      <w:bookmarkStart w:id="48" w:name="_Toc97192966"/>
      <w:bookmarkStart w:id="49" w:name="_Toc20575928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4A6BCF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质量控制 quality control</w:t>
      </w:r>
    </w:p>
    <w:p w14:paraId="7BAC6CC7">
      <w:pPr>
        <w:pStyle w:val="56"/>
        <w:spacing w:line="360" w:lineRule="auto"/>
        <w:ind w:firstLine="420"/>
        <w:rPr>
          <w:rFonts w:hint="eastAsia"/>
        </w:rPr>
      </w:pPr>
      <w:r>
        <w:rPr>
          <w:rFonts w:hint="eastAsia"/>
        </w:rPr>
        <w:t>在监测全过程中，通过技术和管理措施对影响数据质量的因素进行监测、评估和修正的活动，以确保监测数据的准确性、精密度和代表性。</w:t>
      </w:r>
    </w:p>
    <w:p w14:paraId="4D59028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溯源管理 traceability management</w:t>
      </w:r>
    </w:p>
    <w:p w14:paraId="6AC20134">
      <w:pPr>
        <w:pStyle w:val="56"/>
        <w:spacing w:line="360" w:lineRule="auto"/>
        <w:ind w:firstLine="420"/>
        <w:rPr>
          <w:rFonts w:hint="eastAsia"/>
        </w:rPr>
      </w:pPr>
      <w:r>
        <w:rPr>
          <w:rFonts w:hint="eastAsia"/>
        </w:rPr>
        <w:t>建立并保持监测数据与参考标准之间连续、可验证的关联链条的管理过程，确保测量结果能够追溯到国家或国际计量基准。</w:t>
      </w:r>
    </w:p>
    <w:p w14:paraId="4F1E687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可追溯性 traceability</w:t>
      </w:r>
    </w:p>
    <w:p w14:paraId="5C99D96B">
      <w:pPr>
        <w:pStyle w:val="56"/>
        <w:spacing w:line="360" w:lineRule="auto"/>
        <w:ind w:firstLine="420"/>
        <w:rPr>
          <w:rFonts w:hint="eastAsia"/>
        </w:rPr>
      </w:pPr>
      <w:r>
        <w:rPr>
          <w:rFonts w:hint="eastAsia"/>
        </w:rPr>
        <w:t>测量结果能够通过一条不间断的比较链，与规定的不确定度联系到参考标准（通常是国家或国际标准）的性质。</w:t>
      </w:r>
    </w:p>
    <w:p w14:paraId="72BC0A0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量值溯源 metrological traceability</w:t>
      </w:r>
    </w:p>
    <w:p w14:paraId="32DA7455">
      <w:pPr>
        <w:pStyle w:val="56"/>
        <w:spacing w:line="360" w:lineRule="auto"/>
        <w:ind w:firstLine="420"/>
        <w:rPr>
          <w:rFonts w:hint="eastAsia"/>
        </w:rPr>
      </w:pPr>
      <w:r>
        <w:rPr>
          <w:rFonts w:hint="eastAsia"/>
        </w:rPr>
        <w:t>测量结果通过一条连续的比较链，与参考标准建立联系，并且每一步比较均具有规定的不确定度。</w:t>
      </w:r>
    </w:p>
    <w:p w14:paraId="7F938584">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质量保证 quality assurance</w:t>
      </w:r>
    </w:p>
    <w:p w14:paraId="59760407">
      <w:pPr>
        <w:pStyle w:val="56"/>
        <w:spacing w:line="360" w:lineRule="auto"/>
        <w:ind w:firstLine="420"/>
        <w:rPr>
          <w:rFonts w:hint="eastAsia"/>
        </w:rPr>
      </w:pPr>
      <w:r>
        <w:rPr>
          <w:rFonts w:hint="eastAsia"/>
        </w:rPr>
        <w:t>为确保监测数据满足既定质量要求而在质量体系内计划并系统开展的所有活动，包括方法验证、人员培训、设备校准和质量审核等。</w:t>
      </w:r>
    </w:p>
    <w:p w14:paraId="5ADAA86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测量不确定度 measurement uncertainty</w:t>
      </w:r>
    </w:p>
    <w:p w14:paraId="11ED0D72">
      <w:pPr>
        <w:pStyle w:val="56"/>
        <w:spacing w:line="360" w:lineRule="auto"/>
        <w:ind w:firstLine="420"/>
      </w:pPr>
      <w:r>
        <w:rPr>
          <w:rFonts w:hint="eastAsia"/>
        </w:rPr>
        <w:t>用于表征合理地赋予测量结果的分散性参数，反映测量结果的可信程度。</w:t>
      </w:r>
    </w:p>
    <w:p w14:paraId="528F8614">
      <w:pPr>
        <w:pStyle w:val="104"/>
        <w:spacing w:before="240" w:after="240" w:line="360" w:lineRule="auto"/>
        <w:rPr>
          <w:rFonts w:hint="eastAsia"/>
        </w:rPr>
      </w:pPr>
      <w:bookmarkStart w:id="51" w:name="_Toc205759289"/>
      <w:r>
        <w:rPr>
          <w:rFonts w:hint="eastAsia"/>
        </w:rPr>
        <w:t>总则</w:t>
      </w:r>
      <w:bookmarkEnd w:id="51"/>
    </w:p>
    <w:p w14:paraId="0C39AD66">
      <w:pPr>
        <w:pStyle w:val="162"/>
        <w:spacing w:line="360" w:lineRule="auto"/>
        <w:rPr>
          <w:rFonts w:hint="eastAsia"/>
        </w:rPr>
      </w:pPr>
      <w:r>
        <w:rPr>
          <w:rFonts w:hint="eastAsia"/>
        </w:rPr>
        <w:t>本导则适用于各类水和大气环境监测活动中的质量控制与溯源管理，应遵循科学性、系统性、可追溯性、持续改进的原则，确保监测数据真实、准确、可比和可验证。</w:t>
      </w:r>
    </w:p>
    <w:p w14:paraId="5D1D0F6C">
      <w:pPr>
        <w:pStyle w:val="162"/>
        <w:spacing w:line="360" w:lineRule="auto"/>
        <w:rPr>
          <w:rFonts w:hint="eastAsia"/>
        </w:rPr>
      </w:pPr>
      <w:r>
        <w:rPr>
          <w:rFonts w:hint="eastAsia"/>
        </w:rPr>
        <w:t>质量控制与溯源管理应贯穿监测全过程，包括采样、样品运输与保存、实验室分析、在线监测系统运行、数据处理与传输、结果报告等环节，并在每个环节落实相应的技术和管理要求。</w:t>
      </w:r>
    </w:p>
    <w:p w14:paraId="0587EE8F">
      <w:pPr>
        <w:pStyle w:val="162"/>
        <w:spacing w:line="360" w:lineRule="auto"/>
        <w:rPr>
          <w:rFonts w:hint="eastAsia"/>
        </w:rPr>
      </w:pPr>
      <w:r>
        <w:rPr>
          <w:rFonts w:hint="eastAsia"/>
        </w:rPr>
        <w:t>监测机构应建立完善的质量管理体系，将质量控制与溯源管理纳入日常运行，明确管理职责、考核指标和持续改进机制。</w:t>
      </w:r>
    </w:p>
    <w:p w14:paraId="4DBBEC8B">
      <w:pPr>
        <w:pStyle w:val="162"/>
        <w:spacing w:line="360" w:lineRule="auto"/>
        <w:rPr>
          <w:rFonts w:hint="eastAsia"/>
        </w:rPr>
      </w:pPr>
      <w:r>
        <w:rPr>
          <w:rFonts w:hint="eastAsia"/>
        </w:rPr>
        <w:t>溯源管理应确保监测数据与量值基准之间具有完整的传递链，所有计量器具和测量方法均应经过溯源验证并满足规定的不确定度要求。</w:t>
      </w:r>
    </w:p>
    <w:p w14:paraId="4F9BFACB">
      <w:pPr>
        <w:pStyle w:val="162"/>
        <w:spacing w:line="360" w:lineRule="auto"/>
        <w:rPr>
          <w:rFonts w:hint="eastAsia"/>
        </w:rPr>
      </w:pPr>
      <w:r>
        <w:rPr>
          <w:rFonts w:hint="eastAsia"/>
        </w:rPr>
        <w:t>质量控制与溯源管理应与国家标准、行业标准和国际通行规范保持一致，并根据监测任务特点、环境条件和技术发展适时更新相关技术要求。</w:t>
      </w:r>
    </w:p>
    <w:p w14:paraId="2A62EE40">
      <w:pPr>
        <w:pStyle w:val="162"/>
        <w:spacing w:line="360" w:lineRule="auto"/>
      </w:pPr>
      <w:r>
        <w:rPr>
          <w:rFonts w:hint="eastAsia"/>
        </w:rPr>
        <w:t>在数据采集、传输、存储和共享过程中，应采取必要的信息安全和隐私保护措施，防止数据丢失、泄露和篡改。</w:t>
      </w:r>
    </w:p>
    <w:p w14:paraId="14CDCDF6">
      <w:pPr>
        <w:pStyle w:val="104"/>
        <w:spacing w:before="240" w:after="240" w:line="360" w:lineRule="auto"/>
        <w:rPr>
          <w:rFonts w:hint="eastAsia"/>
        </w:rPr>
      </w:pPr>
      <w:bookmarkStart w:id="52" w:name="_Toc205759290"/>
      <w:r>
        <w:rPr>
          <w:rFonts w:hint="eastAsia"/>
        </w:rPr>
        <w:t>质量控制要求</w:t>
      </w:r>
      <w:bookmarkEnd w:id="52"/>
    </w:p>
    <w:p w14:paraId="130717EA">
      <w:pPr>
        <w:pStyle w:val="105"/>
        <w:spacing w:before="120" w:after="120" w:line="360" w:lineRule="auto"/>
        <w:rPr>
          <w:rFonts w:hint="eastAsia"/>
        </w:rPr>
      </w:pPr>
      <w:r>
        <w:rPr>
          <w:rFonts w:hint="eastAsia"/>
        </w:rPr>
        <w:t>总体要求</w:t>
      </w:r>
    </w:p>
    <w:p w14:paraId="122D3AC3">
      <w:pPr>
        <w:pStyle w:val="56"/>
        <w:spacing w:line="360" w:lineRule="auto"/>
        <w:ind w:firstLine="420"/>
        <w:rPr>
          <w:rFonts w:hint="eastAsia"/>
        </w:rPr>
      </w:pPr>
      <w:r>
        <w:rPr>
          <w:rFonts w:hint="eastAsia"/>
        </w:rPr>
        <w:t>质量控制应贯穿水和大气环境监测全过程，确保数据的准确性、精密度、代表性和完整性。质量控制措施应覆盖人员、设备、方法、环境、数据等方面，并建立可量化的控制指标。</w:t>
      </w:r>
    </w:p>
    <w:p w14:paraId="21236170">
      <w:pPr>
        <w:pStyle w:val="105"/>
        <w:spacing w:before="120" w:after="120" w:line="360" w:lineRule="auto"/>
        <w:rPr>
          <w:rFonts w:hint="eastAsia"/>
        </w:rPr>
      </w:pPr>
      <w:r>
        <w:rPr>
          <w:rFonts w:hint="eastAsia"/>
        </w:rPr>
        <w:t>现场监测质量控制</w:t>
      </w:r>
    </w:p>
    <w:p w14:paraId="590B011E">
      <w:pPr>
        <w:pStyle w:val="56"/>
        <w:spacing w:line="360" w:lineRule="auto"/>
        <w:ind w:firstLine="420"/>
        <w:rPr>
          <w:rFonts w:hint="eastAsia"/>
        </w:rPr>
      </w:pPr>
      <w:r>
        <w:rPr>
          <w:rFonts w:hint="eastAsia"/>
        </w:rPr>
        <w:t>采样前应对采样器具进行清洗、标识和校验，确保无交叉污染。</w:t>
      </w:r>
    </w:p>
    <w:p w14:paraId="4C0963C8">
      <w:pPr>
        <w:pStyle w:val="56"/>
        <w:spacing w:line="360" w:lineRule="auto"/>
        <w:ind w:firstLine="420"/>
        <w:rPr>
          <w:rFonts w:hint="eastAsia"/>
        </w:rPr>
      </w:pPr>
      <w:r>
        <w:rPr>
          <w:rFonts w:hint="eastAsia"/>
        </w:rPr>
        <w:t>采样点位、频次、时间应符合监测方案或标准方法要求。</w:t>
      </w:r>
    </w:p>
    <w:p w14:paraId="519532B9">
      <w:pPr>
        <w:pStyle w:val="56"/>
        <w:spacing w:line="360" w:lineRule="auto"/>
        <w:ind w:firstLine="420"/>
        <w:rPr>
          <w:rFonts w:hint="eastAsia"/>
        </w:rPr>
      </w:pPr>
      <w:r>
        <w:rPr>
          <w:rFonts w:hint="eastAsia"/>
        </w:rPr>
        <w:t>现场应采集平行样、空白样、加标样等质量控制样，以验证采样过程的可靠性。</w:t>
      </w:r>
    </w:p>
    <w:p w14:paraId="03BA23DC">
      <w:pPr>
        <w:pStyle w:val="105"/>
        <w:spacing w:before="120" w:after="120" w:line="360" w:lineRule="auto"/>
        <w:rPr>
          <w:rFonts w:hint="eastAsia"/>
        </w:rPr>
      </w:pPr>
      <w:r>
        <w:rPr>
          <w:rFonts w:hint="eastAsia"/>
        </w:rPr>
        <w:t>实验室分析质量控制</w:t>
      </w:r>
    </w:p>
    <w:p w14:paraId="36BE83FD">
      <w:pPr>
        <w:pStyle w:val="56"/>
        <w:spacing w:line="360" w:lineRule="auto"/>
        <w:ind w:firstLine="420"/>
        <w:rPr>
          <w:rFonts w:hint="eastAsia"/>
        </w:rPr>
      </w:pPr>
      <w:r>
        <w:rPr>
          <w:rFonts w:hint="eastAsia"/>
        </w:rPr>
        <w:t>分析方法应经过验证，符合国家或行业标准要求。</w:t>
      </w:r>
    </w:p>
    <w:p w14:paraId="62E9DFAA">
      <w:pPr>
        <w:pStyle w:val="56"/>
        <w:spacing w:line="360" w:lineRule="auto"/>
        <w:ind w:firstLine="420"/>
        <w:rPr>
          <w:rFonts w:hint="eastAsia"/>
        </w:rPr>
      </w:pPr>
      <w:r>
        <w:rPr>
          <w:rFonts w:hint="eastAsia"/>
        </w:rPr>
        <w:t>使用的分析仪器应按规定周期进行校准，并保存校准记录。</w:t>
      </w:r>
    </w:p>
    <w:p w14:paraId="5F511E79">
      <w:pPr>
        <w:pStyle w:val="56"/>
        <w:spacing w:line="360" w:lineRule="auto"/>
        <w:ind w:firstLine="420"/>
        <w:rPr>
          <w:rFonts w:hint="eastAsia"/>
        </w:rPr>
      </w:pPr>
      <w:r>
        <w:rPr>
          <w:rFonts w:hint="eastAsia"/>
        </w:rPr>
        <w:t>在检测批次中应包含空白样、加标回收样、平行样、质控样等，监控分析精密度和准确度。</w:t>
      </w:r>
    </w:p>
    <w:p w14:paraId="2CF204D9">
      <w:pPr>
        <w:pStyle w:val="105"/>
        <w:spacing w:before="120" w:after="120" w:line="360" w:lineRule="auto"/>
        <w:rPr>
          <w:rFonts w:hint="eastAsia"/>
        </w:rPr>
      </w:pPr>
      <w:r>
        <w:rPr>
          <w:rFonts w:hint="eastAsia"/>
        </w:rPr>
        <w:t>在线监测系统质量控制</w:t>
      </w:r>
    </w:p>
    <w:p w14:paraId="2852B062">
      <w:pPr>
        <w:pStyle w:val="56"/>
        <w:spacing w:line="360" w:lineRule="auto"/>
        <w:ind w:firstLine="420"/>
        <w:rPr>
          <w:rFonts w:hint="eastAsia"/>
        </w:rPr>
      </w:pPr>
      <w:r>
        <w:rPr>
          <w:rFonts w:hint="eastAsia"/>
        </w:rPr>
        <w:t>在线监测设备应按规定周期进行比对监测和校准。</w:t>
      </w:r>
    </w:p>
    <w:p w14:paraId="0E3142A9">
      <w:pPr>
        <w:pStyle w:val="56"/>
        <w:spacing w:line="360" w:lineRule="auto"/>
        <w:ind w:firstLine="420"/>
        <w:rPr>
          <w:rFonts w:hint="eastAsia"/>
        </w:rPr>
      </w:pPr>
      <w:r>
        <w:rPr>
          <w:rFonts w:hint="eastAsia"/>
        </w:rPr>
        <w:t>系统应具备自动质控功能，如自动零点和量程校验、自动报警等。</w:t>
      </w:r>
    </w:p>
    <w:p w14:paraId="5BBC8E87">
      <w:pPr>
        <w:pStyle w:val="56"/>
        <w:spacing w:line="360" w:lineRule="auto"/>
        <w:ind w:firstLine="420"/>
        <w:rPr>
          <w:rFonts w:hint="eastAsia"/>
        </w:rPr>
      </w:pPr>
      <w:r>
        <w:rPr>
          <w:rFonts w:hint="eastAsia"/>
        </w:rPr>
        <w:t>应定期对传感器、取样单元、数据采集和传输模块进行维护，确保运行稳定。</w:t>
      </w:r>
    </w:p>
    <w:p w14:paraId="11B83BFA">
      <w:pPr>
        <w:pStyle w:val="105"/>
        <w:spacing w:before="120" w:after="120" w:line="360" w:lineRule="auto"/>
        <w:rPr>
          <w:rFonts w:hint="eastAsia"/>
        </w:rPr>
      </w:pPr>
      <w:r>
        <w:rPr>
          <w:rFonts w:hint="eastAsia"/>
        </w:rPr>
        <w:t>数据处理与报告质量控制</w:t>
      </w:r>
    </w:p>
    <w:p w14:paraId="6283361B">
      <w:pPr>
        <w:pStyle w:val="56"/>
        <w:spacing w:line="360" w:lineRule="auto"/>
        <w:ind w:firstLine="420"/>
        <w:rPr>
          <w:rFonts w:hint="eastAsia"/>
        </w:rPr>
      </w:pPr>
      <w:r>
        <w:rPr>
          <w:rFonts w:hint="eastAsia"/>
        </w:rPr>
        <w:t>数据处理过程应采用经验证的软件和算法，防止人为或系统误差。</w:t>
      </w:r>
    </w:p>
    <w:p w14:paraId="757D79B7">
      <w:pPr>
        <w:pStyle w:val="56"/>
        <w:spacing w:line="360" w:lineRule="auto"/>
        <w:ind w:firstLine="420"/>
        <w:rPr>
          <w:rFonts w:hint="eastAsia"/>
        </w:rPr>
      </w:pPr>
      <w:r>
        <w:rPr>
          <w:rFonts w:hint="eastAsia"/>
        </w:rPr>
        <w:t>异常数据应有明确的识别、审核和处置流程。</w:t>
      </w:r>
    </w:p>
    <w:p w14:paraId="1DC375D9">
      <w:pPr>
        <w:pStyle w:val="56"/>
        <w:spacing w:line="360" w:lineRule="auto"/>
        <w:ind w:firstLine="420"/>
        <w:rPr>
          <w:rFonts w:hint="eastAsia"/>
        </w:rPr>
      </w:pPr>
      <w:r>
        <w:rPr>
          <w:rFonts w:hint="eastAsia"/>
        </w:rPr>
        <w:t>报告发布前应进行三级审核，确保数据和结论的科学性与一致性。</w:t>
      </w:r>
    </w:p>
    <w:p w14:paraId="2793FE89">
      <w:pPr>
        <w:pStyle w:val="105"/>
        <w:spacing w:before="120" w:after="120" w:line="360" w:lineRule="auto"/>
        <w:rPr>
          <w:rFonts w:hint="eastAsia"/>
        </w:rPr>
      </w:pPr>
      <w:r>
        <w:rPr>
          <w:rFonts w:hint="eastAsia"/>
        </w:rPr>
        <w:t>关键质量控制点</w:t>
      </w:r>
    </w:p>
    <w:p w14:paraId="7398A5F5">
      <w:pPr>
        <w:pStyle w:val="56"/>
        <w:spacing w:line="360" w:lineRule="auto"/>
        <w:ind w:firstLine="420"/>
        <w:rPr>
          <w:rFonts w:hint="eastAsia"/>
        </w:rPr>
      </w:pPr>
      <w:r>
        <w:rPr>
          <w:rFonts w:hint="eastAsia"/>
        </w:rPr>
        <w:t>典型的质量控制环节和要求见表1。</w:t>
      </w:r>
    </w:p>
    <w:p w14:paraId="305AD961">
      <w:pPr>
        <w:pStyle w:val="112"/>
        <w:spacing w:before="120" w:after="120" w:line="360" w:lineRule="auto"/>
      </w:pPr>
      <w:r>
        <w:rPr>
          <w:rFonts w:hint="eastAsia"/>
        </w:rPr>
        <w:t>水和大气环境监测质量控制关键环节及要求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402"/>
        <w:gridCol w:w="1701"/>
        <w:gridCol w:w="2114"/>
      </w:tblGrid>
      <w:tr w14:paraId="453E0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14:paraId="0EFDE6AE">
            <w:pPr>
              <w:pStyle w:val="178"/>
            </w:pPr>
            <w:r>
              <w:rPr>
                <w:rFonts w:hint="eastAsia"/>
              </w:rPr>
              <w:t>环节</w:t>
            </w:r>
          </w:p>
        </w:tc>
        <w:tc>
          <w:tcPr>
            <w:tcW w:w="3402" w:type="dxa"/>
            <w:tcBorders>
              <w:top w:val="single" w:color="auto" w:sz="8" w:space="0"/>
              <w:bottom w:val="single" w:color="auto" w:sz="8" w:space="0"/>
            </w:tcBorders>
            <w:shd w:val="clear" w:color="auto" w:fill="auto"/>
            <w:vAlign w:val="center"/>
          </w:tcPr>
          <w:p w14:paraId="3D876A3B">
            <w:pPr>
              <w:pStyle w:val="178"/>
            </w:pPr>
            <w:r>
              <w:rPr>
                <w:rFonts w:hint="eastAsia"/>
              </w:rPr>
              <w:t>质量控制措施</w:t>
            </w:r>
          </w:p>
        </w:tc>
        <w:tc>
          <w:tcPr>
            <w:tcW w:w="1701" w:type="dxa"/>
            <w:tcBorders>
              <w:top w:val="single" w:color="auto" w:sz="8" w:space="0"/>
              <w:bottom w:val="single" w:color="auto" w:sz="8" w:space="0"/>
            </w:tcBorders>
            <w:shd w:val="clear" w:color="auto" w:fill="auto"/>
            <w:vAlign w:val="center"/>
          </w:tcPr>
          <w:p w14:paraId="0F03206E">
            <w:pPr>
              <w:pStyle w:val="178"/>
            </w:pPr>
            <w:r>
              <w:rPr>
                <w:rFonts w:hint="eastAsia"/>
              </w:rPr>
              <w:t>频率/周期</w:t>
            </w:r>
          </w:p>
        </w:tc>
        <w:tc>
          <w:tcPr>
            <w:tcW w:w="2114" w:type="dxa"/>
            <w:tcBorders>
              <w:top w:val="single" w:color="auto" w:sz="8" w:space="0"/>
              <w:bottom w:val="single" w:color="auto" w:sz="8" w:space="0"/>
            </w:tcBorders>
            <w:shd w:val="clear" w:color="auto" w:fill="auto"/>
            <w:vAlign w:val="center"/>
          </w:tcPr>
          <w:p w14:paraId="05FFE698">
            <w:pPr>
              <w:pStyle w:val="178"/>
            </w:pPr>
            <w:r>
              <w:rPr>
                <w:rFonts w:hint="eastAsia"/>
              </w:rPr>
              <w:t>责任主体</w:t>
            </w:r>
          </w:p>
        </w:tc>
      </w:tr>
      <w:tr w14:paraId="1DDBB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7761EC06">
            <w:pPr>
              <w:pStyle w:val="178"/>
            </w:pPr>
            <w:r>
              <w:rPr>
                <w:rFonts w:hint="eastAsia"/>
              </w:rPr>
              <w:t>采样</w:t>
            </w:r>
          </w:p>
        </w:tc>
        <w:tc>
          <w:tcPr>
            <w:tcW w:w="3402" w:type="dxa"/>
            <w:tcBorders>
              <w:top w:val="single" w:color="auto" w:sz="8" w:space="0"/>
            </w:tcBorders>
            <w:shd w:val="clear" w:color="auto" w:fill="auto"/>
            <w:vAlign w:val="center"/>
          </w:tcPr>
          <w:p w14:paraId="02A89772">
            <w:pPr>
              <w:pStyle w:val="178"/>
            </w:pPr>
            <w:r>
              <w:rPr>
                <w:rFonts w:hint="eastAsia"/>
              </w:rPr>
              <w:t>使用经清洗和标识的采样器具；采集平行样和空白样</w:t>
            </w:r>
          </w:p>
        </w:tc>
        <w:tc>
          <w:tcPr>
            <w:tcW w:w="1701" w:type="dxa"/>
            <w:tcBorders>
              <w:top w:val="single" w:color="auto" w:sz="8" w:space="0"/>
            </w:tcBorders>
            <w:shd w:val="clear" w:color="auto" w:fill="auto"/>
            <w:vAlign w:val="center"/>
          </w:tcPr>
          <w:p w14:paraId="18C6AE3C">
            <w:pPr>
              <w:pStyle w:val="178"/>
            </w:pPr>
            <w:r>
              <w:rPr>
                <w:rFonts w:hint="eastAsia"/>
              </w:rPr>
              <w:t>每次采样</w:t>
            </w:r>
          </w:p>
        </w:tc>
        <w:tc>
          <w:tcPr>
            <w:tcW w:w="2114" w:type="dxa"/>
            <w:tcBorders>
              <w:top w:val="single" w:color="auto" w:sz="8" w:space="0"/>
            </w:tcBorders>
            <w:shd w:val="clear" w:color="auto" w:fill="auto"/>
            <w:vAlign w:val="center"/>
          </w:tcPr>
          <w:p w14:paraId="1916E1A8">
            <w:pPr>
              <w:pStyle w:val="178"/>
            </w:pPr>
            <w:r>
              <w:rPr>
                <w:rFonts w:hint="eastAsia"/>
              </w:rPr>
              <w:t>现场监测人员</w:t>
            </w:r>
          </w:p>
        </w:tc>
      </w:tr>
      <w:tr w14:paraId="6DE46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119A4356">
            <w:pPr>
              <w:pStyle w:val="178"/>
            </w:pPr>
            <w:r>
              <w:rPr>
                <w:rFonts w:hint="eastAsia"/>
              </w:rPr>
              <w:t>仪器校准</w:t>
            </w:r>
          </w:p>
        </w:tc>
        <w:tc>
          <w:tcPr>
            <w:tcW w:w="3402" w:type="dxa"/>
            <w:shd w:val="clear" w:color="auto" w:fill="auto"/>
            <w:vAlign w:val="center"/>
          </w:tcPr>
          <w:p w14:paraId="6615ED31">
            <w:pPr>
              <w:pStyle w:val="178"/>
            </w:pPr>
            <w:r>
              <w:rPr>
                <w:rFonts w:hint="eastAsia"/>
              </w:rPr>
              <w:t>使用经溯源的标准物质或校准装置进行校准</w:t>
            </w:r>
          </w:p>
        </w:tc>
        <w:tc>
          <w:tcPr>
            <w:tcW w:w="1701" w:type="dxa"/>
            <w:shd w:val="clear" w:color="auto" w:fill="auto"/>
            <w:vAlign w:val="center"/>
          </w:tcPr>
          <w:p w14:paraId="72395E6B">
            <w:pPr>
              <w:pStyle w:val="178"/>
            </w:pPr>
            <w:r>
              <w:rPr>
                <w:rFonts w:hint="eastAsia"/>
              </w:rPr>
              <w:t>按规定周期</w:t>
            </w:r>
          </w:p>
        </w:tc>
        <w:tc>
          <w:tcPr>
            <w:tcW w:w="2114" w:type="dxa"/>
            <w:shd w:val="clear" w:color="auto" w:fill="auto"/>
            <w:vAlign w:val="center"/>
          </w:tcPr>
          <w:p w14:paraId="1DE8251C">
            <w:pPr>
              <w:pStyle w:val="178"/>
            </w:pPr>
            <w:r>
              <w:rPr>
                <w:rFonts w:hint="eastAsia"/>
              </w:rPr>
              <w:t>实验室/运维人员</w:t>
            </w:r>
          </w:p>
        </w:tc>
      </w:tr>
      <w:tr w14:paraId="6A81C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6F804613">
            <w:pPr>
              <w:pStyle w:val="178"/>
            </w:pPr>
            <w:r>
              <w:rPr>
                <w:rFonts w:hint="eastAsia"/>
              </w:rPr>
              <w:t>分析批次质控</w:t>
            </w:r>
          </w:p>
        </w:tc>
        <w:tc>
          <w:tcPr>
            <w:tcW w:w="3402" w:type="dxa"/>
            <w:shd w:val="clear" w:color="auto" w:fill="auto"/>
            <w:vAlign w:val="center"/>
          </w:tcPr>
          <w:p w14:paraId="270D27F0">
            <w:pPr>
              <w:pStyle w:val="178"/>
            </w:pPr>
            <w:r>
              <w:rPr>
                <w:rFonts w:hint="eastAsia"/>
              </w:rPr>
              <w:t>每批次分析加入空白样、加标样、平行样</w:t>
            </w:r>
          </w:p>
        </w:tc>
        <w:tc>
          <w:tcPr>
            <w:tcW w:w="1701" w:type="dxa"/>
            <w:shd w:val="clear" w:color="auto" w:fill="auto"/>
            <w:vAlign w:val="center"/>
          </w:tcPr>
          <w:p w14:paraId="3EC1DE5B">
            <w:pPr>
              <w:pStyle w:val="178"/>
            </w:pPr>
            <w:r>
              <w:rPr>
                <w:rFonts w:hint="eastAsia"/>
              </w:rPr>
              <w:t>每批次</w:t>
            </w:r>
          </w:p>
        </w:tc>
        <w:tc>
          <w:tcPr>
            <w:tcW w:w="2114" w:type="dxa"/>
            <w:shd w:val="clear" w:color="auto" w:fill="auto"/>
            <w:vAlign w:val="center"/>
          </w:tcPr>
          <w:p w14:paraId="2E7C1D6E">
            <w:pPr>
              <w:pStyle w:val="178"/>
            </w:pPr>
            <w:r>
              <w:rPr>
                <w:rFonts w:hint="eastAsia"/>
              </w:rPr>
              <w:t>分析人员</w:t>
            </w:r>
          </w:p>
        </w:tc>
      </w:tr>
      <w:tr w14:paraId="62E08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10958F72">
            <w:pPr>
              <w:pStyle w:val="178"/>
            </w:pPr>
            <w:r>
              <w:rPr>
                <w:rFonts w:hint="eastAsia"/>
              </w:rPr>
              <w:t>在线设备比对</w:t>
            </w:r>
          </w:p>
        </w:tc>
        <w:tc>
          <w:tcPr>
            <w:tcW w:w="3402" w:type="dxa"/>
            <w:shd w:val="clear" w:color="auto" w:fill="auto"/>
            <w:vAlign w:val="center"/>
          </w:tcPr>
          <w:p w14:paraId="54ACBB4A">
            <w:pPr>
              <w:pStyle w:val="178"/>
            </w:pPr>
            <w:r>
              <w:rPr>
                <w:rFonts w:hint="eastAsia"/>
              </w:rPr>
              <w:t>与标准方法或参考设备进行比对监测</w:t>
            </w:r>
          </w:p>
        </w:tc>
        <w:tc>
          <w:tcPr>
            <w:tcW w:w="1701" w:type="dxa"/>
            <w:shd w:val="clear" w:color="auto" w:fill="auto"/>
            <w:vAlign w:val="center"/>
          </w:tcPr>
          <w:p w14:paraId="0199EC8A">
            <w:pPr>
              <w:pStyle w:val="178"/>
            </w:pPr>
            <w:r>
              <w:rPr>
                <w:rFonts w:hint="eastAsia"/>
              </w:rPr>
              <w:t>每季度</w:t>
            </w:r>
          </w:p>
        </w:tc>
        <w:tc>
          <w:tcPr>
            <w:tcW w:w="2114" w:type="dxa"/>
            <w:shd w:val="clear" w:color="auto" w:fill="auto"/>
            <w:vAlign w:val="center"/>
          </w:tcPr>
          <w:p w14:paraId="091417C5">
            <w:pPr>
              <w:pStyle w:val="178"/>
            </w:pPr>
            <w:r>
              <w:rPr>
                <w:rFonts w:hint="eastAsia"/>
              </w:rPr>
              <w:t>运维人员</w:t>
            </w:r>
          </w:p>
        </w:tc>
      </w:tr>
      <w:tr w14:paraId="53AC4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5A6BC063">
            <w:pPr>
              <w:pStyle w:val="178"/>
            </w:pPr>
            <w:r>
              <w:rPr>
                <w:rFonts w:hint="eastAsia"/>
              </w:rPr>
              <w:t>数据审核</w:t>
            </w:r>
          </w:p>
        </w:tc>
        <w:tc>
          <w:tcPr>
            <w:tcW w:w="3402" w:type="dxa"/>
            <w:shd w:val="clear" w:color="auto" w:fill="auto"/>
            <w:vAlign w:val="center"/>
          </w:tcPr>
          <w:p w14:paraId="72C07C04">
            <w:pPr>
              <w:pStyle w:val="178"/>
            </w:pPr>
            <w:r>
              <w:rPr>
                <w:rFonts w:hint="eastAsia"/>
              </w:rPr>
              <w:t>三级审核制度，异常数据标识与说明</w:t>
            </w:r>
          </w:p>
        </w:tc>
        <w:tc>
          <w:tcPr>
            <w:tcW w:w="1701" w:type="dxa"/>
            <w:shd w:val="clear" w:color="auto" w:fill="auto"/>
            <w:vAlign w:val="center"/>
          </w:tcPr>
          <w:p w14:paraId="5D628E6D">
            <w:pPr>
              <w:pStyle w:val="178"/>
            </w:pPr>
            <w:r>
              <w:rPr>
                <w:rFonts w:hint="eastAsia"/>
              </w:rPr>
              <w:t>实时/报告前</w:t>
            </w:r>
          </w:p>
        </w:tc>
        <w:tc>
          <w:tcPr>
            <w:tcW w:w="2114" w:type="dxa"/>
            <w:shd w:val="clear" w:color="auto" w:fill="auto"/>
            <w:vAlign w:val="center"/>
          </w:tcPr>
          <w:p w14:paraId="28FED7DF">
            <w:pPr>
              <w:pStyle w:val="178"/>
            </w:pPr>
            <w:r>
              <w:rPr>
                <w:rFonts w:hint="eastAsia"/>
              </w:rPr>
              <w:t>数据管理人员</w:t>
            </w:r>
          </w:p>
        </w:tc>
      </w:tr>
    </w:tbl>
    <w:p w14:paraId="4119DA39">
      <w:pPr>
        <w:pStyle w:val="104"/>
        <w:spacing w:before="240" w:after="240" w:line="360" w:lineRule="auto"/>
        <w:rPr>
          <w:rFonts w:hint="eastAsia"/>
        </w:rPr>
      </w:pPr>
      <w:bookmarkStart w:id="53" w:name="_Toc205759291"/>
      <w:r>
        <w:rPr>
          <w:rFonts w:hint="eastAsia"/>
        </w:rPr>
        <w:t>溯源管理要求</w:t>
      </w:r>
      <w:bookmarkEnd w:id="53"/>
    </w:p>
    <w:p w14:paraId="76931AD3">
      <w:pPr>
        <w:pStyle w:val="105"/>
        <w:spacing w:before="120" w:after="120" w:line="360" w:lineRule="auto"/>
        <w:rPr>
          <w:rFonts w:hint="eastAsia"/>
        </w:rPr>
      </w:pPr>
      <w:r>
        <w:rPr>
          <w:rFonts w:hint="eastAsia"/>
        </w:rPr>
        <w:t>总体要求</w:t>
      </w:r>
    </w:p>
    <w:p w14:paraId="0478FE93">
      <w:pPr>
        <w:pStyle w:val="56"/>
        <w:spacing w:line="360" w:lineRule="auto"/>
        <w:ind w:firstLine="420"/>
        <w:rPr>
          <w:rFonts w:hint="eastAsia"/>
        </w:rPr>
      </w:pPr>
      <w:r>
        <w:rPr>
          <w:rFonts w:hint="eastAsia"/>
        </w:rPr>
        <w:t>溯源管理应确保监测数据与国家计量基准或国际计量基准建立连续、可验证的量值传递链，满足规定的不确定度要求。所有测量设备和方法均应在溯源链条中有明确位置，并具备可追溯的证据文件。</w:t>
      </w:r>
    </w:p>
    <w:p w14:paraId="799F6A5E">
      <w:pPr>
        <w:pStyle w:val="105"/>
        <w:spacing w:before="120" w:after="120" w:line="360" w:lineRule="auto"/>
        <w:rPr>
          <w:rFonts w:hint="eastAsia"/>
        </w:rPr>
      </w:pPr>
      <w:r>
        <w:rPr>
          <w:rFonts w:hint="eastAsia"/>
        </w:rPr>
        <w:t>量值溯源链建立</w:t>
      </w:r>
    </w:p>
    <w:p w14:paraId="3FD238BC">
      <w:pPr>
        <w:pStyle w:val="56"/>
        <w:spacing w:line="360" w:lineRule="auto"/>
        <w:ind w:firstLine="420"/>
        <w:rPr>
          <w:rFonts w:hint="eastAsia"/>
        </w:rPr>
      </w:pPr>
      <w:r>
        <w:rPr>
          <w:rFonts w:hint="eastAsia"/>
        </w:rPr>
        <w:t>应依据计量溯源原则，建立从计量基准—标准物质—工作标准—测量设备—监测数据的完整链条。</w:t>
      </w:r>
    </w:p>
    <w:p w14:paraId="2607049D">
      <w:pPr>
        <w:pStyle w:val="56"/>
        <w:spacing w:line="360" w:lineRule="auto"/>
        <w:ind w:firstLine="420"/>
        <w:rPr>
          <w:rFonts w:hint="eastAsia"/>
        </w:rPr>
      </w:pPr>
      <w:r>
        <w:rPr>
          <w:rFonts w:hint="eastAsia"/>
        </w:rPr>
        <w:t>溯源链条中的各环节应有明确的标准文件、校准证书和不确定度评估记录。</w:t>
      </w:r>
    </w:p>
    <w:p w14:paraId="61FBF3FA">
      <w:pPr>
        <w:pStyle w:val="105"/>
        <w:spacing w:before="120" w:after="120" w:line="360" w:lineRule="auto"/>
        <w:rPr>
          <w:rFonts w:hint="eastAsia"/>
        </w:rPr>
      </w:pPr>
      <w:r>
        <w:rPr>
          <w:rFonts w:hint="eastAsia"/>
        </w:rPr>
        <w:t>标准物质与标准装置管理</w:t>
      </w:r>
    </w:p>
    <w:p w14:paraId="36BECF71">
      <w:pPr>
        <w:pStyle w:val="56"/>
        <w:spacing w:line="360" w:lineRule="auto"/>
        <w:ind w:firstLine="420"/>
        <w:rPr>
          <w:rFonts w:hint="eastAsia"/>
        </w:rPr>
      </w:pPr>
      <w:r>
        <w:rPr>
          <w:rFonts w:hint="eastAsia"/>
        </w:rPr>
        <w:t>选用的标准物质应具备国家或国际权威机构认证的证书，并在有效期内使用。</w:t>
      </w:r>
    </w:p>
    <w:p w14:paraId="2A040625">
      <w:pPr>
        <w:pStyle w:val="56"/>
        <w:spacing w:line="360" w:lineRule="auto"/>
        <w:ind w:firstLine="420"/>
        <w:rPr>
          <w:rFonts w:hint="eastAsia"/>
        </w:rPr>
      </w:pPr>
      <w:r>
        <w:rPr>
          <w:rFonts w:hint="eastAsia"/>
        </w:rPr>
        <w:t>标准装置的量值应定期向上级计量机构溯源，并保存校准记录。</w:t>
      </w:r>
    </w:p>
    <w:p w14:paraId="1647BD49">
      <w:pPr>
        <w:pStyle w:val="105"/>
        <w:spacing w:before="120" w:after="120" w:line="360" w:lineRule="auto"/>
        <w:rPr>
          <w:rFonts w:hint="eastAsia"/>
        </w:rPr>
      </w:pPr>
      <w:r>
        <w:rPr>
          <w:rFonts w:hint="eastAsia"/>
        </w:rPr>
        <w:t>计量校准要求</w:t>
      </w:r>
    </w:p>
    <w:p w14:paraId="6FFC8018">
      <w:pPr>
        <w:pStyle w:val="56"/>
        <w:spacing w:line="360" w:lineRule="auto"/>
        <w:ind w:firstLine="420"/>
        <w:rPr>
          <w:rFonts w:hint="eastAsia"/>
        </w:rPr>
      </w:pPr>
      <w:r>
        <w:rPr>
          <w:rFonts w:hint="eastAsia"/>
        </w:rPr>
        <w:t>所有用于监测的计量器具和分析仪器应按规定周期进行校准或检定。</w:t>
      </w:r>
    </w:p>
    <w:p w14:paraId="3E03AD6E">
      <w:pPr>
        <w:pStyle w:val="56"/>
        <w:spacing w:line="360" w:lineRule="auto"/>
        <w:ind w:firstLine="420"/>
        <w:rPr>
          <w:rFonts w:hint="eastAsia"/>
        </w:rPr>
      </w:pPr>
      <w:r>
        <w:rPr>
          <w:rFonts w:hint="eastAsia"/>
        </w:rPr>
        <w:t>校准应由具备资质的计量机构实施，校准证书应包含量值溯源链的说明和不确定度结果。</w:t>
      </w:r>
    </w:p>
    <w:p w14:paraId="4AB118C6">
      <w:pPr>
        <w:pStyle w:val="105"/>
        <w:spacing w:before="120" w:after="120" w:line="360" w:lineRule="auto"/>
        <w:rPr>
          <w:rFonts w:hint="eastAsia"/>
        </w:rPr>
      </w:pPr>
      <w:r>
        <w:rPr>
          <w:rFonts w:hint="eastAsia"/>
        </w:rPr>
        <w:t>不确定度评估</w:t>
      </w:r>
    </w:p>
    <w:p w14:paraId="1458292A">
      <w:pPr>
        <w:pStyle w:val="56"/>
        <w:spacing w:line="360" w:lineRule="auto"/>
        <w:ind w:firstLine="420"/>
        <w:rPr>
          <w:rFonts w:hint="eastAsia"/>
        </w:rPr>
      </w:pPr>
      <w:r>
        <w:rPr>
          <w:rFonts w:hint="eastAsia"/>
        </w:rPr>
        <w:t>对关键监测参数应进行测量不确定度评估，明确评估方法、计算过程和结果解释。</w:t>
      </w:r>
    </w:p>
    <w:p w14:paraId="6B8DBA74">
      <w:pPr>
        <w:pStyle w:val="56"/>
        <w:spacing w:line="360" w:lineRule="auto"/>
        <w:ind w:firstLine="420"/>
        <w:rPr>
          <w:rFonts w:hint="eastAsia"/>
        </w:rPr>
      </w:pPr>
      <w:r>
        <w:rPr>
          <w:rFonts w:hint="eastAsia"/>
        </w:rPr>
        <w:t>不确定度评估结果应作为数据有效性判断和质量改进的重要依据。</w:t>
      </w:r>
    </w:p>
    <w:p w14:paraId="5217C7FD">
      <w:pPr>
        <w:pStyle w:val="105"/>
        <w:spacing w:before="120" w:after="120" w:line="360" w:lineRule="auto"/>
        <w:rPr>
          <w:rFonts w:hint="eastAsia"/>
        </w:rPr>
      </w:pPr>
      <w:r>
        <w:rPr>
          <w:rFonts w:hint="eastAsia"/>
        </w:rPr>
        <w:t>溯源文件与档案管理</w:t>
      </w:r>
    </w:p>
    <w:p w14:paraId="022841A8">
      <w:pPr>
        <w:pStyle w:val="56"/>
        <w:spacing w:line="360" w:lineRule="auto"/>
        <w:ind w:firstLine="420"/>
        <w:rPr>
          <w:rFonts w:hint="eastAsia"/>
        </w:rPr>
      </w:pPr>
      <w:r>
        <w:rPr>
          <w:rFonts w:hint="eastAsia"/>
        </w:rPr>
        <w:t>应建立溯源文件档案，包括校准证书、检定证书、标准物质证书、不确定度评估报告等。</w:t>
      </w:r>
    </w:p>
    <w:p w14:paraId="25C6EA6E">
      <w:pPr>
        <w:pStyle w:val="56"/>
        <w:spacing w:line="360" w:lineRule="auto"/>
        <w:ind w:firstLine="420"/>
      </w:pPr>
      <w:r>
        <w:rPr>
          <w:rFonts w:hint="eastAsia"/>
        </w:rPr>
        <w:t>溯源档案应分类编号、定期更新，确保可随时查验。</w:t>
      </w:r>
    </w:p>
    <w:p w14:paraId="423F3CBB">
      <w:pPr>
        <w:pStyle w:val="104"/>
        <w:spacing w:before="240" w:after="240" w:line="360" w:lineRule="auto"/>
        <w:rPr>
          <w:rFonts w:hint="eastAsia"/>
        </w:rPr>
      </w:pPr>
      <w:bookmarkStart w:id="54" w:name="_Toc205759292"/>
      <w:r>
        <w:rPr>
          <w:rFonts w:hint="eastAsia"/>
        </w:rPr>
        <w:t>实施与监督</w:t>
      </w:r>
      <w:bookmarkEnd w:id="54"/>
    </w:p>
    <w:p w14:paraId="0162F8DB">
      <w:pPr>
        <w:pStyle w:val="105"/>
        <w:spacing w:before="120" w:after="120" w:line="360" w:lineRule="auto"/>
        <w:rPr>
          <w:rFonts w:hint="eastAsia"/>
        </w:rPr>
      </w:pPr>
      <w:r>
        <w:rPr>
          <w:rFonts w:hint="eastAsia"/>
        </w:rPr>
        <w:t>总体要求</w:t>
      </w:r>
    </w:p>
    <w:p w14:paraId="4CF1982A">
      <w:pPr>
        <w:pStyle w:val="56"/>
        <w:spacing w:line="360" w:lineRule="auto"/>
        <w:ind w:firstLine="420"/>
        <w:rPr>
          <w:rFonts w:hint="eastAsia"/>
        </w:rPr>
      </w:pPr>
      <w:r>
        <w:rPr>
          <w:rFonts w:hint="eastAsia"/>
        </w:rPr>
        <w:t>质量控制与溯源管理的实施应纳入监测机构的年度工作计划，由专门部门或人员负责组织落实。监督应贯穿全过程，通过内部检查与外部评估相结合的方式，确保管理要求落地执行。</w:t>
      </w:r>
    </w:p>
    <w:p w14:paraId="774EA682">
      <w:pPr>
        <w:pStyle w:val="105"/>
        <w:spacing w:before="120" w:after="120" w:line="360" w:lineRule="auto"/>
        <w:rPr>
          <w:rFonts w:hint="eastAsia"/>
        </w:rPr>
      </w:pPr>
      <w:r>
        <w:rPr>
          <w:rFonts w:hint="eastAsia"/>
        </w:rPr>
        <w:t>组织分工</w:t>
      </w:r>
    </w:p>
    <w:p w14:paraId="5EA59C47">
      <w:pPr>
        <w:pStyle w:val="56"/>
        <w:spacing w:line="360" w:lineRule="auto"/>
        <w:ind w:firstLine="420"/>
        <w:rPr>
          <w:rFonts w:hint="eastAsia"/>
        </w:rPr>
      </w:pPr>
      <w:r>
        <w:rPr>
          <w:rFonts w:hint="eastAsia"/>
        </w:rPr>
        <w:t>监测机构质量管理部门负责质量控制与溯源管理的制度建设、计划制定及考核评估。</w:t>
      </w:r>
    </w:p>
    <w:p w14:paraId="681E55A2">
      <w:pPr>
        <w:pStyle w:val="56"/>
        <w:spacing w:line="360" w:lineRule="auto"/>
        <w:ind w:firstLine="420"/>
        <w:rPr>
          <w:rFonts w:hint="eastAsia"/>
        </w:rPr>
      </w:pPr>
      <w:r>
        <w:rPr>
          <w:rFonts w:hint="eastAsia"/>
        </w:rPr>
        <w:t>技术部门负责具体的现场监测、实验室分析、在线监测系统运维及数据管理，并落实各环节的质量控制和溯源要求。</w:t>
      </w:r>
    </w:p>
    <w:p w14:paraId="0C76B823">
      <w:pPr>
        <w:pStyle w:val="56"/>
        <w:spacing w:line="360" w:lineRule="auto"/>
        <w:ind w:firstLine="420"/>
        <w:rPr>
          <w:rFonts w:hint="eastAsia"/>
        </w:rPr>
      </w:pPr>
      <w:r>
        <w:rPr>
          <w:rFonts w:hint="eastAsia"/>
        </w:rPr>
        <w:t>设备管理部门负责监测设备的采购、验收、校准、维护和档案管理，确保量值溯源链的完整性。</w:t>
      </w:r>
    </w:p>
    <w:p w14:paraId="51C74925">
      <w:pPr>
        <w:pStyle w:val="105"/>
        <w:spacing w:before="120" w:after="120" w:line="360" w:lineRule="auto"/>
        <w:rPr>
          <w:rFonts w:hint="eastAsia"/>
        </w:rPr>
      </w:pPr>
      <w:r>
        <w:rPr>
          <w:rFonts w:hint="eastAsia"/>
        </w:rPr>
        <w:t>监督检查</w:t>
      </w:r>
    </w:p>
    <w:p w14:paraId="654DEC60">
      <w:pPr>
        <w:pStyle w:val="56"/>
        <w:spacing w:line="360" w:lineRule="auto"/>
        <w:ind w:firstLine="420"/>
        <w:rPr>
          <w:rFonts w:hint="eastAsia"/>
        </w:rPr>
      </w:pPr>
      <w:r>
        <w:rPr>
          <w:rFonts w:hint="eastAsia"/>
        </w:rPr>
        <w:t>监督检查应包括日常巡查、定期抽查和专项检查三类形式，检查内容涵盖人员资质、设备状态、方法执行、质控记录、溯源文件等方面。典型监督检查内容见表2。</w:t>
      </w:r>
    </w:p>
    <w:p w14:paraId="29643C58">
      <w:pPr>
        <w:pStyle w:val="112"/>
        <w:spacing w:before="120" w:after="120" w:line="360" w:lineRule="auto"/>
        <w:rPr>
          <w:rFonts w:hint="eastAsia"/>
        </w:rPr>
      </w:pPr>
      <w:r>
        <w:rPr>
          <w:rFonts w:hint="eastAsia"/>
        </w:rPr>
        <w:t>水和大气环境监测质量控制与溯源管理监督检查要点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827"/>
        <w:gridCol w:w="1623"/>
        <w:gridCol w:w="2334"/>
      </w:tblGrid>
      <w:tr w14:paraId="22438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14:paraId="6D4C45F4">
            <w:pPr>
              <w:pStyle w:val="178"/>
            </w:pPr>
            <w:r>
              <w:rPr>
                <w:rFonts w:hint="eastAsia"/>
              </w:rPr>
              <w:t>检查类别</w:t>
            </w:r>
          </w:p>
        </w:tc>
        <w:tc>
          <w:tcPr>
            <w:tcW w:w="3827" w:type="dxa"/>
            <w:tcBorders>
              <w:top w:val="single" w:color="auto" w:sz="8" w:space="0"/>
              <w:bottom w:val="single" w:color="auto" w:sz="8" w:space="0"/>
            </w:tcBorders>
            <w:shd w:val="clear" w:color="auto" w:fill="auto"/>
            <w:vAlign w:val="center"/>
          </w:tcPr>
          <w:p w14:paraId="222497A8">
            <w:pPr>
              <w:pStyle w:val="178"/>
            </w:pPr>
            <w:r>
              <w:rPr>
                <w:rFonts w:hint="eastAsia"/>
              </w:rPr>
              <w:t>检查内容</w:t>
            </w:r>
          </w:p>
        </w:tc>
        <w:tc>
          <w:tcPr>
            <w:tcW w:w="1623" w:type="dxa"/>
            <w:tcBorders>
              <w:top w:val="single" w:color="auto" w:sz="8" w:space="0"/>
              <w:bottom w:val="single" w:color="auto" w:sz="8" w:space="0"/>
            </w:tcBorders>
            <w:shd w:val="clear" w:color="auto" w:fill="auto"/>
            <w:vAlign w:val="center"/>
          </w:tcPr>
          <w:p w14:paraId="70DAD5BB">
            <w:pPr>
              <w:pStyle w:val="178"/>
            </w:pPr>
            <w:r>
              <w:rPr>
                <w:rFonts w:hint="eastAsia"/>
              </w:rPr>
              <w:t>检查频次</w:t>
            </w:r>
          </w:p>
        </w:tc>
        <w:tc>
          <w:tcPr>
            <w:tcW w:w="2334" w:type="dxa"/>
            <w:tcBorders>
              <w:top w:val="single" w:color="auto" w:sz="8" w:space="0"/>
              <w:bottom w:val="single" w:color="auto" w:sz="8" w:space="0"/>
            </w:tcBorders>
            <w:shd w:val="clear" w:color="auto" w:fill="auto"/>
            <w:vAlign w:val="center"/>
          </w:tcPr>
          <w:p w14:paraId="16464EA3">
            <w:pPr>
              <w:pStyle w:val="178"/>
            </w:pPr>
            <w:r>
              <w:rPr>
                <w:rFonts w:hint="eastAsia"/>
              </w:rPr>
              <w:t>责任主体</w:t>
            </w:r>
          </w:p>
        </w:tc>
      </w:tr>
      <w:tr w14:paraId="4E2D1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14:paraId="136C1C1C">
            <w:pPr>
              <w:pStyle w:val="178"/>
            </w:pPr>
            <w:r>
              <w:rPr>
                <w:rFonts w:hint="eastAsia"/>
              </w:rPr>
              <w:t>日常巡查</w:t>
            </w:r>
          </w:p>
        </w:tc>
        <w:tc>
          <w:tcPr>
            <w:tcW w:w="3827" w:type="dxa"/>
            <w:tcBorders>
              <w:top w:val="single" w:color="auto" w:sz="8" w:space="0"/>
            </w:tcBorders>
            <w:shd w:val="clear" w:color="auto" w:fill="auto"/>
            <w:vAlign w:val="center"/>
          </w:tcPr>
          <w:p w14:paraId="357F24FB">
            <w:pPr>
              <w:pStyle w:val="178"/>
            </w:pPr>
            <w:r>
              <w:rPr>
                <w:rFonts w:hint="eastAsia"/>
              </w:rPr>
              <w:t>采样操作、实验室分析过程、在线监测系统运行</w:t>
            </w:r>
          </w:p>
        </w:tc>
        <w:tc>
          <w:tcPr>
            <w:tcW w:w="1623" w:type="dxa"/>
            <w:tcBorders>
              <w:top w:val="single" w:color="auto" w:sz="8" w:space="0"/>
            </w:tcBorders>
            <w:shd w:val="clear" w:color="auto" w:fill="auto"/>
            <w:vAlign w:val="center"/>
          </w:tcPr>
          <w:p w14:paraId="69BA7D9C">
            <w:pPr>
              <w:pStyle w:val="178"/>
            </w:pPr>
            <w:r>
              <w:rPr>
                <w:rFonts w:hint="eastAsia"/>
              </w:rPr>
              <w:t>不定期</w:t>
            </w:r>
          </w:p>
        </w:tc>
        <w:tc>
          <w:tcPr>
            <w:tcW w:w="2334" w:type="dxa"/>
            <w:tcBorders>
              <w:top w:val="single" w:color="auto" w:sz="8" w:space="0"/>
            </w:tcBorders>
            <w:shd w:val="clear" w:color="auto" w:fill="auto"/>
            <w:vAlign w:val="center"/>
          </w:tcPr>
          <w:p w14:paraId="3271AE01">
            <w:pPr>
              <w:pStyle w:val="178"/>
            </w:pPr>
            <w:r>
              <w:rPr>
                <w:rFonts w:hint="eastAsia"/>
              </w:rPr>
              <w:t>质量管理部门</w:t>
            </w:r>
          </w:p>
        </w:tc>
      </w:tr>
      <w:tr w14:paraId="142E8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33048E6C">
            <w:pPr>
              <w:pStyle w:val="178"/>
            </w:pPr>
            <w:r>
              <w:rPr>
                <w:rFonts w:hint="eastAsia"/>
              </w:rPr>
              <w:t>定期抽查</w:t>
            </w:r>
          </w:p>
        </w:tc>
        <w:tc>
          <w:tcPr>
            <w:tcW w:w="3827" w:type="dxa"/>
            <w:shd w:val="clear" w:color="auto" w:fill="auto"/>
            <w:vAlign w:val="center"/>
          </w:tcPr>
          <w:p w14:paraId="50D8A18C">
            <w:pPr>
              <w:pStyle w:val="178"/>
            </w:pPr>
            <w:r>
              <w:rPr>
                <w:rFonts w:hint="eastAsia"/>
              </w:rPr>
              <w:t>仪器校准证书、标准物质有效性、质控样结果</w:t>
            </w:r>
          </w:p>
        </w:tc>
        <w:tc>
          <w:tcPr>
            <w:tcW w:w="1623" w:type="dxa"/>
            <w:shd w:val="clear" w:color="auto" w:fill="auto"/>
            <w:vAlign w:val="center"/>
          </w:tcPr>
          <w:p w14:paraId="21BA494F">
            <w:pPr>
              <w:pStyle w:val="178"/>
            </w:pPr>
            <w:r>
              <w:rPr>
                <w:rFonts w:hint="eastAsia"/>
              </w:rPr>
              <w:t>每季度</w:t>
            </w:r>
          </w:p>
        </w:tc>
        <w:tc>
          <w:tcPr>
            <w:tcW w:w="2334" w:type="dxa"/>
            <w:shd w:val="clear" w:color="auto" w:fill="auto"/>
            <w:vAlign w:val="center"/>
          </w:tcPr>
          <w:p w14:paraId="029B2030">
            <w:pPr>
              <w:pStyle w:val="178"/>
            </w:pPr>
            <w:r>
              <w:rPr>
                <w:rFonts w:hint="eastAsia"/>
              </w:rPr>
              <w:t>质量管理部门</w:t>
            </w:r>
          </w:p>
        </w:tc>
      </w:tr>
      <w:tr w14:paraId="3F97A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57CA9563">
            <w:pPr>
              <w:pStyle w:val="178"/>
            </w:pPr>
            <w:r>
              <w:rPr>
                <w:rFonts w:hint="eastAsia"/>
              </w:rPr>
              <w:t>专项检查</w:t>
            </w:r>
          </w:p>
        </w:tc>
        <w:tc>
          <w:tcPr>
            <w:tcW w:w="3827" w:type="dxa"/>
            <w:shd w:val="clear" w:color="auto" w:fill="auto"/>
            <w:vAlign w:val="center"/>
          </w:tcPr>
          <w:p w14:paraId="11D1E483">
            <w:pPr>
              <w:pStyle w:val="178"/>
            </w:pPr>
            <w:r>
              <w:rPr>
                <w:rFonts w:hint="eastAsia"/>
              </w:rPr>
              <w:t>溯源链完整性、不确定度评估方法和结果</w:t>
            </w:r>
          </w:p>
        </w:tc>
        <w:tc>
          <w:tcPr>
            <w:tcW w:w="1623" w:type="dxa"/>
            <w:shd w:val="clear" w:color="auto" w:fill="auto"/>
            <w:vAlign w:val="center"/>
          </w:tcPr>
          <w:p w14:paraId="3C383E7F">
            <w:pPr>
              <w:pStyle w:val="178"/>
            </w:pPr>
            <w:r>
              <w:rPr>
                <w:rFonts w:hint="eastAsia"/>
              </w:rPr>
              <w:t>每年</w:t>
            </w:r>
          </w:p>
        </w:tc>
        <w:tc>
          <w:tcPr>
            <w:tcW w:w="2334" w:type="dxa"/>
            <w:shd w:val="clear" w:color="auto" w:fill="auto"/>
            <w:vAlign w:val="center"/>
          </w:tcPr>
          <w:p w14:paraId="54C25DDC">
            <w:pPr>
              <w:pStyle w:val="178"/>
            </w:pPr>
            <w:r>
              <w:rPr>
                <w:rFonts w:hint="eastAsia"/>
              </w:rPr>
              <w:t>上级主管部门或第三方评估机构</w:t>
            </w:r>
          </w:p>
        </w:tc>
      </w:tr>
    </w:tbl>
    <w:p w14:paraId="1E7E772C">
      <w:pPr>
        <w:pStyle w:val="105"/>
        <w:spacing w:before="120" w:after="120" w:line="360" w:lineRule="auto"/>
        <w:rPr>
          <w:rFonts w:hint="eastAsia"/>
        </w:rPr>
      </w:pPr>
      <w:r>
        <w:rPr>
          <w:rFonts w:hint="eastAsia"/>
        </w:rPr>
        <w:t>监督考核</w:t>
      </w:r>
    </w:p>
    <w:p w14:paraId="74AE8D5A">
      <w:pPr>
        <w:pStyle w:val="56"/>
        <w:spacing w:line="360" w:lineRule="auto"/>
        <w:ind w:firstLine="420"/>
        <w:rPr>
          <w:rFonts w:hint="eastAsia"/>
        </w:rPr>
      </w:pPr>
      <w:r>
        <w:rPr>
          <w:rFonts w:hint="eastAsia"/>
        </w:rPr>
        <w:t>监督结果应形成书面报告，并与部门绩效、人员考核挂钩。发现不符合项时，应制定整改措施并跟踪落实，必要时进行复查。</w:t>
      </w:r>
    </w:p>
    <w:p w14:paraId="0D794B9E">
      <w:pPr>
        <w:pStyle w:val="105"/>
        <w:spacing w:before="120" w:after="120" w:line="360" w:lineRule="auto"/>
        <w:rPr>
          <w:rFonts w:hint="eastAsia"/>
        </w:rPr>
      </w:pPr>
      <w:r>
        <w:rPr>
          <w:rFonts w:hint="eastAsia"/>
        </w:rPr>
        <w:t>持续改进</w:t>
      </w:r>
    </w:p>
    <w:p w14:paraId="781CAC9D">
      <w:pPr>
        <w:pStyle w:val="56"/>
        <w:spacing w:line="360" w:lineRule="auto"/>
        <w:ind w:firstLine="420"/>
      </w:pPr>
      <w:r>
        <w:rPr>
          <w:rFonts w:hint="eastAsia"/>
        </w:rPr>
        <w:t>应将监督检查中发现的问题、用户反馈和技术发展动态，纳入质量控制与溯源管理体系的持续改进计划，推动监测质量水平不断提升。</w:t>
      </w:r>
    </w:p>
    <w:p w14:paraId="4C159FBF">
      <w:pPr>
        <w:pStyle w:val="104"/>
        <w:spacing w:before="240" w:after="240"/>
        <w:rPr>
          <w:rFonts w:hint="eastAsia"/>
        </w:rPr>
      </w:pPr>
      <w:bookmarkStart w:id="55" w:name="_Toc205759293"/>
      <w:r>
        <w:rPr>
          <w:rFonts w:hint="eastAsia"/>
        </w:rPr>
        <w:t>持续改进与评估</w:t>
      </w:r>
      <w:bookmarkEnd w:id="55"/>
    </w:p>
    <w:p w14:paraId="74FAD46E">
      <w:pPr>
        <w:pStyle w:val="105"/>
        <w:spacing w:before="120" w:after="120"/>
        <w:rPr>
          <w:rFonts w:hint="eastAsia"/>
        </w:rPr>
      </w:pPr>
      <w:r>
        <w:rPr>
          <w:rFonts w:hint="eastAsia"/>
        </w:rPr>
        <w:t>总体要求</w:t>
      </w:r>
    </w:p>
    <w:p w14:paraId="55B4755F">
      <w:pPr>
        <w:pStyle w:val="56"/>
        <w:spacing w:line="360" w:lineRule="auto"/>
        <w:ind w:firstLine="420"/>
        <w:rPr>
          <w:rFonts w:hint="eastAsia"/>
        </w:rPr>
      </w:pPr>
      <w:r>
        <w:rPr>
          <w:rFonts w:hint="eastAsia"/>
        </w:rPr>
        <w:t>持续改进与评估应贯穿质量控制与溯源管理的全过程，确保体系能够适应监测任务变化、技术进步和管理要求的提升，实现数据质量的长期稳定与优化。</w:t>
      </w:r>
    </w:p>
    <w:p w14:paraId="4CE97F77">
      <w:pPr>
        <w:pStyle w:val="105"/>
        <w:spacing w:before="120" w:after="120" w:line="360" w:lineRule="auto"/>
        <w:rPr>
          <w:rFonts w:hint="eastAsia"/>
        </w:rPr>
      </w:pPr>
      <w:r>
        <w:rPr>
          <w:rFonts w:hint="eastAsia"/>
        </w:rPr>
        <w:t>评估内容</w:t>
      </w:r>
    </w:p>
    <w:p w14:paraId="34CBD91D">
      <w:pPr>
        <w:pStyle w:val="56"/>
        <w:spacing w:line="360" w:lineRule="auto"/>
        <w:ind w:firstLine="420"/>
        <w:rPr>
          <w:rFonts w:hint="eastAsia"/>
        </w:rPr>
      </w:pPr>
      <w:r>
        <w:rPr>
          <w:rFonts w:hint="eastAsia"/>
        </w:rPr>
        <w:t>评估应涵盖质量控制措施的有效性、溯源链条的完整性、人员能力水平、设备运行状况、数据准确性与可追溯性、监督检查结果及用户反馈等方面。</w:t>
      </w:r>
    </w:p>
    <w:p w14:paraId="573CA8BA">
      <w:pPr>
        <w:pStyle w:val="105"/>
        <w:spacing w:before="120" w:after="120" w:line="360" w:lineRule="auto"/>
        <w:rPr>
          <w:rFonts w:hint="eastAsia"/>
        </w:rPr>
      </w:pPr>
      <w:r>
        <w:rPr>
          <w:rFonts w:hint="eastAsia"/>
        </w:rPr>
        <w:t>评估方法</w:t>
      </w:r>
    </w:p>
    <w:p w14:paraId="4D21D903">
      <w:pPr>
        <w:pStyle w:val="56"/>
        <w:spacing w:line="360" w:lineRule="auto"/>
        <w:ind w:firstLine="420"/>
        <w:rPr>
          <w:rFonts w:hint="eastAsia"/>
        </w:rPr>
      </w:pPr>
      <w:r>
        <w:rPr>
          <w:rFonts w:hint="eastAsia"/>
        </w:rPr>
        <w:t>可采用内部审核、外部评估、技术比对、数据一致性分析、绩效考核、专家评审等方式，必要时引入第三方机构进行独立评估。</w:t>
      </w:r>
    </w:p>
    <w:p w14:paraId="5C1B38DF">
      <w:pPr>
        <w:pStyle w:val="105"/>
        <w:spacing w:before="120" w:after="120" w:line="360" w:lineRule="auto"/>
        <w:rPr>
          <w:rFonts w:hint="eastAsia"/>
        </w:rPr>
      </w:pPr>
      <w:r>
        <w:rPr>
          <w:rFonts w:hint="eastAsia"/>
        </w:rPr>
        <w:t>改进措施</w:t>
      </w:r>
    </w:p>
    <w:p w14:paraId="1B61BA86">
      <w:pPr>
        <w:pStyle w:val="56"/>
        <w:spacing w:line="360" w:lineRule="auto"/>
        <w:ind w:firstLine="420"/>
        <w:rPr>
          <w:rFonts w:hint="eastAsia"/>
        </w:rPr>
      </w:pPr>
      <w:r>
        <w:rPr>
          <w:rFonts w:hint="eastAsia"/>
        </w:rPr>
        <w:t>根据评估结果，制定具体的改进计划，包括优化监测方法、更新设备、加强人员培训、完善溯源链管理、改进质控流程等，并明确时间节点和责任分工。</w:t>
      </w:r>
    </w:p>
    <w:p w14:paraId="43D772BE">
      <w:pPr>
        <w:pStyle w:val="105"/>
        <w:spacing w:before="120" w:after="120" w:line="360" w:lineRule="auto"/>
        <w:rPr>
          <w:rFonts w:hint="eastAsia"/>
        </w:rPr>
      </w:pPr>
      <w:r>
        <w:rPr>
          <w:rFonts w:hint="eastAsia"/>
        </w:rPr>
        <w:t>技术更新与应用</w:t>
      </w:r>
    </w:p>
    <w:p w14:paraId="3B59AC27">
      <w:pPr>
        <w:pStyle w:val="56"/>
        <w:spacing w:line="360" w:lineRule="auto"/>
        <w:ind w:firstLine="420"/>
        <w:rPr>
          <w:rFonts w:hint="eastAsia"/>
        </w:rPr>
      </w:pPr>
      <w:r>
        <w:rPr>
          <w:rFonts w:hint="eastAsia"/>
        </w:rPr>
        <w:t>应及时关注国内外新标准、新方法、新技术的发展趋势，结合实际情况引入先进的监测与管理技术，如智能化质控系统、自动化溯源验证平台等，提高管理效率和数据质量。</w:t>
      </w:r>
    </w:p>
    <w:p w14:paraId="5A45C1C6">
      <w:pPr>
        <w:pStyle w:val="105"/>
        <w:spacing w:before="120" w:after="120" w:line="360" w:lineRule="auto"/>
        <w:rPr>
          <w:rFonts w:hint="eastAsia"/>
        </w:rPr>
      </w:pPr>
      <w:r>
        <w:rPr>
          <w:rFonts w:hint="eastAsia"/>
        </w:rPr>
        <w:t>反馈与循环</w:t>
      </w:r>
    </w:p>
    <w:p w14:paraId="4127B6DA">
      <w:pPr>
        <w:pStyle w:val="56"/>
        <w:spacing w:line="360" w:lineRule="auto"/>
        <w:ind w:firstLine="420"/>
      </w:pPr>
      <w:r>
        <w:rPr>
          <w:rFonts w:hint="eastAsia"/>
        </w:rPr>
        <w:t>持续改进应形成闭环机制，将评估和改进结果反馈到质量控制与溯源管理体系中，定期复审和修订相关制度与技术文件，确保体系与监测需求同步发展。</w:t>
      </w:r>
    </w:p>
    <w:p w14:paraId="5FFFF4E2">
      <w:pPr>
        <w:pStyle w:val="104"/>
        <w:spacing w:before="240" w:after="240" w:line="360" w:lineRule="auto"/>
        <w:rPr>
          <w:rFonts w:hint="eastAsia"/>
        </w:rPr>
      </w:pPr>
      <w:bookmarkStart w:id="56" w:name="_Toc205759294"/>
      <w:r>
        <w:rPr>
          <w:rFonts w:hint="eastAsia"/>
        </w:rPr>
        <w:t>数据安全与信息管理</w:t>
      </w:r>
      <w:bookmarkEnd w:id="56"/>
    </w:p>
    <w:p w14:paraId="50539CDB">
      <w:pPr>
        <w:pStyle w:val="105"/>
        <w:spacing w:before="120" w:after="120" w:line="360" w:lineRule="auto"/>
        <w:rPr>
          <w:rFonts w:hint="eastAsia"/>
        </w:rPr>
      </w:pPr>
      <w:r>
        <w:rPr>
          <w:rFonts w:hint="eastAsia"/>
        </w:rPr>
        <w:t>总体要求</w:t>
      </w:r>
    </w:p>
    <w:p w14:paraId="32B561E4">
      <w:pPr>
        <w:pStyle w:val="56"/>
        <w:spacing w:line="360" w:lineRule="auto"/>
        <w:ind w:firstLine="420"/>
        <w:rPr>
          <w:rFonts w:hint="eastAsia"/>
        </w:rPr>
      </w:pPr>
      <w:r>
        <w:rPr>
          <w:rFonts w:hint="eastAsia"/>
        </w:rPr>
        <w:t>数据安全与信息管理应贯穿水和大气环境监测数据的采集、传输、处理、存储、共享、归档和销毁全过程，确保数据的完整性、保密性、可用性与可追溯性。管理工作应符合国家信息安全相关标准和行业规定，并与质量控制、溯源管理体系有机结合。</w:t>
      </w:r>
    </w:p>
    <w:p w14:paraId="095862A8">
      <w:pPr>
        <w:pStyle w:val="105"/>
        <w:spacing w:before="120" w:after="120" w:line="360" w:lineRule="auto"/>
        <w:rPr>
          <w:rFonts w:hint="eastAsia"/>
        </w:rPr>
      </w:pPr>
      <w:r>
        <w:rPr>
          <w:rFonts w:hint="eastAsia"/>
        </w:rPr>
        <w:t>数据安全保障措施</w:t>
      </w:r>
    </w:p>
    <w:p w14:paraId="4C435A80">
      <w:pPr>
        <w:pStyle w:val="165"/>
        <w:spacing w:line="360" w:lineRule="auto"/>
        <w:rPr>
          <w:rFonts w:hint="eastAsia"/>
        </w:rPr>
      </w:pPr>
      <w:r>
        <w:rPr>
          <w:rFonts w:hint="eastAsia"/>
        </w:rPr>
        <w:t>物理安全：数据中心、服务器、存储设备等应设置在安全区域，具备防火、防水、防盗、防雷等设施，并建立进出管理制度。</w:t>
      </w:r>
    </w:p>
    <w:p w14:paraId="792ED708">
      <w:pPr>
        <w:pStyle w:val="165"/>
        <w:spacing w:line="360" w:lineRule="auto"/>
        <w:rPr>
          <w:rFonts w:hint="eastAsia"/>
        </w:rPr>
      </w:pPr>
      <w:r>
        <w:rPr>
          <w:rFonts w:hint="eastAsia"/>
        </w:rPr>
        <w:t>网络安全：数据传输应使用加密协议，关键数据应采用端到端加密，防止非法截取和篡改。</w:t>
      </w:r>
    </w:p>
    <w:p w14:paraId="2B7EBA40">
      <w:pPr>
        <w:pStyle w:val="165"/>
        <w:spacing w:line="360" w:lineRule="auto"/>
        <w:rPr>
          <w:rFonts w:hint="eastAsia"/>
        </w:rPr>
      </w:pPr>
      <w:r>
        <w:rPr>
          <w:rFonts w:hint="eastAsia"/>
        </w:rPr>
        <w:t>访问控制：设定分级访问权限与多因素认证，限制非授权人员访问敏感数据；定期审查权限分配，及时撤销无关人员的访问权限。</w:t>
      </w:r>
    </w:p>
    <w:p w14:paraId="42F4B959">
      <w:pPr>
        <w:pStyle w:val="165"/>
        <w:spacing w:line="360" w:lineRule="auto"/>
        <w:rPr>
          <w:rFonts w:hint="eastAsia"/>
        </w:rPr>
      </w:pPr>
      <w:r>
        <w:rPr>
          <w:rFonts w:hint="eastAsia"/>
        </w:rPr>
        <w:t>入侵防护：部署防火墙、入侵检测系统（IDS）、入侵防御系统（IPS）等，并保持病毒库和安全策略的实时更新。</w:t>
      </w:r>
    </w:p>
    <w:p w14:paraId="1A1855B0">
      <w:pPr>
        <w:pStyle w:val="105"/>
        <w:spacing w:before="120" w:after="120" w:line="360" w:lineRule="auto"/>
        <w:rPr>
          <w:rFonts w:hint="eastAsia"/>
        </w:rPr>
      </w:pPr>
      <w:r>
        <w:rPr>
          <w:rFonts w:hint="eastAsia"/>
        </w:rPr>
        <w:t>信息管理要求</w:t>
      </w:r>
    </w:p>
    <w:p w14:paraId="26831B15">
      <w:pPr>
        <w:pStyle w:val="165"/>
        <w:spacing w:line="360" w:lineRule="auto"/>
        <w:rPr>
          <w:rFonts w:hint="eastAsia"/>
        </w:rPr>
      </w:pPr>
      <w:r>
        <w:rPr>
          <w:rFonts w:hint="eastAsia"/>
        </w:rPr>
        <w:t>统一编码与元数据管理：建立统一的数据编码和元数据管理规则，包括采样点位、监测参数、仪器编号、时间戳等，确保数据可比性与可追溯性。</w:t>
      </w:r>
    </w:p>
    <w:p w14:paraId="7B9C4F4A">
      <w:pPr>
        <w:pStyle w:val="165"/>
        <w:spacing w:line="360" w:lineRule="auto"/>
        <w:rPr>
          <w:rFonts w:hint="eastAsia"/>
        </w:rPr>
      </w:pPr>
      <w:r>
        <w:rPr>
          <w:rFonts w:hint="eastAsia"/>
        </w:rPr>
        <w:t>过程记录与审计：所有数据采集、修改、传输和删除操作应记录在操作日志中，日志应定期备份并防止篡改。</w:t>
      </w:r>
    </w:p>
    <w:p w14:paraId="6B27E116">
      <w:pPr>
        <w:pStyle w:val="165"/>
        <w:spacing w:line="360" w:lineRule="auto"/>
        <w:rPr>
          <w:rFonts w:hint="eastAsia"/>
        </w:rPr>
      </w:pPr>
      <w:r>
        <w:rPr>
          <w:rFonts w:hint="eastAsia"/>
        </w:rPr>
        <w:t>版本控制与变更管理：对监测数据和分析结果实施版本管理，重大变更应记录变更原因、时间和责任人。</w:t>
      </w:r>
    </w:p>
    <w:p w14:paraId="48EEEBF3">
      <w:pPr>
        <w:pStyle w:val="165"/>
        <w:spacing w:line="360" w:lineRule="auto"/>
        <w:rPr>
          <w:rFonts w:hint="eastAsia"/>
        </w:rPr>
      </w:pPr>
      <w:r>
        <w:rPr>
          <w:rFonts w:hint="eastAsia"/>
        </w:rPr>
        <w:t>数据质量标签：在数据文件中标注质量控制状态（如是否通过质控、溯源是否合格），便于后续分析与审计。</w:t>
      </w:r>
    </w:p>
    <w:p w14:paraId="4830070E">
      <w:pPr>
        <w:pStyle w:val="105"/>
        <w:spacing w:before="120" w:after="120" w:line="360" w:lineRule="auto"/>
        <w:rPr>
          <w:rFonts w:hint="eastAsia"/>
        </w:rPr>
      </w:pPr>
      <w:r>
        <w:rPr>
          <w:rFonts w:hint="eastAsia"/>
        </w:rPr>
        <w:t>数据存储与备份</w:t>
      </w:r>
    </w:p>
    <w:p w14:paraId="00E11C00">
      <w:pPr>
        <w:pStyle w:val="165"/>
        <w:spacing w:line="360" w:lineRule="auto"/>
        <w:rPr>
          <w:rFonts w:hint="eastAsia"/>
        </w:rPr>
      </w:pPr>
      <w:r>
        <w:rPr>
          <w:rFonts w:hint="eastAsia"/>
        </w:rPr>
        <w:t>存储策略：数据应采用高可靠性存储架构（如RAID、分布式存储等），保证硬件故障时数据不丢失。</w:t>
      </w:r>
    </w:p>
    <w:p w14:paraId="19400B68">
      <w:pPr>
        <w:pStyle w:val="165"/>
        <w:spacing w:line="360" w:lineRule="auto"/>
        <w:rPr>
          <w:rFonts w:hint="eastAsia"/>
        </w:rPr>
      </w:pPr>
      <w:r>
        <w:rPr>
          <w:rFonts w:hint="eastAsia"/>
        </w:rPr>
        <w:t>备份策略：应制定本地备份与异地备份相结合的备份方案，关键数据备份周期不应超过24小时。</w:t>
      </w:r>
    </w:p>
    <w:p w14:paraId="7B8050C5">
      <w:pPr>
        <w:pStyle w:val="165"/>
        <w:spacing w:line="360" w:lineRule="auto"/>
        <w:rPr>
          <w:rFonts w:hint="eastAsia"/>
        </w:rPr>
      </w:pPr>
      <w:r>
        <w:rPr>
          <w:rFonts w:hint="eastAsia"/>
        </w:rPr>
        <w:t>长期保存：依据法律法规和行业要求，确定数据的保存年限；对于具有长期参考价值的原始监测数据，应进行长期归档保存。</w:t>
      </w:r>
    </w:p>
    <w:p w14:paraId="2A82EB40">
      <w:pPr>
        <w:pStyle w:val="105"/>
        <w:spacing w:before="120" w:after="120" w:line="360" w:lineRule="auto"/>
        <w:rPr>
          <w:rFonts w:hint="eastAsia"/>
        </w:rPr>
      </w:pPr>
      <w:r>
        <w:rPr>
          <w:rFonts w:hint="eastAsia"/>
        </w:rPr>
        <w:t>数据共享与发布</w:t>
      </w:r>
    </w:p>
    <w:p w14:paraId="230202A5">
      <w:pPr>
        <w:pStyle w:val="56"/>
        <w:spacing w:line="360" w:lineRule="auto"/>
        <w:ind w:firstLine="420"/>
        <w:rPr>
          <w:rFonts w:hint="eastAsia"/>
        </w:rPr>
      </w:pPr>
      <w:r>
        <w:rPr>
          <w:rFonts w:hint="eastAsia"/>
        </w:rPr>
        <w:t>共享与发布的数据应经过质量审核和安全审查，确保其准确性和不含敏感信息。</w:t>
      </w:r>
    </w:p>
    <w:p w14:paraId="7CAEBD01">
      <w:pPr>
        <w:pStyle w:val="56"/>
        <w:spacing w:line="360" w:lineRule="auto"/>
        <w:ind w:firstLine="420"/>
        <w:rPr>
          <w:rFonts w:hint="eastAsia"/>
        </w:rPr>
      </w:pPr>
      <w:r>
        <w:rPr>
          <w:rFonts w:hint="eastAsia"/>
        </w:rPr>
        <w:t>对外发布的数据应附加数据说明文件（包括监测方法、质控情况、溯源信息和不确定度范围）。</w:t>
      </w:r>
    </w:p>
    <w:p w14:paraId="4BB34626">
      <w:pPr>
        <w:pStyle w:val="56"/>
        <w:spacing w:line="360" w:lineRule="auto"/>
        <w:ind w:firstLine="420"/>
        <w:rPr>
          <w:rFonts w:hint="eastAsia"/>
        </w:rPr>
      </w:pPr>
      <w:r>
        <w:rPr>
          <w:rFonts w:hint="eastAsia"/>
        </w:rPr>
        <w:t>数据开放共享应遵循分级管理原则，不同数据类型应设置不同的访问权限。</w:t>
      </w:r>
    </w:p>
    <w:p w14:paraId="348CB0C8">
      <w:pPr>
        <w:pStyle w:val="105"/>
        <w:spacing w:before="120" w:after="120" w:line="360" w:lineRule="auto"/>
        <w:rPr>
          <w:rFonts w:hint="eastAsia"/>
        </w:rPr>
      </w:pPr>
      <w:r>
        <w:rPr>
          <w:rFonts w:hint="eastAsia"/>
        </w:rPr>
        <w:t>档案管理</w:t>
      </w:r>
    </w:p>
    <w:p w14:paraId="41E4DA7A">
      <w:pPr>
        <w:pStyle w:val="56"/>
        <w:spacing w:line="360" w:lineRule="auto"/>
        <w:ind w:firstLine="420"/>
        <w:rPr>
          <w:rFonts w:hint="eastAsia"/>
        </w:rPr>
      </w:pPr>
      <w:r>
        <w:rPr>
          <w:rFonts w:hint="eastAsia"/>
        </w:rPr>
        <w:t>应建立电子与纸质档案双轨管理制度，档案内容包括原始监测数据、质控记录、溯源文件、校准证书、设备运行记录、操作日志等。</w:t>
      </w:r>
    </w:p>
    <w:p w14:paraId="6CAD9373">
      <w:pPr>
        <w:pStyle w:val="56"/>
        <w:spacing w:line="360" w:lineRule="auto"/>
        <w:ind w:firstLine="420"/>
        <w:rPr>
          <w:rFonts w:hint="eastAsia"/>
        </w:rPr>
      </w:pPr>
      <w:r>
        <w:rPr>
          <w:rFonts w:hint="eastAsia"/>
        </w:rPr>
        <w:t>档案应按照统一的分类编码进行管理，建立检索索引，确保在规定时限内可随时查阅。</w:t>
      </w:r>
    </w:p>
    <w:p w14:paraId="3F9F1C14">
      <w:pPr>
        <w:pStyle w:val="56"/>
        <w:spacing w:line="360" w:lineRule="auto"/>
        <w:ind w:firstLine="420"/>
        <w:rPr>
          <w:rFonts w:hint="eastAsia"/>
        </w:rPr>
      </w:pPr>
      <w:r>
        <w:rPr>
          <w:rFonts w:hint="eastAsia"/>
        </w:rPr>
        <w:t>档案的修改、借阅和销毁应有完整的审批和记录流程。</w:t>
      </w:r>
    </w:p>
    <w:bookmarkEnd w:id="26"/>
    <w:p w14:paraId="233EAA32">
      <w:pPr>
        <w:pStyle w:val="56"/>
        <w:ind w:firstLine="0" w:firstLineChars="0"/>
        <w:jc w:val="center"/>
        <w:rPr>
          <w:rFonts w:hint="eastAsia"/>
        </w:rPr>
      </w:pPr>
      <w:bookmarkStart w:id="57" w:name="BookMark8"/>
      <w:r>
        <w:rPr>
          <w:rFonts w:hint="eastAsia"/>
        </w:rPr>
        <w:drawing>
          <wp:inline distT="0" distB="0" distL="0" distR="0">
            <wp:extent cx="1485900" cy="317500"/>
            <wp:effectExtent l="0" t="0" r="0" b="6350"/>
            <wp:docPr id="1476668883" name="图片 1"/>
            <wp:cNvGraphicFramePr/>
            <a:graphic xmlns:a="http://schemas.openxmlformats.org/drawingml/2006/main">
              <a:graphicData uri="http://schemas.openxmlformats.org/drawingml/2006/picture">
                <pic:pic xmlns:pic="http://schemas.openxmlformats.org/drawingml/2006/picture">
                  <pic:nvPicPr>
                    <pic:cNvPr id="1476668883"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130F">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A57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C1EA">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432D">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926A">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98B9">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A3B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BFC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F322">
    <w:pPr>
      <w:pStyle w:val="61"/>
    </w:pPr>
    <w:r>
      <w:fldChar w:fldCharType="begin"/>
    </w:r>
    <w:r>
      <w:instrText xml:space="preserve"> STYLEREF  标准文件_文件编号  \* MERGEFORMAT </w:instrText>
    </w:r>
    <w:r>
      <w:fldChar w:fldCharType="separate"/>
    </w:r>
    <w:r>
      <w:t>T/XJBX 0072—2025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027A">
    <w:pPr>
      <w:pStyle w:val="62"/>
    </w:pPr>
    <w:r>
      <w:fldChar w:fldCharType="begin"/>
    </w:r>
    <w:r>
      <w:instrText xml:space="preserve"> STYLEREF  标准文件_文件编号 \* MERGEFORMAT </w:instrText>
    </w:r>
    <w:r>
      <w:fldChar w:fldCharType="separate"/>
    </w:r>
    <w:r>
      <w:t>T/XJBX 0072—2025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B45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0072—2025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1AF7">
    <w:pPr>
      <w:pStyle w:val="61"/>
    </w:pPr>
    <w:r>
      <w:fldChar w:fldCharType="begin"/>
    </w:r>
    <w:r>
      <w:instrText xml:space="preserve"> STYLEREF  标准文件_文件编号  \* MERGEFORMAT </w:instrText>
    </w:r>
    <w:r>
      <w:fldChar w:fldCharType="separate"/>
    </w:r>
    <w:r>
      <w:t>T/XJBX 0072—2025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2022">
    <w:pPr>
      <w:pStyle w:val="62"/>
    </w:pPr>
    <w:r>
      <w:fldChar w:fldCharType="begin"/>
    </w:r>
    <w:r>
      <w:instrText xml:space="preserve"> STYLEREF  标准文件_文件编号 \* MERGEFORMAT </w:instrText>
    </w:r>
    <w:r>
      <w:fldChar w:fldCharType="separate"/>
    </w:r>
    <w:r>
      <w:t>T/XJBX 0072—2025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ACA9">
    <w:pPr>
      <w:pStyle w:val="61"/>
    </w:pPr>
    <w:r>
      <w:fldChar w:fldCharType="begin"/>
    </w:r>
    <w:r>
      <w:instrText xml:space="preserve"> STYLEREF  标准文件_文件编号  \* MERGEFORMAT </w:instrText>
    </w:r>
    <w:r>
      <w:fldChar w:fldCharType="separate"/>
    </w:r>
    <w:r>
      <w:t>T/XJBX 0072—2025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88D9">
    <w:pPr>
      <w:pStyle w:val="62"/>
    </w:pPr>
    <w:r>
      <w:fldChar w:fldCharType="begin"/>
    </w:r>
    <w:r>
      <w:instrText xml:space="preserve"> STYLEREF  标准文件_文件编号 \* MERGEFORMAT </w:instrText>
    </w:r>
    <w:r>
      <w:fldChar w:fldCharType="separate"/>
    </w:r>
    <w:r>
      <w:t>T/XJBX 0072—2025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2F7"/>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AD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4A1"/>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6B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AEC"/>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4BB"/>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A4"/>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604"/>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F75"/>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A5E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082D5C2">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10D90F6">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FA60DB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A15CED"/>
    <w:rsid w:val="00AE1DC6"/>
    <w:rsid w:val="00B52D4D"/>
    <w:rsid w:val="00D0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4888</Words>
  <Characters>5164</Characters>
  <Lines>47</Lines>
  <Paragraphs>13</Paragraphs>
  <TotalTime>33</TotalTime>
  <ScaleCrop>false</ScaleCrop>
  <LinksUpToDate>false</LinksUpToDate>
  <CharactersWithSpaces>5244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2025-08-11T06:34:25Z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42B8CA883A504435943941BFD965361F_12</vt:lpwstr>
  </property>
</Properties>
</file>