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9FA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9C05D81">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3CFE7BF">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91.140.9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91.140.90</w:t>
            </w:r>
            <w:r>
              <w:rPr>
                <w:rFonts w:ascii="黑体" w:hAnsi="黑体" w:eastAsia="黑体"/>
                <w:sz w:val="21"/>
                <w:szCs w:val="21"/>
              </w:rPr>
              <w:fldChar w:fldCharType="end"/>
            </w:r>
            <w:bookmarkEnd w:id="0"/>
          </w:p>
        </w:tc>
      </w:tr>
      <w:tr w14:paraId="2AEB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0B3D27D">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673C32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D9EF6ED">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JBX"/>
                          <w:maxLength w:val="7"/>
                        </w:textInput>
                      </w:ffData>
                    </w:fldChar>
                  </w:r>
                  <w:bookmarkStart w:id="1" w:name="c1"/>
                  <w:r>
                    <w:instrText xml:space="preserve"> FORMTEXT </w:instrText>
                  </w:r>
                  <w:r>
                    <w:fldChar w:fldCharType="separate"/>
                  </w:r>
                  <w:r>
                    <w:t>XJBX</w:t>
                  </w:r>
                  <w:r>
                    <w:fldChar w:fldCharType="end"/>
                  </w:r>
                  <w:bookmarkEnd w:id="1"/>
                </w:p>
              </w:tc>
            </w:tr>
          </w:tbl>
          <w:p w14:paraId="7211AB71">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Q 78"/>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Q 78</w:t>
            </w:r>
            <w:r>
              <w:rPr>
                <w:rFonts w:ascii="黑体" w:hAnsi="黑体" w:eastAsia="黑体"/>
                <w:sz w:val="21"/>
                <w:szCs w:val="21"/>
              </w:rPr>
              <w:fldChar w:fldCharType="end"/>
            </w:r>
            <w:bookmarkEnd w:id="2"/>
          </w:p>
        </w:tc>
      </w:tr>
    </w:tbl>
    <w:p w14:paraId="14B17AD5">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计量标准检测认证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西安市计量标准检测认证协会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7C1F0ED">
      <w:pPr>
        <w:pStyle w:val="195"/>
        <w:framePr/>
      </w:pPr>
      <w:r>
        <w:t>T/</w:t>
      </w:r>
      <w:r>
        <w:fldChar w:fldCharType="begin">
          <w:ffData>
            <w:name w:val="文字1"/>
            <w:enabled/>
            <w:calcOnExit w:val="0"/>
            <w:textInput>
              <w:default w:val="XJBX"/>
            </w:textInput>
          </w:ffData>
        </w:fldChar>
      </w:r>
      <w:bookmarkStart w:id="5" w:name="文字1"/>
      <w:r>
        <w:instrText xml:space="preserve"> FORMTEXT </w:instrText>
      </w:r>
      <w:r>
        <w:fldChar w:fldCharType="separate"/>
      </w:r>
      <w:r>
        <w:t>XJBX</w:t>
      </w:r>
      <w:r>
        <w:fldChar w:fldCharType="end"/>
      </w:r>
      <w:bookmarkEnd w:id="5"/>
      <w:r>
        <w:t xml:space="preserve"> </w:t>
      </w:r>
      <w:r>
        <w:fldChar w:fldCharType="begin">
          <w:ffData>
            <w:name w:val="NSTD_CODE_F"/>
            <w:enabled/>
            <w:calcOnExit w:val="0"/>
            <w:textInput>
              <w:default w:val="0070"/>
            </w:textInput>
          </w:ffData>
        </w:fldChar>
      </w:r>
      <w:bookmarkStart w:id="6" w:name="NSTD_CODE_F"/>
      <w:r>
        <w:instrText xml:space="preserve"> FORMTEXT </w:instrText>
      </w:r>
      <w:r>
        <w:fldChar w:fldCharType="separate"/>
      </w:r>
      <w:r>
        <w:t>0070</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6644B319">
      <w:pPr>
        <w:pStyle w:val="196"/>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497C1C9">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CF237F3">
      <w:pPr>
        <w:pStyle w:val="50"/>
        <w:framePr w:w="9639" w:h="6976" w:hRule="exact" w:hSpace="0" w:vSpace="0" w:wrap="around" w:hAnchor="page" w:y="6408"/>
        <w:jc w:val="center"/>
        <w:rPr>
          <w:rFonts w:hint="eastAsia" w:ascii="黑体" w:hAnsi="黑体" w:eastAsia="黑体"/>
          <w:b w:val="0"/>
          <w:bCs w:val="0"/>
          <w:w w:val="100"/>
        </w:rPr>
      </w:pPr>
    </w:p>
    <w:p w14:paraId="73594FE6">
      <w:pPr>
        <w:pStyle w:val="197"/>
        <w:framePr w:h="6974" w:hRule="exact" w:wrap="around" w:x="1419" w:anchorLock="1"/>
        <w:rPr>
          <w:rFonts w:hint="eastAsia"/>
        </w:rPr>
      </w:pPr>
      <w:r>
        <w:fldChar w:fldCharType="begin">
          <w:ffData>
            <w:name w:val="CSTD_NAME"/>
            <w:enabled/>
            <w:calcOnExit w:val="0"/>
            <w:textInput>
              <w:default w:val="电梯应急救援智能响应技术指南"/>
            </w:textInput>
          </w:ffData>
        </w:fldChar>
      </w:r>
      <w:bookmarkStart w:id="9" w:name="CSTD_NAME"/>
      <w:r>
        <w:instrText xml:space="preserve"> FORMTEXT </w:instrText>
      </w:r>
      <w:r>
        <w:fldChar w:fldCharType="separate"/>
      </w:r>
      <w:r>
        <w:t>电梯应急救援智能响应技术指南</w:t>
      </w:r>
      <w:r>
        <w:fldChar w:fldCharType="end"/>
      </w:r>
      <w:bookmarkEnd w:id="9"/>
    </w:p>
    <w:p w14:paraId="445B16AD">
      <w:pPr>
        <w:framePr w:w="9639" w:h="6974" w:hRule="exact" w:wrap="around" w:vAnchor="page" w:hAnchor="page" w:x="1419" w:y="6408" w:anchorLock="1"/>
        <w:ind w:left="-1418"/>
      </w:pPr>
    </w:p>
    <w:p w14:paraId="7581C8E1">
      <w:pPr>
        <w:pStyle w:val="125"/>
        <w:framePr w:w="9639" w:h="6974" w:hRule="exact" w:wrap="around" w:vAnchor="page" w:hAnchor="page" w:x="1419" w:y="6408" w:anchorLock="1"/>
        <w:textAlignment w:val="bottom"/>
        <w:rPr>
          <w:rFonts w:hint="eastAsia" w:ascii="黑体" w:hAnsi="黑体" w:eastAsia="黑体"/>
          <w:szCs w:val="28"/>
        </w:rPr>
      </w:pPr>
      <w:r>
        <w:rPr>
          <w:rFonts w:hint="eastAsia" w:ascii="黑体" w:hAnsi="黑体" w:eastAsia="黑体"/>
          <w:szCs w:val="28"/>
        </w:rPr>
        <w:fldChar w:fldCharType="begin">
          <w:ffData>
            <w:name w:val="ESTD_NAME"/>
            <w:enabled/>
            <w:calcOnExit w:val="0"/>
            <w:textInput>
              <w:default w:val="Guidelines for intelligent emergency response technology for elevator rescue"/>
            </w:textInput>
          </w:ffData>
        </w:fldChar>
      </w:r>
      <w:bookmarkStart w:id="10" w:name="ESTD_NAME"/>
      <w:r>
        <w:rPr>
          <w:rFonts w:hint="eastAsia" w:ascii="黑体" w:hAnsi="黑体" w:eastAsia="黑体"/>
          <w:szCs w:val="28"/>
        </w:rPr>
        <w:instrText xml:space="preserve"> </w:instrText>
      </w:r>
      <w:r>
        <w:rPr>
          <w:rFonts w:ascii="黑体" w:hAnsi="黑体" w:eastAsia="黑体"/>
          <w:szCs w:val="28"/>
        </w:rPr>
        <w:instrText xml:space="preserve">FORMTEXT</w:instrText>
      </w:r>
      <w:r>
        <w:rPr>
          <w:rFonts w:hint="eastAsia" w:ascii="黑体" w:hAnsi="黑体" w:eastAsia="黑体"/>
          <w:szCs w:val="28"/>
        </w:rPr>
        <w:instrText xml:space="preserve"> </w:instrText>
      </w:r>
      <w:r>
        <w:rPr>
          <w:rFonts w:hint="eastAsia" w:ascii="黑体" w:hAnsi="黑体" w:eastAsia="黑体"/>
          <w:szCs w:val="28"/>
        </w:rPr>
        <w:fldChar w:fldCharType="separate"/>
      </w:r>
      <w:r>
        <w:rPr>
          <w:rFonts w:hint="eastAsia" w:ascii="黑体" w:hAnsi="黑体" w:eastAsia="黑体"/>
          <w:szCs w:val="28"/>
        </w:rPr>
        <w:t>Guidelines for intelligent emergency response technology for elevator rescue</w:t>
      </w:r>
      <w:r>
        <w:rPr>
          <w:rFonts w:hint="eastAsia" w:ascii="黑体" w:hAnsi="黑体" w:eastAsia="黑体"/>
          <w:szCs w:val="28"/>
        </w:rPr>
        <w:fldChar w:fldCharType="end"/>
      </w:r>
      <w:bookmarkEnd w:id="10"/>
    </w:p>
    <w:p w14:paraId="0F045E5F">
      <w:pPr>
        <w:framePr w:w="9639" w:h="6974" w:hRule="exact" w:wrap="around" w:vAnchor="page" w:hAnchor="page" w:x="1419" w:y="6408" w:anchorLock="1"/>
        <w:spacing w:line="760" w:lineRule="exact"/>
        <w:ind w:left="-1418"/>
      </w:pPr>
    </w:p>
    <w:p w14:paraId="35A51517">
      <w:pPr>
        <w:pStyle w:val="125"/>
        <w:framePr w:w="9639" w:h="6974" w:hRule="exact" w:wrap="around" w:vAnchor="page" w:hAnchor="page" w:x="1419" w:y="6408" w:anchorLock="1"/>
        <w:textAlignment w:val="bottom"/>
        <w:rPr>
          <w:rFonts w:eastAsia="黑体"/>
          <w:szCs w:val="28"/>
        </w:rPr>
      </w:pPr>
    </w:p>
    <w:p w14:paraId="1926DE2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324A2D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F878F1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89F4D2">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D82105B">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1BA3478">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default w:val="西安市计量标准检测认证协会"/>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西安市计量标准检测认证协会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F7BCF62">
      <w:pPr>
        <w:rPr>
          <w:rFonts w:hint="eastAsia"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73357F2B">
      <w:pPr>
        <w:pStyle w:val="91"/>
        <w:spacing w:after="360"/>
      </w:pPr>
      <w:bookmarkStart w:id="21" w:name="BookMark1"/>
      <w:r>
        <w:rPr>
          <w:rFonts w:hint="eastAsia"/>
          <w:spacing w:val="320"/>
        </w:rPr>
        <w:t>目</w:t>
      </w:r>
      <w:r>
        <w:rPr>
          <w:rFonts w:hint="eastAsia"/>
        </w:rPr>
        <w:t>次</w:t>
      </w:r>
    </w:p>
    <w:p w14:paraId="61741CB0">
      <w:pPr>
        <w:pStyle w:val="19"/>
        <w:tabs>
          <w:tab w:val="right" w:leader="dot" w:pos="9344"/>
        </w:tabs>
        <w:rPr>
          <w:rFonts w:hint="eastAsia"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"_Toc205755628" </w:instrText>
      </w:r>
      <w:r>
        <w:fldChar w:fldCharType="separate"/>
      </w:r>
      <w:r>
        <w:rPr>
          <w:rStyle w:val="32"/>
        </w:rPr>
        <w:t>前言</w:t>
      </w:r>
      <w:r>
        <w:tab/>
      </w:r>
      <w:r>
        <w:fldChar w:fldCharType="begin"/>
      </w:r>
      <w:r>
        <w:instrText xml:space="preserve"> PAGEREF _Toc205755628 \h </w:instrText>
      </w:r>
      <w:r>
        <w:fldChar w:fldCharType="separate"/>
      </w:r>
      <w:r>
        <w:t>II</w:t>
      </w:r>
      <w:r>
        <w:fldChar w:fldCharType="end"/>
      </w:r>
      <w:r>
        <w:fldChar w:fldCharType="end"/>
      </w:r>
    </w:p>
    <w:p w14:paraId="3E7D81BA">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"_Toc205755629" </w:instrText>
      </w:r>
      <w:r>
        <w:fldChar w:fldCharType="separate"/>
      </w:r>
      <w:r>
        <w:rPr>
          <w:rStyle w:val="32"/>
        </w:rPr>
        <w:t>引言</w:t>
      </w:r>
      <w:r>
        <w:tab/>
      </w:r>
      <w:r>
        <w:fldChar w:fldCharType="begin"/>
      </w:r>
      <w:r>
        <w:instrText xml:space="preserve"> PAGEREF _Toc205755629 \h </w:instrText>
      </w:r>
      <w:r>
        <w:fldChar w:fldCharType="separate"/>
      </w:r>
      <w:r>
        <w:t>III</w:t>
      </w:r>
      <w:r>
        <w:fldChar w:fldCharType="end"/>
      </w:r>
      <w:r>
        <w:fldChar w:fldCharType="end"/>
      </w:r>
    </w:p>
    <w:p w14:paraId="6FE684B9">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"_Toc205755630" </w:instrText>
      </w:r>
      <w:r>
        <w:fldChar w:fldCharType="separate"/>
      </w:r>
      <w:r>
        <w:rPr>
          <w:rStyle w:val="32"/>
        </w:rPr>
        <w:t>1  范围</w:t>
      </w:r>
      <w:r>
        <w:tab/>
      </w:r>
      <w:r>
        <w:fldChar w:fldCharType="begin"/>
      </w:r>
      <w:r>
        <w:instrText xml:space="preserve"> PAGEREF _Toc205755630 \h </w:instrText>
      </w:r>
      <w:r>
        <w:fldChar w:fldCharType="separate"/>
      </w:r>
      <w:r>
        <w:t>1</w:t>
      </w:r>
      <w:r>
        <w:fldChar w:fldCharType="end"/>
      </w:r>
      <w:r>
        <w:fldChar w:fldCharType="end"/>
      </w:r>
    </w:p>
    <w:p w14:paraId="797EAA56">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"_Toc205755631" </w:instrText>
      </w:r>
      <w:r>
        <w:fldChar w:fldCharType="separate"/>
      </w:r>
      <w:r>
        <w:rPr>
          <w:rStyle w:val="32"/>
        </w:rPr>
        <w:t>2  规范性引用文件</w:t>
      </w:r>
      <w:r>
        <w:tab/>
      </w:r>
      <w:r>
        <w:fldChar w:fldCharType="begin"/>
      </w:r>
      <w:r>
        <w:instrText xml:space="preserve"> PAGEREF _Toc205755631 \h </w:instrText>
      </w:r>
      <w:r>
        <w:fldChar w:fldCharType="separate"/>
      </w:r>
      <w:r>
        <w:t>1</w:t>
      </w:r>
      <w:r>
        <w:fldChar w:fldCharType="end"/>
      </w:r>
      <w:r>
        <w:fldChar w:fldCharType="end"/>
      </w:r>
    </w:p>
    <w:p w14:paraId="0B598C46">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"_Toc205755632" </w:instrText>
      </w:r>
      <w:r>
        <w:fldChar w:fldCharType="separate"/>
      </w:r>
      <w:r>
        <w:rPr>
          <w:rStyle w:val="32"/>
        </w:rPr>
        <w:t>3  术语和定义</w:t>
      </w:r>
      <w:r>
        <w:tab/>
      </w:r>
      <w:r>
        <w:fldChar w:fldCharType="begin"/>
      </w:r>
      <w:r>
        <w:instrText xml:space="preserve"> PAGEREF _Toc205755632 \h </w:instrText>
      </w:r>
      <w:r>
        <w:fldChar w:fldCharType="separate"/>
      </w:r>
      <w:r>
        <w:t>1</w:t>
      </w:r>
      <w:r>
        <w:fldChar w:fldCharType="end"/>
      </w:r>
      <w:r>
        <w:fldChar w:fldCharType="end"/>
      </w:r>
    </w:p>
    <w:p w14:paraId="0567039E">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"_Toc205755633" </w:instrText>
      </w:r>
      <w:r>
        <w:fldChar w:fldCharType="separate"/>
      </w:r>
      <w:r>
        <w:rPr>
          <w:rStyle w:val="32"/>
        </w:rPr>
        <w:t>4  总则</w:t>
      </w:r>
      <w:r>
        <w:tab/>
      </w:r>
      <w:r>
        <w:fldChar w:fldCharType="begin"/>
      </w:r>
      <w:r>
        <w:instrText xml:space="preserve"> PAGEREF _Toc205755633 \h </w:instrText>
      </w:r>
      <w:r>
        <w:fldChar w:fldCharType="separate"/>
      </w:r>
      <w:r>
        <w:t>2</w:t>
      </w:r>
      <w:r>
        <w:fldChar w:fldCharType="end"/>
      </w:r>
      <w:r>
        <w:fldChar w:fldCharType="end"/>
      </w:r>
    </w:p>
    <w:p w14:paraId="5C0281FD">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"_Toc205755634" </w:instrText>
      </w:r>
      <w:r>
        <w:fldChar w:fldCharType="separate"/>
      </w:r>
      <w:r>
        <w:rPr>
          <w:rStyle w:val="32"/>
        </w:rPr>
        <w:t>5  系统架构与功能要求</w:t>
      </w:r>
      <w:r>
        <w:tab/>
      </w:r>
      <w:r>
        <w:fldChar w:fldCharType="begin"/>
      </w:r>
      <w:r>
        <w:instrText xml:space="preserve"> PAGEREF _Toc205755634 \h </w:instrText>
      </w:r>
      <w:r>
        <w:fldChar w:fldCharType="separate"/>
      </w:r>
      <w:r>
        <w:t>3</w:t>
      </w:r>
      <w:r>
        <w:fldChar w:fldCharType="end"/>
      </w:r>
      <w:r>
        <w:fldChar w:fldCharType="end"/>
      </w:r>
    </w:p>
    <w:p w14:paraId="6741AC96">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"_Toc205755635" </w:instrText>
      </w:r>
      <w:r>
        <w:fldChar w:fldCharType="separate"/>
      </w:r>
      <w:r>
        <w:rPr>
          <w:rStyle w:val="32"/>
        </w:rPr>
        <w:t>6  数据管理与信息交互</w:t>
      </w:r>
      <w:r>
        <w:tab/>
      </w:r>
      <w:r>
        <w:fldChar w:fldCharType="begin"/>
      </w:r>
      <w:r>
        <w:instrText xml:space="preserve"> PAGEREF _Toc205755635 \h </w:instrText>
      </w:r>
      <w:r>
        <w:fldChar w:fldCharType="separate"/>
      </w:r>
      <w:r>
        <w:t>3</w:t>
      </w:r>
      <w:r>
        <w:fldChar w:fldCharType="end"/>
      </w:r>
      <w:r>
        <w:fldChar w:fldCharType="end"/>
      </w:r>
    </w:p>
    <w:p w14:paraId="5D86E2FD">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"_Toc205755636" </w:instrText>
      </w:r>
      <w:r>
        <w:fldChar w:fldCharType="separate"/>
      </w:r>
      <w:r>
        <w:rPr>
          <w:rStyle w:val="32"/>
        </w:rPr>
        <w:t>7  运行流程与响应机制</w:t>
      </w:r>
      <w:r>
        <w:tab/>
      </w:r>
      <w:r>
        <w:fldChar w:fldCharType="begin"/>
      </w:r>
      <w:r>
        <w:instrText xml:space="preserve"> PAGEREF _Toc205755636 \h </w:instrText>
      </w:r>
      <w:r>
        <w:fldChar w:fldCharType="separate"/>
      </w:r>
      <w:r>
        <w:t>4</w:t>
      </w:r>
      <w:r>
        <w:fldChar w:fldCharType="end"/>
      </w:r>
      <w:r>
        <w:fldChar w:fldCharType="end"/>
      </w:r>
    </w:p>
    <w:p w14:paraId="1ABEDE5A">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"_Toc205755637" </w:instrText>
      </w:r>
      <w:r>
        <w:fldChar w:fldCharType="separate"/>
      </w:r>
      <w:r>
        <w:rPr>
          <w:rStyle w:val="32"/>
        </w:rPr>
        <w:t>8  系统安全与维护管理</w:t>
      </w:r>
      <w:r>
        <w:tab/>
      </w:r>
      <w:r>
        <w:fldChar w:fldCharType="begin"/>
      </w:r>
      <w:r>
        <w:instrText xml:space="preserve"> PAGEREF _Toc205755637 \h </w:instrText>
      </w:r>
      <w:r>
        <w:fldChar w:fldCharType="separate"/>
      </w:r>
      <w:r>
        <w:t>5</w:t>
      </w:r>
      <w:r>
        <w:fldChar w:fldCharType="end"/>
      </w:r>
      <w:r>
        <w:fldChar w:fldCharType="end"/>
      </w:r>
    </w:p>
    <w:p w14:paraId="2764DF64">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"_Toc205755638" </w:instrText>
      </w:r>
      <w:r>
        <w:fldChar w:fldCharType="separate"/>
      </w:r>
      <w:r>
        <w:rPr>
          <w:rStyle w:val="32"/>
        </w:rPr>
        <w:t>9  人员培训与应急演练</w:t>
      </w:r>
      <w:r>
        <w:tab/>
      </w:r>
      <w:r>
        <w:fldChar w:fldCharType="begin"/>
      </w:r>
      <w:r>
        <w:instrText xml:space="preserve"> PAGEREF _Toc205755638 \h </w:instrText>
      </w:r>
      <w:r>
        <w:fldChar w:fldCharType="separate"/>
      </w:r>
      <w:r>
        <w:t>6</w:t>
      </w:r>
      <w:r>
        <w:fldChar w:fldCharType="end"/>
      </w:r>
      <w:r>
        <w:fldChar w:fldCharType="end"/>
      </w:r>
    </w:p>
    <w:p w14:paraId="63DAB7BF">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"_Toc205755639" </w:instrText>
      </w:r>
      <w:r>
        <w:fldChar w:fldCharType="separate"/>
      </w:r>
      <w:r>
        <w:rPr>
          <w:rStyle w:val="32"/>
        </w:rPr>
        <w:t>10  应急事件记录与追溯管理</w:t>
      </w:r>
      <w:r>
        <w:tab/>
      </w:r>
      <w:r>
        <w:fldChar w:fldCharType="begin"/>
      </w:r>
      <w:r>
        <w:instrText xml:space="preserve"> PAGEREF _Toc205755639 \h </w:instrText>
      </w:r>
      <w:r>
        <w:fldChar w:fldCharType="separate"/>
      </w:r>
      <w:r>
        <w:t>7</w:t>
      </w:r>
      <w:r>
        <w:fldChar w:fldCharType="end"/>
      </w:r>
      <w:r>
        <w:fldChar w:fldCharType="end"/>
      </w:r>
    </w:p>
    <w:p w14:paraId="58C811F9">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"_Toc205755640" </w:instrText>
      </w:r>
      <w:r>
        <w:fldChar w:fldCharType="separate"/>
      </w:r>
      <w:r>
        <w:rPr>
          <w:rStyle w:val="32"/>
        </w:rPr>
        <w:t>11  系统评估与持续优化</w:t>
      </w:r>
      <w:r>
        <w:tab/>
      </w:r>
      <w:r>
        <w:fldChar w:fldCharType="begin"/>
      </w:r>
      <w:r>
        <w:instrText xml:space="preserve"> PAGEREF _Toc205755640 \h </w:instrText>
      </w:r>
      <w:r>
        <w:fldChar w:fldCharType="separate"/>
      </w:r>
      <w:r>
        <w:t>8</w:t>
      </w:r>
      <w:r>
        <w:fldChar w:fldCharType="end"/>
      </w:r>
      <w:r>
        <w:fldChar w:fldCharType="end"/>
      </w:r>
    </w:p>
    <w:p w14:paraId="756DB0B2">
      <w:pPr>
        <w:pStyle w:val="91"/>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7500498C">
      <w:pPr>
        <w:pStyle w:val="89"/>
        <w:spacing w:before="900" w:after="360"/>
      </w:pPr>
      <w:bookmarkStart w:id="22" w:name="_Toc205755628"/>
      <w:bookmarkStart w:id="23" w:name="BookMark2"/>
      <w:r>
        <w:rPr>
          <w:spacing w:val="320"/>
        </w:rPr>
        <w:t>前</w:t>
      </w:r>
      <w:r>
        <w:t>言</w:t>
      </w:r>
      <w:bookmarkEnd w:id="22"/>
    </w:p>
    <w:p w14:paraId="252D74D2">
      <w:pPr>
        <w:pStyle w:val="56"/>
        <w:spacing w:line="360" w:lineRule="auto"/>
        <w:ind w:firstLine="420"/>
      </w:pPr>
      <w:r>
        <w:rPr>
          <w:rFonts w:hint="eastAsia"/>
        </w:rPr>
        <w:t>本文件按照GB/T 1.1—2020《标准化工作导则  第1部分：标准化文件的结构和起草规则》的规定起草。</w:t>
      </w:r>
    </w:p>
    <w:p w14:paraId="0F2E2311">
      <w:pPr>
        <w:pStyle w:val="56"/>
        <w:spacing w:line="360" w:lineRule="auto"/>
        <w:ind w:firstLine="420"/>
      </w:pPr>
      <w:r>
        <w:rPr>
          <w:rFonts w:hint="eastAsia"/>
        </w:rPr>
        <w:t>请注意本文件的某些内容可能涉及专利。本文件的发布机构不承担识别专利的责任。</w:t>
      </w:r>
    </w:p>
    <w:p w14:paraId="56B1EF6F">
      <w:pPr>
        <w:pStyle w:val="56"/>
        <w:spacing w:line="360" w:lineRule="auto"/>
        <w:ind w:firstLine="420"/>
      </w:pPr>
      <w:r>
        <w:rPr>
          <w:rFonts w:hint="eastAsia"/>
        </w:rPr>
        <w:t>本文件由西安市计量标准检测认证协会提出并归口。</w:t>
      </w:r>
    </w:p>
    <w:p w14:paraId="13021025">
      <w:pPr>
        <w:pStyle w:val="56"/>
        <w:spacing w:line="360" w:lineRule="auto"/>
        <w:ind w:firstLine="420"/>
      </w:pPr>
      <w:r>
        <w:rPr>
          <w:rFonts w:hint="eastAsia"/>
        </w:rPr>
        <w:t>本文件起草单位：贵州省特种设备检验检测院。</w:t>
      </w:r>
    </w:p>
    <w:p w14:paraId="55F4A5D1">
      <w:pPr>
        <w:pStyle w:val="56"/>
        <w:spacing w:line="360" w:lineRule="auto"/>
        <w:ind w:firstLine="420"/>
      </w:pPr>
      <w:r>
        <w:rPr>
          <w:rFonts w:hint="eastAsia"/>
        </w:rPr>
        <w:t>本文件主要起草人：张富春。</w:t>
      </w:r>
    </w:p>
    <w:p w14:paraId="1B3EB912">
      <w:pPr>
        <w:pStyle w:val="56"/>
        <w:ind w:firstLine="420"/>
      </w:pPr>
    </w:p>
    <w:p w14:paraId="784B3C9B">
      <w:pPr>
        <w:pStyle w:val="56"/>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start="3"/>
          <w:cols w:space="425" w:num="1"/>
          <w:formProt w:val="0"/>
          <w:docGrid w:linePitch="312" w:charSpace="0"/>
        </w:sectPr>
      </w:pPr>
      <w:bookmarkStart w:id="60" w:name="_GoBack"/>
      <w:bookmarkEnd w:id="60"/>
    </w:p>
    <w:bookmarkEnd w:id="23"/>
    <w:p w14:paraId="66D0A2F3">
      <w:pPr>
        <w:pStyle w:val="89"/>
        <w:spacing w:after="360"/>
      </w:pPr>
      <w:bookmarkStart w:id="24" w:name="_Toc205755629"/>
      <w:bookmarkStart w:id="25" w:name="BookMark3"/>
      <w:r>
        <w:rPr>
          <w:spacing w:val="320"/>
        </w:rPr>
        <w:t>引</w:t>
      </w:r>
      <w:r>
        <w:t>言</w:t>
      </w:r>
      <w:bookmarkEnd w:id="24"/>
    </w:p>
    <w:p w14:paraId="7C61DFB7">
      <w:pPr>
        <w:pStyle w:val="56"/>
        <w:spacing w:line="360" w:lineRule="auto"/>
        <w:ind w:firstLine="420"/>
      </w:pPr>
      <w:r>
        <w:rPr>
          <w:rFonts w:hint="eastAsia"/>
        </w:rPr>
        <w:t>随着城市化进程加快，电梯已成为公共建筑、住宅和交通枢纽中不可或缺的垂直交通工具，其运行的安全性和可靠性直接关系到公众生命财产安全。近年来，电梯数量持续增长，运行环境日益复杂，传统的人工应急救援方式在响应速度、处置效率、信息传递等方面逐渐暴露出不足，难以满足高密度、全天候、多类型场景下的应急救援需求。</w:t>
      </w:r>
    </w:p>
    <w:p w14:paraId="43ACE615">
      <w:pPr>
        <w:pStyle w:val="56"/>
        <w:spacing w:line="360" w:lineRule="auto"/>
        <w:ind w:firstLine="420"/>
      </w:pPr>
      <w:r>
        <w:rPr>
          <w:rFonts w:hint="eastAsia"/>
        </w:rPr>
        <w:t>智能响应技术的应用为电梯应急救援提供了新的解决方案。通过物联网、大数据、人工智能、云计算等技术手段，可以实现电梯运行状态的实时监测、故障自动诊断、救援路径优化、跨部门协同以及救援过程全程可视化管理。这不仅显著缩短了救援响应时间，还能提高救援过程的安全性、规范性与可追溯性。</w:t>
      </w:r>
    </w:p>
    <w:p w14:paraId="3020BFBE">
      <w:pPr>
        <w:pStyle w:val="56"/>
        <w:spacing w:line="360" w:lineRule="auto"/>
        <w:ind w:firstLine="420"/>
      </w:pPr>
      <w:r>
        <w:rPr>
          <w:rFonts w:hint="eastAsia"/>
        </w:rPr>
        <w:t>制定本文件旨在规范电梯应急救援智能响应的系统架构、功能设计、数据交互、操作流程及管理要求，为建设单位、运营维护单位、应急管理部门和技术服务企业提供统一的技术参考。本文件注重系统的智能化、信息化与实用性相结合，强调与现有安全法规、行业标准及应急体系的衔接，促进应急救援工作的高效化、标准化与智能化发展。</w:t>
      </w:r>
    </w:p>
    <w:p w14:paraId="41C59179">
      <w:pPr>
        <w:pStyle w:val="56"/>
        <w:ind w:firstLine="420"/>
      </w:pPr>
    </w:p>
    <w:p w14:paraId="3AC90217">
      <w:pPr>
        <w:pStyle w:val="56"/>
        <w:ind w:firstLine="420"/>
        <w:sectPr>
          <w:headerReference r:id="rId17" w:type="default"/>
          <w:footerReference r:id="rId19" w:type="default"/>
          <w:headerReference r:id="rId18" w:type="even"/>
          <w:footerReference r:id="rId20" w:type="even"/>
          <w:pgSz w:w="11906" w:h="16838"/>
          <w:pgMar w:top="1928" w:right="1134" w:bottom="1134" w:left="1134" w:header="1418" w:footer="1134" w:gutter="284"/>
          <w:pgNumType w:fmt="upperRoman" w:start="5"/>
          <w:cols w:space="425" w:num="1"/>
          <w:formProt w:val="0"/>
          <w:docGrid w:linePitch="312" w:charSpace="0"/>
        </w:sectPr>
      </w:pPr>
    </w:p>
    <w:bookmarkEnd w:id="25"/>
    <w:p w14:paraId="7BCFE31A">
      <w:pPr>
        <w:spacing w:line="20" w:lineRule="exact"/>
        <w:jc w:val="center"/>
        <w:rPr>
          <w:rFonts w:hint="eastAsia" w:ascii="黑体" w:hAnsi="黑体" w:eastAsia="黑体"/>
          <w:sz w:val="32"/>
          <w:szCs w:val="32"/>
        </w:rPr>
      </w:pPr>
      <w:bookmarkStart w:id="26" w:name="BookMark4"/>
    </w:p>
    <w:p w14:paraId="71484A10">
      <w:pPr>
        <w:spacing w:line="20" w:lineRule="exact"/>
        <w:jc w:val="center"/>
        <w:rPr>
          <w:rFonts w:hint="eastAsia" w:ascii="黑体" w:hAnsi="黑体" w:eastAsia="黑体"/>
          <w:sz w:val="32"/>
          <w:szCs w:val="32"/>
        </w:rPr>
      </w:pPr>
    </w:p>
    <w:sdt>
      <w:sdtPr>
        <w:tag w:val="NEW_STAND_NAME"/>
        <w:id w:val="595910757"/>
        <w:lock w:val="sdtLocked"/>
        <w:placeholder>
          <w:docPart w:val="012FB321F5A4443D9AFC61825E0F0C38"/>
        </w:placeholder>
      </w:sdtPr>
      <w:sdtContent>
        <w:p w14:paraId="7D4E3E1F">
          <w:pPr>
            <w:pStyle w:val="177"/>
            <w:rPr>
              <w:rFonts w:hint="eastAsia"/>
            </w:rPr>
          </w:pPr>
          <w:bookmarkStart w:id="27" w:name="NEW_STAND_NAME"/>
          <w:r>
            <w:rPr>
              <w:rFonts w:hint="eastAsia"/>
            </w:rPr>
            <w:t>电梯应急救援智能响应技术指南</w:t>
          </w:r>
        </w:p>
      </w:sdtContent>
    </w:sdt>
    <w:bookmarkEnd w:id="27"/>
    <w:p w14:paraId="3DB22445">
      <w:pPr>
        <w:pStyle w:val="104"/>
        <w:spacing w:before="240" w:after="240" w:line="360" w:lineRule="auto"/>
      </w:pPr>
      <w:bookmarkStart w:id="28" w:name="_Toc17233325"/>
      <w:bookmarkStart w:id="29" w:name="_Toc24884211"/>
      <w:bookmarkStart w:id="30" w:name="_Toc26648465"/>
      <w:bookmarkStart w:id="31" w:name="_Toc26718930"/>
      <w:bookmarkStart w:id="32" w:name="_Toc24884218"/>
      <w:bookmarkStart w:id="33" w:name="_Toc26986530"/>
      <w:bookmarkStart w:id="34" w:name="_Toc26986771"/>
      <w:bookmarkStart w:id="35" w:name="_Toc17233333"/>
      <w:bookmarkStart w:id="36" w:name="_Toc97192964"/>
      <w:bookmarkStart w:id="37" w:name="_Toc205755630"/>
      <w:r>
        <w:rPr>
          <w:rFonts w:hint="eastAsia"/>
        </w:rPr>
        <w:t>范围</w:t>
      </w:r>
      <w:bookmarkEnd w:id="28"/>
      <w:bookmarkEnd w:id="29"/>
      <w:bookmarkEnd w:id="30"/>
      <w:bookmarkEnd w:id="31"/>
      <w:bookmarkEnd w:id="32"/>
      <w:bookmarkEnd w:id="33"/>
      <w:bookmarkEnd w:id="34"/>
      <w:bookmarkEnd w:id="35"/>
      <w:bookmarkEnd w:id="36"/>
      <w:bookmarkEnd w:id="37"/>
    </w:p>
    <w:p w14:paraId="56A82DEB">
      <w:pPr>
        <w:pStyle w:val="56"/>
        <w:spacing w:line="360" w:lineRule="auto"/>
        <w:ind w:firstLine="420"/>
      </w:pPr>
      <w:bookmarkStart w:id="38" w:name="_Toc26648466"/>
      <w:bookmarkStart w:id="39" w:name="_Toc24884212"/>
      <w:bookmarkStart w:id="40" w:name="_Toc24884219"/>
      <w:bookmarkStart w:id="41" w:name="_Toc17233326"/>
      <w:bookmarkStart w:id="42" w:name="_Toc17233334"/>
      <w:r>
        <w:rPr>
          <w:rFonts w:hint="eastAsia"/>
        </w:rPr>
        <w:t>本文件规定了电梯应急救援智能响应系统的系统架构与功能要求、数据管理与信息交互、运行流程与响应机制、系统安全与维护管理、人员培训与应急演练、应急事件记录与追溯管理以及系统评估与持续优化等内容。</w:t>
      </w:r>
    </w:p>
    <w:p w14:paraId="6460EAC5">
      <w:pPr>
        <w:pStyle w:val="56"/>
        <w:spacing w:line="360" w:lineRule="auto"/>
        <w:ind w:firstLine="420"/>
      </w:pPr>
      <w:r>
        <w:rPr>
          <w:rFonts w:hint="eastAsia"/>
        </w:rPr>
        <w:t>本文件适用于在各类公共建筑、住宅小区、商业综合体、轨道交通车站、医院及其他使用电梯的场所建设和运行的应急救援智能响应系统的设计、安装、运行、维护与管理。</w:t>
      </w:r>
    </w:p>
    <w:p w14:paraId="76265264">
      <w:pPr>
        <w:pStyle w:val="56"/>
        <w:spacing w:line="360" w:lineRule="auto"/>
        <w:ind w:firstLine="420"/>
      </w:pPr>
      <w:r>
        <w:rPr>
          <w:rFonts w:hint="eastAsia"/>
        </w:rPr>
        <w:t>本文件适用于建设单位、物业管理单位、电梯维保单位、应急管理部门以及相关技术服务机构在电梯应急救援智能响应工作的实施与管理中参考使用。</w:t>
      </w:r>
    </w:p>
    <w:p w14:paraId="3733B2AD">
      <w:pPr>
        <w:pStyle w:val="104"/>
        <w:spacing w:before="240" w:after="240" w:line="360" w:lineRule="auto"/>
      </w:pPr>
      <w:bookmarkStart w:id="43" w:name="_Toc26986772"/>
      <w:bookmarkStart w:id="44" w:name="_Toc205755631"/>
      <w:bookmarkStart w:id="45" w:name="_Toc97192965"/>
      <w:bookmarkStart w:id="46" w:name="_Toc26718931"/>
      <w:bookmarkStart w:id="47" w:name="_Toc26986531"/>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591A60496146309C06F8B2E11B4B0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55A6380">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24CF57D">
      <w:pPr>
        <w:pStyle w:val="56"/>
        <w:spacing w:line="360" w:lineRule="auto"/>
        <w:ind w:firstLine="420"/>
      </w:pPr>
      <w:r>
        <w:rPr>
          <w:rFonts w:hint="eastAsia"/>
        </w:rPr>
        <w:t>GB/T 1.1—2</w:t>
      </w:r>
      <w:r>
        <w:t>020</w:t>
      </w:r>
      <w:r>
        <w:rPr>
          <w:rFonts w:hint="eastAsia"/>
        </w:rPr>
        <w:t xml:space="preserve"> 标准化工作导则 </w:t>
      </w:r>
      <w:r>
        <w:t xml:space="preserve"> </w:t>
      </w:r>
      <w:r>
        <w:rPr>
          <w:rFonts w:hint="eastAsia"/>
        </w:rPr>
        <w:t>第1部分：标准化文件的结构和起草规则</w:t>
      </w:r>
    </w:p>
    <w:p w14:paraId="1B775AEA">
      <w:pPr>
        <w:pStyle w:val="56"/>
        <w:spacing w:line="360" w:lineRule="auto"/>
        <w:ind w:firstLine="420"/>
      </w:pPr>
      <w:r>
        <w:rPr>
          <w:rFonts w:hint="eastAsia"/>
        </w:rPr>
        <w:t>GB/T 10058—2</w:t>
      </w:r>
      <w:r>
        <w:t>023</w:t>
      </w:r>
      <w:r>
        <w:rPr>
          <w:rFonts w:hint="eastAsia"/>
        </w:rPr>
        <w:t xml:space="preserve"> 电梯技术条件</w:t>
      </w:r>
    </w:p>
    <w:p w14:paraId="67B63956">
      <w:pPr>
        <w:pStyle w:val="56"/>
        <w:spacing w:line="360" w:lineRule="auto"/>
        <w:ind w:firstLine="420"/>
      </w:pPr>
      <w:r>
        <w:rPr>
          <w:rFonts w:hint="eastAsia"/>
        </w:rPr>
        <w:t>GB/T 10059—2</w:t>
      </w:r>
      <w:r>
        <w:t>009</w:t>
      </w:r>
      <w:r>
        <w:rPr>
          <w:rFonts w:hint="eastAsia"/>
        </w:rPr>
        <w:t xml:space="preserve"> 电梯试验方法</w:t>
      </w:r>
    </w:p>
    <w:p w14:paraId="45B2FDDE">
      <w:pPr>
        <w:pStyle w:val="56"/>
        <w:spacing w:line="360" w:lineRule="auto"/>
        <w:ind w:firstLine="420"/>
      </w:pPr>
      <w:r>
        <w:rPr>
          <w:rFonts w:hint="eastAsia"/>
        </w:rPr>
        <w:t>GB/T 10060—2</w:t>
      </w:r>
      <w:r>
        <w:t>023</w:t>
      </w:r>
      <w:r>
        <w:rPr>
          <w:rFonts w:hint="eastAsia"/>
        </w:rPr>
        <w:t xml:space="preserve"> 电梯安装验收规范</w:t>
      </w:r>
    </w:p>
    <w:p w14:paraId="07A7F860">
      <w:pPr>
        <w:pStyle w:val="56"/>
        <w:spacing w:line="360" w:lineRule="auto"/>
        <w:ind w:firstLine="420"/>
      </w:pPr>
      <w:r>
        <w:t>GB/T 43581</w:t>
      </w:r>
      <w:r>
        <w:rPr>
          <w:rFonts w:hint="eastAsia"/>
        </w:rPr>
        <w:t>—</w:t>
      </w:r>
      <w:r>
        <w:t>2023</w:t>
      </w:r>
      <w:r>
        <w:rPr>
          <w:rFonts w:hint="eastAsia"/>
        </w:rPr>
        <w:t xml:space="preserve"> 智慧城市 </w:t>
      </w:r>
      <w:r>
        <w:t xml:space="preserve"> </w:t>
      </w:r>
      <w:r>
        <w:rPr>
          <w:rFonts w:hint="eastAsia"/>
        </w:rPr>
        <w:t>突发公共卫生事件应急管理平台通用要求</w:t>
      </w:r>
    </w:p>
    <w:p w14:paraId="51F02A4E">
      <w:pPr>
        <w:pStyle w:val="104"/>
        <w:spacing w:before="240" w:after="240" w:line="360" w:lineRule="auto"/>
      </w:pPr>
      <w:bookmarkStart w:id="48" w:name="_Toc205755632"/>
      <w:bookmarkStart w:id="49" w:name="_Toc97192966"/>
      <w:r>
        <w:rPr>
          <w:rFonts w:hint="eastAsia"/>
          <w:szCs w:val="21"/>
        </w:rPr>
        <w:t>术语和定义</w:t>
      </w:r>
      <w:bookmarkEnd w:id="48"/>
      <w:bookmarkEnd w:id="49"/>
    </w:p>
    <w:sdt>
      <w:sdtPr>
        <w:id w:val="-1909835108"/>
        <w:placeholder>
          <w:docPart w:val="301A11BD743F4400A8B304744630EF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93CB5B">
          <w:pPr>
            <w:pStyle w:val="56"/>
            <w:spacing w:line="360" w:lineRule="auto"/>
            <w:ind w:firstLine="420"/>
          </w:pPr>
          <w:bookmarkStart w:id="50" w:name="_Toc26986532"/>
          <w:bookmarkEnd w:id="50"/>
          <w:r>
            <w:t>下列术语和定义适用于本文件。</w:t>
          </w:r>
        </w:p>
      </w:sdtContent>
    </w:sdt>
    <w:p w14:paraId="1DD8CD12">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电梯应急救援 elevator emergency rescue</w:t>
      </w:r>
    </w:p>
    <w:p w14:paraId="213FEFCD">
      <w:pPr>
        <w:pStyle w:val="56"/>
        <w:spacing w:line="360" w:lineRule="auto"/>
        <w:ind w:firstLine="420"/>
      </w:pPr>
      <w:r>
        <w:rPr>
          <w:rFonts w:hint="eastAsia"/>
        </w:rPr>
        <w:t>在电梯运行过程中发生困人、故障或其他紧急情况时，采取的快速响应、救援和处置行动，以保障乘客安全并恢复电梯正常运行。</w:t>
      </w:r>
    </w:p>
    <w:p w14:paraId="0E394287">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智能响应 intelligent response</w:t>
      </w:r>
    </w:p>
    <w:p w14:paraId="45B9E419">
      <w:pPr>
        <w:pStyle w:val="56"/>
        <w:spacing w:line="360" w:lineRule="auto"/>
        <w:ind w:firstLine="420"/>
      </w:pPr>
      <w:r>
        <w:rPr>
          <w:rFonts w:hint="eastAsia"/>
        </w:rPr>
        <w:t>基于物联网、人工智能、大数据等技术，实现应急救援过程中信息自动采集、智能分析、快速决策与执行的综合响应方式。</w:t>
      </w:r>
    </w:p>
    <w:p w14:paraId="7F76E6BF">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应急救援智能响应系统 intelligent emergency response system for elevators</w:t>
      </w:r>
    </w:p>
    <w:p w14:paraId="0F7F323D">
      <w:pPr>
        <w:pStyle w:val="56"/>
        <w:spacing w:line="360" w:lineRule="auto"/>
        <w:ind w:firstLine="420"/>
      </w:pPr>
      <w:r>
        <w:rPr>
          <w:rFonts w:hint="eastAsia"/>
        </w:rPr>
        <w:t>由感知终端、数据传输网络、智能分析平台和指挥调度终端等组成，具备实时监测、自动报警、救援指令下达、过程跟踪与数据管理等功能的综合系统。</w:t>
      </w:r>
    </w:p>
    <w:p w14:paraId="11115887">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多部门协同 multi-department collaboration</w:t>
      </w:r>
    </w:p>
    <w:p w14:paraId="617DEE03">
      <w:pPr>
        <w:pStyle w:val="56"/>
        <w:spacing w:line="360" w:lineRule="auto"/>
        <w:ind w:firstLine="420"/>
      </w:pPr>
      <w:r>
        <w:rPr>
          <w:rFonts w:hint="eastAsia"/>
        </w:rPr>
        <w:t>建设单位、物业管理单位、电梯维保单位、应急管理部门等多方在电梯应急救援中，通过统一平台和信息共享机制开展的协作行动。</w:t>
      </w:r>
    </w:p>
    <w:p w14:paraId="7E9B195D">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救援响应时间 rescue response time</w:t>
      </w:r>
    </w:p>
    <w:p w14:paraId="1F28F87A">
      <w:pPr>
        <w:pStyle w:val="56"/>
        <w:spacing w:line="360" w:lineRule="auto"/>
        <w:ind w:firstLine="420"/>
      </w:pPr>
      <w:r>
        <w:rPr>
          <w:rFonts w:hint="eastAsia"/>
        </w:rPr>
        <w:t>从应急事件触发或接收到报警信息开始，到救援人员到达现场或采取有效救援措施所用的时间。</w:t>
      </w:r>
    </w:p>
    <w:p w14:paraId="4F8C2CC7">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故障自动诊断 automatic fault diagnosis</w:t>
      </w:r>
    </w:p>
    <w:p w14:paraId="4F9EAAAE">
      <w:pPr>
        <w:pStyle w:val="56"/>
        <w:spacing w:line="360" w:lineRule="auto"/>
        <w:ind w:firstLine="420"/>
      </w:pPr>
      <w:r>
        <w:rPr>
          <w:rFonts w:hint="eastAsia"/>
        </w:rPr>
        <w:t>系统通过实时采集电梯运行数据并运用算法分析，自动识别和判断电梯运行故障的类型、位置和可能原因的过程。</w:t>
      </w:r>
    </w:p>
    <w:p w14:paraId="3FB23226">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远程处置 remote handling</w:t>
      </w:r>
    </w:p>
    <w:p w14:paraId="323AB798">
      <w:pPr>
        <w:pStyle w:val="56"/>
        <w:spacing w:line="360" w:lineRule="auto"/>
        <w:ind w:firstLine="420"/>
      </w:pPr>
      <w:r>
        <w:rPr>
          <w:rFonts w:hint="eastAsia"/>
        </w:rPr>
        <w:t>救援人员通过远程控制系统对电梯进行操作，以排除故障或协助乘客脱困的过程。</w:t>
      </w:r>
    </w:p>
    <w:p w14:paraId="10CB4A32">
      <w:pPr>
        <w:pStyle w:val="104"/>
        <w:spacing w:before="240" w:after="240" w:line="360" w:lineRule="auto"/>
      </w:pPr>
      <w:bookmarkStart w:id="51" w:name="_Toc205755633"/>
      <w:r>
        <w:rPr>
          <w:rFonts w:hint="eastAsia"/>
        </w:rPr>
        <w:t>总则</w:t>
      </w:r>
      <w:bookmarkEnd w:id="51"/>
    </w:p>
    <w:p w14:paraId="6C8A460A">
      <w:pPr>
        <w:pStyle w:val="162"/>
        <w:spacing w:line="360" w:lineRule="auto"/>
      </w:pPr>
      <w:r>
        <w:rPr>
          <w:rFonts w:hint="eastAsia"/>
        </w:rPr>
        <w:t>本指南适用于各类电梯应急救援智能响应系统的建设、运行与管理，应遵循安全可靠、响应及时、信息准确、协同高效和持续改进的原则。</w:t>
      </w:r>
    </w:p>
    <w:p w14:paraId="1D92C79D">
      <w:pPr>
        <w:pStyle w:val="162"/>
        <w:spacing w:line="360" w:lineRule="auto"/>
      </w:pPr>
      <w:r>
        <w:rPr>
          <w:rFonts w:hint="eastAsia"/>
        </w:rPr>
        <w:t>电梯应急救援智能响应系统应与现有电梯安全管理体系、应急指挥平台及维保管理系统实现有效衔接，确保信息互通、资源共享和指令畅通。</w:t>
      </w:r>
    </w:p>
    <w:p w14:paraId="6867893B">
      <w:pPr>
        <w:pStyle w:val="162"/>
        <w:spacing w:line="360" w:lineRule="auto"/>
      </w:pPr>
      <w:r>
        <w:rPr>
          <w:rFonts w:hint="eastAsia"/>
        </w:rPr>
        <w:t>系统建设应充分利用物联网、人工智能、大数据、云计算等技术，实现电梯运行状态实时监测、故障自动诊断、救援方案智能推荐以及救援过程可视化管理。</w:t>
      </w:r>
    </w:p>
    <w:p w14:paraId="4DC4A989">
      <w:pPr>
        <w:pStyle w:val="162"/>
        <w:spacing w:line="360" w:lineRule="auto"/>
      </w:pPr>
      <w:r>
        <w:rPr>
          <w:rFonts w:hint="eastAsia"/>
        </w:rPr>
        <w:t>应根据服务对象的特点和使用场景的需求，合理确定系统功能配置和技术方案，确保在不同类型建筑及环境条件下均能稳定、高效运行。</w:t>
      </w:r>
    </w:p>
    <w:p w14:paraId="446A62BA">
      <w:pPr>
        <w:pStyle w:val="162"/>
        <w:spacing w:line="360" w:lineRule="auto"/>
      </w:pPr>
      <w:r>
        <w:rPr>
          <w:rFonts w:hint="eastAsia"/>
        </w:rPr>
        <w:t>应建立健全应急救援管理制度，明确建设单位、使用管理单位、维保单位和应急管理部门的职责分工，落实责任到人，并定期组织演练和培训。</w:t>
      </w:r>
    </w:p>
    <w:p w14:paraId="667ABB14">
      <w:pPr>
        <w:pStyle w:val="162"/>
        <w:spacing w:line="360" w:lineRule="auto"/>
      </w:pPr>
      <w:r>
        <w:rPr>
          <w:rFonts w:hint="eastAsia"/>
        </w:rPr>
        <w:t>在系统设计、数据采集、信息传输和存储等环节，应符合国家有关信息安全和个人信息保护的法律法规及相关标准要求，确保系统安全可控。</w:t>
      </w:r>
    </w:p>
    <w:p w14:paraId="319916FA">
      <w:pPr>
        <w:pStyle w:val="104"/>
        <w:spacing w:before="240" w:after="240" w:line="360" w:lineRule="auto"/>
      </w:pPr>
      <w:bookmarkStart w:id="52" w:name="_Toc205755634"/>
      <w:r>
        <w:rPr>
          <w:rFonts w:hint="eastAsia"/>
        </w:rPr>
        <w:t>系统架构与功能要求</w:t>
      </w:r>
      <w:bookmarkEnd w:id="52"/>
    </w:p>
    <w:p w14:paraId="5330CCEA">
      <w:pPr>
        <w:pStyle w:val="105"/>
        <w:spacing w:before="120" w:after="120" w:line="360" w:lineRule="auto"/>
      </w:pPr>
      <w:r>
        <w:rPr>
          <w:rFonts w:hint="eastAsia"/>
        </w:rPr>
        <w:t>总体架构</w:t>
      </w:r>
    </w:p>
    <w:p w14:paraId="1231FFA8">
      <w:pPr>
        <w:pStyle w:val="56"/>
        <w:spacing w:line="360" w:lineRule="auto"/>
        <w:ind w:firstLine="420"/>
      </w:pPr>
      <w:r>
        <w:rPr>
          <w:rFonts w:hint="eastAsia"/>
        </w:rPr>
        <w:t>电梯应急救援智能响应系统应由感知层、网络传输层、平台处理层和应用层组成，形成从数据采集、传输、处理到救援执行的全流程闭环。</w:t>
      </w:r>
    </w:p>
    <w:p w14:paraId="0CA96CC1">
      <w:pPr>
        <w:pStyle w:val="105"/>
        <w:spacing w:before="120" w:after="120" w:line="360" w:lineRule="auto"/>
      </w:pPr>
      <w:r>
        <w:rPr>
          <w:rFonts w:hint="eastAsia"/>
        </w:rPr>
        <w:t>感知层</w:t>
      </w:r>
    </w:p>
    <w:p w14:paraId="5ABDD25F">
      <w:pPr>
        <w:pStyle w:val="56"/>
        <w:spacing w:line="360" w:lineRule="auto"/>
        <w:ind w:firstLine="420"/>
      </w:pPr>
      <w:r>
        <w:rPr>
          <w:rFonts w:hint="eastAsia"/>
        </w:rPr>
        <w:t>包括安装在电梯轿厢、机房、井道及相关位置的传感器、摄像机、紧急呼叫终端等设备。</w:t>
      </w:r>
    </w:p>
    <w:p w14:paraId="3F3C716F">
      <w:pPr>
        <w:pStyle w:val="56"/>
        <w:spacing w:line="360" w:lineRule="auto"/>
        <w:ind w:firstLine="420"/>
      </w:pPr>
      <w:r>
        <w:rPr>
          <w:rFonts w:hint="eastAsia"/>
        </w:rPr>
        <w:t>应能够实时采集电梯运行状态参数、环境信息、乘客求助信号等数据。</w:t>
      </w:r>
    </w:p>
    <w:p w14:paraId="0CD890E2">
      <w:pPr>
        <w:pStyle w:val="56"/>
        <w:spacing w:line="360" w:lineRule="auto"/>
        <w:ind w:firstLine="420"/>
      </w:pPr>
      <w:r>
        <w:rPr>
          <w:rFonts w:hint="eastAsia"/>
        </w:rPr>
        <w:t>应具备故障自检和异常自动报警功能。</w:t>
      </w:r>
    </w:p>
    <w:p w14:paraId="4FC6DB97">
      <w:pPr>
        <w:pStyle w:val="105"/>
        <w:spacing w:before="120" w:after="120" w:line="360" w:lineRule="auto"/>
      </w:pPr>
      <w:r>
        <w:rPr>
          <w:rFonts w:hint="eastAsia"/>
        </w:rPr>
        <w:t>网络传输层</w:t>
      </w:r>
    </w:p>
    <w:p w14:paraId="1AE2FE4F">
      <w:pPr>
        <w:pStyle w:val="56"/>
        <w:spacing w:line="360" w:lineRule="auto"/>
        <w:ind w:firstLine="420"/>
      </w:pPr>
      <w:r>
        <w:rPr>
          <w:rFonts w:hint="eastAsia"/>
        </w:rPr>
        <w:t>应采用有线与无线相结合的方式，保障数据传输的稳定性和安全性。</w:t>
      </w:r>
    </w:p>
    <w:p w14:paraId="1142D6FF">
      <w:pPr>
        <w:pStyle w:val="56"/>
        <w:spacing w:line="360" w:lineRule="auto"/>
        <w:ind w:firstLine="420"/>
      </w:pPr>
      <w:r>
        <w:rPr>
          <w:rFonts w:hint="eastAsia"/>
        </w:rPr>
        <w:t>应支持多种通信协议，并具备冗余链路和自动切换功能。</w:t>
      </w:r>
    </w:p>
    <w:p w14:paraId="4C3EB440">
      <w:pPr>
        <w:pStyle w:val="56"/>
        <w:spacing w:line="360" w:lineRule="auto"/>
        <w:ind w:firstLine="420"/>
      </w:pPr>
      <w:r>
        <w:rPr>
          <w:rFonts w:hint="eastAsia"/>
        </w:rPr>
        <w:t>数据传输应符合网络安全等级保护要求，并进行加密处理。</w:t>
      </w:r>
    </w:p>
    <w:p w14:paraId="3C55F6EE">
      <w:pPr>
        <w:pStyle w:val="105"/>
        <w:spacing w:before="120" w:after="120" w:line="360" w:lineRule="auto"/>
      </w:pPr>
      <w:r>
        <w:rPr>
          <w:rFonts w:hint="eastAsia"/>
        </w:rPr>
        <w:t>平台处理层</w:t>
      </w:r>
    </w:p>
    <w:p w14:paraId="48EEED04">
      <w:pPr>
        <w:pStyle w:val="56"/>
        <w:spacing w:line="360" w:lineRule="auto"/>
        <w:ind w:firstLine="420"/>
      </w:pPr>
      <w:r>
        <w:rPr>
          <w:rFonts w:hint="eastAsia"/>
        </w:rPr>
        <w:t>应具备数据存储、清洗、分析与建模能力，实现对电梯运行状态的实时监控和智能诊断。</w:t>
      </w:r>
    </w:p>
    <w:p w14:paraId="11078327">
      <w:pPr>
        <w:pStyle w:val="56"/>
        <w:spacing w:line="360" w:lineRule="auto"/>
        <w:ind w:firstLine="420"/>
      </w:pPr>
      <w:r>
        <w:rPr>
          <w:rFonts w:hint="eastAsia"/>
        </w:rPr>
        <w:t>应能根据故障类型、位置和严重程度自动生成救援方案，并推送至相关责任单位和人员。</w:t>
      </w:r>
    </w:p>
    <w:p w14:paraId="683F3AB2">
      <w:pPr>
        <w:pStyle w:val="56"/>
        <w:spacing w:line="360" w:lineRule="auto"/>
        <w:ind w:firstLine="420"/>
      </w:pPr>
      <w:r>
        <w:rPr>
          <w:rFonts w:hint="eastAsia"/>
        </w:rPr>
        <w:t>应支持多部门协同调度功能，实现跨单位的救援信息共享与任务分配。</w:t>
      </w:r>
    </w:p>
    <w:p w14:paraId="24605854">
      <w:pPr>
        <w:pStyle w:val="105"/>
        <w:spacing w:before="120" w:after="120" w:line="360" w:lineRule="auto"/>
      </w:pPr>
      <w:r>
        <w:rPr>
          <w:rFonts w:hint="eastAsia"/>
        </w:rPr>
        <w:t>应用层</w:t>
      </w:r>
    </w:p>
    <w:p w14:paraId="1F2961EA">
      <w:pPr>
        <w:pStyle w:val="56"/>
        <w:spacing w:line="360" w:lineRule="auto"/>
        <w:ind w:firstLine="420"/>
      </w:pPr>
      <w:r>
        <w:rPr>
          <w:rFonts w:hint="eastAsia"/>
        </w:rPr>
        <w:t>为管理人员、维保人员、应急人员提供统一的操作界面，包括PC端和移动端。</w:t>
      </w:r>
    </w:p>
    <w:p w14:paraId="119E07DB">
      <w:pPr>
        <w:pStyle w:val="56"/>
        <w:spacing w:line="360" w:lineRule="auto"/>
        <w:ind w:firstLine="420"/>
      </w:pPr>
      <w:r>
        <w:rPr>
          <w:rFonts w:hint="eastAsia"/>
        </w:rPr>
        <w:t>应支持救援过程跟踪、语音视频通话、地理位置导航等功能。</w:t>
      </w:r>
    </w:p>
    <w:p w14:paraId="76A018B9">
      <w:pPr>
        <w:pStyle w:val="56"/>
        <w:spacing w:line="360" w:lineRule="auto"/>
        <w:ind w:firstLine="420"/>
      </w:pPr>
      <w:r>
        <w:rPr>
          <w:rFonts w:hint="eastAsia"/>
        </w:rPr>
        <w:t>应在救援结束后生成完整的处置记录与数据报表。</w:t>
      </w:r>
    </w:p>
    <w:p w14:paraId="40F6C468">
      <w:pPr>
        <w:pStyle w:val="105"/>
        <w:spacing w:before="120" w:after="120" w:line="360" w:lineRule="auto"/>
      </w:pPr>
      <w:r>
        <w:rPr>
          <w:rFonts w:hint="eastAsia"/>
        </w:rPr>
        <w:t>安全防护</w:t>
      </w:r>
    </w:p>
    <w:p w14:paraId="55D9AB1D">
      <w:pPr>
        <w:pStyle w:val="56"/>
        <w:spacing w:line="360" w:lineRule="auto"/>
        <w:ind w:firstLine="420"/>
      </w:pPr>
      <w:r>
        <w:rPr>
          <w:rFonts w:hint="eastAsia"/>
        </w:rPr>
        <w:t>应在系统架构中设置网络隔离、防火墙、入侵检测等安全措施。</w:t>
      </w:r>
    </w:p>
    <w:p w14:paraId="1A864F81">
      <w:pPr>
        <w:pStyle w:val="56"/>
        <w:spacing w:line="360" w:lineRule="auto"/>
        <w:ind w:firstLine="420"/>
      </w:pPr>
      <w:r>
        <w:rPr>
          <w:rFonts w:hint="eastAsia"/>
        </w:rPr>
        <w:t>应对个人信息和敏感数据进行脱敏与访问权限控制。</w:t>
      </w:r>
    </w:p>
    <w:p w14:paraId="11ED0D72">
      <w:pPr>
        <w:pStyle w:val="56"/>
        <w:spacing w:line="360" w:lineRule="auto"/>
        <w:ind w:firstLine="420"/>
      </w:pPr>
      <w:r>
        <w:rPr>
          <w:rFonts w:hint="eastAsia"/>
        </w:rPr>
        <w:t>应具备故障备份与应急切换机制，保障系统持续可用性。</w:t>
      </w:r>
    </w:p>
    <w:p w14:paraId="79E04DA9">
      <w:pPr>
        <w:pStyle w:val="104"/>
        <w:spacing w:before="240" w:after="240" w:line="360" w:lineRule="auto"/>
      </w:pPr>
      <w:bookmarkStart w:id="53" w:name="_Toc205755635"/>
      <w:r>
        <w:rPr>
          <w:rFonts w:hint="eastAsia"/>
        </w:rPr>
        <w:t>数据管理与信息交互</w:t>
      </w:r>
      <w:bookmarkEnd w:id="53"/>
    </w:p>
    <w:p w14:paraId="67120769">
      <w:pPr>
        <w:pStyle w:val="105"/>
        <w:spacing w:before="120" w:after="120" w:line="360" w:lineRule="auto"/>
      </w:pPr>
      <w:r>
        <w:rPr>
          <w:rFonts w:hint="eastAsia"/>
        </w:rPr>
        <w:t>总体要求</w:t>
      </w:r>
    </w:p>
    <w:p w14:paraId="39B33909">
      <w:pPr>
        <w:pStyle w:val="56"/>
        <w:spacing w:line="360" w:lineRule="auto"/>
        <w:ind w:firstLine="420"/>
      </w:pPr>
      <w:r>
        <w:rPr>
          <w:rFonts w:hint="eastAsia"/>
        </w:rPr>
        <w:t>电梯应急救援智能响应系统的数据管理与信息交互应遵循完整性、及时性、安全性和可追溯性的原则。数据的采集、传输、处理和存储应确保准确可靠，并满足相关法律法规及标准的要求。</w:t>
      </w:r>
    </w:p>
    <w:p w14:paraId="312245A3">
      <w:pPr>
        <w:pStyle w:val="105"/>
        <w:spacing w:before="120" w:after="120" w:line="360" w:lineRule="auto"/>
      </w:pPr>
      <w:r>
        <w:rPr>
          <w:rFonts w:hint="eastAsia"/>
        </w:rPr>
        <w:t>数据采集要求</w:t>
      </w:r>
    </w:p>
    <w:p w14:paraId="0AD6519D">
      <w:pPr>
        <w:pStyle w:val="56"/>
        <w:spacing w:line="360" w:lineRule="auto"/>
        <w:ind w:firstLine="420"/>
      </w:pPr>
      <w:r>
        <w:rPr>
          <w:rFonts w:hint="eastAsia"/>
        </w:rPr>
        <w:t>系统应对电梯运行状态数据、报警信息、救援过程记录、维护保养记录等进行实时或定时采集，并确保数据采集的格式统一、精度符合要求。典型的数据采集类别及主要内容见表1。</w:t>
      </w:r>
    </w:p>
    <w:p w14:paraId="03EC7346">
      <w:pPr>
        <w:pStyle w:val="112"/>
        <w:spacing w:before="120" w:after="120" w:line="360" w:lineRule="auto"/>
      </w:pPr>
      <w:r>
        <w:rPr>
          <w:rFonts w:hint="eastAsia"/>
        </w:rPr>
        <w:t>电梯应急救援智能响应系统数据采集类别及内容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4"/>
        <w:gridCol w:w="2333"/>
        <w:gridCol w:w="2333"/>
        <w:gridCol w:w="2334"/>
      </w:tblGrid>
      <w:tr w14:paraId="636E57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34" w:type="dxa"/>
            <w:tcBorders>
              <w:top w:val="single" w:color="auto" w:sz="8" w:space="0"/>
              <w:bottom w:val="single" w:color="auto" w:sz="8" w:space="0"/>
            </w:tcBorders>
            <w:vAlign w:val="center"/>
          </w:tcPr>
          <w:p w14:paraId="0B15BDB2">
            <w:pPr>
              <w:pStyle w:val="178"/>
            </w:pPr>
            <w:r>
              <w:rPr>
                <w:rFonts w:hint="eastAsia"/>
              </w:rPr>
              <w:t>数据类别</w:t>
            </w:r>
          </w:p>
        </w:tc>
        <w:tc>
          <w:tcPr>
            <w:tcW w:w="2333" w:type="dxa"/>
            <w:tcBorders>
              <w:top w:val="single" w:color="auto" w:sz="8" w:space="0"/>
              <w:bottom w:val="single" w:color="auto" w:sz="8" w:space="0"/>
            </w:tcBorders>
            <w:vAlign w:val="center"/>
          </w:tcPr>
          <w:p w14:paraId="5C1B089D">
            <w:pPr>
              <w:pStyle w:val="178"/>
            </w:pPr>
            <w:r>
              <w:rPr>
                <w:rFonts w:hint="eastAsia"/>
              </w:rPr>
              <w:t>主要采集内容</w:t>
            </w:r>
          </w:p>
        </w:tc>
        <w:tc>
          <w:tcPr>
            <w:tcW w:w="2333" w:type="dxa"/>
            <w:tcBorders>
              <w:top w:val="single" w:color="auto" w:sz="8" w:space="0"/>
              <w:bottom w:val="single" w:color="auto" w:sz="8" w:space="0"/>
            </w:tcBorders>
            <w:vAlign w:val="center"/>
          </w:tcPr>
          <w:p w14:paraId="14265CA9">
            <w:pPr>
              <w:pStyle w:val="178"/>
            </w:pPr>
            <w:r>
              <w:rPr>
                <w:rFonts w:hint="eastAsia"/>
              </w:rPr>
              <w:t>采集频率</w:t>
            </w:r>
          </w:p>
        </w:tc>
        <w:tc>
          <w:tcPr>
            <w:tcW w:w="2334" w:type="dxa"/>
            <w:tcBorders>
              <w:top w:val="single" w:color="auto" w:sz="8" w:space="0"/>
              <w:bottom w:val="single" w:color="auto" w:sz="8" w:space="0"/>
            </w:tcBorders>
            <w:vAlign w:val="center"/>
          </w:tcPr>
          <w:p w14:paraId="1EBD68E8">
            <w:pPr>
              <w:pStyle w:val="178"/>
            </w:pPr>
            <w:r>
              <w:rPr>
                <w:rFonts w:hint="eastAsia"/>
              </w:rPr>
              <w:t>精度要求</w:t>
            </w:r>
          </w:p>
        </w:tc>
      </w:tr>
      <w:tr w14:paraId="09BB9B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top w:val="single" w:color="auto" w:sz="8" w:space="0"/>
            </w:tcBorders>
            <w:vAlign w:val="center"/>
          </w:tcPr>
          <w:p w14:paraId="1B2E5D82">
            <w:pPr>
              <w:pStyle w:val="178"/>
            </w:pPr>
            <w:r>
              <w:rPr>
                <w:rFonts w:hint="eastAsia"/>
              </w:rPr>
              <w:t>电梯运行状态数据</w:t>
            </w:r>
          </w:p>
        </w:tc>
        <w:tc>
          <w:tcPr>
            <w:tcW w:w="2333" w:type="dxa"/>
            <w:tcBorders>
              <w:top w:val="single" w:color="auto" w:sz="8" w:space="0"/>
            </w:tcBorders>
            <w:vAlign w:val="center"/>
          </w:tcPr>
          <w:p w14:paraId="5CC606FC">
            <w:pPr>
              <w:pStyle w:val="178"/>
            </w:pPr>
            <w:r>
              <w:rPr>
                <w:rFonts w:hint="eastAsia"/>
              </w:rPr>
              <w:t>速度、位置、开关门状态、载荷、运行方向</w:t>
            </w:r>
          </w:p>
        </w:tc>
        <w:tc>
          <w:tcPr>
            <w:tcW w:w="2333" w:type="dxa"/>
            <w:tcBorders>
              <w:top w:val="single" w:color="auto" w:sz="8" w:space="0"/>
            </w:tcBorders>
            <w:vAlign w:val="center"/>
          </w:tcPr>
          <w:p w14:paraId="3406EBAE">
            <w:pPr>
              <w:pStyle w:val="178"/>
            </w:pPr>
            <w:r>
              <w:rPr>
                <w:rFonts w:hint="eastAsia"/>
              </w:rPr>
              <w:t>实时</w:t>
            </w:r>
          </w:p>
        </w:tc>
        <w:tc>
          <w:tcPr>
            <w:tcW w:w="2334" w:type="dxa"/>
            <w:tcBorders>
              <w:top w:val="single" w:color="auto" w:sz="8" w:space="0"/>
            </w:tcBorders>
            <w:vAlign w:val="center"/>
          </w:tcPr>
          <w:p w14:paraId="088C4EE7">
            <w:pPr>
              <w:pStyle w:val="178"/>
            </w:pPr>
            <w:r>
              <w:rPr>
                <w:rFonts w:hint="eastAsia"/>
              </w:rPr>
              <w:t>误差≤1%</w:t>
            </w:r>
          </w:p>
        </w:tc>
      </w:tr>
      <w:tr w14:paraId="7FB35F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Align w:val="center"/>
          </w:tcPr>
          <w:p w14:paraId="7D4893EC">
            <w:pPr>
              <w:pStyle w:val="178"/>
            </w:pPr>
            <w:r>
              <w:rPr>
                <w:rFonts w:hint="eastAsia"/>
              </w:rPr>
              <w:t>报警信息</w:t>
            </w:r>
          </w:p>
        </w:tc>
        <w:tc>
          <w:tcPr>
            <w:tcW w:w="2333" w:type="dxa"/>
            <w:vAlign w:val="center"/>
          </w:tcPr>
          <w:p w14:paraId="645FC78F">
            <w:pPr>
              <w:pStyle w:val="178"/>
            </w:pPr>
            <w:r>
              <w:rPr>
                <w:rFonts w:hint="eastAsia"/>
              </w:rPr>
              <w:t>报警类型、报警时间、报警位置</w:t>
            </w:r>
          </w:p>
        </w:tc>
        <w:tc>
          <w:tcPr>
            <w:tcW w:w="2333" w:type="dxa"/>
            <w:vAlign w:val="center"/>
          </w:tcPr>
          <w:p w14:paraId="4977987C">
            <w:pPr>
              <w:pStyle w:val="178"/>
            </w:pPr>
            <w:r>
              <w:rPr>
                <w:rFonts w:hint="eastAsia"/>
              </w:rPr>
              <w:t>实时</w:t>
            </w:r>
          </w:p>
        </w:tc>
        <w:tc>
          <w:tcPr>
            <w:tcW w:w="2334" w:type="dxa"/>
            <w:vAlign w:val="center"/>
          </w:tcPr>
          <w:p w14:paraId="0C21973B">
            <w:pPr>
              <w:pStyle w:val="178"/>
            </w:pPr>
            <w:r>
              <w:rPr>
                <w:rFonts w:hint="eastAsia"/>
              </w:rPr>
              <w:t>精确到秒</w:t>
            </w:r>
          </w:p>
        </w:tc>
      </w:tr>
      <w:tr w14:paraId="4EB2E4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Align w:val="center"/>
          </w:tcPr>
          <w:p w14:paraId="1F56B8F5">
            <w:pPr>
              <w:pStyle w:val="178"/>
            </w:pPr>
            <w:r>
              <w:rPr>
                <w:rFonts w:hint="eastAsia"/>
              </w:rPr>
              <w:t>故障诊断数据</w:t>
            </w:r>
          </w:p>
        </w:tc>
        <w:tc>
          <w:tcPr>
            <w:tcW w:w="2333" w:type="dxa"/>
            <w:vAlign w:val="center"/>
          </w:tcPr>
          <w:p w14:paraId="5D025BA7">
            <w:pPr>
              <w:pStyle w:val="178"/>
            </w:pPr>
            <w:r>
              <w:rPr>
                <w:rFonts w:hint="eastAsia"/>
              </w:rPr>
              <w:t>故障类型、故障部位、触发条件</w:t>
            </w:r>
          </w:p>
        </w:tc>
        <w:tc>
          <w:tcPr>
            <w:tcW w:w="2333" w:type="dxa"/>
            <w:vAlign w:val="center"/>
          </w:tcPr>
          <w:p w14:paraId="3E830EE7">
            <w:pPr>
              <w:pStyle w:val="178"/>
            </w:pPr>
            <w:r>
              <w:rPr>
                <w:rFonts w:hint="eastAsia"/>
              </w:rPr>
              <w:t>实时/按需</w:t>
            </w:r>
          </w:p>
        </w:tc>
        <w:tc>
          <w:tcPr>
            <w:tcW w:w="2334" w:type="dxa"/>
            <w:vAlign w:val="center"/>
          </w:tcPr>
          <w:p w14:paraId="44DF89B6">
            <w:pPr>
              <w:pStyle w:val="178"/>
            </w:pPr>
            <w:r>
              <w:rPr>
                <w:rFonts w:hint="eastAsia"/>
              </w:rPr>
              <w:t>精确定位故障部位</w:t>
            </w:r>
          </w:p>
        </w:tc>
      </w:tr>
      <w:tr w14:paraId="503EF7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Align w:val="center"/>
          </w:tcPr>
          <w:p w14:paraId="3FE6BE19">
            <w:pPr>
              <w:pStyle w:val="178"/>
            </w:pPr>
            <w:r>
              <w:rPr>
                <w:rFonts w:hint="eastAsia"/>
              </w:rPr>
              <w:t>救援过程记录</w:t>
            </w:r>
          </w:p>
        </w:tc>
        <w:tc>
          <w:tcPr>
            <w:tcW w:w="2333" w:type="dxa"/>
            <w:vAlign w:val="center"/>
          </w:tcPr>
          <w:p w14:paraId="1217A571">
            <w:pPr>
              <w:pStyle w:val="178"/>
            </w:pPr>
            <w:r>
              <w:rPr>
                <w:rFonts w:hint="eastAsia"/>
              </w:rPr>
              <w:t>到达时间、救援步骤、处置结果</w:t>
            </w:r>
          </w:p>
        </w:tc>
        <w:tc>
          <w:tcPr>
            <w:tcW w:w="2333" w:type="dxa"/>
            <w:vAlign w:val="center"/>
          </w:tcPr>
          <w:p w14:paraId="3032AA28">
            <w:pPr>
              <w:pStyle w:val="178"/>
            </w:pPr>
            <w:r>
              <w:rPr>
                <w:rFonts w:hint="eastAsia"/>
              </w:rPr>
              <w:t>事件全过程</w:t>
            </w:r>
          </w:p>
        </w:tc>
        <w:tc>
          <w:tcPr>
            <w:tcW w:w="2334" w:type="dxa"/>
            <w:vAlign w:val="center"/>
          </w:tcPr>
          <w:p w14:paraId="22B68CA9">
            <w:pPr>
              <w:pStyle w:val="178"/>
            </w:pPr>
            <w:r>
              <w:rPr>
                <w:rFonts w:hint="eastAsia"/>
              </w:rPr>
              <w:t>完整记录</w:t>
            </w:r>
          </w:p>
        </w:tc>
      </w:tr>
      <w:tr w14:paraId="589AFA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Align w:val="center"/>
          </w:tcPr>
          <w:p w14:paraId="1AB7327A">
            <w:pPr>
              <w:pStyle w:val="178"/>
            </w:pPr>
            <w:r>
              <w:rPr>
                <w:rFonts w:hint="eastAsia"/>
              </w:rPr>
              <w:t>维护保养记录</w:t>
            </w:r>
          </w:p>
        </w:tc>
        <w:tc>
          <w:tcPr>
            <w:tcW w:w="2333" w:type="dxa"/>
            <w:vAlign w:val="center"/>
          </w:tcPr>
          <w:p w14:paraId="0118225B">
            <w:pPr>
              <w:pStyle w:val="178"/>
            </w:pPr>
            <w:r>
              <w:rPr>
                <w:rFonts w:hint="eastAsia"/>
              </w:rPr>
              <w:t>维保时间、维保内容、维保人员信息</w:t>
            </w:r>
          </w:p>
        </w:tc>
        <w:tc>
          <w:tcPr>
            <w:tcW w:w="2333" w:type="dxa"/>
            <w:vAlign w:val="center"/>
          </w:tcPr>
          <w:p w14:paraId="15EA9ABC">
            <w:pPr>
              <w:pStyle w:val="178"/>
            </w:pPr>
            <w:r>
              <w:rPr>
                <w:rFonts w:hint="eastAsia"/>
              </w:rPr>
              <w:t>每次维保</w:t>
            </w:r>
          </w:p>
        </w:tc>
        <w:tc>
          <w:tcPr>
            <w:tcW w:w="2334" w:type="dxa"/>
            <w:vAlign w:val="center"/>
          </w:tcPr>
          <w:p w14:paraId="643ECF13">
            <w:pPr>
              <w:pStyle w:val="178"/>
            </w:pPr>
            <w:r>
              <w:rPr>
                <w:rFonts w:hint="eastAsia"/>
              </w:rPr>
              <w:t>信息完整可追溯</w:t>
            </w:r>
          </w:p>
        </w:tc>
      </w:tr>
    </w:tbl>
    <w:p w14:paraId="23A9F063">
      <w:pPr>
        <w:pStyle w:val="105"/>
        <w:spacing w:before="120" w:after="120" w:line="360" w:lineRule="auto"/>
      </w:pPr>
      <w:r>
        <w:rPr>
          <w:rFonts w:hint="eastAsia"/>
        </w:rPr>
        <w:t>数据存储与备份</w:t>
      </w:r>
    </w:p>
    <w:p w14:paraId="4977D131">
      <w:pPr>
        <w:pStyle w:val="56"/>
        <w:spacing w:line="360" w:lineRule="auto"/>
        <w:ind w:firstLine="420"/>
      </w:pPr>
      <w:r>
        <w:rPr>
          <w:rFonts w:hint="eastAsia"/>
        </w:rPr>
        <w:t>系统应建立集中数据存储平台，采用分级管理和权限控制措施，确保数据安全。重要数据应按规定周期进行备份，并在不同物理位置存放副本，防止单点故障造成数据丢失。</w:t>
      </w:r>
    </w:p>
    <w:p w14:paraId="063DB2F1">
      <w:pPr>
        <w:pStyle w:val="105"/>
        <w:spacing w:before="120" w:after="120" w:line="360" w:lineRule="auto"/>
      </w:pPr>
      <w:r>
        <w:rPr>
          <w:rFonts w:hint="eastAsia"/>
        </w:rPr>
        <w:t>信息交互要求</w:t>
      </w:r>
    </w:p>
    <w:p w14:paraId="08067316">
      <w:pPr>
        <w:pStyle w:val="56"/>
        <w:spacing w:line="360" w:lineRule="auto"/>
        <w:ind w:firstLine="420"/>
      </w:pPr>
      <w:r>
        <w:rPr>
          <w:rFonts w:hint="eastAsia"/>
        </w:rPr>
        <w:t>信息交互应实现不同系统、不同部门之间的互联互通，并支持标准化接口和多种通信协议。交互信息应包括报警信息、救援方案、状态更新、救援结果等。典型的信息交互流程见表2。</w:t>
      </w:r>
    </w:p>
    <w:p w14:paraId="2FD077F6">
      <w:pPr>
        <w:pStyle w:val="112"/>
        <w:spacing w:before="120" w:after="120" w:line="360" w:lineRule="auto"/>
      </w:pPr>
      <w:r>
        <w:rPr>
          <w:rFonts w:hint="eastAsia"/>
        </w:rPr>
        <w:t>电梯应急救援信息交互流程</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66"/>
        <w:gridCol w:w="1867"/>
        <w:gridCol w:w="1867"/>
        <w:gridCol w:w="1867"/>
        <w:gridCol w:w="1867"/>
      </w:tblGrid>
      <w:tr w14:paraId="05E415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66" w:type="dxa"/>
            <w:tcBorders>
              <w:top w:val="single" w:color="auto" w:sz="8" w:space="0"/>
              <w:bottom w:val="single" w:color="auto" w:sz="8" w:space="0"/>
            </w:tcBorders>
            <w:vAlign w:val="center"/>
          </w:tcPr>
          <w:p w14:paraId="72CF32BE">
            <w:pPr>
              <w:pStyle w:val="178"/>
            </w:pPr>
            <w:r>
              <w:rPr>
                <w:rFonts w:hint="eastAsia"/>
              </w:rPr>
              <w:t>流程阶段</w:t>
            </w:r>
          </w:p>
        </w:tc>
        <w:tc>
          <w:tcPr>
            <w:tcW w:w="1867" w:type="dxa"/>
            <w:tcBorders>
              <w:top w:val="single" w:color="auto" w:sz="8" w:space="0"/>
              <w:bottom w:val="single" w:color="auto" w:sz="8" w:space="0"/>
            </w:tcBorders>
            <w:vAlign w:val="center"/>
          </w:tcPr>
          <w:p w14:paraId="11DA88DB">
            <w:pPr>
              <w:pStyle w:val="178"/>
            </w:pPr>
            <w:r>
              <w:rPr>
                <w:rFonts w:hint="eastAsia"/>
              </w:rPr>
              <w:t>发送方</w:t>
            </w:r>
          </w:p>
        </w:tc>
        <w:tc>
          <w:tcPr>
            <w:tcW w:w="1867" w:type="dxa"/>
            <w:tcBorders>
              <w:top w:val="single" w:color="auto" w:sz="8" w:space="0"/>
              <w:bottom w:val="single" w:color="auto" w:sz="8" w:space="0"/>
            </w:tcBorders>
            <w:vAlign w:val="center"/>
          </w:tcPr>
          <w:p w14:paraId="07C0E758">
            <w:pPr>
              <w:pStyle w:val="178"/>
            </w:pPr>
            <w:r>
              <w:rPr>
                <w:rFonts w:hint="eastAsia"/>
              </w:rPr>
              <w:t>接收方</w:t>
            </w:r>
          </w:p>
        </w:tc>
        <w:tc>
          <w:tcPr>
            <w:tcW w:w="1867" w:type="dxa"/>
            <w:tcBorders>
              <w:top w:val="single" w:color="auto" w:sz="8" w:space="0"/>
              <w:bottom w:val="single" w:color="auto" w:sz="8" w:space="0"/>
            </w:tcBorders>
            <w:vAlign w:val="center"/>
          </w:tcPr>
          <w:p w14:paraId="0E77CDC6">
            <w:pPr>
              <w:pStyle w:val="178"/>
            </w:pPr>
            <w:r>
              <w:rPr>
                <w:rFonts w:hint="eastAsia"/>
              </w:rPr>
              <w:t>信息内容</w:t>
            </w:r>
          </w:p>
        </w:tc>
        <w:tc>
          <w:tcPr>
            <w:tcW w:w="1867" w:type="dxa"/>
            <w:tcBorders>
              <w:top w:val="single" w:color="auto" w:sz="8" w:space="0"/>
              <w:bottom w:val="single" w:color="auto" w:sz="8" w:space="0"/>
            </w:tcBorders>
            <w:vAlign w:val="center"/>
          </w:tcPr>
          <w:p w14:paraId="251DDE40">
            <w:pPr>
              <w:pStyle w:val="178"/>
            </w:pPr>
            <w:r>
              <w:rPr>
                <w:rFonts w:hint="eastAsia"/>
              </w:rPr>
              <w:t>响应时限</w:t>
            </w:r>
          </w:p>
        </w:tc>
      </w:tr>
      <w:tr w14:paraId="55F1B5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tcBorders>
              <w:top w:val="single" w:color="auto" w:sz="8" w:space="0"/>
            </w:tcBorders>
            <w:vAlign w:val="center"/>
          </w:tcPr>
          <w:p w14:paraId="1A148201">
            <w:pPr>
              <w:pStyle w:val="178"/>
            </w:pPr>
            <w:r>
              <w:rPr>
                <w:rFonts w:hint="eastAsia"/>
              </w:rPr>
              <w:t>报警触发</w:t>
            </w:r>
          </w:p>
        </w:tc>
        <w:tc>
          <w:tcPr>
            <w:tcW w:w="1867" w:type="dxa"/>
            <w:tcBorders>
              <w:top w:val="single" w:color="auto" w:sz="8" w:space="0"/>
            </w:tcBorders>
            <w:vAlign w:val="center"/>
          </w:tcPr>
          <w:p w14:paraId="1FCC2573">
            <w:pPr>
              <w:pStyle w:val="178"/>
            </w:pPr>
            <w:r>
              <w:rPr>
                <w:rFonts w:hint="eastAsia"/>
              </w:rPr>
              <w:t>电梯控制系统</w:t>
            </w:r>
          </w:p>
        </w:tc>
        <w:tc>
          <w:tcPr>
            <w:tcW w:w="1867" w:type="dxa"/>
            <w:tcBorders>
              <w:top w:val="single" w:color="auto" w:sz="8" w:space="0"/>
            </w:tcBorders>
            <w:vAlign w:val="center"/>
          </w:tcPr>
          <w:p w14:paraId="75C57262">
            <w:pPr>
              <w:pStyle w:val="178"/>
            </w:pPr>
            <w:r>
              <w:rPr>
                <w:rFonts w:hint="eastAsia"/>
              </w:rPr>
              <w:t>应急救援平台</w:t>
            </w:r>
          </w:p>
        </w:tc>
        <w:tc>
          <w:tcPr>
            <w:tcW w:w="1867" w:type="dxa"/>
            <w:tcBorders>
              <w:top w:val="single" w:color="auto" w:sz="8" w:space="0"/>
            </w:tcBorders>
            <w:vAlign w:val="center"/>
          </w:tcPr>
          <w:p w14:paraId="32C20FFD">
            <w:pPr>
              <w:pStyle w:val="178"/>
            </w:pPr>
            <w:r>
              <w:rPr>
                <w:rFonts w:hint="eastAsia"/>
              </w:rPr>
              <w:t>报警类型、位置、时间</w:t>
            </w:r>
          </w:p>
        </w:tc>
        <w:tc>
          <w:tcPr>
            <w:tcW w:w="1867" w:type="dxa"/>
            <w:tcBorders>
              <w:top w:val="single" w:color="auto" w:sz="8" w:space="0"/>
            </w:tcBorders>
            <w:vAlign w:val="center"/>
          </w:tcPr>
          <w:p w14:paraId="59EC3673">
            <w:pPr>
              <w:pStyle w:val="178"/>
            </w:pPr>
            <w:r>
              <w:rPr>
                <w:rFonts w:hint="eastAsia"/>
              </w:rPr>
              <w:t>≤5秒</w:t>
            </w:r>
          </w:p>
        </w:tc>
      </w:tr>
      <w:tr w14:paraId="12F737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Align w:val="center"/>
          </w:tcPr>
          <w:p w14:paraId="34DDA210">
            <w:pPr>
              <w:pStyle w:val="178"/>
            </w:pPr>
            <w:r>
              <w:rPr>
                <w:rFonts w:hint="eastAsia"/>
              </w:rPr>
              <w:t>故障诊断</w:t>
            </w:r>
          </w:p>
        </w:tc>
        <w:tc>
          <w:tcPr>
            <w:tcW w:w="1867" w:type="dxa"/>
            <w:vAlign w:val="center"/>
          </w:tcPr>
          <w:p w14:paraId="359F0C8A">
            <w:pPr>
              <w:pStyle w:val="178"/>
            </w:pPr>
            <w:r>
              <w:rPr>
                <w:rFonts w:hint="eastAsia"/>
              </w:rPr>
              <w:t>救援平台</w:t>
            </w:r>
          </w:p>
        </w:tc>
        <w:tc>
          <w:tcPr>
            <w:tcW w:w="1867" w:type="dxa"/>
            <w:vAlign w:val="center"/>
          </w:tcPr>
          <w:p w14:paraId="31B0E3F9">
            <w:pPr>
              <w:pStyle w:val="178"/>
            </w:pPr>
            <w:r>
              <w:rPr>
                <w:rFonts w:hint="eastAsia"/>
              </w:rPr>
              <w:t>维保单位</w:t>
            </w:r>
          </w:p>
        </w:tc>
        <w:tc>
          <w:tcPr>
            <w:tcW w:w="1867" w:type="dxa"/>
            <w:vAlign w:val="center"/>
          </w:tcPr>
          <w:p w14:paraId="6A269920">
            <w:pPr>
              <w:pStyle w:val="178"/>
            </w:pPr>
            <w:r>
              <w:rPr>
                <w:rFonts w:hint="eastAsia"/>
              </w:rPr>
              <w:t>故障类型、原因分析</w:t>
            </w:r>
          </w:p>
        </w:tc>
        <w:tc>
          <w:tcPr>
            <w:tcW w:w="1867" w:type="dxa"/>
            <w:vAlign w:val="center"/>
          </w:tcPr>
          <w:p w14:paraId="65CD6060">
            <w:pPr>
              <w:pStyle w:val="178"/>
            </w:pPr>
            <w:r>
              <w:rPr>
                <w:rFonts w:hint="eastAsia"/>
              </w:rPr>
              <w:t>≤30秒</w:t>
            </w:r>
          </w:p>
        </w:tc>
      </w:tr>
      <w:tr w14:paraId="1E92E7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Align w:val="center"/>
          </w:tcPr>
          <w:p w14:paraId="31179BFC">
            <w:pPr>
              <w:pStyle w:val="178"/>
            </w:pPr>
            <w:r>
              <w:rPr>
                <w:rFonts w:hint="eastAsia"/>
              </w:rPr>
              <w:t>救援调度</w:t>
            </w:r>
          </w:p>
        </w:tc>
        <w:tc>
          <w:tcPr>
            <w:tcW w:w="1867" w:type="dxa"/>
            <w:vAlign w:val="center"/>
          </w:tcPr>
          <w:p w14:paraId="71C7DE85">
            <w:pPr>
              <w:pStyle w:val="178"/>
            </w:pPr>
            <w:r>
              <w:rPr>
                <w:rFonts w:hint="eastAsia"/>
              </w:rPr>
              <w:t>救援平台</w:t>
            </w:r>
          </w:p>
        </w:tc>
        <w:tc>
          <w:tcPr>
            <w:tcW w:w="1867" w:type="dxa"/>
            <w:vAlign w:val="center"/>
          </w:tcPr>
          <w:p w14:paraId="1BB09B91">
            <w:pPr>
              <w:pStyle w:val="178"/>
            </w:pPr>
            <w:r>
              <w:rPr>
                <w:rFonts w:hint="eastAsia"/>
              </w:rPr>
              <w:t>应急救援人员</w:t>
            </w:r>
          </w:p>
        </w:tc>
        <w:tc>
          <w:tcPr>
            <w:tcW w:w="1867" w:type="dxa"/>
            <w:vAlign w:val="center"/>
          </w:tcPr>
          <w:p w14:paraId="614CB7E8">
            <w:pPr>
              <w:pStyle w:val="178"/>
            </w:pPr>
            <w:r>
              <w:rPr>
                <w:rFonts w:hint="eastAsia"/>
              </w:rPr>
              <w:t>救援指令、位置导航</w:t>
            </w:r>
          </w:p>
        </w:tc>
        <w:tc>
          <w:tcPr>
            <w:tcW w:w="1867" w:type="dxa"/>
            <w:vAlign w:val="center"/>
          </w:tcPr>
          <w:p w14:paraId="57381BE4">
            <w:pPr>
              <w:pStyle w:val="178"/>
            </w:pPr>
            <w:r>
              <w:rPr>
                <w:rFonts w:hint="eastAsia"/>
              </w:rPr>
              <w:t>≤60秒</w:t>
            </w:r>
          </w:p>
        </w:tc>
      </w:tr>
      <w:tr w14:paraId="32CC58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Align w:val="center"/>
          </w:tcPr>
          <w:p w14:paraId="04BA772C">
            <w:pPr>
              <w:pStyle w:val="178"/>
            </w:pPr>
            <w:r>
              <w:rPr>
                <w:rFonts w:hint="eastAsia"/>
              </w:rPr>
              <w:t>状态更新</w:t>
            </w:r>
          </w:p>
        </w:tc>
        <w:tc>
          <w:tcPr>
            <w:tcW w:w="1867" w:type="dxa"/>
            <w:vAlign w:val="center"/>
          </w:tcPr>
          <w:p w14:paraId="007A88B6">
            <w:pPr>
              <w:pStyle w:val="178"/>
            </w:pPr>
            <w:r>
              <w:rPr>
                <w:rFonts w:hint="eastAsia"/>
              </w:rPr>
              <w:t>救援人员移动终端</w:t>
            </w:r>
          </w:p>
        </w:tc>
        <w:tc>
          <w:tcPr>
            <w:tcW w:w="1867" w:type="dxa"/>
            <w:vAlign w:val="center"/>
          </w:tcPr>
          <w:p w14:paraId="77DB6AA8">
            <w:pPr>
              <w:pStyle w:val="178"/>
            </w:pPr>
            <w:r>
              <w:rPr>
                <w:rFonts w:hint="eastAsia"/>
              </w:rPr>
              <w:t>救援平台</w:t>
            </w:r>
          </w:p>
        </w:tc>
        <w:tc>
          <w:tcPr>
            <w:tcW w:w="1867" w:type="dxa"/>
            <w:vAlign w:val="center"/>
          </w:tcPr>
          <w:p w14:paraId="3797A63F">
            <w:pPr>
              <w:pStyle w:val="178"/>
            </w:pPr>
            <w:r>
              <w:rPr>
                <w:rFonts w:hint="eastAsia"/>
              </w:rPr>
              <w:t>救援进度、现场情况</w:t>
            </w:r>
          </w:p>
        </w:tc>
        <w:tc>
          <w:tcPr>
            <w:tcW w:w="1867" w:type="dxa"/>
            <w:vAlign w:val="center"/>
          </w:tcPr>
          <w:p w14:paraId="4FD17D9A">
            <w:pPr>
              <w:pStyle w:val="178"/>
            </w:pPr>
            <w:r>
              <w:rPr>
                <w:rFonts w:hint="eastAsia"/>
              </w:rPr>
              <w:t>实时</w:t>
            </w:r>
          </w:p>
        </w:tc>
      </w:tr>
      <w:tr w14:paraId="171894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Align w:val="center"/>
          </w:tcPr>
          <w:p w14:paraId="645B0C7E">
            <w:pPr>
              <w:pStyle w:val="178"/>
            </w:pPr>
            <w:r>
              <w:rPr>
                <w:rFonts w:hint="eastAsia"/>
              </w:rPr>
              <w:t>处置完成</w:t>
            </w:r>
          </w:p>
        </w:tc>
        <w:tc>
          <w:tcPr>
            <w:tcW w:w="1867" w:type="dxa"/>
            <w:vAlign w:val="center"/>
          </w:tcPr>
          <w:p w14:paraId="13FB1DD6">
            <w:pPr>
              <w:pStyle w:val="178"/>
            </w:pPr>
            <w:r>
              <w:rPr>
                <w:rFonts w:hint="eastAsia"/>
              </w:rPr>
              <w:t>救援平台</w:t>
            </w:r>
          </w:p>
        </w:tc>
        <w:tc>
          <w:tcPr>
            <w:tcW w:w="1867" w:type="dxa"/>
            <w:vAlign w:val="center"/>
          </w:tcPr>
          <w:p w14:paraId="23B448FA">
            <w:pPr>
              <w:pStyle w:val="178"/>
            </w:pPr>
            <w:r>
              <w:rPr>
                <w:rFonts w:hint="eastAsia"/>
              </w:rPr>
              <w:t>所有相关单位</w:t>
            </w:r>
          </w:p>
        </w:tc>
        <w:tc>
          <w:tcPr>
            <w:tcW w:w="1867" w:type="dxa"/>
            <w:vAlign w:val="center"/>
          </w:tcPr>
          <w:p w14:paraId="56605511">
            <w:pPr>
              <w:pStyle w:val="178"/>
            </w:pPr>
            <w:r>
              <w:rPr>
                <w:rFonts w:hint="eastAsia"/>
              </w:rPr>
              <w:t>处置结果、数据归档</w:t>
            </w:r>
          </w:p>
        </w:tc>
        <w:tc>
          <w:tcPr>
            <w:tcW w:w="1867" w:type="dxa"/>
            <w:vAlign w:val="center"/>
          </w:tcPr>
          <w:p w14:paraId="48AC5A7F">
            <w:pPr>
              <w:pStyle w:val="178"/>
            </w:pPr>
            <w:r>
              <w:rPr>
                <w:rFonts w:hint="eastAsia"/>
              </w:rPr>
              <w:t>事件结束后5分钟内</w:t>
            </w:r>
          </w:p>
        </w:tc>
      </w:tr>
    </w:tbl>
    <w:p w14:paraId="2B81EAD7">
      <w:pPr>
        <w:pStyle w:val="105"/>
        <w:spacing w:before="120" w:after="120" w:line="360" w:lineRule="auto"/>
      </w:pPr>
      <w:r>
        <w:rPr>
          <w:rFonts w:hint="eastAsia"/>
        </w:rPr>
        <w:t>数据安全与隐私保护</w:t>
      </w:r>
    </w:p>
    <w:p w14:paraId="4E298868">
      <w:pPr>
        <w:pStyle w:val="56"/>
        <w:spacing w:line="360" w:lineRule="auto"/>
        <w:ind w:firstLine="420"/>
      </w:pPr>
      <w:r>
        <w:rPr>
          <w:rFonts w:hint="eastAsia"/>
        </w:rPr>
        <w:t>系统在数据采集、传输和存储过程中应采用加密、防篡改及访问控制等技术措施，防止数据泄露或被非法修改。涉及个人信息的，应严格遵守个人信息保护相关法规，采用脱敏处理和分级授权管理。</w:t>
      </w:r>
    </w:p>
    <w:p w14:paraId="58B5A182">
      <w:pPr>
        <w:pStyle w:val="104"/>
        <w:spacing w:before="240" w:after="240" w:line="360" w:lineRule="auto"/>
      </w:pPr>
      <w:bookmarkStart w:id="54" w:name="_Toc205755636"/>
      <w:r>
        <w:rPr>
          <w:rFonts w:hint="eastAsia"/>
        </w:rPr>
        <w:t>运行流程与响应机制</w:t>
      </w:r>
      <w:bookmarkEnd w:id="54"/>
    </w:p>
    <w:p w14:paraId="1F019211">
      <w:pPr>
        <w:pStyle w:val="105"/>
        <w:spacing w:before="120" w:after="120" w:line="360" w:lineRule="auto"/>
      </w:pPr>
      <w:r>
        <w:rPr>
          <w:rFonts w:hint="eastAsia"/>
        </w:rPr>
        <w:t>总体要求</w:t>
      </w:r>
    </w:p>
    <w:p w14:paraId="1A4D5BDD">
      <w:pPr>
        <w:pStyle w:val="56"/>
        <w:spacing w:line="360" w:lineRule="auto"/>
        <w:ind w:firstLine="420"/>
      </w:pPr>
      <w:r>
        <w:rPr>
          <w:rFonts w:hint="eastAsia"/>
        </w:rPr>
        <w:t>电梯应急救援智能响应系统的运行流程应确保信息传递高效、救援行动快速、协同配合有序。应明确各参与方在不同阶段的职责和任务，确保突发事件能在最短时间内得到有效处置。</w:t>
      </w:r>
    </w:p>
    <w:p w14:paraId="6F532F6C">
      <w:pPr>
        <w:pStyle w:val="105"/>
        <w:spacing w:before="120" w:after="120" w:line="360" w:lineRule="auto"/>
      </w:pPr>
      <w:r>
        <w:rPr>
          <w:rFonts w:hint="eastAsia"/>
        </w:rPr>
        <w:t>运行流程</w:t>
      </w:r>
    </w:p>
    <w:p w14:paraId="654F4522">
      <w:pPr>
        <w:pStyle w:val="56"/>
        <w:spacing w:line="360" w:lineRule="auto"/>
        <w:ind w:firstLine="420"/>
      </w:pPr>
      <w:r>
        <w:rPr>
          <w:rFonts w:hint="eastAsia"/>
        </w:rPr>
        <w:t>电梯应急救援智能响应系统的运行流程一般包括报警触发、信息传输、故障诊断、任务调度、现场救援、反馈归档六个阶段，各阶段的主要任务见表3。</w:t>
      </w:r>
    </w:p>
    <w:p w14:paraId="28962ABF">
      <w:pPr>
        <w:pStyle w:val="112"/>
        <w:spacing w:before="120" w:after="120" w:line="360" w:lineRule="auto"/>
      </w:pPr>
      <w:r>
        <w:rPr>
          <w:rFonts w:hint="eastAsia"/>
        </w:rPr>
        <w:t>电梯应急救援运行流程及主要任务</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4"/>
        <w:gridCol w:w="2333"/>
        <w:gridCol w:w="2333"/>
        <w:gridCol w:w="2334"/>
      </w:tblGrid>
      <w:tr w14:paraId="4698A3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34" w:type="dxa"/>
            <w:tcBorders>
              <w:top w:val="single" w:color="auto" w:sz="8" w:space="0"/>
              <w:bottom w:val="single" w:color="auto" w:sz="8" w:space="0"/>
            </w:tcBorders>
            <w:vAlign w:val="center"/>
          </w:tcPr>
          <w:p w14:paraId="4D0D4D10">
            <w:pPr>
              <w:pStyle w:val="178"/>
            </w:pPr>
            <w:r>
              <w:rPr>
                <w:rFonts w:hint="eastAsia"/>
              </w:rPr>
              <w:t>阶段</w:t>
            </w:r>
          </w:p>
        </w:tc>
        <w:tc>
          <w:tcPr>
            <w:tcW w:w="2333" w:type="dxa"/>
            <w:tcBorders>
              <w:top w:val="single" w:color="auto" w:sz="8" w:space="0"/>
              <w:bottom w:val="single" w:color="auto" w:sz="8" w:space="0"/>
            </w:tcBorders>
            <w:vAlign w:val="center"/>
          </w:tcPr>
          <w:p w14:paraId="12524BFC">
            <w:pPr>
              <w:pStyle w:val="178"/>
            </w:pPr>
            <w:r>
              <w:rPr>
                <w:rFonts w:hint="eastAsia"/>
              </w:rPr>
              <w:t>主要任务</w:t>
            </w:r>
          </w:p>
        </w:tc>
        <w:tc>
          <w:tcPr>
            <w:tcW w:w="2333" w:type="dxa"/>
            <w:tcBorders>
              <w:top w:val="single" w:color="auto" w:sz="8" w:space="0"/>
              <w:bottom w:val="single" w:color="auto" w:sz="8" w:space="0"/>
            </w:tcBorders>
            <w:vAlign w:val="center"/>
          </w:tcPr>
          <w:p w14:paraId="7A39CEF8">
            <w:pPr>
              <w:pStyle w:val="178"/>
            </w:pPr>
            <w:r>
              <w:rPr>
                <w:rFonts w:hint="eastAsia"/>
              </w:rPr>
              <w:t>责任主体</w:t>
            </w:r>
          </w:p>
        </w:tc>
        <w:tc>
          <w:tcPr>
            <w:tcW w:w="2334" w:type="dxa"/>
            <w:tcBorders>
              <w:top w:val="single" w:color="auto" w:sz="8" w:space="0"/>
              <w:bottom w:val="single" w:color="auto" w:sz="8" w:space="0"/>
            </w:tcBorders>
            <w:vAlign w:val="center"/>
          </w:tcPr>
          <w:p w14:paraId="16C60ACA">
            <w:pPr>
              <w:pStyle w:val="178"/>
            </w:pPr>
            <w:r>
              <w:rPr>
                <w:rFonts w:hint="eastAsia"/>
              </w:rPr>
              <w:t>关键时效要求</w:t>
            </w:r>
          </w:p>
        </w:tc>
      </w:tr>
      <w:tr w14:paraId="14A23F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top w:val="single" w:color="auto" w:sz="8" w:space="0"/>
            </w:tcBorders>
            <w:vAlign w:val="center"/>
          </w:tcPr>
          <w:p w14:paraId="68BBAD1B">
            <w:pPr>
              <w:pStyle w:val="178"/>
            </w:pPr>
            <w:r>
              <w:rPr>
                <w:rFonts w:hint="eastAsia"/>
              </w:rPr>
              <w:t>报警触发</w:t>
            </w:r>
          </w:p>
        </w:tc>
        <w:tc>
          <w:tcPr>
            <w:tcW w:w="2333" w:type="dxa"/>
            <w:tcBorders>
              <w:top w:val="single" w:color="auto" w:sz="8" w:space="0"/>
            </w:tcBorders>
            <w:vAlign w:val="center"/>
          </w:tcPr>
          <w:p w14:paraId="02ECE35E">
            <w:pPr>
              <w:pStyle w:val="178"/>
            </w:pPr>
            <w:r>
              <w:rPr>
                <w:rFonts w:hint="eastAsia"/>
              </w:rPr>
              <w:t>电梯检测到异常或乘客发出紧急呼叫，系统生成报警信息</w:t>
            </w:r>
          </w:p>
        </w:tc>
        <w:tc>
          <w:tcPr>
            <w:tcW w:w="2333" w:type="dxa"/>
            <w:tcBorders>
              <w:top w:val="single" w:color="auto" w:sz="8" w:space="0"/>
            </w:tcBorders>
            <w:vAlign w:val="center"/>
          </w:tcPr>
          <w:p w14:paraId="54DB389B">
            <w:pPr>
              <w:pStyle w:val="178"/>
            </w:pPr>
            <w:r>
              <w:rPr>
                <w:rFonts w:hint="eastAsia"/>
              </w:rPr>
              <w:t>电梯控制系统</w:t>
            </w:r>
          </w:p>
        </w:tc>
        <w:tc>
          <w:tcPr>
            <w:tcW w:w="2334" w:type="dxa"/>
            <w:tcBorders>
              <w:top w:val="single" w:color="auto" w:sz="8" w:space="0"/>
            </w:tcBorders>
            <w:vAlign w:val="center"/>
          </w:tcPr>
          <w:p w14:paraId="791779A2">
            <w:pPr>
              <w:pStyle w:val="178"/>
            </w:pPr>
            <w:r>
              <w:rPr>
                <w:rFonts w:hint="eastAsia"/>
              </w:rPr>
              <w:t>≤5秒内完成报警生成</w:t>
            </w:r>
          </w:p>
        </w:tc>
      </w:tr>
      <w:tr w14:paraId="629687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Align w:val="center"/>
          </w:tcPr>
          <w:p w14:paraId="2F5F7167">
            <w:pPr>
              <w:pStyle w:val="178"/>
            </w:pPr>
            <w:r>
              <w:rPr>
                <w:rFonts w:hint="eastAsia"/>
              </w:rPr>
              <w:t>信息传输</w:t>
            </w:r>
          </w:p>
        </w:tc>
        <w:tc>
          <w:tcPr>
            <w:tcW w:w="2333" w:type="dxa"/>
            <w:vAlign w:val="center"/>
          </w:tcPr>
          <w:p w14:paraId="7B8E4924">
            <w:pPr>
              <w:pStyle w:val="178"/>
            </w:pPr>
            <w:r>
              <w:rPr>
                <w:rFonts w:hint="eastAsia"/>
              </w:rPr>
              <w:t>报警信息通过网络传输至救援平台</w:t>
            </w:r>
          </w:p>
        </w:tc>
        <w:tc>
          <w:tcPr>
            <w:tcW w:w="2333" w:type="dxa"/>
            <w:vAlign w:val="center"/>
          </w:tcPr>
          <w:p w14:paraId="1C98EA48">
            <w:pPr>
              <w:pStyle w:val="178"/>
            </w:pPr>
            <w:r>
              <w:rPr>
                <w:rFonts w:hint="eastAsia"/>
              </w:rPr>
              <w:t>网络传输层</w:t>
            </w:r>
          </w:p>
        </w:tc>
        <w:tc>
          <w:tcPr>
            <w:tcW w:w="2334" w:type="dxa"/>
            <w:vAlign w:val="center"/>
          </w:tcPr>
          <w:p w14:paraId="31609DE7">
            <w:pPr>
              <w:pStyle w:val="178"/>
            </w:pPr>
            <w:r>
              <w:rPr>
                <w:rFonts w:hint="eastAsia"/>
              </w:rPr>
              <w:t>≤5秒内完成传输</w:t>
            </w:r>
          </w:p>
        </w:tc>
      </w:tr>
      <w:tr w14:paraId="09DC5D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Align w:val="center"/>
          </w:tcPr>
          <w:p w14:paraId="43D078E6">
            <w:pPr>
              <w:pStyle w:val="178"/>
            </w:pPr>
            <w:r>
              <w:rPr>
                <w:rFonts w:hint="eastAsia"/>
              </w:rPr>
              <w:t>故障诊断</w:t>
            </w:r>
          </w:p>
        </w:tc>
        <w:tc>
          <w:tcPr>
            <w:tcW w:w="2333" w:type="dxa"/>
            <w:vAlign w:val="center"/>
          </w:tcPr>
          <w:p w14:paraId="2FBADBAF">
            <w:pPr>
              <w:pStyle w:val="178"/>
            </w:pPr>
            <w:r>
              <w:rPr>
                <w:rFonts w:hint="eastAsia"/>
              </w:rPr>
              <w:t>分析电梯运行数据，识别故障类型与位置</w:t>
            </w:r>
          </w:p>
        </w:tc>
        <w:tc>
          <w:tcPr>
            <w:tcW w:w="2333" w:type="dxa"/>
            <w:vAlign w:val="center"/>
          </w:tcPr>
          <w:p w14:paraId="2E8A9108">
            <w:pPr>
              <w:pStyle w:val="178"/>
            </w:pPr>
            <w:r>
              <w:rPr>
                <w:rFonts w:hint="eastAsia"/>
              </w:rPr>
              <w:t>平台处理层</w:t>
            </w:r>
          </w:p>
        </w:tc>
        <w:tc>
          <w:tcPr>
            <w:tcW w:w="2334" w:type="dxa"/>
            <w:vAlign w:val="center"/>
          </w:tcPr>
          <w:p w14:paraId="14EAAC30">
            <w:pPr>
              <w:pStyle w:val="178"/>
            </w:pPr>
            <w:r>
              <w:rPr>
                <w:rFonts w:hint="eastAsia"/>
              </w:rPr>
              <w:t>≤30秒内完成诊断</w:t>
            </w:r>
          </w:p>
        </w:tc>
      </w:tr>
      <w:tr w14:paraId="1C3980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Align w:val="center"/>
          </w:tcPr>
          <w:p w14:paraId="65FA88A0">
            <w:pPr>
              <w:pStyle w:val="178"/>
            </w:pPr>
            <w:r>
              <w:rPr>
                <w:rFonts w:hint="eastAsia"/>
              </w:rPr>
              <w:t>任务调度</w:t>
            </w:r>
          </w:p>
        </w:tc>
        <w:tc>
          <w:tcPr>
            <w:tcW w:w="2333" w:type="dxa"/>
            <w:vAlign w:val="center"/>
          </w:tcPr>
          <w:p w14:paraId="57585FA1">
            <w:pPr>
              <w:pStyle w:val="178"/>
            </w:pPr>
            <w:r>
              <w:rPr>
                <w:rFonts w:hint="eastAsia"/>
              </w:rPr>
              <w:t>根据故障信息派发救援任务至就近可用救援力量</w:t>
            </w:r>
          </w:p>
        </w:tc>
        <w:tc>
          <w:tcPr>
            <w:tcW w:w="2333" w:type="dxa"/>
            <w:vAlign w:val="center"/>
          </w:tcPr>
          <w:p w14:paraId="745986D7">
            <w:pPr>
              <w:pStyle w:val="178"/>
            </w:pPr>
            <w:r>
              <w:rPr>
                <w:rFonts w:hint="eastAsia"/>
              </w:rPr>
              <w:t>救援调度平台</w:t>
            </w:r>
          </w:p>
        </w:tc>
        <w:tc>
          <w:tcPr>
            <w:tcW w:w="2334" w:type="dxa"/>
            <w:vAlign w:val="center"/>
          </w:tcPr>
          <w:p w14:paraId="2996E0C4">
            <w:pPr>
              <w:pStyle w:val="178"/>
            </w:pPr>
            <w:r>
              <w:rPr>
                <w:rFonts w:hint="eastAsia"/>
              </w:rPr>
              <w:t>≤60秒内完成派单</w:t>
            </w:r>
          </w:p>
        </w:tc>
      </w:tr>
      <w:tr w14:paraId="26216D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Align w:val="center"/>
          </w:tcPr>
          <w:p w14:paraId="64F0F7DC">
            <w:pPr>
              <w:pStyle w:val="178"/>
            </w:pPr>
            <w:r>
              <w:rPr>
                <w:rFonts w:hint="eastAsia"/>
              </w:rPr>
              <w:t>现场救援</w:t>
            </w:r>
          </w:p>
        </w:tc>
        <w:tc>
          <w:tcPr>
            <w:tcW w:w="2333" w:type="dxa"/>
            <w:vAlign w:val="center"/>
          </w:tcPr>
          <w:p w14:paraId="0B61AE08">
            <w:pPr>
              <w:pStyle w:val="178"/>
            </w:pPr>
            <w:r>
              <w:rPr>
                <w:rFonts w:hint="eastAsia"/>
              </w:rPr>
              <w:t>救援人员按导航到达现场并开展救援</w:t>
            </w:r>
          </w:p>
        </w:tc>
        <w:tc>
          <w:tcPr>
            <w:tcW w:w="2333" w:type="dxa"/>
            <w:vAlign w:val="center"/>
          </w:tcPr>
          <w:p w14:paraId="3D5E2D17">
            <w:pPr>
              <w:pStyle w:val="178"/>
            </w:pPr>
            <w:r>
              <w:rPr>
                <w:rFonts w:hint="eastAsia"/>
              </w:rPr>
              <w:t>维保单位/应急救援部门</w:t>
            </w:r>
          </w:p>
        </w:tc>
        <w:tc>
          <w:tcPr>
            <w:tcW w:w="2334" w:type="dxa"/>
            <w:vAlign w:val="center"/>
          </w:tcPr>
          <w:p w14:paraId="60F4B06F">
            <w:pPr>
              <w:pStyle w:val="178"/>
            </w:pPr>
            <w:r>
              <w:rPr>
                <w:rFonts w:hint="eastAsia"/>
              </w:rPr>
              <w:t>符合法规要求的到场时限</w:t>
            </w:r>
          </w:p>
        </w:tc>
      </w:tr>
      <w:tr w14:paraId="0F9F35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Align w:val="center"/>
          </w:tcPr>
          <w:p w14:paraId="6B7036BB">
            <w:pPr>
              <w:pStyle w:val="178"/>
            </w:pPr>
            <w:r>
              <w:rPr>
                <w:rFonts w:hint="eastAsia"/>
              </w:rPr>
              <w:t>反馈归档</w:t>
            </w:r>
          </w:p>
        </w:tc>
        <w:tc>
          <w:tcPr>
            <w:tcW w:w="2333" w:type="dxa"/>
            <w:vAlign w:val="center"/>
          </w:tcPr>
          <w:p w14:paraId="4AF083FE">
            <w:pPr>
              <w:pStyle w:val="178"/>
            </w:pPr>
            <w:r>
              <w:rPr>
                <w:rFonts w:hint="eastAsia"/>
              </w:rPr>
              <w:t>完成救援后提交处置记录并归档</w:t>
            </w:r>
          </w:p>
        </w:tc>
        <w:tc>
          <w:tcPr>
            <w:tcW w:w="2333" w:type="dxa"/>
            <w:vAlign w:val="center"/>
          </w:tcPr>
          <w:p w14:paraId="08047C05">
            <w:pPr>
              <w:pStyle w:val="178"/>
            </w:pPr>
            <w:r>
              <w:rPr>
                <w:rFonts w:hint="eastAsia"/>
              </w:rPr>
              <w:t>救援人员/平台</w:t>
            </w:r>
          </w:p>
        </w:tc>
        <w:tc>
          <w:tcPr>
            <w:tcW w:w="2334" w:type="dxa"/>
            <w:vAlign w:val="center"/>
          </w:tcPr>
          <w:p w14:paraId="2F169001">
            <w:pPr>
              <w:pStyle w:val="178"/>
            </w:pPr>
            <w:r>
              <w:rPr>
                <w:rFonts w:hint="eastAsia"/>
              </w:rPr>
              <w:t>事件结束后5分钟内完成归档</w:t>
            </w:r>
          </w:p>
        </w:tc>
      </w:tr>
    </w:tbl>
    <w:p w14:paraId="080FF97B">
      <w:pPr>
        <w:pStyle w:val="105"/>
        <w:spacing w:before="120" w:after="120" w:line="360" w:lineRule="auto"/>
      </w:pPr>
      <w:r>
        <w:rPr>
          <w:rFonts w:hint="eastAsia"/>
        </w:rPr>
        <w:t>响应机制</w:t>
      </w:r>
    </w:p>
    <w:p w14:paraId="67E28938">
      <w:pPr>
        <w:pStyle w:val="56"/>
        <w:spacing w:line="360" w:lineRule="auto"/>
        <w:ind w:firstLine="420"/>
      </w:pPr>
      <w:r>
        <w:rPr>
          <w:rFonts w:hint="eastAsia"/>
        </w:rPr>
        <w:t>响应机制应保证系统在接收到报警信号后自动启动全流程救援响应，包括：</w:t>
      </w:r>
    </w:p>
    <w:p w14:paraId="25C49167">
      <w:pPr>
        <w:pStyle w:val="132"/>
        <w:spacing w:line="360" w:lineRule="auto"/>
      </w:pPr>
      <w:r>
        <w:rPr>
          <w:rFonts w:hint="eastAsia"/>
        </w:rPr>
        <w:t>自动推送报警信息至救援平台与相关责任方；</w:t>
      </w:r>
    </w:p>
    <w:p w14:paraId="1BE99B69">
      <w:pPr>
        <w:pStyle w:val="132"/>
        <w:spacing w:line="360" w:lineRule="auto"/>
      </w:pPr>
      <w:r>
        <w:rPr>
          <w:rFonts w:hint="eastAsia"/>
        </w:rPr>
        <w:t>平台自动调用历史数据和模型进行故障诊断；</w:t>
      </w:r>
    </w:p>
    <w:p w14:paraId="364ADA3A">
      <w:pPr>
        <w:pStyle w:val="132"/>
        <w:spacing w:line="360" w:lineRule="auto"/>
      </w:pPr>
      <w:r>
        <w:rPr>
          <w:rFonts w:hint="eastAsia"/>
        </w:rPr>
        <w:t>根据位置与资源情况自动推荐救援力量并生成任务单；</w:t>
      </w:r>
    </w:p>
    <w:p w14:paraId="2B78A7E0">
      <w:pPr>
        <w:pStyle w:val="132"/>
        <w:spacing w:line="360" w:lineRule="auto"/>
      </w:pPr>
      <w:r>
        <w:rPr>
          <w:rFonts w:hint="eastAsia"/>
        </w:rPr>
        <w:t>在救援过程中实时收集状态信息并更新平台；</w:t>
      </w:r>
    </w:p>
    <w:p w14:paraId="2845426B">
      <w:pPr>
        <w:pStyle w:val="132"/>
        <w:spacing w:line="360" w:lineRule="auto"/>
      </w:pPr>
      <w:r>
        <w:rPr>
          <w:rFonts w:hint="eastAsia"/>
        </w:rPr>
        <w:t>救援完成后自动生成处置报告并存档。</w:t>
      </w:r>
    </w:p>
    <w:p w14:paraId="3B3ECFF2">
      <w:pPr>
        <w:pStyle w:val="105"/>
        <w:spacing w:before="120" w:after="120" w:line="360" w:lineRule="auto"/>
      </w:pPr>
      <w:r>
        <w:rPr>
          <w:rFonts w:hint="eastAsia"/>
        </w:rPr>
        <w:t>异常处理</w:t>
      </w:r>
    </w:p>
    <w:p w14:paraId="73BC540C">
      <w:pPr>
        <w:pStyle w:val="56"/>
        <w:spacing w:line="360" w:lineRule="auto"/>
        <w:ind w:firstLine="420"/>
      </w:pPr>
      <w:r>
        <w:rPr>
          <w:rFonts w:hint="eastAsia"/>
        </w:rPr>
        <w:t>当系统在运行过程中出现通信中断、设备故障或数据异常等情况时，应自动切换至备用通信链路或人工接管模式，并记录异常情况以便事后分析。</w:t>
      </w:r>
    </w:p>
    <w:p w14:paraId="0A9F6DF5">
      <w:pPr>
        <w:pStyle w:val="104"/>
        <w:spacing w:before="240" w:after="240" w:line="360" w:lineRule="auto"/>
      </w:pPr>
      <w:bookmarkStart w:id="55" w:name="_Toc205755637"/>
      <w:r>
        <w:rPr>
          <w:rFonts w:hint="eastAsia"/>
        </w:rPr>
        <w:t>系统安全与维护管理</w:t>
      </w:r>
      <w:bookmarkEnd w:id="55"/>
    </w:p>
    <w:p w14:paraId="2F54B8C8">
      <w:pPr>
        <w:pStyle w:val="105"/>
        <w:spacing w:before="120" w:after="120" w:line="360" w:lineRule="auto"/>
      </w:pPr>
      <w:r>
        <w:rPr>
          <w:rFonts w:hint="eastAsia"/>
        </w:rPr>
        <w:t>总体要求</w:t>
      </w:r>
    </w:p>
    <w:p w14:paraId="60418AA6">
      <w:pPr>
        <w:pStyle w:val="56"/>
        <w:spacing w:line="360" w:lineRule="auto"/>
        <w:ind w:firstLine="420"/>
      </w:pPr>
      <w:r>
        <w:rPr>
          <w:rFonts w:hint="eastAsia"/>
        </w:rPr>
        <w:t>电梯应急救援智能响应系统的安全与维护管理应同时满足电梯运行安全和信息系统安全的要求，确保系统在全生命周期内稳定、可靠运行，并保持较高的可用性和响应能力。</w:t>
      </w:r>
    </w:p>
    <w:p w14:paraId="011E6210">
      <w:pPr>
        <w:pStyle w:val="105"/>
        <w:spacing w:before="120" w:after="120" w:line="360" w:lineRule="auto"/>
      </w:pPr>
      <w:r>
        <w:rPr>
          <w:rFonts w:hint="eastAsia"/>
        </w:rPr>
        <w:t>设备安全管理</w:t>
      </w:r>
    </w:p>
    <w:p w14:paraId="17E40D90">
      <w:pPr>
        <w:pStyle w:val="56"/>
        <w:spacing w:line="360" w:lineRule="auto"/>
        <w:ind w:firstLine="420"/>
      </w:pPr>
      <w:r>
        <w:rPr>
          <w:rFonts w:hint="eastAsia"/>
        </w:rPr>
        <w:t>感知层设备应定期进行巡检，确保传感器、摄像机、紧急呼叫终端等工作正常。</w:t>
      </w:r>
    </w:p>
    <w:p w14:paraId="6104EB2A">
      <w:pPr>
        <w:pStyle w:val="56"/>
        <w:spacing w:line="360" w:lineRule="auto"/>
        <w:ind w:firstLine="420"/>
      </w:pPr>
      <w:r>
        <w:rPr>
          <w:rFonts w:hint="eastAsia"/>
        </w:rPr>
        <w:t>对易受损或关键设备应建立备品备件库，以便快速更换。</w:t>
      </w:r>
    </w:p>
    <w:p w14:paraId="6D1216EA">
      <w:pPr>
        <w:pStyle w:val="56"/>
        <w:spacing w:line="360" w:lineRule="auto"/>
        <w:ind w:firstLine="420"/>
      </w:pPr>
      <w:r>
        <w:rPr>
          <w:rFonts w:hint="eastAsia"/>
        </w:rPr>
        <w:t>现场设备应具备防水、防尘、防震等环境适应能力。</w:t>
      </w:r>
    </w:p>
    <w:p w14:paraId="0299DDCA">
      <w:pPr>
        <w:pStyle w:val="105"/>
        <w:spacing w:before="120" w:after="120" w:line="360" w:lineRule="auto"/>
      </w:pPr>
      <w:r>
        <w:rPr>
          <w:rFonts w:hint="eastAsia"/>
        </w:rPr>
        <w:t>软件与平台维护</w:t>
      </w:r>
    </w:p>
    <w:p w14:paraId="5F7A9324">
      <w:pPr>
        <w:pStyle w:val="56"/>
        <w:spacing w:line="360" w:lineRule="auto"/>
        <w:ind w:firstLine="420"/>
      </w:pPr>
      <w:r>
        <w:rPr>
          <w:rFonts w:hint="eastAsia"/>
        </w:rPr>
        <w:t>平台应定期进行系统升级和补丁更新，修复已知漏洞并优化功能。</w:t>
      </w:r>
    </w:p>
    <w:p w14:paraId="48D47987">
      <w:pPr>
        <w:pStyle w:val="56"/>
        <w:spacing w:line="360" w:lineRule="auto"/>
        <w:ind w:firstLine="420"/>
      </w:pPr>
      <w:r>
        <w:rPr>
          <w:rFonts w:hint="eastAsia"/>
        </w:rPr>
        <w:t>升级前应进行数据备份，升级后应开展功能验证测试。</w:t>
      </w:r>
    </w:p>
    <w:p w14:paraId="2FCF11BE">
      <w:pPr>
        <w:pStyle w:val="56"/>
        <w:spacing w:line="360" w:lineRule="auto"/>
        <w:ind w:firstLine="420"/>
      </w:pPr>
      <w:r>
        <w:rPr>
          <w:rFonts w:hint="eastAsia"/>
        </w:rPr>
        <w:t>平台应保持高可用架构，具备自动故障切换和灾难恢复能力。</w:t>
      </w:r>
    </w:p>
    <w:p w14:paraId="33C8CF98">
      <w:pPr>
        <w:pStyle w:val="105"/>
        <w:spacing w:before="120" w:after="120" w:line="360" w:lineRule="auto"/>
      </w:pPr>
      <w:r>
        <w:rPr>
          <w:rFonts w:hint="eastAsia"/>
        </w:rPr>
        <w:t>网络与数据安全</w:t>
      </w:r>
    </w:p>
    <w:p w14:paraId="1C838831">
      <w:pPr>
        <w:pStyle w:val="56"/>
        <w:spacing w:line="360" w:lineRule="auto"/>
        <w:ind w:firstLine="420"/>
      </w:pPr>
      <w:r>
        <w:rPr>
          <w:rFonts w:hint="eastAsia"/>
        </w:rPr>
        <w:t>网络传输应采用加密方式，防止数据在传输过程中被截获或篡改。</w:t>
      </w:r>
    </w:p>
    <w:p w14:paraId="63196C2B">
      <w:pPr>
        <w:pStyle w:val="56"/>
        <w:spacing w:line="360" w:lineRule="auto"/>
        <w:ind w:firstLine="420"/>
      </w:pPr>
      <w:r>
        <w:rPr>
          <w:rFonts w:hint="eastAsia"/>
        </w:rPr>
        <w:t>服务器应部署防火墙、入侵检测、防病毒等安全防护措施。</w:t>
      </w:r>
    </w:p>
    <w:p w14:paraId="788F6D88">
      <w:pPr>
        <w:pStyle w:val="56"/>
        <w:spacing w:line="360" w:lineRule="auto"/>
        <w:ind w:firstLine="420"/>
      </w:pPr>
      <w:r>
        <w:rPr>
          <w:rFonts w:hint="eastAsia"/>
        </w:rPr>
        <w:t>对涉及个人隐私的数据，应进行脱敏处理，并按权限分级管理。</w:t>
      </w:r>
    </w:p>
    <w:p w14:paraId="4A21C005">
      <w:pPr>
        <w:pStyle w:val="105"/>
        <w:spacing w:before="120" w:after="120" w:line="360" w:lineRule="auto"/>
      </w:pPr>
      <w:r>
        <w:rPr>
          <w:rFonts w:hint="eastAsia"/>
        </w:rPr>
        <w:t>维护计划与记录</w:t>
      </w:r>
    </w:p>
    <w:p w14:paraId="0BD06D84">
      <w:pPr>
        <w:pStyle w:val="56"/>
        <w:spacing w:line="360" w:lineRule="auto"/>
        <w:ind w:firstLine="420"/>
      </w:pPr>
      <w:r>
        <w:rPr>
          <w:rFonts w:hint="eastAsia"/>
        </w:rPr>
        <w:t>典型的维护任务和周期见表4。</w:t>
      </w:r>
    </w:p>
    <w:p w14:paraId="41D796CE">
      <w:pPr>
        <w:pStyle w:val="112"/>
        <w:spacing w:before="120" w:after="120" w:line="360" w:lineRule="auto"/>
      </w:pPr>
      <w:r>
        <w:rPr>
          <w:rFonts w:hint="eastAsia"/>
        </w:rPr>
        <w:t>电梯应急救援智能响应系统维护任务与周期</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4"/>
        <w:gridCol w:w="2333"/>
        <w:gridCol w:w="2333"/>
        <w:gridCol w:w="2334"/>
      </w:tblGrid>
      <w:tr w14:paraId="738006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34" w:type="dxa"/>
            <w:tcBorders>
              <w:top w:val="single" w:color="auto" w:sz="8" w:space="0"/>
              <w:bottom w:val="single" w:color="auto" w:sz="8" w:space="0"/>
            </w:tcBorders>
            <w:vAlign w:val="center"/>
          </w:tcPr>
          <w:p w14:paraId="4D27018C">
            <w:pPr>
              <w:pStyle w:val="178"/>
            </w:pPr>
            <w:r>
              <w:rPr>
                <w:rFonts w:hint="eastAsia"/>
              </w:rPr>
              <w:t>维护任务</w:t>
            </w:r>
          </w:p>
        </w:tc>
        <w:tc>
          <w:tcPr>
            <w:tcW w:w="2333" w:type="dxa"/>
            <w:tcBorders>
              <w:top w:val="single" w:color="auto" w:sz="8" w:space="0"/>
              <w:bottom w:val="single" w:color="auto" w:sz="8" w:space="0"/>
            </w:tcBorders>
            <w:vAlign w:val="center"/>
          </w:tcPr>
          <w:p w14:paraId="6C7329D4">
            <w:pPr>
              <w:pStyle w:val="178"/>
            </w:pPr>
            <w:r>
              <w:rPr>
                <w:rFonts w:hint="eastAsia"/>
              </w:rPr>
              <w:t>内容要点</w:t>
            </w:r>
          </w:p>
        </w:tc>
        <w:tc>
          <w:tcPr>
            <w:tcW w:w="2333" w:type="dxa"/>
            <w:tcBorders>
              <w:top w:val="single" w:color="auto" w:sz="8" w:space="0"/>
              <w:bottom w:val="single" w:color="auto" w:sz="8" w:space="0"/>
            </w:tcBorders>
            <w:vAlign w:val="center"/>
          </w:tcPr>
          <w:p w14:paraId="19189F48">
            <w:pPr>
              <w:pStyle w:val="178"/>
            </w:pPr>
            <w:r>
              <w:rPr>
                <w:rFonts w:hint="eastAsia"/>
              </w:rPr>
              <w:t>周期</w:t>
            </w:r>
          </w:p>
        </w:tc>
        <w:tc>
          <w:tcPr>
            <w:tcW w:w="2334" w:type="dxa"/>
            <w:tcBorders>
              <w:top w:val="single" w:color="auto" w:sz="8" w:space="0"/>
              <w:bottom w:val="single" w:color="auto" w:sz="8" w:space="0"/>
            </w:tcBorders>
            <w:vAlign w:val="center"/>
          </w:tcPr>
          <w:p w14:paraId="60A34AF8">
            <w:pPr>
              <w:pStyle w:val="178"/>
            </w:pPr>
            <w:r>
              <w:rPr>
                <w:rFonts w:hint="eastAsia"/>
              </w:rPr>
              <w:t>责任主体</w:t>
            </w:r>
          </w:p>
        </w:tc>
      </w:tr>
      <w:tr w14:paraId="48EDDD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top w:val="single" w:color="auto" w:sz="8" w:space="0"/>
            </w:tcBorders>
            <w:vAlign w:val="center"/>
          </w:tcPr>
          <w:p w14:paraId="118CFAFC">
            <w:pPr>
              <w:pStyle w:val="178"/>
            </w:pPr>
            <w:r>
              <w:rPr>
                <w:rFonts w:hint="eastAsia"/>
              </w:rPr>
              <w:t>设备巡检</w:t>
            </w:r>
          </w:p>
        </w:tc>
        <w:tc>
          <w:tcPr>
            <w:tcW w:w="2333" w:type="dxa"/>
            <w:tcBorders>
              <w:top w:val="single" w:color="auto" w:sz="8" w:space="0"/>
            </w:tcBorders>
            <w:vAlign w:val="center"/>
          </w:tcPr>
          <w:p w14:paraId="68854AD2">
            <w:pPr>
              <w:pStyle w:val="178"/>
            </w:pPr>
            <w:r>
              <w:rPr>
                <w:rFonts w:hint="eastAsia"/>
              </w:rPr>
              <w:t>检查传感器、摄像机、紧急呼叫终端等运行状态</w:t>
            </w:r>
          </w:p>
        </w:tc>
        <w:tc>
          <w:tcPr>
            <w:tcW w:w="2333" w:type="dxa"/>
            <w:tcBorders>
              <w:top w:val="single" w:color="auto" w:sz="8" w:space="0"/>
            </w:tcBorders>
            <w:vAlign w:val="center"/>
          </w:tcPr>
          <w:p w14:paraId="5C9439BF">
            <w:pPr>
              <w:pStyle w:val="178"/>
            </w:pPr>
            <w:r>
              <w:rPr>
                <w:rFonts w:hint="eastAsia"/>
              </w:rPr>
              <w:t>每月</w:t>
            </w:r>
          </w:p>
        </w:tc>
        <w:tc>
          <w:tcPr>
            <w:tcW w:w="2334" w:type="dxa"/>
            <w:tcBorders>
              <w:top w:val="single" w:color="auto" w:sz="8" w:space="0"/>
            </w:tcBorders>
            <w:vAlign w:val="center"/>
          </w:tcPr>
          <w:p w14:paraId="3D783DF6">
            <w:pPr>
              <w:pStyle w:val="178"/>
            </w:pPr>
            <w:r>
              <w:rPr>
                <w:rFonts w:hint="eastAsia"/>
              </w:rPr>
              <w:t>维保单位</w:t>
            </w:r>
          </w:p>
        </w:tc>
      </w:tr>
      <w:tr w14:paraId="05492C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Align w:val="center"/>
          </w:tcPr>
          <w:p w14:paraId="685A8773">
            <w:pPr>
              <w:pStyle w:val="178"/>
            </w:pPr>
            <w:r>
              <w:rPr>
                <w:rFonts w:hint="eastAsia"/>
              </w:rPr>
              <w:t>系统备份</w:t>
            </w:r>
          </w:p>
        </w:tc>
        <w:tc>
          <w:tcPr>
            <w:tcW w:w="2333" w:type="dxa"/>
            <w:vAlign w:val="center"/>
          </w:tcPr>
          <w:p w14:paraId="740B3D50">
            <w:pPr>
              <w:pStyle w:val="178"/>
            </w:pPr>
            <w:r>
              <w:rPr>
                <w:rFonts w:hint="eastAsia"/>
              </w:rPr>
              <w:t>备份数据库、配置文件和日志</w:t>
            </w:r>
          </w:p>
        </w:tc>
        <w:tc>
          <w:tcPr>
            <w:tcW w:w="2333" w:type="dxa"/>
            <w:vAlign w:val="center"/>
          </w:tcPr>
          <w:p w14:paraId="6E3C0D89">
            <w:pPr>
              <w:pStyle w:val="178"/>
            </w:pPr>
            <w:r>
              <w:rPr>
                <w:rFonts w:hint="eastAsia"/>
              </w:rPr>
              <w:t>每周</w:t>
            </w:r>
          </w:p>
        </w:tc>
        <w:tc>
          <w:tcPr>
            <w:tcW w:w="2334" w:type="dxa"/>
            <w:vAlign w:val="center"/>
          </w:tcPr>
          <w:p w14:paraId="10E03B21">
            <w:pPr>
              <w:pStyle w:val="178"/>
            </w:pPr>
            <w:r>
              <w:rPr>
                <w:rFonts w:hint="eastAsia"/>
              </w:rPr>
              <w:t>平台运维单位</w:t>
            </w:r>
          </w:p>
        </w:tc>
      </w:tr>
      <w:tr w14:paraId="7BF467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Align w:val="center"/>
          </w:tcPr>
          <w:p w14:paraId="633501C6">
            <w:pPr>
              <w:pStyle w:val="178"/>
            </w:pPr>
            <w:r>
              <w:rPr>
                <w:rFonts w:hint="eastAsia"/>
              </w:rPr>
              <w:t>软件升级</w:t>
            </w:r>
          </w:p>
        </w:tc>
        <w:tc>
          <w:tcPr>
            <w:tcW w:w="2333" w:type="dxa"/>
            <w:vAlign w:val="center"/>
          </w:tcPr>
          <w:p w14:paraId="0392028B">
            <w:pPr>
              <w:pStyle w:val="178"/>
            </w:pPr>
            <w:r>
              <w:rPr>
                <w:rFonts w:hint="eastAsia"/>
              </w:rPr>
              <w:t>更新操作系统、应用程序及安全补丁</w:t>
            </w:r>
          </w:p>
        </w:tc>
        <w:tc>
          <w:tcPr>
            <w:tcW w:w="2333" w:type="dxa"/>
            <w:vAlign w:val="center"/>
          </w:tcPr>
          <w:p w14:paraId="13783A68">
            <w:pPr>
              <w:pStyle w:val="178"/>
            </w:pPr>
            <w:r>
              <w:rPr>
                <w:rFonts w:hint="eastAsia"/>
              </w:rPr>
              <w:t>每季度或必要时</w:t>
            </w:r>
          </w:p>
        </w:tc>
        <w:tc>
          <w:tcPr>
            <w:tcW w:w="2334" w:type="dxa"/>
            <w:vAlign w:val="center"/>
          </w:tcPr>
          <w:p w14:paraId="06656C32">
            <w:pPr>
              <w:pStyle w:val="178"/>
            </w:pPr>
            <w:r>
              <w:rPr>
                <w:rFonts w:hint="eastAsia"/>
              </w:rPr>
              <w:t>平台运维单位</w:t>
            </w:r>
          </w:p>
        </w:tc>
      </w:tr>
      <w:tr w14:paraId="52C684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Align w:val="center"/>
          </w:tcPr>
          <w:p w14:paraId="6A3068FB">
            <w:pPr>
              <w:pStyle w:val="178"/>
            </w:pPr>
            <w:r>
              <w:rPr>
                <w:rFonts w:hint="eastAsia"/>
              </w:rPr>
              <w:t>网络安全检测</w:t>
            </w:r>
          </w:p>
        </w:tc>
        <w:tc>
          <w:tcPr>
            <w:tcW w:w="2333" w:type="dxa"/>
            <w:vAlign w:val="center"/>
          </w:tcPr>
          <w:p w14:paraId="5E3861CA">
            <w:pPr>
              <w:pStyle w:val="178"/>
            </w:pPr>
            <w:r>
              <w:rPr>
                <w:rFonts w:hint="eastAsia"/>
              </w:rPr>
              <w:t>漏洞扫描、入侵检测、防病毒更新</w:t>
            </w:r>
          </w:p>
        </w:tc>
        <w:tc>
          <w:tcPr>
            <w:tcW w:w="2333" w:type="dxa"/>
            <w:vAlign w:val="center"/>
          </w:tcPr>
          <w:p w14:paraId="340C5ED8">
            <w:pPr>
              <w:pStyle w:val="178"/>
            </w:pPr>
            <w:r>
              <w:rPr>
                <w:rFonts w:hint="eastAsia"/>
              </w:rPr>
              <w:t>每季度</w:t>
            </w:r>
          </w:p>
        </w:tc>
        <w:tc>
          <w:tcPr>
            <w:tcW w:w="2334" w:type="dxa"/>
            <w:vAlign w:val="center"/>
          </w:tcPr>
          <w:p w14:paraId="599F63DA">
            <w:pPr>
              <w:pStyle w:val="178"/>
            </w:pPr>
            <w:r>
              <w:rPr>
                <w:rFonts w:hint="eastAsia"/>
              </w:rPr>
              <w:t>平台运维单位</w:t>
            </w:r>
          </w:p>
        </w:tc>
      </w:tr>
      <w:tr w14:paraId="7010D9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Align w:val="center"/>
          </w:tcPr>
          <w:p w14:paraId="24E187D0">
            <w:pPr>
              <w:pStyle w:val="178"/>
            </w:pPr>
            <w:r>
              <w:rPr>
                <w:rFonts w:hint="eastAsia"/>
              </w:rPr>
              <w:t>应急演练</w:t>
            </w:r>
          </w:p>
        </w:tc>
        <w:tc>
          <w:tcPr>
            <w:tcW w:w="2333" w:type="dxa"/>
            <w:vAlign w:val="center"/>
          </w:tcPr>
          <w:p w14:paraId="7B23FA25">
            <w:pPr>
              <w:pStyle w:val="178"/>
            </w:pPr>
            <w:r>
              <w:rPr>
                <w:rFonts w:hint="eastAsia"/>
              </w:rPr>
              <w:t>模拟电梯应急救援全流程</w:t>
            </w:r>
          </w:p>
        </w:tc>
        <w:tc>
          <w:tcPr>
            <w:tcW w:w="2333" w:type="dxa"/>
            <w:vAlign w:val="center"/>
          </w:tcPr>
          <w:p w14:paraId="2E405780">
            <w:pPr>
              <w:pStyle w:val="178"/>
            </w:pPr>
            <w:r>
              <w:rPr>
                <w:rFonts w:hint="eastAsia"/>
              </w:rPr>
              <w:t>每半年</w:t>
            </w:r>
          </w:p>
        </w:tc>
        <w:tc>
          <w:tcPr>
            <w:tcW w:w="2334" w:type="dxa"/>
            <w:vAlign w:val="center"/>
          </w:tcPr>
          <w:p w14:paraId="75699F4A">
            <w:pPr>
              <w:pStyle w:val="178"/>
            </w:pPr>
            <w:r>
              <w:rPr>
                <w:rFonts w:hint="eastAsia"/>
              </w:rPr>
              <w:t>使用管理单位、应急管理部门</w:t>
            </w:r>
          </w:p>
        </w:tc>
      </w:tr>
    </w:tbl>
    <w:p w14:paraId="111C7DEA">
      <w:pPr>
        <w:pStyle w:val="105"/>
        <w:spacing w:before="120" w:after="120" w:line="360" w:lineRule="auto"/>
      </w:pPr>
      <w:r>
        <w:rPr>
          <w:rFonts w:hint="eastAsia"/>
        </w:rPr>
        <w:t>应急保障</w:t>
      </w:r>
    </w:p>
    <w:p w14:paraId="2A62EE40">
      <w:pPr>
        <w:pStyle w:val="56"/>
        <w:spacing w:line="360" w:lineRule="auto"/>
        <w:ind w:firstLine="420"/>
      </w:pPr>
      <w:r>
        <w:rPr>
          <w:rFonts w:hint="eastAsia"/>
        </w:rPr>
        <w:t>应建立系统级的应急预案，涵盖硬件故障、软件异常、网络中断等情况，确保在突发事件中能够快速恢复系统运行。</w:t>
      </w:r>
    </w:p>
    <w:p w14:paraId="29A3829F">
      <w:pPr>
        <w:pStyle w:val="104"/>
        <w:spacing w:before="240" w:after="240" w:line="360" w:lineRule="auto"/>
      </w:pPr>
      <w:bookmarkStart w:id="56" w:name="_Toc205755638"/>
      <w:r>
        <w:rPr>
          <w:rFonts w:hint="eastAsia"/>
        </w:rPr>
        <w:t>人员培训与应急演练</w:t>
      </w:r>
      <w:bookmarkEnd w:id="56"/>
    </w:p>
    <w:p w14:paraId="4D18AC4B">
      <w:pPr>
        <w:pStyle w:val="105"/>
        <w:spacing w:before="120" w:after="120" w:line="360" w:lineRule="auto"/>
      </w:pPr>
      <w:r>
        <w:rPr>
          <w:rFonts w:hint="eastAsia"/>
        </w:rPr>
        <w:t>总体要求</w:t>
      </w:r>
    </w:p>
    <w:p w14:paraId="46969230">
      <w:pPr>
        <w:pStyle w:val="56"/>
        <w:spacing w:line="360" w:lineRule="auto"/>
        <w:ind w:firstLine="420"/>
      </w:pPr>
      <w:r>
        <w:rPr>
          <w:rFonts w:hint="eastAsia"/>
        </w:rPr>
        <w:t>电梯应急救援智能响应系统的高效运行依赖于人员的熟练操作和跨部门的协同配合。应建立系统化的培训和演练机制，使相关人员熟悉系统功能、操作流程及应急处置方法。</w:t>
      </w:r>
    </w:p>
    <w:p w14:paraId="6E7A1CAC">
      <w:pPr>
        <w:pStyle w:val="105"/>
        <w:spacing w:before="120" w:after="120" w:line="360" w:lineRule="auto"/>
      </w:pPr>
      <w:r>
        <w:rPr>
          <w:rFonts w:hint="eastAsia"/>
        </w:rPr>
        <w:t>培训内容</w:t>
      </w:r>
    </w:p>
    <w:p w14:paraId="5DAAD1DE">
      <w:pPr>
        <w:pStyle w:val="56"/>
        <w:spacing w:line="360" w:lineRule="auto"/>
        <w:ind w:firstLine="420"/>
      </w:pPr>
      <w:r>
        <w:rPr>
          <w:rFonts w:hint="eastAsia"/>
        </w:rPr>
        <w:t>培训内容应涵盖系统基础知识、操作技能、安全防护及应急处置等方面，典型的培训模块见表5。</w:t>
      </w:r>
    </w:p>
    <w:p w14:paraId="6B12BCD2">
      <w:pPr>
        <w:pStyle w:val="112"/>
        <w:spacing w:before="120" w:after="120" w:line="360" w:lineRule="auto"/>
      </w:pPr>
      <w:r>
        <w:rPr>
          <w:rFonts w:hint="eastAsia"/>
        </w:rPr>
        <w:t>电梯应急救援智能响应系统培训模块</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4"/>
        <w:gridCol w:w="2333"/>
        <w:gridCol w:w="2333"/>
        <w:gridCol w:w="2334"/>
      </w:tblGrid>
      <w:tr w14:paraId="40DC7D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34" w:type="dxa"/>
            <w:tcBorders>
              <w:top w:val="single" w:color="auto" w:sz="8" w:space="0"/>
              <w:bottom w:val="single" w:color="auto" w:sz="8" w:space="0"/>
            </w:tcBorders>
            <w:vAlign w:val="center"/>
          </w:tcPr>
          <w:p w14:paraId="2FAFCBBD">
            <w:pPr>
              <w:pStyle w:val="178"/>
            </w:pPr>
            <w:r>
              <w:rPr>
                <w:rFonts w:hint="eastAsia"/>
              </w:rPr>
              <w:t>培训模块</w:t>
            </w:r>
          </w:p>
        </w:tc>
        <w:tc>
          <w:tcPr>
            <w:tcW w:w="2333" w:type="dxa"/>
            <w:tcBorders>
              <w:top w:val="single" w:color="auto" w:sz="8" w:space="0"/>
              <w:bottom w:val="single" w:color="auto" w:sz="8" w:space="0"/>
            </w:tcBorders>
            <w:vAlign w:val="center"/>
          </w:tcPr>
          <w:p w14:paraId="0627E2D0">
            <w:pPr>
              <w:pStyle w:val="178"/>
            </w:pPr>
            <w:r>
              <w:rPr>
                <w:rFonts w:hint="eastAsia"/>
              </w:rPr>
              <w:t>主要内容</w:t>
            </w:r>
          </w:p>
        </w:tc>
        <w:tc>
          <w:tcPr>
            <w:tcW w:w="2333" w:type="dxa"/>
            <w:tcBorders>
              <w:top w:val="single" w:color="auto" w:sz="8" w:space="0"/>
              <w:bottom w:val="single" w:color="auto" w:sz="8" w:space="0"/>
            </w:tcBorders>
            <w:vAlign w:val="center"/>
          </w:tcPr>
          <w:p w14:paraId="4334EE2C">
            <w:pPr>
              <w:pStyle w:val="178"/>
            </w:pPr>
            <w:r>
              <w:rPr>
                <w:rFonts w:hint="eastAsia"/>
              </w:rPr>
              <w:t>适用对象</w:t>
            </w:r>
          </w:p>
        </w:tc>
        <w:tc>
          <w:tcPr>
            <w:tcW w:w="2334" w:type="dxa"/>
            <w:tcBorders>
              <w:top w:val="single" w:color="auto" w:sz="8" w:space="0"/>
              <w:bottom w:val="single" w:color="auto" w:sz="8" w:space="0"/>
            </w:tcBorders>
            <w:vAlign w:val="center"/>
          </w:tcPr>
          <w:p w14:paraId="60A1F90E">
            <w:pPr>
              <w:pStyle w:val="178"/>
            </w:pPr>
            <w:r>
              <w:rPr>
                <w:rFonts w:hint="eastAsia"/>
              </w:rPr>
              <w:t>培训周期</w:t>
            </w:r>
          </w:p>
        </w:tc>
      </w:tr>
      <w:tr w14:paraId="5141BF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top w:val="single" w:color="auto" w:sz="8" w:space="0"/>
            </w:tcBorders>
            <w:vAlign w:val="center"/>
          </w:tcPr>
          <w:p w14:paraId="65CA7B64">
            <w:pPr>
              <w:pStyle w:val="178"/>
            </w:pPr>
            <w:r>
              <w:rPr>
                <w:rFonts w:hint="eastAsia"/>
              </w:rPr>
              <w:t>系统基础知识</w:t>
            </w:r>
          </w:p>
        </w:tc>
        <w:tc>
          <w:tcPr>
            <w:tcW w:w="2333" w:type="dxa"/>
            <w:tcBorders>
              <w:top w:val="single" w:color="auto" w:sz="8" w:space="0"/>
            </w:tcBorders>
            <w:vAlign w:val="center"/>
          </w:tcPr>
          <w:p w14:paraId="23ECA95C">
            <w:pPr>
              <w:pStyle w:val="178"/>
            </w:pPr>
            <w:r>
              <w:rPr>
                <w:rFonts w:hint="eastAsia"/>
              </w:rPr>
              <w:t>系统架构、功能介绍、数据流向</w:t>
            </w:r>
          </w:p>
        </w:tc>
        <w:tc>
          <w:tcPr>
            <w:tcW w:w="2333" w:type="dxa"/>
            <w:tcBorders>
              <w:top w:val="single" w:color="auto" w:sz="8" w:space="0"/>
            </w:tcBorders>
            <w:vAlign w:val="center"/>
          </w:tcPr>
          <w:p w14:paraId="4929F5D4">
            <w:pPr>
              <w:pStyle w:val="178"/>
            </w:pPr>
            <w:r>
              <w:rPr>
                <w:rFonts w:hint="eastAsia"/>
              </w:rPr>
              <w:t>管理人员、维保人员</w:t>
            </w:r>
          </w:p>
        </w:tc>
        <w:tc>
          <w:tcPr>
            <w:tcW w:w="2334" w:type="dxa"/>
            <w:tcBorders>
              <w:top w:val="single" w:color="auto" w:sz="8" w:space="0"/>
            </w:tcBorders>
            <w:vAlign w:val="center"/>
          </w:tcPr>
          <w:p w14:paraId="69C8A3D3">
            <w:pPr>
              <w:pStyle w:val="178"/>
            </w:pPr>
            <w:r>
              <w:rPr>
                <w:rFonts w:hint="eastAsia"/>
              </w:rPr>
              <w:t>初次上岗及必要时</w:t>
            </w:r>
          </w:p>
        </w:tc>
      </w:tr>
      <w:tr w14:paraId="0E5F5C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Align w:val="center"/>
          </w:tcPr>
          <w:p w14:paraId="6257AB07">
            <w:pPr>
              <w:pStyle w:val="178"/>
            </w:pPr>
            <w:r>
              <w:rPr>
                <w:rFonts w:hint="eastAsia"/>
              </w:rPr>
              <w:t>操作技能</w:t>
            </w:r>
          </w:p>
        </w:tc>
        <w:tc>
          <w:tcPr>
            <w:tcW w:w="2333" w:type="dxa"/>
            <w:vAlign w:val="center"/>
          </w:tcPr>
          <w:p w14:paraId="58490D9F">
            <w:pPr>
              <w:pStyle w:val="178"/>
            </w:pPr>
            <w:r>
              <w:rPr>
                <w:rFonts w:hint="eastAsia"/>
              </w:rPr>
              <w:t>终端设备操作、平台功能使用、救援任务接收与反馈</w:t>
            </w:r>
          </w:p>
        </w:tc>
        <w:tc>
          <w:tcPr>
            <w:tcW w:w="2333" w:type="dxa"/>
            <w:vAlign w:val="center"/>
          </w:tcPr>
          <w:p w14:paraId="059C840D">
            <w:pPr>
              <w:pStyle w:val="178"/>
            </w:pPr>
            <w:r>
              <w:rPr>
                <w:rFonts w:hint="eastAsia"/>
              </w:rPr>
              <w:t>维保人员、应急人员</w:t>
            </w:r>
          </w:p>
        </w:tc>
        <w:tc>
          <w:tcPr>
            <w:tcW w:w="2334" w:type="dxa"/>
            <w:vAlign w:val="center"/>
          </w:tcPr>
          <w:p w14:paraId="6082A0CA">
            <w:pPr>
              <w:pStyle w:val="178"/>
            </w:pPr>
            <w:r>
              <w:rPr>
                <w:rFonts w:hint="eastAsia"/>
              </w:rPr>
              <w:t>每年</w:t>
            </w:r>
          </w:p>
        </w:tc>
      </w:tr>
      <w:tr w14:paraId="457E94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Align w:val="center"/>
          </w:tcPr>
          <w:p w14:paraId="7B78AC4B">
            <w:pPr>
              <w:pStyle w:val="178"/>
            </w:pPr>
            <w:r>
              <w:rPr>
                <w:rFonts w:hint="eastAsia"/>
              </w:rPr>
              <w:t>安全防护</w:t>
            </w:r>
          </w:p>
        </w:tc>
        <w:tc>
          <w:tcPr>
            <w:tcW w:w="2333" w:type="dxa"/>
            <w:vAlign w:val="center"/>
          </w:tcPr>
          <w:p w14:paraId="5F76A870">
            <w:pPr>
              <w:pStyle w:val="178"/>
            </w:pPr>
            <w:r>
              <w:rPr>
                <w:rFonts w:hint="eastAsia"/>
              </w:rPr>
              <w:t>网络安全意识、数据保护措施</w:t>
            </w:r>
          </w:p>
        </w:tc>
        <w:tc>
          <w:tcPr>
            <w:tcW w:w="2333" w:type="dxa"/>
            <w:vAlign w:val="center"/>
          </w:tcPr>
          <w:p w14:paraId="6628BFCE">
            <w:pPr>
              <w:pStyle w:val="178"/>
            </w:pPr>
            <w:r>
              <w:rPr>
                <w:rFonts w:hint="eastAsia"/>
              </w:rPr>
              <w:t>所有使用人员</w:t>
            </w:r>
          </w:p>
        </w:tc>
        <w:tc>
          <w:tcPr>
            <w:tcW w:w="2334" w:type="dxa"/>
            <w:vAlign w:val="center"/>
          </w:tcPr>
          <w:p w14:paraId="445329FC">
            <w:pPr>
              <w:pStyle w:val="178"/>
            </w:pPr>
            <w:r>
              <w:rPr>
                <w:rFonts w:hint="eastAsia"/>
              </w:rPr>
              <w:t>每年</w:t>
            </w:r>
          </w:p>
        </w:tc>
      </w:tr>
      <w:tr w14:paraId="6FCF69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Align w:val="center"/>
          </w:tcPr>
          <w:p w14:paraId="242001D3">
            <w:pPr>
              <w:pStyle w:val="178"/>
            </w:pPr>
            <w:r>
              <w:rPr>
                <w:rFonts w:hint="eastAsia"/>
              </w:rPr>
              <w:t>应急处置</w:t>
            </w:r>
          </w:p>
        </w:tc>
        <w:tc>
          <w:tcPr>
            <w:tcW w:w="2333" w:type="dxa"/>
            <w:vAlign w:val="center"/>
          </w:tcPr>
          <w:p w14:paraId="7AF2C4B4">
            <w:pPr>
              <w:pStyle w:val="178"/>
            </w:pPr>
            <w:r>
              <w:rPr>
                <w:rFonts w:hint="eastAsia"/>
              </w:rPr>
              <w:t>报警处理流程、救援协调、异常情况应对</w:t>
            </w:r>
          </w:p>
        </w:tc>
        <w:tc>
          <w:tcPr>
            <w:tcW w:w="2333" w:type="dxa"/>
            <w:vAlign w:val="center"/>
          </w:tcPr>
          <w:p w14:paraId="4E71316A">
            <w:pPr>
              <w:pStyle w:val="178"/>
            </w:pPr>
            <w:r>
              <w:rPr>
                <w:rFonts w:hint="eastAsia"/>
              </w:rPr>
              <w:t>应急人员、维保人员</w:t>
            </w:r>
          </w:p>
        </w:tc>
        <w:tc>
          <w:tcPr>
            <w:tcW w:w="2334" w:type="dxa"/>
            <w:vAlign w:val="center"/>
          </w:tcPr>
          <w:p w14:paraId="67818B71">
            <w:pPr>
              <w:pStyle w:val="178"/>
            </w:pPr>
            <w:r>
              <w:rPr>
                <w:rFonts w:hint="eastAsia"/>
              </w:rPr>
              <w:t>每半年</w:t>
            </w:r>
          </w:p>
        </w:tc>
      </w:tr>
    </w:tbl>
    <w:p w14:paraId="01B428F8">
      <w:pPr>
        <w:pStyle w:val="105"/>
        <w:spacing w:before="120" w:after="120" w:line="360" w:lineRule="auto"/>
      </w:pPr>
      <w:r>
        <w:rPr>
          <w:rFonts w:hint="eastAsia"/>
        </w:rPr>
        <w:t>培训方式</w:t>
      </w:r>
    </w:p>
    <w:p w14:paraId="77945BC0">
      <w:pPr>
        <w:pStyle w:val="56"/>
        <w:spacing w:line="360" w:lineRule="auto"/>
        <w:ind w:firstLine="420"/>
      </w:pPr>
      <w:r>
        <w:rPr>
          <w:rFonts w:hint="eastAsia"/>
        </w:rPr>
        <w:t>可采取集中授课、线上学习、实操演练等多种方式，结合视频教学、模拟操作平台和案例分析提升培训效果。培训结束后应进行考核，确保人员具备独立操作和处置能力。</w:t>
      </w:r>
    </w:p>
    <w:p w14:paraId="7C3AFDD4">
      <w:pPr>
        <w:pStyle w:val="105"/>
        <w:spacing w:before="120" w:after="120" w:line="360" w:lineRule="auto"/>
      </w:pPr>
      <w:r>
        <w:rPr>
          <w:rFonts w:hint="eastAsia"/>
        </w:rPr>
        <w:t>应急演练要求</w:t>
      </w:r>
    </w:p>
    <w:p w14:paraId="7E28B52F">
      <w:pPr>
        <w:pStyle w:val="56"/>
        <w:spacing w:line="360" w:lineRule="auto"/>
        <w:ind w:firstLine="420"/>
      </w:pPr>
      <w:r>
        <w:rPr>
          <w:rFonts w:hint="eastAsia"/>
        </w:rPr>
        <w:t>应急演练应覆盖报警触发、任务调度、现场救援、信息反馈及总结评估等全流程，确保系统在真实场景下的可靠性与响应速度。演练应包括单部门演练与多部门联合演练两类。</w:t>
      </w:r>
    </w:p>
    <w:p w14:paraId="0FC126C1">
      <w:pPr>
        <w:pStyle w:val="105"/>
        <w:spacing w:before="120" w:after="120" w:line="360" w:lineRule="auto"/>
      </w:pPr>
      <w:r>
        <w:rPr>
          <w:rFonts w:hint="eastAsia"/>
        </w:rPr>
        <w:t>演练评估与改进</w:t>
      </w:r>
    </w:p>
    <w:p w14:paraId="305AD961">
      <w:pPr>
        <w:pStyle w:val="56"/>
        <w:spacing w:line="360" w:lineRule="auto"/>
        <w:ind w:firstLine="420"/>
      </w:pPr>
      <w:r>
        <w:rPr>
          <w:rFonts w:hint="eastAsia"/>
        </w:rPr>
        <w:t>演练结束后，应对各环节进行评估，分析存在问题并制定改进措施。评估结果应形成书面报告，并纳入系统优化和人员培训计划。</w:t>
      </w:r>
    </w:p>
    <w:p w14:paraId="150111D8">
      <w:pPr>
        <w:pStyle w:val="104"/>
        <w:spacing w:before="240" w:after="240" w:line="360" w:lineRule="auto"/>
      </w:pPr>
      <w:bookmarkStart w:id="57" w:name="_Toc205755639"/>
      <w:r>
        <w:rPr>
          <w:rFonts w:hint="eastAsia"/>
        </w:rPr>
        <w:t>应急事件记录与追溯管理</w:t>
      </w:r>
      <w:bookmarkEnd w:id="57"/>
    </w:p>
    <w:p w14:paraId="21BBB89D">
      <w:pPr>
        <w:pStyle w:val="105"/>
        <w:spacing w:before="120" w:after="120" w:line="360" w:lineRule="auto"/>
      </w:pPr>
      <w:r>
        <w:rPr>
          <w:rFonts w:hint="eastAsia"/>
        </w:rPr>
        <w:t>总体要求</w:t>
      </w:r>
    </w:p>
    <w:p w14:paraId="39A6265E">
      <w:pPr>
        <w:pStyle w:val="56"/>
        <w:spacing w:line="360" w:lineRule="auto"/>
        <w:ind w:firstLine="420"/>
      </w:pPr>
      <w:r>
        <w:rPr>
          <w:rFonts w:hint="eastAsia"/>
        </w:rPr>
        <w:t>应急事件的记录与追溯管理应贯穿电梯应急救援全过程，确保事件信息完整、准确、可追溯。所有记录应真实反映事件的时间、地点、过程和结果，以便事后分析和持续改进。</w:t>
      </w:r>
    </w:p>
    <w:p w14:paraId="3A8469C1">
      <w:pPr>
        <w:pStyle w:val="105"/>
        <w:spacing w:before="120" w:after="120" w:line="360" w:lineRule="auto"/>
      </w:pPr>
      <w:r>
        <w:rPr>
          <w:rFonts w:hint="eastAsia"/>
        </w:rPr>
        <w:t>记录内容</w:t>
      </w:r>
    </w:p>
    <w:p w14:paraId="04D9F5E5">
      <w:pPr>
        <w:pStyle w:val="56"/>
        <w:spacing w:line="360" w:lineRule="auto"/>
        <w:ind w:firstLine="420"/>
      </w:pPr>
      <w:r>
        <w:rPr>
          <w:rFonts w:hint="eastAsia"/>
        </w:rPr>
        <w:t>应急事件记录应包括但不限于以下内容：事件基本信息（时间、地点、电梯编号）、报警触发方式、故障诊断结果、救援调度信息、现场处置情况、救援完成时间及结果等。必要时应附现场照片、视频及相关数据文件。</w:t>
      </w:r>
    </w:p>
    <w:p w14:paraId="7B988E7C">
      <w:pPr>
        <w:pStyle w:val="105"/>
        <w:spacing w:before="120" w:after="120" w:line="360" w:lineRule="auto"/>
      </w:pPr>
      <w:r>
        <w:rPr>
          <w:rFonts w:hint="eastAsia"/>
        </w:rPr>
        <w:t>记录方式</w:t>
      </w:r>
    </w:p>
    <w:p w14:paraId="269F2FF9">
      <w:pPr>
        <w:pStyle w:val="56"/>
        <w:spacing w:line="360" w:lineRule="auto"/>
        <w:ind w:firstLine="420"/>
      </w:pPr>
      <w:r>
        <w:rPr>
          <w:rFonts w:hint="eastAsia"/>
        </w:rPr>
        <w:t>系统应具备自动记录功能，能够实时采集并保存事件全过程数据。同时，救援人员应在处置完成后补充记录实际情况、操作细节和异常情况说明，确保信息全面。</w:t>
      </w:r>
    </w:p>
    <w:p w14:paraId="53D590FA">
      <w:pPr>
        <w:pStyle w:val="105"/>
        <w:spacing w:before="120" w:after="120" w:line="360" w:lineRule="auto"/>
      </w:pPr>
      <w:r>
        <w:rPr>
          <w:rFonts w:hint="eastAsia"/>
        </w:rPr>
        <w:t>信息归档</w:t>
      </w:r>
    </w:p>
    <w:p w14:paraId="4327A468">
      <w:pPr>
        <w:pStyle w:val="56"/>
        <w:spacing w:line="360" w:lineRule="auto"/>
        <w:ind w:firstLine="420"/>
      </w:pPr>
      <w:r>
        <w:rPr>
          <w:rFonts w:hint="eastAsia"/>
        </w:rPr>
        <w:t>所有应急事件记录应按照统一的分类编码规则归档，存储在安全可靠的数据库中，并设置访问权限控制。归档信息的保存期限应符合国家及行业相关规定。</w:t>
      </w:r>
    </w:p>
    <w:p w14:paraId="0666251A">
      <w:pPr>
        <w:pStyle w:val="105"/>
        <w:spacing w:before="120" w:after="120" w:line="360" w:lineRule="auto"/>
      </w:pPr>
      <w:r>
        <w:rPr>
          <w:rFonts w:hint="eastAsia"/>
        </w:rPr>
        <w:t>追溯管理</w:t>
      </w:r>
    </w:p>
    <w:p w14:paraId="17AA110B">
      <w:pPr>
        <w:pStyle w:val="56"/>
        <w:spacing w:line="360" w:lineRule="auto"/>
        <w:ind w:firstLine="420"/>
      </w:pPr>
      <w:r>
        <w:rPr>
          <w:rFonts w:hint="eastAsia"/>
        </w:rPr>
        <w:t>系统应支持事件检索和追溯功能，可根据时间、地点、事件类型、责任单位等条件快速查找历史事件记录。追溯结果应可视化展示，并支持生成统计分析报告，用于改进应急管理和系统功能。</w:t>
      </w:r>
    </w:p>
    <w:p w14:paraId="62DEDEC8">
      <w:pPr>
        <w:pStyle w:val="105"/>
        <w:spacing w:before="120" w:after="120" w:line="360" w:lineRule="auto"/>
      </w:pPr>
      <w:r>
        <w:rPr>
          <w:rFonts w:hint="eastAsia"/>
        </w:rPr>
        <w:t>事后分析</w:t>
      </w:r>
    </w:p>
    <w:p w14:paraId="285226B2">
      <w:pPr>
        <w:pStyle w:val="56"/>
        <w:spacing w:line="360" w:lineRule="auto"/>
        <w:ind w:firstLine="420"/>
      </w:pPr>
      <w:r>
        <w:rPr>
          <w:rFonts w:hint="eastAsia"/>
        </w:rPr>
        <w:t>对于重大或异常应急事件，应组织相关单位开展事后分析，总结经验教训，提出整改措施，并将改进意见纳入系统优化和人员培训中，实现应急管理的闭环提升。</w:t>
      </w:r>
    </w:p>
    <w:p w14:paraId="30CBDA62">
      <w:pPr>
        <w:pStyle w:val="104"/>
        <w:spacing w:before="240" w:after="240" w:line="360" w:lineRule="auto"/>
      </w:pPr>
      <w:bookmarkStart w:id="58" w:name="_Toc205755640"/>
      <w:r>
        <w:rPr>
          <w:rFonts w:hint="eastAsia"/>
        </w:rPr>
        <w:t>系统评估与持续优化</w:t>
      </w:r>
      <w:bookmarkEnd w:id="58"/>
    </w:p>
    <w:p w14:paraId="7F49BD2B">
      <w:pPr>
        <w:pStyle w:val="105"/>
        <w:spacing w:before="120" w:after="120" w:line="360" w:lineRule="auto"/>
      </w:pPr>
      <w:r>
        <w:rPr>
          <w:rFonts w:hint="eastAsia"/>
        </w:rPr>
        <w:t>总体要求</w:t>
      </w:r>
    </w:p>
    <w:p w14:paraId="4AEB20F8">
      <w:pPr>
        <w:pStyle w:val="56"/>
        <w:spacing w:line="360" w:lineRule="auto"/>
        <w:ind w:firstLine="420"/>
      </w:pPr>
      <w:r>
        <w:rPr>
          <w:rFonts w:hint="eastAsia"/>
        </w:rPr>
        <w:t>电梯应急救援智能响应系统应建立定期评估与持续优化机制，通过性能测试、运行分析和用户反馈，不断提升系统的稳定性、响应速度和实用性，确保系统始终满足应急救援的实际需求。</w:t>
      </w:r>
    </w:p>
    <w:p w14:paraId="30382E73">
      <w:pPr>
        <w:pStyle w:val="105"/>
        <w:spacing w:before="120" w:after="120" w:line="360" w:lineRule="auto"/>
      </w:pPr>
      <w:r>
        <w:rPr>
          <w:rFonts w:hint="eastAsia"/>
        </w:rPr>
        <w:t>评估内容</w:t>
      </w:r>
    </w:p>
    <w:p w14:paraId="765AB43C">
      <w:pPr>
        <w:pStyle w:val="56"/>
        <w:spacing w:line="360" w:lineRule="auto"/>
        <w:ind w:firstLine="420"/>
      </w:pPr>
      <w:r>
        <w:rPr>
          <w:rFonts w:hint="eastAsia"/>
        </w:rPr>
        <w:t>系统评估应涵盖硬件设备运行状态、软件平台稳定性、数据传输与处理效率、救援响应时间、协同作业效果以及信息安全等方面。应结合系统日志、事件记录和实际救援案例进行全面分析。</w:t>
      </w:r>
    </w:p>
    <w:p w14:paraId="66830430">
      <w:pPr>
        <w:pStyle w:val="105"/>
        <w:spacing w:before="120" w:after="120" w:line="360" w:lineRule="auto"/>
      </w:pPr>
      <w:r>
        <w:rPr>
          <w:rFonts w:hint="eastAsia"/>
        </w:rPr>
        <w:t>评估方法</w:t>
      </w:r>
    </w:p>
    <w:p w14:paraId="4B44A62A">
      <w:pPr>
        <w:pStyle w:val="56"/>
        <w:spacing w:line="360" w:lineRule="auto"/>
        <w:ind w:firstLine="420"/>
      </w:pPr>
      <w:r>
        <w:rPr>
          <w:rFonts w:hint="eastAsia"/>
        </w:rPr>
        <w:t>评估可采用定量与定性相结合的方式，包括性能指标测量、功能测试、模拟演练评估、用户满意度调查以及专家评审等。必要时应引入第三方机构进行独立检测与评估。</w:t>
      </w:r>
    </w:p>
    <w:p w14:paraId="6A4D93DF">
      <w:pPr>
        <w:pStyle w:val="105"/>
        <w:spacing w:before="120" w:after="120" w:line="360" w:lineRule="auto"/>
      </w:pPr>
      <w:r>
        <w:rPr>
          <w:rFonts w:hint="eastAsia"/>
        </w:rPr>
        <w:t>优化措施</w:t>
      </w:r>
    </w:p>
    <w:p w14:paraId="3D2EC939">
      <w:pPr>
        <w:pStyle w:val="56"/>
        <w:spacing w:line="360" w:lineRule="auto"/>
        <w:ind w:firstLine="420"/>
      </w:pPr>
      <w:r>
        <w:rPr>
          <w:rFonts w:hint="eastAsia"/>
        </w:rPr>
        <w:t>根据评估结果，系统运营单位应制定优化计划，包括硬件设备更新、软件功能改进、网络与数据安全增强、界面与交互优化等措施。优化应分阶段实施，并设定明确的目标与时间节点。</w:t>
      </w:r>
    </w:p>
    <w:p w14:paraId="29D1922E">
      <w:pPr>
        <w:pStyle w:val="105"/>
        <w:spacing w:before="120" w:after="120" w:line="360" w:lineRule="auto"/>
      </w:pPr>
      <w:r>
        <w:rPr>
          <w:rFonts w:hint="eastAsia"/>
        </w:rPr>
        <w:t>持续改进机制</w:t>
      </w:r>
    </w:p>
    <w:p w14:paraId="67E1B657">
      <w:pPr>
        <w:pStyle w:val="56"/>
        <w:spacing w:line="360" w:lineRule="auto"/>
        <w:ind w:firstLine="420"/>
      </w:pPr>
      <w:r>
        <w:rPr>
          <w:rFonts w:hint="eastAsia"/>
        </w:rPr>
        <w:t>应将系统评估与优化成果纳入年度工作计划，并与人员培训、应急演练、设备维护等环节形成联动，确保优化措施在实践中落地。对于评估中发现的共性问题，应形成标准化解决方案并在全系统推广。</w:t>
      </w:r>
    </w:p>
    <w:p w14:paraId="4C879926">
      <w:pPr>
        <w:pStyle w:val="105"/>
        <w:spacing w:before="120" w:after="120" w:line="360" w:lineRule="auto"/>
      </w:pPr>
      <w:r>
        <w:rPr>
          <w:rFonts w:hint="eastAsia"/>
        </w:rPr>
        <w:t>技术更新与升级</w:t>
      </w:r>
    </w:p>
    <w:p w14:paraId="090B2D16">
      <w:pPr>
        <w:pStyle w:val="56"/>
        <w:spacing w:line="360" w:lineRule="auto"/>
        <w:ind w:firstLine="420"/>
      </w:pPr>
      <w:r>
        <w:rPr>
          <w:rFonts w:hint="eastAsia"/>
        </w:rPr>
        <w:t>应跟踪物联网、人工智能、大数据等相关技术的发展趋势，适时引入新技术和新方法，提升系统的智能化水平和应急处置能力。系统升级应确保与现有平台的兼容性，避免因更新造成业务中断。</w:t>
      </w:r>
    </w:p>
    <w:bookmarkEnd w:id="26"/>
    <w:p w14:paraId="5AEDAF7E">
      <w:pPr>
        <w:pStyle w:val="56"/>
        <w:ind w:firstLine="0" w:firstLineChars="0"/>
        <w:jc w:val="center"/>
      </w:pPr>
      <w:bookmarkStart w:id="59" w:name="BookMark8"/>
      <w:r>
        <w:rPr>
          <w:rFonts w:hint="eastAsia"/>
        </w:rPr>
        <w:drawing>
          <wp:inline distT="0" distB="0" distL="0" distR="0">
            <wp:extent cx="1485900" cy="317500"/>
            <wp:effectExtent l="0" t="0" r="0" b="6350"/>
            <wp:docPr id="20388316" name="图片 1"/>
            <wp:cNvGraphicFramePr/>
            <a:graphic xmlns:a="http://schemas.openxmlformats.org/drawingml/2006/main">
              <a:graphicData uri="http://schemas.openxmlformats.org/drawingml/2006/picture">
                <pic:pic xmlns:pic="http://schemas.openxmlformats.org/drawingml/2006/picture">
                  <pic:nvPicPr>
                    <pic:cNvPr id="20388316" name="图片 1"/>
                    <pic:cNvPicPr/>
                  </pic:nvPicPr>
                  <pic:blipFill>
                    <a:blip r:embed="rId2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9"/>
    </w:p>
    <w:sectPr>
      <w:headerReference r:id="rId21" w:type="default"/>
      <w:footerReference r:id="rId23" w:type="default"/>
      <w:headerReference r:id="rId22" w:type="even"/>
      <w:footerReference r:id="rId24"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C22D">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F248C">
    <w:pPr>
      <w:pStyle w:val="51"/>
    </w:pPr>
    <w:r>
      <w:fldChar w:fldCharType="begin"/>
    </w:r>
    <w:r>
      <w:instrText xml:space="preserve"> PAGE   \* MERGEFORMAT \* MERGEFORMAT </w:instrText>
    </w:r>
    <w:r>
      <w:fldChar w:fldCharType="separate"/>
    </w:r>
    <w: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9337">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C18A">
    <w:pPr>
      <w:pStyle w:val="52"/>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877CF">
    <w:pPr>
      <w:pStyle w:val="5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45BC5">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E6C54">
    <w:pPr>
      <w:pStyle w:val="51"/>
    </w:pPr>
    <w:r>
      <w:fldChar w:fldCharType="begin"/>
    </w:r>
    <w:r>
      <w:instrText xml:space="preserve"> PAGE   \* MERGEFORMAT \* MERGEFORMAT </w:instrText>
    </w:r>
    <w:r>
      <w:fldChar w:fldCharType="separate"/>
    </w:r>
    <w: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31F47">
    <w:pPr>
      <w:pStyle w:val="52"/>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23D43">
    <w:pPr>
      <w:pStyle w:val="51"/>
    </w:pPr>
    <w:r>
      <w:fldChar w:fldCharType="begin"/>
    </w:r>
    <w:r>
      <w:instrText xml:space="preserve"> PAGE   \* MERGEFORMAT \* MERGEFORMAT </w:instrText>
    </w:r>
    <w:r>
      <w:fldChar w:fldCharType="separate"/>
    </w:r>
    <w: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0766A">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2859">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64E41">
    <w:pPr>
      <w:pStyle w:val="62"/>
      <w:rPr>
        <w:rFonts w:hint="eastAsia"/>
      </w:rPr>
    </w:pPr>
    <w:r>
      <w:fldChar w:fldCharType="begin"/>
    </w:r>
    <w:r>
      <w:instrText xml:space="preserve"> STYLEREF  标准文件_文件编号 \* MERGEFORMAT </w:instrText>
    </w:r>
    <w:r>
      <w:fldChar w:fldCharType="separate"/>
    </w:r>
    <w:r>
      <w:t>T/XJBX 0070—2025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BA31">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7098">
    <w:pPr>
      <w:pStyle w:val="61"/>
      <w:rPr>
        <w:rFonts w:hint="eastAsia"/>
      </w:rPr>
    </w:pPr>
    <w:r>
      <w:fldChar w:fldCharType="begin"/>
    </w:r>
    <w:r>
      <w:instrText xml:space="preserve"> STYLEREF  标准文件_文件编号  \* MERGEFORMAT </w:instrText>
    </w:r>
    <w:r>
      <w:fldChar w:fldCharType="separate"/>
    </w:r>
    <w:r>
      <w:t>T/XJBX 0070—2025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07A2">
    <w:pPr>
      <w:pStyle w:val="62"/>
      <w:rPr>
        <w:rFonts w:hint="eastAsia"/>
      </w:rPr>
    </w:pPr>
    <w:r>
      <w:fldChar w:fldCharType="begin"/>
    </w:r>
    <w:r>
      <w:instrText xml:space="preserve"> STYLEREF  标准文件_文件编号 \* MERGEFORMAT </w:instrText>
    </w:r>
    <w:r>
      <w:fldChar w:fldCharType="separate"/>
    </w:r>
    <w:r>
      <w:t>T/XJBX 0070—2025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03A52">
    <w:pPr>
      <w:pStyle w:val="61"/>
      <w:rPr>
        <w:rFonts w:hint="eastAsia"/>
      </w:rPr>
    </w:pPr>
    <w:r>
      <w:fldChar w:fldCharType="begin"/>
    </w:r>
    <w:r>
      <w:instrText xml:space="preserve"> STYLEREF  标准文件_文件编号  \* MERGEFORMAT </w:instrText>
    </w:r>
    <w:r>
      <w:fldChar w:fldCharType="separate"/>
    </w:r>
    <w:r>
      <w:t>T/XJBX 0070—2025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1A2BE">
    <w:pPr>
      <w:pStyle w:val="62"/>
      <w:rPr>
        <w:rFonts w:hint="eastAsia"/>
      </w:rPr>
    </w:pPr>
    <w:r>
      <w:fldChar w:fldCharType="begin"/>
    </w:r>
    <w:r>
      <w:instrText xml:space="preserve"> STYLEREF  标准文件_文件编号 \* MERGEFORMAT </w:instrText>
    </w:r>
    <w:r>
      <w:fldChar w:fldCharType="separate"/>
    </w:r>
    <w:r>
      <w:t>T/XJBX 0070—2025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232B6">
    <w:pPr>
      <w:pStyle w:val="61"/>
      <w:rPr>
        <w:rFonts w:hint="eastAsia"/>
      </w:rPr>
    </w:pPr>
    <w:r>
      <w:fldChar w:fldCharType="begin"/>
    </w:r>
    <w:r>
      <w:instrText xml:space="preserve"> STYLEREF  标准文件_文件编号  \* MERGEFORMAT </w:instrText>
    </w:r>
    <w:r>
      <w:fldChar w:fldCharType="separate"/>
    </w:r>
    <w:r>
      <w:t>T/XJBX 0070—2025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04378">
    <w:pPr>
      <w:pStyle w:val="62"/>
      <w:rPr>
        <w:rFonts w:hint="eastAsia"/>
      </w:rPr>
    </w:pPr>
    <w:r>
      <w:fldChar w:fldCharType="begin"/>
    </w:r>
    <w:r>
      <w:instrText xml:space="preserve"> STYLEREF  标准文件_文件编号 \* MERGEFORMAT </w:instrText>
    </w:r>
    <w:r>
      <w:fldChar w:fldCharType="separate"/>
    </w:r>
    <w:r>
      <w:t>T/XJBX 0070—2025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465F7">
    <w:pPr>
      <w:pStyle w:val="61"/>
      <w:rPr>
        <w:rFonts w:hint="eastAsia"/>
      </w:rPr>
    </w:pPr>
    <w:r>
      <w:fldChar w:fldCharType="begin"/>
    </w:r>
    <w:r>
      <w:instrText xml:space="preserve"> STYLEREF  标准文件_文件编号  \* MERGEFORMAT </w:instrText>
    </w:r>
    <w:r>
      <w:fldChar w:fldCharType="separate"/>
    </w:r>
    <w:r>
      <w:t>T/XJBX 0070—2025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DSwNLYwMrIwtjS2NDNT0lEKTi0uzszPAykwqgUAi3zLlCwAAAA="/>
  </w:docVars>
  <w:rsids>
    <w:rsidRoot w:val="00EB4D3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1E2D"/>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5FD3"/>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5E67"/>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2056"/>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96B"/>
    <w:rsid w:val="009B6029"/>
    <w:rsid w:val="009B6971"/>
    <w:rsid w:val="009C27F1"/>
    <w:rsid w:val="009C294E"/>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88"/>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D3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1C82"/>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65E14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glossaryDocument" Target="glossary/document.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3.jpe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2FB321F5A4443D9AFC61825E0F0C38"/>
        <w:style w:val=""/>
        <w:category>
          <w:name w:val="常规"/>
          <w:gallery w:val="placeholder"/>
        </w:category>
        <w:types>
          <w:type w:val="bbPlcHdr"/>
        </w:types>
        <w:behaviors>
          <w:behavior w:val="content"/>
        </w:behaviors>
        <w:description w:val=""/>
        <w:guid w:val="{6BC8AE12-FCBB-459F-AF45-E50AEA0241F1}"/>
      </w:docPartPr>
      <w:docPartBody>
        <w:p w14:paraId="3DF8C1EA">
          <w:pPr>
            <w:pStyle w:val="5"/>
            <w:rPr>
              <w:rFonts w:hint="eastAsia"/>
            </w:rPr>
          </w:pPr>
          <w:r>
            <w:rPr>
              <w:rStyle w:val="4"/>
              <w:rFonts w:hint="eastAsia"/>
            </w:rPr>
            <w:t>单击或点击此处输入文字。</w:t>
          </w:r>
        </w:p>
      </w:docPartBody>
    </w:docPart>
    <w:docPart>
      <w:docPartPr>
        <w:name w:val="06591A60496146309C06F8B2E11B4B09"/>
        <w:style w:val=""/>
        <w:category>
          <w:name w:val="常规"/>
          <w:gallery w:val="placeholder"/>
        </w:category>
        <w:types>
          <w:type w:val="bbPlcHdr"/>
        </w:types>
        <w:behaviors>
          <w:behavior w:val="content"/>
        </w:behaviors>
        <w:description w:val=""/>
        <w:guid w:val="{9CA1BFD8-86DC-49E7-8A17-8C8D6D52C131}"/>
      </w:docPartPr>
      <w:docPartBody>
        <w:p w14:paraId="75483F31">
          <w:pPr>
            <w:pStyle w:val="6"/>
            <w:rPr>
              <w:rFonts w:hint="eastAsia"/>
            </w:rPr>
          </w:pPr>
          <w:r>
            <w:rPr>
              <w:rStyle w:val="4"/>
              <w:rFonts w:hint="eastAsia"/>
            </w:rPr>
            <w:t>选择一项。</w:t>
          </w:r>
        </w:p>
      </w:docPartBody>
    </w:docPart>
    <w:docPart>
      <w:docPartPr>
        <w:name w:val="301A11BD743F4400A8B304744630EFE7"/>
        <w:style w:val=""/>
        <w:category>
          <w:name w:val="常规"/>
          <w:gallery w:val="placeholder"/>
        </w:category>
        <w:types>
          <w:type w:val="bbPlcHdr"/>
        </w:types>
        <w:behaviors>
          <w:behavior w:val="content"/>
        </w:behaviors>
        <w:description w:val=""/>
        <w:guid w:val="{E52AB75A-1AE2-48D1-8CE3-EC37C4964B3D}"/>
      </w:docPartPr>
      <w:docPartBody>
        <w:p w14:paraId="7F1D5131">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C6"/>
    <w:rsid w:val="003847FF"/>
    <w:rsid w:val="007A5E67"/>
    <w:rsid w:val="009B667F"/>
    <w:rsid w:val="00AE1DC6"/>
    <w:rsid w:val="00C81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012FB321F5A4443D9AFC61825E0F0C3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6591A60496146309C06F8B2E11B4B0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01A11BD743F4400A8B304744630EFE7"/>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17</Pages>
  <Words>3251</Words>
  <Characters>3572</Characters>
  <Lines>115</Lines>
  <Paragraphs>367</Paragraphs>
  <TotalTime>28</TotalTime>
  <ScaleCrop>false</ScaleCrop>
  <LinksUpToDate>false</LinksUpToDate>
  <CharactersWithSpaces>3668</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2025-08-08T02:30:00Z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2025-08-11T06:33:22Z</dcterms:modified>
  <dc:title>团体标准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2052-12.1.0.22483</vt:lpwstr>
  </property>
  <property fmtid="{D5CDD505-2E9C-101B-9397-08002B2CF9AE}" pid="17" name="ICV">
    <vt:lpwstr>03C3A9D055F14CE7B0D7840283CC9FC7_12</vt:lpwstr>
  </property>
</Properties>
</file>